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B82D78" w:rsidRPr="00B82D78" w:rsidTr="00B82D78">
        <w:tc>
          <w:tcPr>
            <w:tcW w:w="3150" w:type="dxa"/>
          </w:tcPr>
          <w:p w:rsidR="00B82D78" w:rsidRPr="00B82D78" w:rsidRDefault="00B82D78" w:rsidP="00B82D78">
            <w:pPr>
              <w:spacing w:after="0" w:line="120" w:lineRule="exact"/>
              <w:rPr>
                <w:rFonts w:ascii="Arial" w:eastAsia="Times New Roman" w:hAnsi="Arial" w:cs="Arial"/>
                <w:sz w:val="16"/>
                <w:szCs w:val="24"/>
                <w:lang w:val="en-US"/>
              </w:rPr>
            </w:pPr>
          </w:p>
          <w:p w:rsidR="00B82D78" w:rsidRPr="00B82D78" w:rsidRDefault="00B82D78" w:rsidP="00B82D78">
            <w:pPr>
              <w:spacing w:after="0" w:line="240" w:lineRule="auto"/>
              <w:rPr>
                <w:rFonts w:ascii="Arial" w:eastAsia="Times New Roman" w:hAnsi="Arial" w:cs="Arial"/>
                <w:sz w:val="16"/>
                <w:szCs w:val="24"/>
                <w:lang w:val="en-US"/>
              </w:rPr>
            </w:pPr>
            <w:r w:rsidRPr="00B82D78">
              <w:rPr>
                <w:rFonts w:ascii="Arial" w:eastAsia="Times New Roman" w:hAnsi="Arial" w:cs="Arial"/>
                <w:b/>
                <w:bCs/>
                <w:sz w:val="16"/>
                <w:szCs w:val="16"/>
                <w:lang w:val="en-US"/>
              </w:rPr>
              <w:t xml:space="preserve">Ontario Energy </w:t>
            </w:r>
          </w:p>
          <w:p w:rsidR="00B82D78" w:rsidRPr="00B82D78" w:rsidRDefault="00B82D78" w:rsidP="00B82D78">
            <w:pPr>
              <w:spacing w:after="0" w:line="240" w:lineRule="auto"/>
              <w:rPr>
                <w:rFonts w:ascii="Arial" w:eastAsia="Times New Roman" w:hAnsi="Arial" w:cs="Arial"/>
                <w:sz w:val="16"/>
                <w:szCs w:val="24"/>
                <w:lang w:val="en-US"/>
              </w:rPr>
            </w:pPr>
            <w:r w:rsidRPr="00B82D78">
              <w:rPr>
                <w:rFonts w:ascii="Arial" w:eastAsia="Times New Roman" w:hAnsi="Arial" w:cs="Arial"/>
                <w:b/>
                <w:bCs/>
                <w:sz w:val="16"/>
                <w:szCs w:val="16"/>
                <w:lang w:val="en-US"/>
              </w:rPr>
              <w:t>Board</w:t>
            </w:r>
            <w:r w:rsidRPr="00B82D78">
              <w:rPr>
                <w:rFonts w:ascii="Arial" w:eastAsia="Times New Roman" w:hAnsi="Arial" w:cs="Arial"/>
                <w:b/>
                <w:bCs/>
                <w:sz w:val="16"/>
                <w:szCs w:val="16"/>
                <w:lang w:val="en-US"/>
              </w:rPr>
              <w:tab/>
            </w:r>
          </w:p>
          <w:p w:rsidR="00B82D78" w:rsidRPr="00B82D78" w:rsidRDefault="00B82D78" w:rsidP="00B82D78">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P.O. Box 2319</w:t>
            </w:r>
          </w:p>
          <w:p w:rsidR="00B82D78" w:rsidRPr="00B82D78" w:rsidRDefault="00B82D78" w:rsidP="00B82D78">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27th. Floor</w:t>
            </w:r>
          </w:p>
          <w:p w:rsidR="00B82D78" w:rsidRPr="00B82D78" w:rsidRDefault="00B82D78" w:rsidP="00B82D78">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2300 Yonge Street</w:t>
            </w:r>
          </w:p>
          <w:p w:rsidR="00B82D78" w:rsidRPr="00B82D78" w:rsidRDefault="00B82D78" w:rsidP="00B82D78">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Toronto ON M4P 1E4</w:t>
            </w:r>
          </w:p>
          <w:p w:rsidR="00B82D78" w:rsidRPr="00B82D78" w:rsidRDefault="00B82D78" w:rsidP="00B82D78">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Telephone: 416- 481-1967</w:t>
            </w:r>
          </w:p>
          <w:p w:rsidR="00B82D78" w:rsidRPr="00B82D78" w:rsidRDefault="00B82D78" w:rsidP="00B82D78">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Facsimile:   416- 440-7656</w:t>
            </w:r>
          </w:p>
          <w:p w:rsidR="00B82D78" w:rsidRPr="00B82D78" w:rsidRDefault="00B82D78" w:rsidP="00B82D78">
            <w:pPr>
              <w:spacing w:after="58"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Toll free:   1-888-632-6273</w:t>
            </w:r>
          </w:p>
        </w:tc>
        <w:tc>
          <w:tcPr>
            <w:tcW w:w="2970" w:type="dxa"/>
          </w:tcPr>
          <w:p w:rsidR="00B82D78" w:rsidRPr="00B82D78" w:rsidRDefault="00B82D78" w:rsidP="00B82D78">
            <w:pPr>
              <w:spacing w:after="0" w:line="120" w:lineRule="exact"/>
              <w:rPr>
                <w:rFonts w:ascii="Arial" w:eastAsia="Times New Roman" w:hAnsi="Arial" w:cs="Arial"/>
                <w:sz w:val="16"/>
                <w:szCs w:val="24"/>
                <w:lang w:val="fr-CA"/>
              </w:rPr>
            </w:pPr>
          </w:p>
          <w:p w:rsidR="00B82D78" w:rsidRPr="00B82D78" w:rsidRDefault="00B82D78" w:rsidP="00B82D78">
            <w:pPr>
              <w:spacing w:after="0" w:line="240" w:lineRule="auto"/>
              <w:rPr>
                <w:rFonts w:ascii="Arial" w:eastAsia="Times New Roman" w:hAnsi="Arial" w:cs="Arial"/>
                <w:sz w:val="16"/>
                <w:szCs w:val="24"/>
                <w:lang w:val="fr-CA"/>
              </w:rPr>
            </w:pPr>
            <w:r w:rsidRPr="00B82D78">
              <w:rPr>
                <w:rFonts w:ascii="Arial" w:eastAsia="Times New Roman" w:hAnsi="Arial" w:cs="Arial"/>
                <w:b/>
                <w:bCs/>
                <w:sz w:val="16"/>
                <w:szCs w:val="16"/>
                <w:lang w:val="fr-CA"/>
              </w:rPr>
              <w:t>Commission de l’énergie</w:t>
            </w:r>
          </w:p>
          <w:p w:rsidR="00B82D78" w:rsidRPr="00B82D78" w:rsidRDefault="00B82D78" w:rsidP="00B82D78">
            <w:pPr>
              <w:spacing w:after="0" w:line="240" w:lineRule="auto"/>
              <w:rPr>
                <w:rFonts w:ascii="Arial" w:eastAsia="Times New Roman" w:hAnsi="Arial" w:cs="Arial"/>
                <w:sz w:val="16"/>
                <w:szCs w:val="24"/>
                <w:lang w:val="fr-CA"/>
              </w:rPr>
            </w:pPr>
            <w:r w:rsidRPr="00B82D78">
              <w:rPr>
                <w:rFonts w:ascii="Arial" w:eastAsia="Times New Roman" w:hAnsi="Arial" w:cs="Arial"/>
                <w:b/>
                <w:bCs/>
                <w:sz w:val="16"/>
                <w:szCs w:val="16"/>
                <w:lang w:val="fr-CA"/>
              </w:rPr>
              <w:t>de l’Ontario</w:t>
            </w:r>
          </w:p>
          <w:p w:rsidR="00B82D78" w:rsidRPr="00B82D78" w:rsidRDefault="00B82D78" w:rsidP="00B82D78">
            <w:pPr>
              <w:spacing w:after="0" w:line="240" w:lineRule="auto"/>
              <w:rPr>
                <w:rFonts w:ascii="Arial" w:eastAsia="Times New Roman" w:hAnsi="Arial" w:cs="Arial"/>
                <w:sz w:val="16"/>
                <w:szCs w:val="24"/>
                <w:lang w:val="fr-CA"/>
              </w:rPr>
            </w:pPr>
            <w:r w:rsidRPr="00B82D78">
              <w:rPr>
                <w:rFonts w:ascii="Arial" w:eastAsia="Times New Roman" w:hAnsi="Arial" w:cs="Arial"/>
                <w:sz w:val="16"/>
                <w:szCs w:val="16"/>
                <w:lang w:val="fr-CA"/>
              </w:rPr>
              <w:t>C.P. 2319</w:t>
            </w:r>
          </w:p>
          <w:p w:rsidR="00B82D78" w:rsidRPr="00B82D78" w:rsidRDefault="00B82D78" w:rsidP="00B82D78">
            <w:pPr>
              <w:spacing w:after="0" w:line="240" w:lineRule="auto"/>
              <w:rPr>
                <w:rFonts w:ascii="Arial" w:eastAsia="Times New Roman" w:hAnsi="Arial" w:cs="Arial"/>
                <w:sz w:val="16"/>
                <w:szCs w:val="16"/>
                <w:lang w:val="fr-CA"/>
              </w:rPr>
            </w:pPr>
            <w:r w:rsidRPr="00B82D78">
              <w:rPr>
                <w:rFonts w:ascii="Arial" w:eastAsia="Times New Roman" w:hAnsi="Arial" w:cs="Arial"/>
                <w:sz w:val="16"/>
                <w:szCs w:val="16"/>
                <w:lang w:val="fr-CA"/>
              </w:rPr>
              <w:t xml:space="preserve">27e étage </w:t>
            </w:r>
          </w:p>
          <w:p w:rsidR="00B82D78" w:rsidRPr="00B82D78" w:rsidRDefault="00B82D78" w:rsidP="00B82D78">
            <w:pPr>
              <w:spacing w:after="0" w:line="240" w:lineRule="auto"/>
              <w:rPr>
                <w:rFonts w:ascii="Arial" w:eastAsia="Times New Roman" w:hAnsi="Arial" w:cs="Arial"/>
                <w:sz w:val="16"/>
                <w:szCs w:val="24"/>
                <w:lang w:val="fr-CA"/>
              </w:rPr>
            </w:pPr>
            <w:r w:rsidRPr="00B82D78">
              <w:rPr>
                <w:rFonts w:ascii="Arial" w:eastAsia="Times New Roman" w:hAnsi="Arial" w:cs="Arial"/>
                <w:sz w:val="16"/>
                <w:szCs w:val="16"/>
                <w:lang w:val="fr-CA"/>
              </w:rPr>
              <w:t>2300, rue Yonge</w:t>
            </w:r>
          </w:p>
          <w:p w:rsidR="00B82D78" w:rsidRPr="00B82D78" w:rsidRDefault="00B82D78" w:rsidP="00B82D78">
            <w:pPr>
              <w:spacing w:after="0" w:line="240" w:lineRule="auto"/>
              <w:rPr>
                <w:rFonts w:ascii="Arial" w:eastAsia="Times New Roman" w:hAnsi="Arial" w:cs="Arial"/>
                <w:sz w:val="16"/>
                <w:szCs w:val="24"/>
                <w:lang w:val="fr-CA"/>
              </w:rPr>
            </w:pPr>
            <w:r w:rsidRPr="00B82D78">
              <w:rPr>
                <w:rFonts w:ascii="Arial" w:eastAsia="Times New Roman" w:hAnsi="Arial" w:cs="Arial"/>
                <w:sz w:val="16"/>
                <w:szCs w:val="16"/>
                <w:lang w:val="fr-CA"/>
              </w:rPr>
              <w:t>Toronto ON M4P 1E4</w:t>
            </w:r>
          </w:p>
          <w:p w:rsidR="00B82D78" w:rsidRPr="00B82D78" w:rsidRDefault="00B82D78" w:rsidP="00B82D78">
            <w:pPr>
              <w:spacing w:after="0" w:line="240" w:lineRule="auto"/>
              <w:rPr>
                <w:rFonts w:ascii="Arial" w:eastAsia="Times New Roman" w:hAnsi="Arial" w:cs="Arial"/>
                <w:sz w:val="16"/>
                <w:szCs w:val="16"/>
                <w:lang w:val="fr-CA"/>
              </w:rPr>
            </w:pPr>
            <w:r w:rsidRPr="00B82D78">
              <w:rPr>
                <w:rFonts w:ascii="Arial" w:eastAsia="Times New Roman" w:hAnsi="Arial" w:cs="Arial"/>
                <w:sz w:val="16"/>
                <w:szCs w:val="16"/>
                <w:lang w:val="fr-CA"/>
              </w:rPr>
              <w:t>Téléphone;   416- 481-1967</w:t>
            </w:r>
          </w:p>
          <w:p w:rsidR="00B82D78" w:rsidRPr="00B82D78" w:rsidRDefault="00B82D78" w:rsidP="00B82D78">
            <w:pPr>
              <w:spacing w:after="0" w:line="240" w:lineRule="auto"/>
              <w:rPr>
                <w:rFonts w:ascii="Arial" w:eastAsia="Times New Roman" w:hAnsi="Arial" w:cs="Arial"/>
                <w:sz w:val="16"/>
                <w:szCs w:val="16"/>
                <w:lang w:val="en-US"/>
              </w:rPr>
            </w:pPr>
            <w:r w:rsidRPr="00B82D78">
              <w:rPr>
                <w:rFonts w:ascii="Arial" w:eastAsia="Times New Roman" w:hAnsi="Arial" w:cs="Arial"/>
                <w:sz w:val="16"/>
                <w:szCs w:val="16"/>
                <w:lang w:val="en-US"/>
              </w:rPr>
              <w:t>Télécopieur: 416- 440-7656</w:t>
            </w:r>
          </w:p>
          <w:p w:rsidR="00B82D78" w:rsidRPr="00B82D78" w:rsidRDefault="00B82D78" w:rsidP="00B82D78">
            <w:pPr>
              <w:spacing w:after="58" w:line="240" w:lineRule="auto"/>
              <w:rPr>
                <w:rFonts w:ascii="Arial" w:eastAsia="Times New Roman" w:hAnsi="Arial" w:cs="Arial"/>
                <w:sz w:val="16"/>
                <w:szCs w:val="24"/>
                <w:lang w:val="en-US"/>
              </w:rPr>
            </w:pPr>
            <w:r w:rsidRPr="00B82D78">
              <w:rPr>
                <w:rFonts w:ascii="Arial" w:eastAsia="Times New Roman" w:hAnsi="Arial" w:cs="Arial"/>
                <w:sz w:val="16"/>
                <w:szCs w:val="16"/>
                <w:lang w:val="en-GB"/>
              </w:rPr>
              <w:t>Numéro sans frais: 1-888-632-6273</w:t>
            </w:r>
          </w:p>
        </w:tc>
        <w:tc>
          <w:tcPr>
            <w:tcW w:w="3240" w:type="dxa"/>
          </w:tcPr>
          <w:p w:rsidR="00B82D78" w:rsidRPr="00B82D78" w:rsidRDefault="00B82D78" w:rsidP="00B82D78">
            <w:pPr>
              <w:spacing w:after="0" w:line="120" w:lineRule="exact"/>
              <w:rPr>
                <w:rFonts w:ascii="Arial" w:eastAsia="Times New Roman" w:hAnsi="Arial" w:cs="Arial"/>
                <w:sz w:val="16"/>
                <w:szCs w:val="24"/>
                <w:lang w:val="en-US"/>
              </w:rPr>
            </w:pPr>
          </w:p>
          <w:p w:rsidR="00B82D78" w:rsidRPr="00B82D78" w:rsidRDefault="00B82D78" w:rsidP="00B82D78">
            <w:pPr>
              <w:pBdr>
                <w:top w:val="single" w:sz="6" w:space="0" w:color="FFFFFF"/>
                <w:left w:val="single" w:sz="6" w:space="0" w:color="FFFFFF"/>
                <w:bottom w:val="single" w:sz="6" w:space="0" w:color="FFFFFF"/>
                <w:right w:val="single" w:sz="6" w:space="0" w:color="FFFFFF"/>
              </w:pBdr>
              <w:spacing w:after="0" w:line="240" w:lineRule="auto"/>
              <w:jc w:val="right"/>
              <w:rPr>
                <w:rFonts w:ascii="Arial" w:eastAsia="Times New Roman" w:hAnsi="Arial" w:cs="Arial"/>
                <w:sz w:val="16"/>
                <w:szCs w:val="24"/>
                <w:lang w:val="en-US"/>
              </w:rPr>
            </w:pPr>
            <w:r>
              <w:rPr>
                <w:rFonts w:ascii="Arial" w:eastAsia="Times New Roman" w:hAnsi="Arial" w:cs="Arial"/>
                <w:noProof/>
                <w:sz w:val="16"/>
                <w:szCs w:val="24"/>
                <w:lang w:val="en-US"/>
              </w:rPr>
              <w:drawing>
                <wp:inline distT="0" distB="0" distL="0" distR="0" wp14:anchorId="6662DE34" wp14:editId="79F35CDC">
                  <wp:extent cx="8191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l="-626" t="-310" r="-626" b="-310"/>
                          <a:stretch>
                            <a:fillRect/>
                          </a:stretch>
                        </pic:blipFill>
                        <pic:spPr bwMode="auto">
                          <a:xfrm>
                            <a:off x="0" y="0"/>
                            <a:ext cx="819150" cy="819150"/>
                          </a:xfrm>
                          <a:prstGeom prst="rect">
                            <a:avLst/>
                          </a:prstGeom>
                          <a:noFill/>
                          <a:ln>
                            <a:noFill/>
                          </a:ln>
                        </pic:spPr>
                      </pic:pic>
                    </a:graphicData>
                  </a:graphic>
                </wp:inline>
              </w:drawing>
            </w:r>
          </w:p>
          <w:p w:rsidR="00B82D78" w:rsidRPr="00B82D78" w:rsidRDefault="00B82D78" w:rsidP="00B82D78">
            <w:pPr>
              <w:spacing w:after="58" w:line="240" w:lineRule="auto"/>
              <w:rPr>
                <w:rFonts w:ascii="Arial" w:eastAsia="Times New Roman" w:hAnsi="Arial" w:cs="Arial"/>
                <w:sz w:val="16"/>
                <w:szCs w:val="24"/>
                <w:lang w:val="en-US"/>
              </w:rPr>
            </w:pPr>
          </w:p>
        </w:tc>
      </w:tr>
    </w:tbl>
    <w:p w:rsidR="00B82D78" w:rsidRDefault="00B82D78" w:rsidP="00B82D78">
      <w:pPr>
        <w:pStyle w:val="Caption"/>
      </w:pPr>
    </w:p>
    <w:p w:rsidR="00B82D78" w:rsidRPr="00175DB1" w:rsidRDefault="00B82D78" w:rsidP="00B82D78">
      <w:pPr>
        <w:jc w:val="right"/>
        <w:rPr>
          <w:rFonts w:ascii="Arial" w:hAnsi="Arial" w:cs="Arial"/>
          <w:b/>
        </w:rPr>
      </w:pPr>
      <w:r w:rsidRPr="00175DB1">
        <w:rPr>
          <w:rFonts w:ascii="Arial" w:hAnsi="Arial" w:cs="Arial"/>
          <w:b/>
        </w:rPr>
        <w:t xml:space="preserve">BY </w:t>
      </w:r>
      <w:r>
        <w:rPr>
          <w:rFonts w:ascii="Arial" w:hAnsi="Arial" w:cs="Arial"/>
          <w:b/>
        </w:rPr>
        <w:t>E-MAIL</w:t>
      </w:r>
    </w:p>
    <w:p w:rsidR="00E429DA" w:rsidRPr="00E429DA" w:rsidRDefault="00464B1D" w:rsidP="00E429DA">
      <w:pPr>
        <w:widowControl w:val="0"/>
        <w:tabs>
          <w:tab w:val="left" w:pos="720"/>
          <w:tab w:val="center" w:pos="4320"/>
          <w:tab w:val="right" w:pos="8640"/>
        </w:tabs>
        <w:snapToGrid w:val="0"/>
        <w:spacing w:after="0" w:line="240" w:lineRule="auto"/>
        <w:rPr>
          <w:rFonts w:ascii="Arial" w:eastAsia="Times New Roman" w:hAnsi="Arial" w:cs="Arial"/>
          <w:sz w:val="24"/>
          <w:szCs w:val="20"/>
          <w:lang w:val="en-US"/>
        </w:rPr>
      </w:pPr>
      <w:r>
        <w:rPr>
          <w:rFonts w:ascii="Arial" w:eastAsia="Times New Roman" w:hAnsi="Arial" w:cs="Arial"/>
          <w:sz w:val="24"/>
          <w:szCs w:val="20"/>
          <w:lang w:val="en-US"/>
        </w:rPr>
        <w:t>January 23, 2018</w:t>
      </w:r>
    </w:p>
    <w:p w:rsidR="00B82D78" w:rsidRPr="00B82D78" w:rsidRDefault="00B82D78" w:rsidP="00B82D78">
      <w:pPr>
        <w:spacing w:after="0" w:line="240" w:lineRule="auto"/>
        <w:rPr>
          <w:rFonts w:ascii="Arial" w:eastAsia="Times New Roman" w:hAnsi="Arial" w:cs="Arial"/>
          <w:sz w:val="24"/>
          <w:szCs w:val="24"/>
          <w:lang w:val="en-US"/>
        </w:rPr>
      </w:pPr>
    </w:p>
    <w:p w:rsidR="00B82D78" w:rsidRPr="00B82D78" w:rsidRDefault="00B82D78" w:rsidP="00B82D78">
      <w:pPr>
        <w:spacing w:after="0" w:line="240" w:lineRule="auto"/>
        <w:rPr>
          <w:rFonts w:ascii="Arial" w:eastAsia="Times New Roman" w:hAnsi="Arial" w:cs="Arial"/>
          <w:sz w:val="24"/>
          <w:szCs w:val="24"/>
          <w:lang w:val="en-US"/>
        </w:rPr>
      </w:pPr>
    </w:p>
    <w:p w:rsidR="00B82D78" w:rsidRPr="0072790C" w:rsidRDefault="00B23A36" w:rsidP="00B82D78">
      <w:pPr>
        <w:spacing w:after="0" w:line="240" w:lineRule="auto"/>
        <w:rPr>
          <w:rFonts w:ascii="Arial" w:eastAsia="Times New Roman" w:hAnsi="Arial" w:cs="Times New Roman"/>
          <w:noProof/>
          <w:sz w:val="24"/>
          <w:szCs w:val="24"/>
          <w:lang w:val="en-US"/>
        </w:rPr>
      </w:pPr>
      <w:r w:rsidRPr="0072790C">
        <w:rPr>
          <w:rFonts w:ascii="Arial" w:eastAsia="Times New Roman" w:hAnsi="Arial" w:cs="Times New Roman"/>
          <w:noProof/>
          <w:sz w:val="24"/>
          <w:szCs w:val="24"/>
          <w:lang w:val="en-US"/>
        </w:rPr>
        <w:t>John Pickernell</w:t>
      </w:r>
    </w:p>
    <w:p w:rsidR="00B82D78" w:rsidRPr="0072790C" w:rsidRDefault="00282A84" w:rsidP="00B82D78">
      <w:pPr>
        <w:spacing w:after="0" w:line="240" w:lineRule="auto"/>
        <w:rPr>
          <w:rFonts w:ascii="Arial" w:eastAsia="Times New Roman" w:hAnsi="Arial" w:cs="Times New Roman"/>
          <w:noProof/>
          <w:sz w:val="24"/>
          <w:szCs w:val="24"/>
          <w:lang w:val="en-US"/>
        </w:rPr>
      </w:pPr>
      <w:r>
        <w:rPr>
          <w:rFonts w:ascii="Arial" w:eastAsia="Times New Roman" w:hAnsi="Arial" w:cs="Times New Roman"/>
          <w:noProof/>
          <w:sz w:val="24"/>
          <w:szCs w:val="24"/>
          <w:lang w:val="en-US"/>
        </w:rPr>
        <w:t>Manager Applications Administration</w:t>
      </w:r>
    </w:p>
    <w:p w:rsidR="00B82D78" w:rsidRPr="0072790C" w:rsidRDefault="00B82D78" w:rsidP="00B82D78">
      <w:pPr>
        <w:spacing w:after="0" w:line="240" w:lineRule="auto"/>
        <w:rPr>
          <w:rFonts w:ascii="Arial" w:eastAsia="Times New Roman" w:hAnsi="Arial" w:cs="Times New Roman"/>
          <w:noProof/>
          <w:sz w:val="24"/>
          <w:szCs w:val="24"/>
          <w:lang w:val="en-US"/>
        </w:rPr>
      </w:pPr>
      <w:r w:rsidRPr="0072790C">
        <w:rPr>
          <w:rFonts w:ascii="Arial" w:eastAsia="Times New Roman" w:hAnsi="Arial" w:cs="Times New Roman"/>
          <w:noProof/>
          <w:sz w:val="24"/>
          <w:szCs w:val="24"/>
          <w:lang w:val="en-US"/>
        </w:rPr>
        <w:t>Ontario Energy Board</w:t>
      </w:r>
    </w:p>
    <w:p w:rsidR="00B82D78" w:rsidRPr="0072790C" w:rsidRDefault="00B82D78" w:rsidP="00B82D78">
      <w:pPr>
        <w:spacing w:after="0" w:line="240" w:lineRule="auto"/>
        <w:rPr>
          <w:rFonts w:ascii="Arial" w:eastAsia="Times New Roman" w:hAnsi="Arial" w:cs="Times New Roman"/>
          <w:noProof/>
          <w:sz w:val="24"/>
          <w:szCs w:val="24"/>
          <w:lang w:val="en-US"/>
        </w:rPr>
      </w:pPr>
      <w:r w:rsidRPr="0072790C">
        <w:rPr>
          <w:rFonts w:ascii="Arial" w:eastAsia="Times New Roman" w:hAnsi="Arial" w:cs="Times New Roman"/>
          <w:noProof/>
          <w:sz w:val="24"/>
          <w:szCs w:val="24"/>
          <w:lang w:val="en-US"/>
        </w:rPr>
        <w:t>2300 Yonge Street, 27</w:t>
      </w:r>
      <w:r w:rsidRPr="0072790C">
        <w:rPr>
          <w:rFonts w:ascii="Arial" w:eastAsia="Times New Roman" w:hAnsi="Arial" w:cs="Times New Roman"/>
          <w:noProof/>
          <w:sz w:val="24"/>
          <w:szCs w:val="24"/>
          <w:vertAlign w:val="superscript"/>
          <w:lang w:val="en-US"/>
        </w:rPr>
        <w:t>th</w:t>
      </w:r>
      <w:r w:rsidRPr="0072790C">
        <w:rPr>
          <w:rFonts w:ascii="Arial" w:eastAsia="Times New Roman" w:hAnsi="Arial" w:cs="Times New Roman"/>
          <w:noProof/>
          <w:sz w:val="24"/>
          <w:szCs w:val="24"/>
          <w:lang w:val="en-US"/>
        </w:rPr>
        <w:t xml:space="preserve"> Floor</w:t>
      </w:r>
    </w:p>
    <w:p w:rsidR="00B82D78" w:rsidRPr="0072790C" w:rsidRDefault="00B82D78" w:rsidP="00B82D78">
      <w:pPr>
        <w:spacing w:after="0" w:line="240" w:lineRule="auto"/>
        <w:rPr>
          <w:rFonts w:ascii="Arial" w:eastAsia="Times New Roman" w:hAnsi="Arial" w:cs="Times New Roman"/>
          <w:noProof/>
          <w:sz w:val="24"/>
          <w:szCs w:val="24"/>
          <w:lang w:val="en-US"/>
        </w:rPr>
      </w:pPr>
      <w:r w:rsidRPr="0072790C">
        <w:rPr>
          <w:rFonts w:ascii="Arial" w:eastAsia="Times New Roman" w:hAnsi="Arial" w:cs="Times New Roman"/>
          <w:noProof/>
          <w:sz w:val="24"/>
          <w:szCs w:val="24"/>
          <w:lang w:val="en-US"/>
        </w:rPr>
        <w:t>Toronto, ON  M4P 1E4</w:t>
      </w:r>
    </w:p>
    <w:p w:rsidR="00B82D78" w:rsidRPr="0072790C" w:rsidRDefault="00B82D78" w:rsidP="00B82D78">
      <w:pPr>
        <w:spacing w:after="0" w:line="240" w:lineRule="auto"/>
        <w:rPr>
          <w:rFonts w:ascii="Arial" w:eastAsia="Times New Roman" w:hAnsi="Arial" w:cs="Arial"/>
          <w:sz w:val="24"/>
          <w:szCs w:val="24"/>
          <w:lang w:val="en-US"/>
        </w:rPr>
      </w:pPr>
    </w:p>
    <w:p w:rsidR="00B82D78" w:rsidRPr="0072790C" w:rsidRDefault="00B23A36" w:rsidP="00B82D78">
      <w:pPr>
        <w:spacing w:after="0" w:line="240" w:lineRule="auto"/>
        <w:rPr>
          <w:rFonts w:ascii="Arial" w:eastAsia="Times New Roman" w:hAnsi="Arial" w:cs="Arial"/>
          <w:sz w:val="24"/>
          <w:szCs w:val="24"/>
          <w:lang w:val="en-US"/>
        </w:rPr>
      </w:pPr>
      <w:r w:rsidRPr="0072790C">
        <w:rPr>
          <w:rFonts w:ascii="Arial" w:eastAsia="Times New Roman" w:hAnsi="Arial" w:cs="Arial"/>
          <w:sz w:val="24"/>
          <w:szCs w:val="24"/>
          <w:lang w:val="en-US"/>
        </w:rPr>
        <w:t>Dear Mr. Pickernell</w:t>
      </w:r>
      <w:r w:rsidR="00B82D78" w:rsidRPr="0072790C">
        <w:rPr>
          <w:rFonts w:ascii="Arial" w:eastAsia="Times New Roman" w:hAnsi="Arial" w:cs="Arial"/>
          <w:sz w:val="24"/>
          <w:szCs w:val="24"/>
          <w:lang w:val="en-US"/>
        </w:rPr>
        <w:t xml:space="preserve">: </w:t>
      </w:r>
    </w:p>
    <w:p w:rsidR="00B82D78" w:rsidRPr="0072790C" w:rsidRDefault="00B82D78" w:rsidP="00B82D78">
      <w:pPr>
        <w:spacing w:after="0" w:line="240" w:lineRule="auto"/>
        <w:rPr>
          <w:rFonts w:ascii="Arial" w:eastAsia="Times New Roman" w:hAnsi="Arial" w:cs="Arial"/>
          <w:sz w:val="24"/>
          <w:szCs w:val="24"/>
          <w:lang w:val="en-US"/>
        </w:rPr>
      </w:pPr>
    </w:p>
    <w:p w:rsidR="00C96AEA" w:rsidRPr="0072790C" w:rsidRDefault="00B82D78" w:rsidP="00C96AEA">
      <w:pPr>
        <w:spacing w:after="0" w:line="240" w:lineRule="auto"/>
        <w:ind w:left="720" w:hanging="720"/>
        <w:rPr>
          <w:rFonts w:ascii="Arial" w:eastAsia="Times New Roman" w:hAnsi="Arial" w:cs="Arial"/>
          <w:b/>
          <w:sz w:val="24"/>
          <w:szCs w:val="24"/>
          <w:lang w:val="en-GB"/>
        </w:rPr>
      </w:pPr>
      <w:r w:rsidRPr="0072790C">
        <w:rPr>
          <w:rFonts w:ascii="Arial" w:eastAsia="Times New Roman" w:hAnsi="Arial" w:cs="Arial"/>
          <w:b/>
          <w:sz w:val="24"/>
          <w:szCs w:val="24"/>
          <w:lang w:val="en-US"/>
        </w:rPr>
        <w:t>Re:</w:t>
      </w:r>
      <w:r w:rsidRPr="0072790C">
        <w:rPr>
          <w:rFonts w:ascii="Arial" w:eastAsia="Times New Roman" w:hAnsi="Arial" w:cs="Arial"/>
          <w:b/>
          <w:sz w:val="24"/>
          <w:szCs w:val="24"/>
          <w:lang w:val="en-US"/>
        </w:rPr>
        <w:tab/>
      </w:r>
      <w:r w:rsidR="00464B1D">
        <w:rPr>
          <w:rFonts w:ascii="Arial" w:eastAsia="Times New Roman" w:hAnsi="Arial" w:cs="Arial"/>
          <w:b/>
          <w:sz w:val="24"/>
          <w:szCs w:val="24"/>
          <w:lang w:val="en-US"/>
        </w:rPr>
        <w:t>Rideau St. Lawrence Distribution</w:t>
      </w:r>
      <w:r w:rsidR="0090032E">
        <w:rPr>
          <w:rFonts w:ascii="Arial" w:eastAsia="Times New Roman" w:hAnsi="Arial" w:cs="Arial"/>
          <w:b/>
          <w:sz w:val="24"/>
          <w:szCs w:val="24"/>
          <w:lang w:val="en-GB"/>
        </w:rPr>
        <w:t xml:space="preserve"> Inc.</w:t>
      </w:r>
    </w:p>
    <w:p w:rsidR="00B82D78" w:rsidRPr="0072790C" w:rsidRDefault="00C96AEA" w:rsidP="00C96AEA">
      <w:pPr>
        <w:spacing w:after="0" w:line="240" w:lineRule="auto"/>
        <w:ind w:left="720" w:hanging="720"/>
        <w:rPr>
          <w:rFonts w:ascii="Arial" w:eastAsia="Times New Roman" w:hAnsi="Arial" w:cs="Arial"/>
          <w:b/>
          <w:sz w:val="24"/>
          <w:szCs w:val="24"/>
          <w:lang w:val="en-US"/>
        </w:rPr>
      </w:pPr>
      <w:r w:rsidRPr="0072790C">
        <w:rPr>
          <w:rFonts w:ascii="Arial" w:eastAsia="Times New Roman" w:hAnsi="Arial" w:cs="Arial"/>
          <w:b/>
          <w:bCs/>
          <w:sz w:val="24"/>
          <w:szCs w:val="24"/>
          <w:lang w:val="en-US"/>
        </w:rPr>
        <w:tab/>
      </w:r>
      <w:r w:rsidR="00B23A36" w:rsidRPr="0072790C">
        <w:rPr>
          <w:rFonts w:ascii="Arial" w:eastAsia="Times New Roman" w:hAnsi="Arial" w:cs="Arial"/>
          <w:b/>
          <w:sz w:val="24"/>
          <w:szCs w:val="24"/>
          <w:lang w:val="en-US"/>
        </w:rPr>
        <w:t>201</w:t>
      </w:r>
      <w:r w:rsidR="00183CC8" w:rsidRPr="0072790C">
        <w:rPr>
          <w:rFonts w:ascii="Arial" w:eastAsia="Times New Roman" w:hAnsi="Arial" w:cs="Arial"/>
          <w:b/>
          <w:sz w:val="24"/>
          <w:szCs w:val="24"/>
          <w:lang w:val="en-US"/>
        </w:rPr>
        <w:t>8</w:t>
      </w:r>
      <w:r w:rsidR="00B82D78" w:rsidRPr="0072790C">
        <w:rPr>
          <w:rFonts w:ascii="Arial" w:eastAsia="Times New Roman" w:hAnsi="Arial" w:cs="Arial"/>
          <w:b/>
          <w:sz w:val="24"/>
          <w:szCs w:val="24"/>
          <w:lang w:val="en-US"/>
        </w:rPr>
        <w:t xml:space="preserve"> IRM Distribution Rate Application</w:t>
      </w:r>
      <w:r w:rsidR="00B50EB2" w:rsidRPr="0072790C">
        <w:rPr>
          <w:rFonts w:ascii="Arial" w:eastAsia="Times New Roman" w:hAnsi="Arial" w:cs="Arial"/>
          <w:b/>
          <w:sz w:val="24"/>
          <w:szCs w:val="24"/>
          <w:lang w:val="en-US"/>
        </w:rPr>
        <w:t xml:space="preserve"> </w:t>
      </w:r>
    </w:p>
    <w:p w:rsidR="00B82D78" w:rsidRPr="0072790C" w:rsidRDefault="00E429DA" w:rsidP="00B82D78">
      <w:pPr>
        <w:spacing w:after="0" w:line="240" w:lineRule="auto"/>
        <w:ind w:firstLine="720"/>
        <w:rPr>
          <w:rFonts w:ascii="Arial" w:eastAsia="Times New Roman" w:hAnsi="Arial" w:cs="Arial"/>
          <w:b/>
          <w:sz w:val="24"/>
          <w:szCs w:val="24"/>
          <w:lang w:val="en-US"/>
        </w:rPr>
      </w:pPr>
      <w:r w:rsidRPr="0072790C">
        <w:rPr>
          <w:rFonts w:ascii="Arial" w:eastAsia="Times New Roman" w:hAnsi="Arial" w:cs="Arial"/>
          <w:b/>
          <w:sz w:val="24"/>
          <w:szCs w:val="24"/>
          <w:lang w:val="en-US"/>
        </w:rPr>
        <w:t>OEB</w:t>
      </w:r>
      <w:r w:rsidR="00B82D78" w:rsidRPr="0072790C">
        <w:rPr>
          <w:rFonts w:ascii="Arial" w:eastAsia="Times New Roman" w:hAnsi="Arial" w:cs="Arial"/>
          <w:b/>
          <w:sz w:val="24"/>
          <w:szCs w:val="24"/>
          <w:lang w:val="en-US"/>
        </w:rPr>
        <w:t xml:space="preserve"> Staff Interrogatories</w:t>
      </w:r>
    </w:p>
    <w:p w:rsidR="00B82D78" w:rsidRPr="0072790C" w:rsidRDefault="00E429DA" w:rsidP="00B82D78">
      <w:pPr>
        <w:spacing w:after="0" w:line="240" w:lineRule="auto"/>
        <w:ind w:firstLine="720"/>
        <w:rPr>
          <w:rFonts w:ascii="Arial" w:eastAsia="Times New Roman" w:hAnsi="Arial" w:cs="Arial"/>
          <w:b/>
          <w:noProof/>
          <w:sz w:val="24"/>
          <w:szCs w:val="24"/>
          <w:lang w:val="en-US"/>
        </w:rPr>
      </w:pPr>
      <w:r w:rsidRPr="0072790C">
        <w:rPr>
          <w:rFonts w:ascii="Arial" w:eastAsia="Times New Roman" w:hAnsi="Arial" w:cs="Arial"/>
          <w:b/>
          <w:sz w:val="24"/>
          <w:szCs w:val="24"/>
          <w:lang w:val="en-US"/>
        </w:rPr>
        <w:t>OEB</w:t>
      </w:r>
      <w:r w:rsidR="00B82D78" w:rsidRPr="0072790C">
        <w:rPr>
          <w:rFonts w:ascii="Arial" w:eastAsia="Times New Roman" w:hAnsi="Arial" w:cs="Arial"/>
          <w:b/>
          <w:sz w:val="24"/>
          <w:szCs w:val="24"/>
          <w:lang w:val="en-US"/>
        </w:rPr>
        <w:t xml:space="preserve"> File No. </w:t>
      </w:r>
      <w:r w:rsidR="006A5D23" w:rsidRPr="0072790C">
        <w:rPr>
          <w:rFonts w:ascii="Arial" w:eastAsia="Times New Roman" w:hAnsi="Arial" w:cs="Arial"/>
          <w:b/>
          <w:noProof/>
          <w:sz w:val="24"/>
          <w:szCs w:val="24"/>
          <w:lang w:val="en-US"/>
        </w:rPr>
        <w:t>EB-201</w:t>
      </w:r>
      <w:r w:rsidR="00183CC8" w:rsidRPr="0072790C">
        <w:rPr>
          <w:rFonts w:ascii="Arial" w:eastAsia="Times New Roman" w:hAnsi="Arial" w:cs="Arial"/>
          <w:b/>
          <w:noProof/>
          <w:sz w:val="24"/>
          <w:szCs w:val="24"/>
          <w:lang w:val="en-US"/>
        </w:rPr>
        <w:t>7</w:t>
      </w:r>
      <w:r w:rsidR="009D5F4B" w:rsidRPr="0072790C">
        <w:rPr>
          <w:rFonts w:ascii="Arial" w:eastAsia="Times New Roman" w:hAnsi="Arial" w:cs="Arial"/>
          <w:b/>
          <w:noProof/>
          <w:sz w:val="24"/>
          <w:szCs w:val="24"/>
          <w:lang w:val="en-US"/>
        </w:rPr>
        <w:t>-</w:t>
      </w:r>
      <w:r w:rsidR="00464B1D">
        <w:rPr>
          <w:rFonts w:ascii="Arial" w:eastAsia="Times New Roman" w:hAnsi="Arial" w:cs="Arial"/>
          <w:b/>
          <w:noProof/>
          <w:sz w:val="24"/>
          <w:szCs w:val="24"/>
          <w:lang w:val="en-US"/>
        </w:rPr>
        <w:t>0265</w:t>
      </w:r>
    </w:p>
    <w:p w:rsidR="00FC4CF8" w:rsidRPr="0072790C" w:rsidRDefault="00FC4CF8" w:rsidP="00B82D78">
      <w:pPr>
        <w:spacing w:after="0" w:line="240" w:lineRule="auto"/>
        <w:ind w:firstLine="720"/>
        <w:rPr>
          <w:rFonts w:ascii="Arial" w:eastAsia="Times New Roman" w:hAnsi="Arial" w:cs="Arial"/>
          <w:sz w:val="24"/>
          <w:szCs w:val="24"/>
          <w:lang w:val="en-US"/>
        </w:rPr>
      </w:pPr>
    </w:p>
    <w:p w:rsidR="00B82D78" w:rsidRPr="0072790C" w:rsidRDefault="00B82D78" w:rsidP="00B82D78">
      <w:pPr>
        <w:spacing w:after="0" w:line="240" w:lineRule="auto"/>
        <w:rPr>
          <w:rFonts w:ascii="Arial" w:eastAsia="Times New Roman" w:hAnsi="Arial" w:cs="Arial"/>
          <w:sz w:val="24"/>
          <w:szCs w:val="24"/>
          <w:lang w:val="en-US"/>
        </w:rPr>
      </w:pPr>
      <w:r w:rsidRPr="0072790C">
        <w:rPr>
          <w:rFonts w:ascii="Arial" w:eastAsia="Times New Roman" w:hAnsi="Arial" w:cs="Arial"/>
          <w:sz w:val="24"/>
          <w:szCs w:val="24"/>
          <w:lang w:val="en-US"/>
        </w:rPr>
        <w:t xml:space="preserve">In accordance with Procedural Order #1, please find </w:t>
      </w:r>
      <w:r w:rsidR="009D5F4B" w:rsidRPr="0072790C">
        <w:rPr>
          <w:rFonts w:ascii="Arial" w:eastAsia="Times New Roman" w:hAnsi="Arial" w:cs="Arial"/>
          <w:sz w:val="24"/>
          <w:szCs w:val="24"/>
          <w:lang w:val="en-US"/>
        </w:rPr>
        <w:t xml:space="preserve">attached OEB </w:t>
      </w:r>
      <w:r w:rsidRPr="0072790C">
        <w:rPr>
          <w:rFonts w:ascii="Arial" w:eastAsia="Times New Roman" w:hAnsi="Arial" w:cs="Arial"/>
          <w:sz w:val="24"/>
          <w:szCs w:val="24"/>
          <w:lang w:val="en-US"/>
        </w:rPr>
        <w:t xml:space="preserve">Staff interrogatories in the above proceeding.  </w:t>
      </w:r>
      <w:r w:rsidR="00373FAD" w:rsidRPr="0072790C">
        <w:rPr>
          <w:rFonts w:ascii="Arial" w:eastAsia="Times New Roman" w:hAnsi="Arial" w:cs="Arial"/>
          <w:sz w:val="24"/>
          <w:szCs w:val="24"/>
          <w:lang w:val="en-US"/>
        </w:rPr>
        <w:t xml:space="preserve">The applicant </w:t>
      </w:r>
      <w:proofErr w:type="gramStart"/>
      <w:r w:rsidR="0083373C">
        <w:rPr>
          <w:rFonts w:ascii="Arial" w:eastAsia="Times New Roman" w:hAnsi="Arial" w:cs="Arial"/>
          <w:sz w:val="24"/>
          <w:szCs w:val="24"/>
          <w:lang w:val="en-US"/>
        </w:rPr>
        <w:t>has</w:t>
      </w:r>
      <w:r w:rsidR="00373FAD" w:rsidRPr="0072790C">
        <w:rPr>
          <w:rFonts w:ascii="Arial" w:eastAsia="Times New Roman" w:hAnsi="Arial" w:cs="Arial"/>
          <w:sz w:val="24"/>
          <w:szCs w:val="24"/>
          <w:lang w:val="en-US"/>
        </w:rPr>
        <w:t xml:space="preserve"> been copied</w:t>
      </w:r>
      <w:proofErr w:type="gramEnd"/>
      <w:r w:rsidR="00373FAD" w:rsidRPr="0072790C">
        <w:rPr>
          <w:rFonts w:ascii="Arial" w:eastAsia="Times New Roman" w:hAnsi="Arial" w:cs="Arial"/>
          <w:sz w:val="24"/>
          <w:szCs w:val="24"/>
          <w:lang w:val="en-US"/>
        </w:rPr>
        <w:t xml:space="preserve"> on this f</w:t>
      </w:r>
      <w:r w:rsidR="009D5F4B" w:rsidRPr="0072790C">
        <w:rPr>
          <w:rFonts w:ascii="Arial" w:eastAsia="Times New Roman" w:hAnsi="Arial" w:cs="Arial"/>
          <w:sz w:val="24"/>
          <w:szCs w:val="24"/>
          <w:lang w:val="en-US"/>
        </w:rPr>
        <w:t>ili</w:t>
      </w:r>
      <w:r w:rsidR="00373FAD" w:rsidRPr="0072790C">
        <w:rPr>
          <w:rFonts w:ascii="Arial" w:eastAsia="Times New Roman" w:hAnsi="Arial" w:cs="Arial"/>
          <w:sz w:val="24"/>
          <w:szCs w:val="24"/>
          <w:lang w:val="en-US"/>
        </w:rPr>
        <w:t>ng</w:t>
      </w:r>
      <w:r w:rsidRPr="0072790C">
        <w:rPr>
          <w:rFonts w:ascii="Arial" w:eastAsia="Times New Roman" w:hAnsi="Arial" w:cs="Arial"/>
          <w:sz w:val="24"/>
          <w:szCs w:val="24"/>
          <w:lang w:val="en-US"/>
        </w:rPr>
        <w:t xml:space="preserve">. </w:t>
      </w:r>
    </w:p>
    <w:p w:rsidR="00B82D78" w:rsidRPr="0072790C" w:rsidRDefault="00B82D78" w:rsidP="00B82D78">
      <w:pPr>
        <w:spacing w:after="0" w:line="240" w:lineRule="auto"/>
        <w:rPr>
          <w:rFonts w:ascii="Arial" w:eastAsia="Times New Roman" w:hAnsi="Arial" w:cs="Arial"/>
          <w:sz w:val="24"/>
          <w:szCs w:val="24"/>
          <w:lang w:val="en-US"/>
        </w:rPr>
      </w:pPr>
    </w:p>
    <w:p w:rsidR="00B82D78" w:rsidRPr="0072790C" w:rsidRDefault="00464B1D" w:rsidP="00B82D78">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Rideau St. Lawrence Distribution</w:t>
      </w:r>
      <w:r w:rsidR="00FC32C3">
        <w:rPr>
          <w:rFonts w:ascii="Arial" w:eastAsia="Times New Roman" w:hAnsi="Arial" w:cs="Arial"/>
          <w:sz w:val="24"/>
          <w:szCs w:val="24"/>
          <w:lang w:val="en-US"/>
        </w:rPr>
        <w:t>’s</w:t>
      </w:r>
      <w:r w:rsidR="00E429DA" w:rsidRPr="0072790C">
        <w:rPr>
          <w:rFonts w:ascii="Arial" w:eastAsia="Times New Roman" w:hAnsi="Arial" w:cs="Arial"/>
          <w:sz w:val="24"/>
          <w:szCs w:val="24"/>
          <w:lang w:val="en-US"/>
        </w:rPr>
        <w:t xml:space="preserve"> </w:t>
      </w:r>
      <w:r w:rsidR="00B82D78" w:rsidRPr="0072790C">
        <w:rPr>
          <w:rFonts w:ascii="Arial" w:eastAsia="Times New Roman" w:hAnsi="Arial" w:cs="Arial"/>
          <w:sz w:val="24"/>
          <w:szCs w:val="24"/>
          <w:lang w:val="en-US"/>
        </w:rPr>
        <w:t xml:space="preserve">responses to interrogatories </w:t>
      </w:r>
      <w:r w:rsidR="00B82D78" w:rsidRPr="00282A84">
        <w:rPr>
          <w:rFonts w:ascii="Arial" w:eastAsia="Times New Roman" w:hAnsi="Arial" w:cs="Arial"/>
          <w:sz w:val="24"/>
          <w:szCs w:val="24"/>
          <w:lang w:val="en-US"/>
        </w:rPr>
        <w:t xml:space="preserve">are due by </w:t>
      </w:r>
      <w:r>
        <w:rPr>
          <w:rFonts w:ascii="Arial" w:eastAsia="Times New Roman" w:hAnsi="Arial" w:cs="Arial"/>
          <w:sz w:val="24"/>
          <w:szCs w:val="24"/>
          <w:lang w:val="en-US"/>
        </w:rPr>
        <w:t>January 30</w:t>
      </w:r>
      <w:r w:rsidR="00B23A36" w:rsidRPr="00282A84">
        <w:rPr>
          <w:rFonts w:ascii="Arial" w:eastAsia="Times New Roman" w:hAnsi="Arial" w:cs="Arial"/>
          <w:noProof/>
          <w:sz w:val="24"/>
          <w:szCs w:val="24"/>
          <w:lang w:val="en-US"/>
        </w:rPr>
        <w:t>, 201</w:t>
      </w:r>
      <w:r>
        <w:rPr>
          <w:rFonts w:ascii="Arial" w:eastAsia="Times New Roman" w:hAnsi="Arial" w:cs="Arial"/>
          <w:noProof/>
          <w:sz w:val="24"/>
          <w:szCs w:val="24"/>
          <w:lang w:val="en-US"/>
        </w:rPr>
        <w:t>8</w:t>
      </w:r>
      <w:r w:rsidR="00B82D78" w:rsidRPr="00282A84">
        <w:rPr>
          <w:rFonts w:ascii="Arial" w:eastAsia="Times New Roman" w:hAnsi="Arial" w:cs="Arial"/>
          <w:noProof/>
          <w:sz w:val="24"/>
          <w:szCs w:val="24"/>
          <w:lang w:val="en-US"/>
        </w:rPr>
        <w:t>.</w:t>
      </w:r>
    </w:p>
    <w:p w:rsidR="00B82D78" w:rsidRPr="0072790C" w:rsidRDefault="00B82D78" w:rsidP="00B82D78">
      <w:pPr>
        <w:spacing w:after="0" w:line="240" w:lineRule="auto"/>
        <w:rPr>
          <w:rFonts w:ascii="Arial" w:eastAsia="Times New Roman" w:hAnsi="Arial" w:cs="Arial"/>
          <w:sz w:val="24"/>
          <w:szCs w:val="24"/>
          <w:lang w:val="en-US"/>
        </w:rPr>
      </w:pPr>
    </w:p>
    <w:p w:rsidR="00B82D78" w:rsidRPr="0072790C" w:rsidRDefault="00B82D78" w:rsidP="00B82D78">
      <w:pPr>
        <w:spacing w:after="0" w:line="240" w:lineRule="auto"/>
        <w:rPr>
          <w:rFonts w:ascii="Arial" w:eastAsia="Times New Roman" w:hAnsi="Arial" w:cs="Arial"/>
          <w:sz w:val="24"/>
          <w:szCs w:val="24"/>
          <w:lang w:val="en-US"/>
        </w:rPr>
      </w:pPr>
      <w:r w:rsidRPr="0072790C">
        <w:rPr>
          <w:rFonts w:ascii="Arial" w:eastAsia="Times New Roman" w:hAnsi="Arial" w:cs="Arial"/>
          <w:sz w:val="24"/>
          <w:szCs w:val="24"/>
          <w:lang w:val="en-US"/>
        </w:rPr>
        <w:t>Yours truly,</w:t>
      </w:r>
    </w:p>
    <w:p w:rsidR="00B82D78" w:rsidRPr="0072790C" w:rsidRDefault="00B82D78" w:rsidP="00B82D78">
      <w:pPr>
        <w:spacing w:after="0" w:line="240" w:lineRule="auto"/>
        <w:rPr>
          <w:rFonts w:ascii="Arial" w:eastAsia="Times New Roman" w:hAnsi="Arial" w:cs="Arial"/>
          <w:sz w:val="24"/>
          <w:szCs w:val="24"/>
          <w:lang w:val="en-US"/>
        </w:rPr>
      </w:pPr>
    </w:p>
    <w:p w:rsidR="00B82D78" w:rsidRPr="0072790C" w:rsidRDefault="00B82D78" w:rsidP="00B82D78">
      <w:pPr>
        <w:spacing w:after="0" w:line="240" w:lineRule="auto"/>
        <w:rPr>
          <w:rFonts w:ascii="Arial" w:eastAsia="Times New Roman" w:hAnsi="Arial" w:cs="Arial"/>
          <w:i/>
          <w:lang w:val="en-US"/>
        </w:rPr>
      </w:pPr>
      <w:r w:rsidRPr="0072790C">
        <w:rPr>
          <w:rFonts w:ascii="Arial" w:eastAsia="Times New Roman" w:hAnsi="Arial" w:cs="Arial"/>
          <w:i/>
          <w:lang w:val="en-US"/>
        </w:rPr>
        <w:t>Original Signed By</w:t>
      </w:r>
    </w:p>
    <w:p w:rsidR="00B82D78" w:rsidRPr="0072790C" w:rsidRDefault="00B82D78" w:rsidP="00B82D78">
      <w:pPr>
        <w:spacing w:after="0" w:line="240" w:lineRule="auto"/>
        <w:rPr>
          <w:rFonts w:ascii="Arial" w:eastAsia="Times New Roman" w:hAnsi="Arial" w:cs="Arial"/>
          <w:sz w:val="24"/>
          <w:szCs w:val="24"/>
          <w:lang w:val="en-US"/>
        </w:rPr>
      </w:pPr>
    </w:p>
    <w:p w:rsidR="00B82D78" w:rsidRPr="0072790C" w:rsidRDefault="0090032E" w:rsidP="00B82D78">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Christiane Wong</w:t>
      </w:r>
    </w:p>
    <w:p w:rsidR="00373FAD" w:rsidRPr="0072790C" w:rsidRDefault="00054071" w:rsidP="00B82D78">
      <w:pPr>
        <w:spacing w:after="0" w:line="240" w:lineRule="auto"/>
        <w:rPr>
          <w:rFonts w:ascii="Arial" w:eastAsia="Times New Roman" w:hAnsi="Arial" w:cs="Arial"/>
          <w:sz w:val="24"/>
          <w:szCs w:val="24"/>
          <w:lang w:val="en-US"/>
        </w:rPr>
      </w:pPr>
      <w:r w:rsidRPr="0072790C">
        <w:rPr>
          <w:rFonts w:ascii="Arial" w:eastAsia="Times New Roman" w:hAnsi="Arial" w:cs="Arial"/>
          <w:sz w:val="24"/>
          <w:szCs w:val="24"/>
          <w:lang w:val="en-US"/>
        </w:rPr>
        <w:t>Incentive Rates &amp;</w:t>
      </w:r>
      <w:r w:rsidR="00373FAD" w:rsidRPr="0072790C">
        <w:rPr>
          <w:rFonts w:ascii="Arial" w:eastAsia="Times New Roman" w:hAnsi="Arial" w:cs="Arial"/>
          <w:sz w:val="24"/>
          <w:szCs w:val="24"/>
          <w:lang w:val="en-US"/>
        </w:rPr>
        <w:t xml:space="preserve"> Accounting</w:t>
      </w:r>
    </w:p>
    <w:p w:rsidR="00B82D78" w:rsidRPr="0072790C" w:rsidRDefault="00B82D78" w:rsidP="00B82D78">
      <w:pPr>
        <w:spacing w:after="0" w:line="240" w:lineRule="auto"/>
        <w:rPr>
          <w:rFonts w:ascii="Arial" w:eastAsia="Times New Roman" w:hAnsi="Arial" w:cs="Arial"/>
          <w:sz w:val="24"/>
          <w:szCs w:val="24"/>
          <w:lang w:val="en-US"/>
        </w:rPr>
      </w:pPr>
    </w:p>
    <w:p w:rsidR="00B82D78" w:rsidRPr="00B82D78" w:rsidRDefault="00B82D78" w:rsidP="00B82D78">
      <w:pPr>
        <w:spacing w:after="0" w:line="240" w:lineRule="auto"/>
        <w:rPr>
          <w:rFonts w:ascii="Arial" w:eastAsia="Times New Roman" w:hAnsi="Arial" w:cs="Arial"/>
          <w:sz w:val="24"/>
          <w:szCs w:val="24"/>
          <w:lang w:val="en-US"/>
        </w:rPr>
      </w:pPr>
      <w:r w:rsidRPr="0072790C">
        <w:rPr>
          <w:rFonts w:ascii="Arial" w:eastAsia="Times New Roman" w:hAnsi="Arial" w:cs="Arial"/>
          <w:sz w:val="24"/>
          <w:szCs w:val="24"/>
          <w:lang w:val="en-US"/>
        </w:rPr>
        <w:t>Encl.</w:t>
      </w:r>
    </w:p>
    <w:p w:rsidR="00B82D78" w:rsidRDefault="00B82D78" w:rsidP="00B82D78">
      <w:pPr>
        <w:pStyle w:val="Default"/>
        <w:rPr>
          <w:rFonts w:ascii="Arial" w:hAnsi="Arial" w:cs="Arial"/>
          <w:sz w:val="22"/>
          <w:szCs w:val="22"/>
        </w:rPr>
      </w:pPr>
    </w:p>
    <w:p w:rsidR="00B82D78" w:rsidRDefault="00B82D78" w:rsidP="00B82D78">
      <w:pPr>
        <w:pStyle w:val="Default"/>
        <w:rPr>
          <w:rFonts w:ascii="Arial" w:hAnsi="Arial" w:cs="Arial"/>
          <w:sz w:val="22"/>
          <w:szCs w:val="22"/>
        </w:rPr>
      </w:pPr>
    </w:p>
    <w:p w:rsidR="00B82D78" w:rsidRDefault="00B82D78" w:rsidP="00B82D78">
      <w:pPr>
        <w:pStyle w:val="Default"/>
        <w:rPr>
          <w:rFonts w:ascii="Arial" w:hAnsi="Arial" w:cs="Arial"/>
          <w:sz w:val="22"/>
          <w:szCs w:val="22"/>
        </w:rPr>
      </w:pPr>
    </w:p>
    <w:p w:rsidR="00B82D78" w:rsidRDefault="00B82D78" w:rsidP="00B82D78">
      <w:pPr>
        <w:pStyle w:val="Default"/>
        <w:rPr>
          <w:rFonts w:ascii="Arial" w:hAnsi="Arial" w:cs="Arial"/>
          <w:sz w:val="22"/>
          <w:szCs w:val="22"/>
        </w:rPr>
      </w:pPr>
    </w:p>
    <w:p w:rsidR="00B82D78" w:rsidRDefault="00B82D78" w:rsidP="00B82D78">
      <w:pPr>
        <w:pStyle w:val="Default"/>
        <w:rPr>
          <w:rFonts w:ascii="Arial" w:hAnsi="Arial" w:cs="Arial"/>
          <w:sz w:val="22"/>
          <w:szCs w:val="22"/>
        </w:rPr>
      </w:pPr>
    </w:p>
    <w:p w:rsidR="00B82D78" w:rsidRDefault="00B82D78" w:rsidP="00B82D78">
      <w:pPr>
        <w:pStyle w:val="Default"/>
        <w:rPr>
          <w:rFonts w:ascii="Arial" w:hAnsi="Arial" w:cs="Arial"/>
          <w:sz w:val="22"/>
          <w:szCs w:val="22"/>
        </w:rPr>
      </w:pPr>
    </w:p>
    <w:p w:rsidR="00B82D78" w:rsidRDefault="00B82D78" w:rsidP="00B82D78">
      <w:pPr>
        <w:pStyle w:val="Default"/>
        <w:rPr>
          <w:rFonts w:ascii="Arial" w:hAnsi="Arial" w:cs="Arial"/>
          <w:sz w:val="22"/>
          <w:szCs w:val="22"/>
        </w:rPr>
      </w:pPr>
    </w:p>
    <w:p w:rsidR="00B82D78" w:rsidRDefault="00B82D78" w:rsidP="00B82D78">
      <w:pPr>
        <w:pStyle w:val="Default"/>
        <w:rPr>
          <w:rFonts w:ascii="Arial" w:hAnsi="Arial" w:cs="Arial"/>
          <w:sz w:val="22"/>
          <w:szCs w:val="22"/>
        </w:rPr>
      </w:pPr>
    </w:p>
    <w:p w:rsidR="00A07077" w:rsidRDefault="00A07077" w:rsidP="00A07077">
      <w:pPr>
        <w:pStyle w:val="Default"/>
        <w:rPr>
          <w:rFonts w:ascii="Arial" w:hAnsi="Arial" w:cs="Arial"/>
          <w:sz w:val="22"/>
          <w:szCs w:val="22"/>
        </w:rPr>
      </w:pPr>
    </w:p>
    <w:p w:rsidR="00A07077" w:rsidRPr="0072790C" w:rsidRDefault="00464B1D" w:rsidP="00A07077">
      <w:pPr>
        <w:pStyle w:val="Default"/>
        <w:jc w:val="center"/>
        <w:rPr>
          <w:rFonts w:ascii="Arial" w:hAnsi="Arial" w:cs="Arial"/>
          <w:sz w:val="28"/>
          <w:szCs w:val="28"/>
        </w:rPr>
      </w:pPr>
      <w:r>
        <w:rPr>
          <w:rFonts w:ascii="Arial" w:hAnsi="Arial" w:cs="Arial"/>
          <w:b/>
          <w:bCs/>
          <w:sz w:val="28"/>
          <w:szCs w:val="28"/>
        </w:rPr>
        <w:t>Rideau St. Lawrence Distribution</w:t>
      </w:r>
      <w:r w:rsidR="00971AD3">
        <w:rPr>
          <w:rFonts w:ascii="Arial" w:hAnsi="Arial" w:cs="Arial"/>
          <w:b/>
          <w:bCs/>
          <w:sz w:val="28"/>
          <w:szCs w:val="28"/>
        </w:rPr>
        <w:t xml:space="preserve"> Inc.</w:t>
      </w:r>
      <w:r w:rsidR="00E429DA" w:rsidRPr="0072790C">
        <w:rPr>
          <w:rFonts w:ascii="Arial" w:hAnsi="Arial" w:cs="Arial"/>
          <w:b/>
          <w:bCs/>
          <w:sz w:val="28"/>
          <w:szCs w:val="28"/>
        </w:rPr>
        <w:t xml:space="preserve"> </w:t>
      </w:r>
      <w:r w:rsidR="003721A8">
        <w:rPr>
          <w:rFonts w:ascii="Arial" w:hAnsi="Arial" w:cs="Arial"/>
          <w:b/>
          <w:bCs/>
          <w:sz w:val="28"/>
          <w:szCs w:val="28"/>
        </w:rPr>
        <w:t>(</w:t>
      </w:r>
      <w:r>
        <w:rPr>
          <w:rFonts w:ascii="Arial" w:hAnsi="Arial" w:cs="Arial"/>
          <w:b/>
          <w:bCs/>
          <w:sz w:val="28"/>
          <w:szCs w:val="28"/>
        </w:rPr>
        <w:t>Rideau St. Lawrence Distribution</w:t>
      </w:r>
      <w:r w:rsidR="003721A8">
        <w:rPr>
          <w:rFonts w:ascii="Arial" w:hAnsi="Arial" w:cs="Arial"/>
          <w:b/>
          <w:bCs/>
          <w:sz w:val="28"/>
          <w:szCs w:val="28"/>
        </w:rPr>
        <w:t>)</w:t>
      </w:r>
      <w:r w:rsidR="0052560F" w:rsidRPr="0072790C">
        <w:rPr>
          <w:rFonts w:ascii="Arial" w:hAnsi="Arial" w:cs="Arial"/>
          <w:b/>
          <w:bCs/>
          <w:sz w:val="28"/>
          <w:szCs w:val="28"/>
        </w:rPr>
        <w:t xml:space="preserve"> </w:t>
      </w:r>
    </w:p>
    <w:p w:rsidR="00A07077" w:rsidRDefault="00090160" w:rsidP="00A07077">
      <w:pPr>
        <w:pStyle w:val="Default"/>
        <w:jc w:val="center"/>
        <w:rPr>
          <w:rFonts w:ascii="Arial" w:hAnsi="Arial" w:cs="Arial"/>
          <w:b/>
          <w:bCs/>
          <w:sz w:val="28"/>
          <w:szCs w:val="28"/>
        </w:rPr>
      </w:pPr>
      <w:r w:rsidRPr="0072790C">
        <w:rPr>
          <w:rFonts w:ascii="Arial" w:hAnsi="Arial" w:cs="Arial"/>
          <w:b/>
          <w:bCs/>
          <w:sz w:val="28"/>
          <w:szCs w:val="28"/>
        </w:rPr>
        <w:t>EB-201</w:t>
      </w:r>
      <w:r w:rsidR="00183CC8" w:rsidRPr="0072790C">
        <w:rPr>
          <w:rFonts w:ascii="Arial" w:hAnsi="Arial" w:cs="Arial"/>
          <w:b/>
          <w:bCs/>
          <w:sz w:val="28"/>
          <w:szCs w:val="28"/>
        </w:rPr>
        <w:t>7</w:t>
      </w:r>
      <w:r w:rsidR="00B069AA" w:rsidRPr="0072790C">
        <w:rPr>
          <w:rFonts w:ascii="Arial" w:hAnsi="Arial" w:cs="Arial"/>
          <w:b/>
          <w:bCs/>
          <w:sz w:val="28"/>
          <w:szCs w:val="28"/>
        </w:rPr>
        <w:t>-0</w:t>
      </w:r>
      <w:r w:rsidR="00464B1D">
        <w:rPr>
          <w:rFonts w:ascii="Arial" w:hAnsi="Arial" w:cs="Arial"/>
          <w:b/>
          <w:bCs/>
          <w:sz w:val="28"/>
          <w:szCs w:val="28"/>
        </w:rPr>
        <w:t>265</w:t>
      </w:r>
    </w:p>
    <w:p w:rsidR="00A07077" w:rsidRDefault="00A07077" w:rsidP="00A07077">
      <w:pPr>
        <w:rPr>
          <w:rFonts w:ascii="Arial" w:hAnsi="Arial" w:cs="Arial"/>
          <w:b/>
          <w:bCs/>
          <w:sz w:val="28"/>
          <w:szCs w:val="28"/>
        </w:rPr>
      </w:pP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8E6045" w:rsidRDefault="008E6045" w:rsidP="003721A8">
      <w:pPr>
        <w:spacing w:after="0"/>
        <w:rPr>
          <w:rFonts w:ascii="Arial" w:hAnsi="Arial" w:cs="Arial"/>
          <w:b/>
          <w:sz w:val="24"/>
          <w:szCs w:val="24"/>
        </w:rPr>
      </w:pPr>
      <w:r w:rsidRPr="002D056D">
        <w:rPr>
          <w:rFonts w:ascii="Arial" w:hAnsi="Arial" w:cs="Arial"/>
          <w:b/>
          <w:sz w:val="24"/>
          <w:szCs w:val="24"/>
        </w:rPr>
        <w:t>Staff IR-1</w:t>
      </w: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 xml:space="preserve">Ref: Cell C53 from Tab 3. Continuity Schedule </w:t>
      </w:r>
      <w:proofErr w:type="gramStart"/>
      <w:r w:rsidRPr="00725069">
        <w:rPr>
          <w:rFonts w:ascii="Arial" w:hAnsi="Arial" w:cs="Arial"/>
          <w:b/>
          <w:sz w:val="24"/>
          <w:szCs w:val="24"/>
        </w:rPr>
        <w:t>has been reproduced</w:t>
      </w:r>
      <w:proofErr w:type="gramEnd"/>
      <w:r w:rsidRPr="00725069">
        <w:rPr>
          <w:rFonts w:ascii="Arial" w:hAnsi="Arial" w:cs="Arial"/>
          <w:b/>
          <w:sz w:val="24"/>
          <w:szCs w:val="24"/>
        </w:rPr>
        <w:t xml:space="preserve"> below.</w:t>
      </w:r>
    </w:p>
    <w:p w:rsidR="00725069" w:rsidRPr="00725069" w:rsidRDefault="00725069" w:rsidP="00725069">
      <w:pPr>
        <w:spacing w:after="0" w:line="240" w:lineRule="auto"/>
        <w:rPr>
          <w:rFonts w:ascii="Arial" w:eastAsia="Times New Roman" w:hAnsi="Arial" w:cs="Arial"/>
          <w:sz w:val="18"/>
          <w:szCs w:val="18"/>
          <w:lang w:val="en-US"/>
        </w:rPr>
      </w:pPr>
    </w:p>
    <w:p w:rsidR="00725069" w:rsidRPr="00725069" w:rsidRDefault="00725069" w:rsidP="00725069">
      <w:pPr>
        <w:autoSpaceDE w:val="0"/>
        <w:autoSpaceDN w:val="0"/>
        <w:adjustRightInd w:val="0"/>
        <w:spacing w:after="0" w:line="240" w:lineRule="auto"/>
        <w:rPr>
          <w:rFonts w:ascii="Arial" w:hAnsi="Arial" w:cs="Arial"/>
          <w:color w:val="000000"/>
          <w:sz w:val="24"/>
          <w:szCs w:val="24"/>
        </w:rPr>
      </w:pPr>
      <w:r w:rsidRPr="00725069">
        <w:rPr>
          <w:rFonts w:ascii="Arial" w:hAnsi="Arial" w:cs="Arial"/>
          <w:color w:val="000000"/>
          <w:sz w:val="24"/>
          <w:szCs w:val="24"/>
        </w:rPr>
        <w:t xml:space="preserve">Per Appendix A of the </w:t>
      </w:r>
      <w:r w:rsidRPr="00725069">
        <w:rPr>
          <w:rFonts w:ascii="Arial" w:hAnsi="Arial" w:cs="Arial"/>
          <w:i/>
          <w:color w:val="000000"/>
          <w:sz w:val="24"/>
          <w:szCs w:val="24"/>
        </w:rPr>
        <w:t>Chapter 3 Filing Requirements for Electricity Distribution Rate Applications for 2018 Rate Applications,</w:t>
      </w:r>
      <w:r w:rsidRPr="00725069">
        <w:rPr>
          <w:rFonts w:ascii="Arial" w:hAnsi="Arial" w:cs="Arial"/>
          <w:color w:val="000000"/>
          <w:sz w:val="24"/>
          <w:szCs w:val="24"/>
        </w:rPr>
        <w:t xml:space="preserve"> “Any vintage Account 1595 Sub-Account is to be disposed only once, on a final basis. No further dispositions of these accounts are expected thereafter unless justified by the distributor”. </w:t>
      </w:r>
    </w:p>
    <w:p w:rsidR="00725069" w:rsidRPr="00725069" w:rsidRDefault="00725069" w:rsidP="00725069">
      <w:pPr>
        <w:autoSpaceDE w:val="0"/>
        <w:autoSpaceDN w:val="0"/>
        <w:adjustRightInd w:val="0"/>
        <w:spacing w:after="0" w:line="240" w:lineRule="auto"/>
        <w:rPr>
          <w:rFonts w:ascii="Arial" w:hAnsi="Arial" w:cs="Arial"/>
          <w:color w:val="000000"/>
          <w:sz w:val="24"/>
          <w:szCs w:val="24"/>
        </w:rPr>
      </w:pPr>
    </w:p>
    <w:p w:rsidR="00725069" w:rsidRPr="00725069" w:rsidRDefault="00725069" w:rsidP="00725069">
      <w:pPr>
        <w:rPr>
          <w:rFonts w:ascii="Arial" w:hAnsi="Arial" w:cs="Arial"/>
          <w:sz w:val="24"/>
          <w:szCs w:val="24"/>
        </w:rPr>
      </w:pPr>
      <w:r w:rsidRPr="00725069">
        <w:rPr>
          <w:rFonts w:ascii="Arial" w:hAnsi="Arial" w:cs="Arial"/>
          <w:sz w:val="24"/>
          <w:szCs w:val="24"/>
        </w:rPr>
        <w:t xml:space="preserve">Ref: A Portion of the Tab 3 Continuity Schedule </w:t>
      </w:r>
      <w:proofErr w:type="gramStart"/>
      <w:r w:rsidRPr="00725069">
        <w:rPr>
          <w:rFonts w:ascii="Arial" w:hAnsi="Arial" w:cs="Arial"/>
          <w:sz w:val="24"/>
          <w:szCs w:val="24"/>
        </w:rPr>
        <w:t>has been reproduced</w:t>
      </w:r>
      <w:proofErr w:type="gramEnd"/>
      <w:r w:rsidRPr="00725069">
        <w:rPr>
          <w:rFonts w:ascii="Arial" w:hAnsi="Arial" w:cs="Arial"/>
          <w:sz w:val="24"/>
          <w:szCs w:val="24"/>
        </w:rPr>
        <w:t xml:space="preserve"> below.</w:t>
      </w:r>
      <w:r w:rsidRPr="00725069">
        <w:rPr>
          <w:noProof/>
          <w:lang w:val="en-US"/>
        </w:rPr>
        <w:drawing>
          <wp:inline distT="0" distB="0" distL="0" distR="0" wp14:anchorId="58A843E6" wp14:editId="4A41A865">
            <wp:extent cx="6350069" cy="2523067"/>
            <wp:effectExtent l="19050" t="19050" r="1270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53907" cy="2524592"/>
                    </a:xfrm>
                    <a:prstGeom prst="rect">
                      <a:avLst/>
                    </a:prstGeom>
                    <a:ln>
                      <a:solidFill>
                        <a:sysClr val="windowText" lastClr="000000"/>
                      </a:solidFill>
                    </a:ln>
                  </pic:spPr>
                </pic:pic>
              </a:graphicData>
            </a:graphic>
          </wp:inline>
        </w:drawing>
      </w:r>
    </w:p>
    <w:p w:rsidR="00725069" w:rsidRPr="00725069" w:rsidRDefault="00725069" w:rsidP="00725069">
      <w:pPr>
        <w:rPr>
          <w:rFonts w:ascii="Arial" w:hAnsi="Arial" w:cs="Arial"/>
          <w:sz w:val="24"/>
          <w:szCs w:val="24"/>
        </w:rPr>
      </w:pPr>
      <w:r w:rsidRPr="00725069">
        <w:rPr>
          <w:rFonts w:ascii="Arial" w:hAnsi="Arial" w:cs="Arial"/>
          <w:sz w:val="24"/>
          <w:szCs w:val="24"/>
        </w:rPr>
        <w:t>Rideau St. Lawrence Distribution is requesting disposition of account 1595-2012 credit balance of $13, account 1595-2013 credit balance of $4 and account 1595-2014 credit balance $291.</w:t>
      </w:r>
    </w:p>
    <w:p w:rsidR="00725069" w:rsidRPr="00725069" w:rsidRDefault="00725069" w:rsidP="00725069">
      <w:pPr>
        <w:numPr>
          <w:ilvl w:val="0"/>
          <w:numId w:val="31"/>
        </w:numPr>
        <w:contextualSpacing/>
        <w:rPr>
          <w:rFonts w:ascii="Arial" w:hAnsi="Arial" w:cs="Arial"/>
          <w:sz w:val="24"/>
          <w:szCs w:val="24"/>
        </w:rPr>
      </w:pPr>
      <w:r w:rsidRPr="00725069">
        <w:rPr>
          <w:rFonts w:ascii="Arial" w:hAnsi="Arial" w:cs="Arial"/>
          <w:sz w:val="24"/>
          <w:szCs w:val="24"/>
        </w:rPr>
        <w:t xml:space="preserve">Please confirm whether Rideau St. Lawrence Distribution has requested disposition of these sub accounts previously. </w:t>
      </w:r>
    </w:p>
    <w:p w:rsidR="00725069" w:rsidRPr="00725069" w:rsidRDefault="00725069" w:rsidP="00725069">
      <w:pPr>
        <w:numPr>
          <w:ilvl w:val="0"/>
          <w:numId w:val="31"/>
        </w:numPr>
        <w:contextualSpacing/>
        <w:rPr>
          <w:rFonts w:ascii="Arial" w:hAnsi="Arial" w:cs="Arial"/>
          <w:sz w:val="24"/>
          <w:szCs w:val="24"/>
        </w:rPr>
      </w:pPr>
      <w:r w:rsidRPr="00725069">
        <w:rPr>
          <w:rFonts w:ascii="Arial" w:hAnsi="Arial" w:cs="Arial"/>
          <w:sz w:val="24"/>
          <w:szCs w:val="24"/>
        </w:rPr>
        <w:t xml:space="preserve">When did the rate rider relating to each IRM cease? </w:t>
      </w:r>
    </w:p>
    <w:p w:rsidR="00725069" w:rsidRPr="00725069" w:rsidRDefault="00725069" w:rsidP="00725069">
      <w:pPr>
        <w:numPr>
          <w:ilvl w:val="0"/>
          <w:numId w:val="31"/>
        </w:numPr>
        <w:contextualSpacing/>
        <w:rPr>
          <w:rFonts w:ascii="Arial" w:hAnsi="Arial" w:cs="Arial"/>
          <w:sz w:val="24"/>
          <w:szCs w:val="24"/>
        </w:rPr>
      </w:pPr>
      <w:r w:rsidRPr="00725069">
        <w:rPr>
          <w:rFonts w:ascii="Arial" w:hAnsi="Arial" w:cs="Arial"/>
          <w:sz w:val="24"/>
          <w:szCs w:val="24"/>
        </w:rPr>
        <w:t>What audited financial statements did Rideau St. Lawrence Distribution base these dispositions on previously and what does each balance pertain to?</w:t>
      </w:r>
    </w:p>
    <w:p w:rsidR="00725069" w:rsidRPr="00725069" w:rsidRDefault="00725069" w:rsidP="00725069">
      <w:pPr>
        <w:numPr>
          <w:ilvl w:val="0"/>
          <w:numId w:val="31"/>
        </w:numPr>
        <w:autoSpaceDE w:val="0"/>
        <w:autoSpaceDN w:val="0"/>
        <w:adjustRightInd w:val="0"/>
        <w:spacing w:after="0" w:line="240" w:lineRule="auto"/>
        <w:contextualSpacing/>
        <w:rPr>
          <w:rFonts w:ascii="Arial" w:hAnsi="Arial" w:cs="Arial"/>
          <w:color w:val="000000"/>
          <w:sz w:val="24"/>
          <w:szCs w:val="24"/>
        </w:rPr>
      </w:pPr>
      <w:r w:rsidRPr="00725069">
        <w:rPr>
          <w:rFonts w:ascii="Arial" w:hAnsi="Arial" w:cs="Arial"/>
          <w:color w:val="000000"/>
          <w:sz w:val="24"/>
          <w:szCs w:val="24"/>
        </w:rPr>
        <w:t xml:space="preserve">Please explain why these amounts </w:t>
      </w:r>
      <w:proofErr w:type="gramStart"/>
      <w:r w:rsidRPr="00725069">
        <w:rPr>
          <w:rFonts w:ascii="Arial" w:hAnsi="Arial" w:cs="Arial"/>
          <w:color w:val="000000"/>
          <w:sz w:val="24"/>
          <w:szCs w:val="24"/>
        </w:rPr>
        <w:t>have not been written off</w:t>
      </w:r>
      <w:proofErr w:type="gramEnd"/>
      <w:r w:rsidRPr="00725069">
        <w:rPr>
          <w:rFonts w:ascii="Arial" w:hAnsi="Arial" w:cs="Arial"/>
          <w:color w:val="000000"/>
          <w:sz w:val="24"/>
          <w:szCs w:val="24"/>
        </w:rPr>
        <w:t xml:space="preserve">. </w:t>
      </w:r>
    </w:p>
    <w:p w:rsidR="00725069" w:rsidRDefault="00725069" w:rsidP="00725069">
      <w:pPr>
        <w:spacing w:after="0"/>
        <w:rPr>
          <w:rFonts w:ascii="Arial" w:hAnsi="Arial" w:cs="Arial"/>
          <w:b/>
          <w:sz w:val="24"/>
          <w:szCs w:val="24"/>
        </w:rPr>
      </w:pPr>
    </w:p>
    <w:p w:rsidR="00725069" w:rsidRDefault="00725069" w:rsidP="00725069">
      <w:pPr>
        <w:spacing w:after="0"/>
        <w:rPr>
          <w:rFonts w:ascii="Arial" w:hAnsi="Arial" w:cs="Arial"/>
          <w:b/>
          <w:sz w:val="24"/>
          <w:szCs w:val="24"/>
        </w:rPr>
      </w:pP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lastRenderedPageBreak/>
        <w:t>Staff IR-2</w:t>
      </w: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Ref: Retail Transmission Service Rates</w:t>
      </w:r>
    </w:p>
    <w:p w:rsidR="00725069" w:rsidRPr="00725069" w:rsidRDefault="00725069" w:rsidP="00725069">
      <w:pPr>
        <w:spacing w:after="0"/>
        <w:rPr>
          <w:rFonts w:ascii="Arial" w:hAnsi="Arial" w:cs="Arial"/>
          <w:b/>
          <w:sz w:val="24"/>
          <w:szCs w:val="24"/>
        </w:rPr>
      </w:pPr>
    </w:p>
    <w:p w:rsidR="00725069" w:rsidRPr="00725069" w:rsidRDefault="00725069" w:rsidP="00725069">
      <w:pPr>
        <w:spacing w:after="0"/>
        <w:rPr>
          <w:rFonts w:ascii="Arial" w:hAnsi="Arial" w:cs="Arial"/>
          <w:sz w:val="24"/>
          <w:szCs w:val="24"/>
        </w:rPr>
      </w:pPr>
      <w:r w:rsidRPr="00725069">
        <w:rPr>
          <w:rFonts w:ascii="Arial" w:hAnsi="Arial" w:cs="Arial"/>
          <w:sz w:val="24"/>
          <w:szCs w:val="24"/>
        </w:rPr>
        <w:t xml:space="preserve">OEB staff notes that the balance of Rideau St. Lawrence’s </w:t>
      </w:r>
      <w:proofErr w:type="spellStart"/>
      <w:r w:rsidRPr="00725069">
        <w:rPr>
          <w:rFonts w:ascii="Arial" w:hAnsi="Arial" w:cs="Arial"/>
          <w:sz w:val="24"/>
          <w:szCs w:val="24"/>
        </w:rPr>
        <w:t>USoA</w:t>
      </w:r>
      <w:proofErr w:type="spellEnd"/>
      <w:r w:rsidRPr="00725069">
        <w:rPr>
          <w:rFonts w:ascii="Arial" w:hAnsi="Arial" w:cs="Arial"/>
          <w:sz w:val="24"/>
          <w:szCs w:val="24"/>
        </w:rPr>
        <w:t xml:space="preserve"> account 1584 is significant. The balance being requested for disposition is ($170,299)</w:t>
      </w:r>
      <w:proofErr w:type="gramStart"/>
      <w:r w:rsidRPr="00725069">
        <w:rPr>
          <w:rFonts w:ascii="Arial" w:hAnsi="Arial" w:cs="Arial"/>
          <w:sz w:val="24"/>
          <w:szCs w:val="24"/>
        </w:rPr>
        <w:t>,</w:t>
      </w:r>
      <w:proofErr w:type="gramEnd"/>
      <w:r w:rsidRPr="00725069">
        <w:rPr>
          <w:rFonts w:ascii="Arial" w:hAnsi="Arial" w:cs="Arial"/>
          <w:sz w:val="24"/>
          <w:szCs w:val="24"/>
        </w:rPr>
        <w:t xml:space="preserve"> this balance is for the principal and interest transactions in 2016 plus forecasted interest to April 30, 2018.</w:t>
      </w:r>
    </w:p>
    <w:p w:rsidR="00725069" w:rsidRPr="00725069" w:rsidRDefault="00725069" w:rsidP="00725069">
      <w:pPr>
        <w:spacing w:after="0"/>
        <w:rPr>
          <w:rFonts w:ascii="Arial" w:hAnsi="Arial" w:cs="Arial"/>
          <w:sz w:val="24"/>
          <w:szCs w:val="24"/>
        </w:rPr>
      </w:pPr>
    </w:p>
    <w:p w:rsidR="00725069" w:rsidRPr="00844056" w:rsidRDefault="00725069" w:rsidP="00725069">
      <w:pPr>
        <w:numPr>
          <w:ilvl w:val="0"/>
          <w:numId w:val="40"/>
        </w:numPr>
        <w:contextualSpacing/>
        <w:rPr>
          <w:noProof/>
          <w:lang w:eastAsia="en-CA"/>
        </w:rPr>
      </w:pPr>
      <w:r w:rsidRPr="00725069">
        <w:rPr>
          <w:rFonts w:ascii="Arial" w:hAnsi="Arial" w:cs="Arial"/>
          <w:sz w:val="24"/>
          <w:szCs w:val="24"/>
        </w:rPr>
        <w:t xml:space="preserve">Please complete the following </w:t>
      </w:r>
      <w:proofErr w:type="gramStart"/>
      <w:r w:rsidRPr="00725069">
        <w:rPr>
          <w:rFonts w:ascii="Arial" w:hAnsi="Arial" w:cs="Arial"/>
          <w:sz w:val="24"/>
          <w:szCs w:val="24"/>
        </w:rPr>
        <w:t xml:space="preserve">tables and reconcile the principal portion of </w:t>
      </w:r>
      <w:proofErr w:type="spellStart"/>
      <w:r w:rsidRPr="00725069">
        <w:rPr>
          <w:rFonts w:ascii="Arial" w:hAnsi="Arial" w:cs="Arial"/>
          <w:sz w:val="24"/>
          <w:szCs w:val="24"/>
        </w:rPr>
        <w:t>USoA</w:t>
      </w:r>
      <w:proofErr w:type="spellEnd"/>
      <w:r w:rsidRPr="00725069">
        <w:rPr>
          <w:rFonts w:ascii="Arial" w:hAnsi="Arial" w:cs="Arial"/>
          <w:sz w:val="24"/>
          <w:szCs w:val="24"/>
        </w:rPr>
        <w:t xml:space="preserve"> account 1584 of ($164,977)</w:t>
      </w:r>
      <w:proofErr w:type="gramEnd"/>
      <w:r w:rsidRPr="00725069">
        <w:rPr>
          <w:rFonts w:ascii="Arial" w:hAnsi="Arial" w:cs="Arial"/>
          <w:sz w:val="24"/>
          <w:szCs w:val="24"/>
        </w:rPr>
        <w:t xml:space="preserve"> and provide an explanation for magnitude of the account balance.</w:t>
      </w:r>
    </w:p>
    <w:p w:rsidR="00844056" w:rsidRPr="00725069" w:rsidRDefault="00844056" w:rsidP="00844056">
      <w:pPr>
        <w:ind w:left="720"/>
        <w:contextualSpacing/>
        <w:rPr>
          <w:noProof/>
          <w:lang w:eastAsia="en-CA"/>
        </w:rPr>
      </w:pPr>
    </w:p>
    <w:p w:rsidR="00725069" w:rsidRPr="00725069" w:rsidRDefault="00725069" w:rsidP="00725069">
      <w:pPr>
        <w:spacing w:after="0"/>
        <w:rPr>
          <w:rFonts w:ascii="Arial" w:hAnsi="Arial" w:cs="Arial"/>
          <w:sz w:val="24"/>
          <w:szCs w:val="24"/>
        </w:rPr>
      </w:pPr>
      <w:r w:rsidRPr="00725069">
        <w:rPr>
          <w:noProof/>
          <w:lang w:val="en-US"/>
        </w:rPr>
        <w:drawing>
          <wp:inline distT="0" distB="0" distL="0" distR="0" wp14:anchorId="53E5FC5D" wp14:editId="390F552D">
            <wp:extent cx="5255288" cy="203608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1045" cy="2046059"/>
                    </a:xfrm>
                    <a:prstGeom prst="rect">
                      <a:avLst/>
                    </a:prstGeom>
                    <a:noFill/>
                    <a:ln>
                      <a:noFill/>
                    </a:ln>
                  </pic:spPr>
                </pic:pic>
              </a:graphicData>
            </a:graphic>
          </wp:inline>
        </w:drawing>
      </w:r>
    </w:p>
    <w:p w:rsidR="00725069" w:rsidRPr="00725069" w:rsidRDefault="00725069" w:rsidP="00725069">
      <w:pPr>
        <w:spacing w:after="0"/>
        <w:rPr>
          <w:rFonts w:ascii="Arial" w:hAnsi="Arial" w:cs="Arial"/>
          <w:b/>
          <w:sz w:val="24"/>
          <w:szCs w:val="24"/>
        </w:rPr>
      </w:pPr>
    </w:p>
    <w:p w:rsidR="00725069" w:rsidRPr="00725069" w:rsidRDefault="00725069" w:rsidP="00725069">
      <w:pPr>
        <w:spacing w:after="0"/>
        <w:rPr>
          <w:rFonts w:ascii="Arial" w:hAnsi="Arial" w:cs="Arial"/>
          <w:b/>
          <w:sz w:val="24"/>
          <w:szCs w:val="24"/>
        </w:rPr>
      </w:pPr>
      <w:r w:rsidRPr="00725069">
        <w:rPr>
          <w:noProof/>
          <w:lang w:val="en-US"/>
        </w:rPr>
        <w:drawing>
          <wp:inline distT="0" distB="0" distL="0" distR="0" wp14:anchorId="1C436D93" wp14:editId="61CF6C27">
            <wp:extent cx="2542233" cy="249363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607" cy="2503806"/>
                    </a:xfrm>
                    <a:prstGeom prst="rect">
                      <a:avLst/>
                    </a:prstGeom>
                    <a:noFill/>
                    <a:ln>
                      <a:noFill/>
                    </a:ln>
                  </pic:spPr>
                </pic:pic>
              </a:graphicData>
            </a:graphic>
          </wp:inline>
        </w:drawing>
      </w:r>
    </w:p>
    <w:p w:rsidR="00725069" w:rsidRPr="00725069" w:rsidRDefault="00725069" w:rsidP="00725069">
      <w:pPr>
        <w:rPr>
          <w:rFonts w:ascii="Arial" w:hAnsi="Arial" w:cs="Arial"/>
          <w:b/>
          <w:sz w:val="24"/>
          <w:szCs w:val="24"/>
        </w:rPr>
      </w:pPr>
      <w:r w:rsidRPr="00725069">
        <w:rPr>
          <w:rFonts w:ascii="Arial" w:hAnsi="Arial" w:cs="Arial"/>
          <w:b/>
          <w:sz w:val="24"/>
          <w:szCs w:val="24"/>
        </w:rPr>
        <w:br w:type="page"/>
      </w: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lastRenderedPageBreak/>
        <w:t>Staff IR-3</w:t>
      </w:r>
    </w:p>
    <w:p w:rsidR="00725069" w:rsidRPr="00725069" w:rsidRDefault="00725069" w:rsidP="00725069">
      <w:pPr>
        <w:spacing w:after="0" w:line="240" w:lineRule="auto"/>
        <w:rPr>
          <w:rFonts w:ascii="Arial" w:hAnsi="Arial" w:cs="Arial"/>
          <w:b/>
          <w:sz w:val="24"/>
          <w:szCs w:val="24"/>
        </w:rPr>
      </w:pPr>
      <w:r w:rsidRPr="00725069">
        <w:rPr>
          <w:rFonts w:ascii="Arial" w:hAnsi="Arial" w:cs="Arial"/>
          <w:b/>
          <w:sz w:val="24"/>
          <w:szCs w:val="24"/>
        </w:rPr>
        <w:t>Ref: Tab 10 “RTSR Current Rates”</w:t>
      </w:r>
    </w:p>
    <w:p w:rsidR="00725069" w:rsidRPr="00725069" w:rsidRDefault="00725069" w:rsidP="00725069">
      <w:pPr>
        <w:spacing w:after="0" w:line="240" w:lineRule="auto"/>
        <w:rPr>
          <w:rFonts w:ascii="Arial" w:hAnsi="Arial" w:cs="Arial"/>
          <w:b/>
          <w:sz w:val="24"/>
          <w:szCs w:val="24"/>
        </w:rPr>
      </w:pPr>
    </w:p>
    <w:p w:rsidR="00725069" w:rsidRPr="00725069" w:rsidRDefault="00725069" w:rsidP="00725069">
      <w:pPr>
        <w:spacing w:after="0" w:line="240" w:lineRule="auto"/>
        <w:rPr>
          <w:rFonts w:ascii="Arial" w:hAnsi="Arial" w:cs="Arial"/>
          <w:sz w:val="24"/>
          <w:szCs w:val="24"/>
        </w:rPr>
      </w:pPr>
      <w:r w:rsidRPr="00725069">
        <w:rPr>
          <w:rFonts w:ascii="Arial" w:hAnsi="Arial" w:cs="Arial"/>
          <w:sz w:val="24"/>
          <w:szCs w:val="24"/>
        </w:rPr>
        <w:t>OEB staff is unable to reconcile the “Non-Loss Adjusted Metered kWh” and “Non-Loss Adjusted Metered kW” for GS 50 to 4,999 kW Service Classification with the reported amounts in Rideau St. Lawrence Distribution’s 2.1.5 RRR.</w:t>
      </w:r>
    </w:p>
    <w:p w:rsidR="00725069" w:rsidRPr="00725069" w:rsidRDefault="00725069" w:rsidP="00725069">
      <w:pPr>
        <w:spacing w:after="0" w:line="240" w:lineRule="auto"/>
        <w:rPr>
          <w:rFonts w:ascii="Arial" w:hAnsi="Arial" w:cs="Arial"/>
          <w:sz w:val="24"/>
          <w:szCs w:val="24"/>
        </w:rPr>
      </w:pPr>
    </w:p>
    <w:p w:rsidR="00725069" w:rsidRPr="00725069" w:rsidRDefault="00725069" w:rsidP="00725069">
      <w:pPr>
        <w:numPr>
          <w:ilvl w:val="0"/>
          <w:numId w:val="32"/>
        </w:numPr>
        <w:tabs>
          <w:tab w:val="left" w:pos="450"/>
        </w:tabs>
        <w:spacing w:after="0" w:line="240" w:lineRule="auto"/>
        <w:ind w:left="450" w:hanging="450"/>
        <w:contextualSpacing/>
        <w:rPr>
          <w:rFonts w:ascii="Arial" w:hAnsi="Arial" w:cs="Arial"/>
          <w:sz w:val="24"/>
          <w:szCs w:val="24"/>
        </w:rPr>
      </w:pPr>
      <w:r w:rsidRPr="00725069">
        <w:rPr>
          <w:rFonts w:ascii="Arial" w:hAnsi="Arial" w:cs="Arial"/>
          <w:sz w:val="24"/>
          <w:szCs w:val="24"/>
        </w:rPr>
        <w:t>If Rideau St. Lawrence Distribution believes the figures entered are correct, please provide an explanation for these discrepancies.</w:t>
      </w:r>
    </w:p>
    <w:p w:rsidR="00725069" w:rsidRPr="00725069" w:rsidRDefault="00725069" w:rsidP="00725069">
      <w:pPr>
        <w:tabs>
          <w:tab w:val="left" w:pos="450"/>
        </w:tabs>
        <w:spacing w:after="0" w:line="240" w:lineRule="auto"/>
        <w:rPr>
          <w:rFonts w:ascii="Arial" w:hAnsi="Arial" w:cs="Arial"/>
          <w:sz w:val="24"/>
          <w:szCs w:val="24"/>
        </w:rPr>
      </w:pPr>
    </w:p>
    <w:p w:rsidR="00725069" w:rsidRPr="00725069" w:rsidRDefault="00725069" w:rsidP="00725069">
      <w:pPr>
        <w:numPr>
          <w:ilvl w:val="0"/>
          <w:numId w:val="32"/>
        </w:numPr>
        <w:tabs>
          <w:tab w:val="left" w:pos="450"/>
        </w:tabs>
        <w:spacing w:after="0" w:line="240" w:lineRule="auto"/>
        <w:ind w:left="450" w:hanging="450"/>
        <w:contextualSpacing/>
        <w:rPr>
          <w:rFonts w:ascii="Arial" w:hAnsi="Arial" w:cs="Arial"/>
          <w:sz w:val="24"/>
          <w:szCs w:val="24"/>
        </w:rPr>
      </w:pPr>
      <w:r w:rsidRPr="00725069">
        <w:rPr>
          <w:rFonts w:ascii="Arial" w:hAnsi="Arial" w:cs="Arial"/>
          <w:sz w:val="24"/>
          <w:szCs w:val="24"/>
        </w:rPr>
        <w:t>If Rideau St. Lawrence Distribution believes these figures needs adjustments, please confirm and OEB staff will update the model with the figures as found in the RRR.</w:t>
      </w:r>
    </w:p>
    <w:p w:rsidR="00725069" w:rsidRPr="00725069" w:rsidRDefault="00725069" w:rsidP="00725069">
      <w:pPr>
        <w:spacing w:after="0" w:line="240" w:lineRule="auto"/>
        <w:rPr>
          <w:noProof/>
          <w:lang w:val="en-US"/>
        </w:rPr>
      </w:pPr>
    </w:p>
    <w:p w:rsidR="00725069" w:rsidRPr="00725069" w:rsidRDefault="00725069" w:rsidP="00725069">
      <w:pPr>
        <w:spacing w:after="0" w:line="240" w:lineRule="auto"/>
        <w:rPr>
          <w:noProof/>
          <w:lang w:val="en-US"/>
        </w:rPr>
      </w:pPr>
    </w:p>
    <w:p w:rsidR="00725069" w:rsidRPr="00725069" w:rsidRDefault="00725069" w:rsidP="00725069">
      <w:pPr>
        <w:spacing w:after="0" w:line="240" w:lineRule="auto"/>
        <w:rPr>
          <w:rFonts w:ascii="Arial" w:hAnsi="Arial" w:cs="Arial"/>
          <w:sz w:val="24"/>
          <w:szCs w:val="24"/>
        </w:rPr>
      </w:pPr>
      <w:r w:rsidRPr="00725069">
        <w:rPr>
          <w:noProof/>
          <w:lang w:val="en-US"/>
        </w:rPr>
        <w:drawing>
          <wp:inline distT="0" distB="0" distL="0" distR="0" wp14:anchorId="6D750682" wp14:editId="3D878A1C">
            <wp:extent cx="6492164" cy="1562100"/>
            <wp:effectExtent l="19050" t="19050" r="23495" b="19050"/>
            <wp:docPr id="4" name="Picture 2" descr="C:\Users\wongch\AppData\Local\Temp\SNAGHTML77d936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ngch\AppData\Local\Temp\SNAGHTML77d9363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3631" cy="1562453"/>
                    </a:xfrm>
                    <a:prstGeom prst="rect">
                      <a:avLst/>
                    </a:prstGeom>
                    <a:noFill/>
                    <a:ln>
                      <a:solidFill>
                        <a:sysClr val="windowText" lastClr="000000"/>
                      </a:solidFill>
                    </a:ln>
                  </pic:spPr>
                </pic:pic>
              </a:graphicData>
            </a:graphic>
          </wp:inline>
        </w:drawing>
      </w:r>
    </w:p>
    <w:p w:rsidR="00725069" w:rsidRPr="00725069" w:rsidRDefault="00725069" w:rsidP="00725069">
      <w:pPr>
        <w:spacing w:after="0" w:line="240" w:lineRule="auto"/>
        <w:rPr>
          <w:rFonts w:ascii="Arial" w:hAnsi="Arial" w:cs="Arial"/>
          <w:sz w:val="24"/>
          <w:szCs w:val="24"/>
        </w:rPr>
      </w:pPr>
    </w:p>
    <w:p w:rsidR="00725069" w:rsidRPr="00725069" w:rsidRDefault="00725069" w:rsidP="00725069">
      <w:pPr>
        <w:spacing w:after="0" w:line="240" w:lineRule="auto"/>
        <w:rPr>
          <w:rFonts w:ascii="Arial" w:hAnsi="Arial" w:cs="Arial"/>
          <w:b/>
          <w:sz w:val="24"/>
          <w:szCs w:val="24"/>
        </w:rPr>
      </w:pPr>
    </w:p>
    <w:p w:rsidR="00725069" w:rsidRPr="00725069" w:rsidRDefault="00725069" w:rsidP="00725069">
      <w:pPr>
        <w:rPr>
          <w:rFonts w:ascii="Arial" w:hAnsi="Arial" w:cs="Arial"/>
          <w:b/>
          <w:sz w:val="24"/>
          <w:szCs w:val="24"/>
        </w:rPr>
      </w:pP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Staff IR-4</w:t>
      </w: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Ref: Tab 3 “Continuity Schedule”: RRR 2.2.1 – account 1580 Sub-account CBR Class B</w:t>
      </w:r>
    </w:p>
    <w:p w:rsidR="00725069" w:rsidRPr="00725069" w:rsidRDefault="00725069" w:rsidP="00725069">
      <w:pPr>
        <w:spacing w:after="0"/>
        <w:rPr>
          <w:rFonts w:ascii="Arial" w:hAnsi="Arial" w:cs="Arial"/>
          <w:b/>
          <w:sz w:val="24"/>
          <w:szCs w:val="24"/>
        </w:rPr>
      </w:pPr>
    </w:p>
    <w:p w:rsidR="00725069" w:rsidRPr="00725069" w:rsidRDefault="00725069" w:rsidP="00725069">
      <w:pPr>
        <w:spacing w:after="0"/>
        <w:contextualSpacing/>
        <w:rPr>
          <w:rFonts w:ascii="Arial" w:hAnsi="Arial" w:cs="Arial"/>
          <w:sz w:val="24"/>
          <w:szCs w:val="24"/>
        </w:rPr>
      </w:pPr>
      <w:r w:rsidRPr="00725069">
        <w:rPr>
          <w:rFonts w:ascii="Arial" w:hAnsi="Arial" w:cs="Arial"/>
          <w:sz w:val="24"/>
          <w:szCs w:val="24"/>
        </w:rPr>
        <w:t xml:space="preserve">It is noted that Rideau St. Lawrence Distribution filed a zero balance in RRR 2.1.7 account 1580 CBR Class B. Rideau St. Lawrence filed a balance in the 2018 Rate Generator Model in the DVA Continuity Schedule for account 1580 WMS – Sub-account CBR Class B correctly, but did not report a balance in RRR 2.1.7 under control account 1580. Please update the RRR 2.1.7 for 2016 to reflect the correct amount for account 1580 CBR Class B and notify OEB staff when the revision </w:t>
      </w:r>
      <w:proofErr w:type="gramStart"/>
      <w:r w:rsidRPr="00725069">
        <w:rPr>
          <w:rFonts w:ascii="Arial" w:hAnsi="Arial" w:cs="Arial"/>
          <w:sz w:val="24"/>
          <w:szCs w:val="24"/>
        </w:rPr>
        <w:t>is made</w:t>
      </w:r>
      <w:proofErr w:type="gramEnd"/>
      <w:r w:rsidRPr="00725069">
        <w:rPr>
          <w:rFonts w:ascii="Arial" w:hAnsi="Arial" w:cs="Arial"/>
          <w:sz w:val="24"/>
          <w:szCs w:val="24"/>
        </w:rPr>
        <w:t>.</w:t>
      </w:r>
    </w:p>
    <w:p w:rsidR="00725069" w:rsidRPr="00725069" w:rsidRDefault="00725069" w:rsidP="00725069">
      <w:pPr>
        <w:rPr>
          <w:rFonts w:ascii="Arial" w:hAnsi="Arial" w:cs="Arial"/>
          <w:b/>
          <w:sz w:val="24"/>
          <w:szCs w:val="24"/>
        </w:rPr>
      </w:pPr>
      <w:r w:rsidRPr="00725069">
        <w:rPr>
          <w:rFonts w:ascii="Arial" w:hAnsi="Arial" w:cs="Arial"/>
          <w:b/>
          <w:sz w:val="24"/>
          <w:szCs w:val="24"/>
        </w:rPr>
        <w:br w:type="page"/>
      </w: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lastRenderedPageBreak/>
        <w:t>Staff IR-5</w:t>
      </w: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 xml:space="preserve">Ref: </w:t>
      </w:r>
      <w:r w:rsidRPr="00725069">
        <w:rPr>
          <w:rFonts w:ascii="Arial" w:hAnsi="Arial" w:cs="Arial"/>
          <w:b/>
          <w:sz w:val="24"/>
          <w:szCs w:val="24"/>
        </w:rPr>
        <w:tab/>
        <w:t>RSVA 1588 &amp; 1589</w:t>
      </w:r>
    </w:p>
    <w:p w:rsidR="00725069" w:rsidRPr="00725069" w:rsidRDefault="00725069" w:rsidP="00725069">
      <w:pPr>
        <w:spacing w:after="0"/>
        <w:ind w:firstLine="720"/>
        <w:rPr>
          <w:rFonts w:ascii="Arial" w:hAnsi="Arial" w:cs="Arial"/>
          <w:b/>
          <w:sz w:val="24"/>
          <w:szCs w:val="24"/>
        </w:rPr>
      </w:pPr>
      <w:r w:rsidRPr="00725069">
        <w:rPr>
          <w:rFonts w:ascii="Arial" w:hAnsi="Arial" w:cs="Arial"/>
          <w:b/>
          <w:sz w:val="24"/>
          <w:szCs w:val="24"/>
        </w:rPr>
        <w:t xml:space="preserve">GA Analysis </w:t>
      </w:r>
      <w:proofErr w:type="spellStart"/>
      <w:r w:rsidRPr="00725069">
        <w:rPr>
          <w:rFonts w:ascii="Arial" w:hAnsi="Arial" w:cs="Arial"/>
          <w:b/>
          <w:sz w:val="24"/>
          <w:szCs w:val="24"/>
        </w:rPr>
        <w:t>Workform</w:t>
      </w:r>
      <w:proofErr w:type="spellEnd"/>
    </w:p>
    <w:p w:rsidR="00725069" w:rsidRPr="00725069" w:rsidRDefault="00725069" w:rsidP="00725069">
      <w:pPr>
        <w:spacing w:after="0"/>
        <w:ind w:firstLine="720"/>
        <w:rPr>
          <w:rFonts w:ascii="Arial" w:hAnsi="Arial" w:cs="Arial"/>
          <w:b/>
          <w:sz w:val="24"/>
          <w:szCs w:val="24"/>
        </w:rPr>
      </w:pPr>
      <w:r w:rsidRPr="00725069">
        <w:rPr>
          <w:rFonts w:ascii="Arial" w:hAnsi="Arial" w:cs="Arial"/>
          <w:b/>
          <w:sz w:val="24"/>
          <w:szCs w:val="24"/>
        </w:rPr>
        <w:t xml:space="preserve">IRM Rate Generator DVA Continuity Schedule </w:t>
      </w:r>
    </w:p>
    <w:p w:rsidR="00725069" w:rsidRPr="00725069" w:rsidRDefault="00725069" w:rsidP="00725069">
      <w:pPr>
        <w:spacing w:after="0"/>
        <w:rPr>
          <w:rFonts w:ascii="Arial" w:hAnsi="Arial" w:cs="Arial"/>
          <w:b/>
          <w:sz w:val="24"/>
          <w:szCs w:val="24"/>
        </w:rPr>
      </w:pPr>
    </w:p>
    <w:p w:rsidR="00725069" w:rsidRPr="00725069" w:rsidRDefault="00725069" w:rsidP="00725069">
      <w:pPr>
        <w:numPr>
          <w:ilvl w:val="0"/>
          <w:numId w:val="41"/>
        </w:numPr>
        <w:spacing w:after="0"/>
        <w:ind w:left="360"/>
        <w:contextualSpacing/>
        <w:rPr>
          <w:rFonts w:ascii="Arial" w:hAnsi="Arial" w:cs="Arial"/>
          <w:sz w:val="24"/>
          <w:szCs w:val="24"/>
        </w:rPr>
      </w:pPr>
      <w:r w:rsidRPr="00725069">
        <w:rPr>
          <w:rFonts w:ascii="Arial" w:hAnsi="Arial" w:cs="Arial"/>
          <w:sz w:val="24"/>
          <w:szCs w:val="24"/>
        </w:rPr>
        <w:t xml:space="preserve">What is Rideau St. Lawrence Distribution process for calculating and recording the various components of RPP settlement true-up amounts? </w:t>
      </w:r>
    </w:p>
    <w:p w:rsidR="00725069" w:rsidRPr="00725069" w:rsidRDefault="00725069" w:rsidP="00725069">
      <w:pPr>
        <w:numPr>
          <w:ilvl w:val="0"/>
          <w:numId w:val="41"/>
        </w:numPr>
        <w:spacing w:after="0"/>
        <w:ind w:left="360"/>
        <w:contextualSpacing/>
        <w:rPr>
          <w:rFonts w:ascii="Arial" w:hAnsi="Arial" w:cs="Arial"/>
          <w:sz w:val="24"/>
          <w:szCs w:val="24"/>
        </w:rPr>
      </w:pPr>
      <w:r w:rsidRPr="00725069">
        <w:rPr>
          <w:rFonts w:ascii="Arial" w:hAnsi="Arial" w:cs="Arial"/>
          <w:sz w:val="24"/>
          <w:szCs w:val="24"/>
        </w:rPr>
        <w:t>What is the timing of when the steps in the process are completed?</w:t>
      </w:r>
    </w:p>
    <w:p w:rsidR="00725069" w:rsidRPr="00725069" w:rsidRDefault="00725069" w:rsidP="00725069">
      <w:pPr>
        <w:numPr>
          <w:ilvl w:val="0"/>
          <w:numId w:val="41"/>
        </w:numPr>
        <w:spacing w:after="0"/>
        <w:ind w:left="360"/>
        <w:contextualSpacing/>
        <w:rPr>
          <w:rFonts w:ascii="Arial" w:hAnsi="Arial" w:cs="Arial"/>
          <w:sz w:val="24"/>
          <w:szCs w:val="24"/>
        </w:rPr>
      </w:pPr>
      <w:r w:rsidRPr="00725069">
        <w:rPr>
          <w:rFonts w:ascii="Arial" w:hAnsi="Arial" w:cs="Arial"/>
          <w:sz w:val="24"/>
          <w:szCs w:val="24"/>
        </w:rPr>
        <w:t xml:space="preserve">What is the date of the IESO invoice where the December 2016 RPP settlement true-up amount </w:t>
      </w:r>
      <w:proofErr w:type="gramStart"/>
      <w:r w:rsidRPr="00725069">
        <w:rPr>
          <w:rFonts w:ascii="Arial" w:hAnsi="Arial" w:cs="Arial"/>
          <w:sz w:val="24"/>
          <w:szCs w:val="24"/>
        </w:rPr>
        <w:t>was reflected</w:t>
      </w:r>
      <w:proofErr w:type="gramEnd"/>
      <w:r w:rsidRPr="00725069">
        <w:rPr>
          <w:rFonts w:ascii="Arial" w:hAnsi="Arial" w:cs="Arial"/>
          <w:sz w:val="24"/>
          <w:szCs w:val="24"/>
        </w:rPr>
        <w:t xml:space="preserve">? Were the accounting books kept open long enough to reflect this adjustment in the </w:t>
      </w:r>
      <w:proofErr w:type="gramStart"/>
      <w:r w:rsidRPr="00725069">
        <w:rPr>
          <w:rFonts w:ascii="Arial" w:hAnsi="Arial" w:cs="Arial"/>
          <w:sz w:val="24"/>
          <w:szCs w:val="24"/>
        </w:rPr>
        <w:t>year end</w:t>
      </w:r>
      <w:proofErr w:type="gramEnd"/>
      <w:r w:rsidRPr="00725069">
        <w:rPr>
          <w:rFonts w:ascii="Arial" w:hAnsi="Arial" w:cs="Arial"/>
          <w:sz w:val="24"/>
          <w:szCs w:val="24"/>
        </w:rPr>
        <w:t xml:space="preserve"> balances?</w:t>
      </w:r>
    </w:p>
    <w:p w:rsidR="00725069" w:rsidRPr="00725069" w:rsidRDefault="00725069" w:rsidP="00725069">
      <w:pPr>
        <w:spacing w:after="0"/>
        <w:ind w:left="360"/>
        <w:contextualSpacing/>
        <w:rPr>
          <w:rFonts w:ascii="Arial" w:hAnsi="Arial" w:cs="Arial"/>
          <w:sz w:val="24"/>
          <w:szCs w:val="24"/>
        </w:rPr>
      </w:pPr>
    </w:p>
    <w:p w:rsidR="00535333" w:rsidRDefault="00535333" w:rsidP="00725069">
      <w:pPr>
        <w:spacing w:after="0"/>
        <w:rPr>
          <w:rFonts w:ascii="Arial" w:hAnsi="Arial" w:cs="Arial"/>
          <w:b/>
          <w:sz w:val="24"/>
          <w:szCs w:val="24"/>
        </w:rPr>
      </w:pP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Staff IR-6</w:t>
      </w: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 xml:space="preserve">Ref: </w:t>
      </w:r>
      <w:r w:rsidRPr="00725069">
        <w:rPr>
          <w:rFonts w:ascii="Arial" w:hAnsi="Arial" w:cs="Arial"/>
          <w:b/>
          <w:sz w:val="24"/>
          <w:szCs w:val="24"/>
        </w:rPr>
        <w:tab/>
        <w:t xml:space="preserve">December 21, 2017 Response to OEB Staff Question 4) </w:t>
      </w:r>
    </w:p>
    <w:p w:rsidR="00725069" w:rsidRPr="00725069" w:rsidRDefault="00725069" w:rsidP="00725069">
      <w:pPr>
        <w:spacing w:after="0"/>
        <w:ind w:firstLine="720"/>
        <w:rPr>
          <w:rFonts w:ascii="Arial" w:hAnsi="Arial" w:cs="Arial"/>
          <w:b/>
          <w:sz w:val="24"/>
          <w:szCs w:val="24"/>
        </w:rPr>
      </w:pPr>
      <w:r w:rsidRPr="00725069">
        <w:rPr>
          <w:rFonts w:ascii="Arial" w:hAnsi="Arial" w:cs="Arial"/>
          <w:b/>
          <w:sz w:val="24"/>
          <w:szCs w:val="24"/>
        </w:rPr>
        <w:t xml:space="preserve">GA Analysis </w:t>
      </w:r>
      <w:proofErr w:type="spellStart"/>
      <w:r w:rsidRPr="00725069">
        <w:rPr>
          <w:rFonts w:ascii="Arial" w:hAnsi="Arial" w:cs="Arial"/>
          <w:b/>
          <w:sz w:val="24"/>
          <w:szCs w:val="24"/>
        </w:rPr>
        <w:t>Workform</w:t>
      </w:r>
      <w:proofErr w:type="spellEnd"/>
    </w:p>
    <w:p w:rsidR="00725069" w:rsidRPr="00725069" w:rsidRDefault="00725069" w:rsidP="00725069">
      <w:pPr>
        <w:spacing w:after="0"/>
        <w:ind w:firstLine="720"/>
        <w:rPr>
          <w:rFonts w:ascii="Arial" w:hAnsi="Arial" w:cs="Arial"/>
          <w:b/>
          <w:sz w:val="24"/>
          <w:szCs w:val="24"/>
        </w:rPr>
      </w:pPr>
      <w:r w:rsidRPr="00725069">
        <w:rPr>
          <w:rFonts w:ascii="Arial" w:hAnsi="Arial" w:cs="Arial"/>
          <w:b/>
          <w:sz w:val="24"/>
          <w:szCs w:val="24"/>
        </w:rPr>
        <w:t xml:space="preserve">IRM Rate Generator DVA Continuity Schedule </w:t>
      </w:r>
    </w:p>
    <w:p w:rsidR="00725069" w:rsidRPr="00725069" w:rsidRDefault="00725069" w:rsidP="00725069">
      <w:pPr>
        <w:spacing w:after="160"/>
        <w:ind w:left="360"/>
        <w:contextualSpacing/>
        <w:rPr>
          <w:rFonts w:ascii="Arial" w:hAnsi="Arial" w:cs="Arial"/>
          <w:sz w:val="24"/>
          <w:szCs w:val="24"/>
        </w:rPr>
      </w:pPr>
    </w:p>
    <w:p w:rsidR="00725069" w:rsidRPr="00725069" w:rsidRDefault="00725069" w:rsidP="00725069">
      <w:pPr>
        <w:spacing w:after="160"/>
        <w:rPr>
          <w:rFonts w:ascii="Arial" w:hAnsi="Arial" w:cs="Arial"/>
          <w:sz w:val="24"/>
          <w:szCs w:val="24"/>
        </w:rPr>
      </w:pPr>
      <w:r w:rsidRPr="00725069">
        <w:rPr>
          <w:rFonts w:ascii="Arial" w:hAnsi="Arial" w:cs="Arial"/>
          <w:sz w:val="24"/>
          <w:szCs w:val="24"/>
        </w:rPr>
        <w:t>Rideau St. Lawrence Distribution indicates that an adjustment was made between accounts 1588 and 1589 for $47,286 relating to a portion of the RPP Settlement true-up relating to the RPP/Non-RPP split.</w:t>
      </w:r>
    </w:p>
    <w:p w:rsidR="00725069" w:rsidRPr="00725069" w:rsidRDefault="00725069" w:rsidP="00725069">
      <w:pPr>
        <w:spacing w:after="160"/>
        <w:rPr>
          <w:rFonts w:ascii="Arial" w:hAnsi="Arial" w:cs="Arial"/>
          <w:sz w:val="24"/>
          <w:szCs w:val="24"/>
        </w:rPr>
      </w:pPr>
      <w:r w:rsidRPr="00725069">
        <w:rPr>
          <w:rFonts w:ascii="Arial" w:hAnsi="Arial" w:cs="Arial"/>
          <w:sz w:val="24"/>
          <w:szCs w:val="24"/>
        </w:rPr>
        <w:t xml:space="preserve">With respect to the debit adjustment to account 1588 of $47,286, what are Rideau St. Lawrence Distribution plans to settle this amount with the IESO? Does Rideau St. Lawrence Distribution expect to recover this amount from the IESO or customers? Is a credit adjustment in the DVA Continuity Schedule required for account 1588 to eliminate this amount from 1588? Please explain your reasons why. </w:t>
      </w:r>
    </w:p>
    <w:p w:rsidR="00535333" w:rsidRDefault="00535333" w:rsidP="00725069">
      <w:pPr>
        <w:spacing w:after="0"/>
        <w:rPr>
          <w:rFonts w:ascii="Arial" w:hAnsi="Arial" w:cs="Arial"/>
          <w:b/>
          <w:sz w:val="24"/>
          <w:szCs w:val="24"/>
        </w:rPr>
      </w:pP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Staff IR-7</w:t>
      </w: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 xml:space="preserve">Ref: </w:t>
      </w:r>
      <w:r w:rsidRPr="00725069">
        <w:rPr>
          <w:rFonts w:ascii="Arial" w:hAnsi="Arial" w:cs="Arial"/>
          <w:b/>
          <w:sz w:val="24"/>
          <w:szCs w:val="24"/>
        </w:rPr>
        <w:tab/>
        <w:t xml:space="preserve">December 21, 2017 Response to OEB Staff Question 5) a) </w:t>
      </w:r>
    </w:p>
    <w:p w:rsidR="00725069" w:rsidRPr="00725069" w:rsidRDefault="00725069" w:rsidP="00725069">
      <w:pPr>
        <w:spacing w:after="0"/>
        <w:ind w:firstLine="720"/>
        <w:rPr>
          <w:rFonts w:ascii="Arial" w:hAnsi="Arial" w:cs="Arial"/>
          <w:b/>
          <w:sz w:val="24"/>
          <w:szCs w:val="24"/>
        </w:rPr>
      </w:pPr>
      <w:r w:rsidRPr="00725069">
        <w:rPr>
          <w:rFonts w:ascii="Arial" w:hAnsi="Arial" w:cs="Arial"/>
          <w:b/>
          <w:sz w:val="24"/>
          <w:szCs w:val="24"/>
        </w:rPr>
        <w:t xml:space="preserve">GA Analysis </w:t>
      </w:r>
      <w:proofErr w:type="spellStart"/>
      <w:r w:rsidRPr="00725069">
        <w:rPr>
          <w:rFonts w:ascii="Arial" w:hAnsi="Arial" w:cs="Arial"/>
          <w:b/>
          <w:sz w:val="24"/>
          <w:szCs w:val="24"/>
        </w:rPr>
        <w:t>Workform</w:t>
      </w:r>
      <w:proofErr w:type="spellEnd"/>
    </w:p>
    <w:p w:rsidR="00725069" w:rsidRPr="00725069" w:rsidRDefault="00725069" w:rsidP="00725069">
      <w:pPr>
        <w:spacing w:after="160"/>
        <w:rPr>
          <w:rFonts w:ascii="Arial" w:hAnsi="Arial" w:cs="Arial"/>
          <w:sz w:val="24"/>
          <w:szCs w:val="24"/>
        </w:rPr>
      </w:pPr>
    </w:p>
    <w:p w:rsidR="00725069" w:rsidRPr="00725069" w:rsidRDefault="00725069" w:rsidP="00725069">
      <w:pPr>
        <w:spacing w:after="160"/>
        <w:rPr>
          <w:rFonts w:ascii="Arial" w:hAnsi="Arial" w:cs="Arial"/>
          <w:sz w:val="24"/>
          <w:szCs w:val="24"/>
        </w:rPr>
      </w:pPr>
      <w:r w:rsidRPr="00725069">
        <w:rPr>
          <w:rFonts w:ascii="Arial" w:hAnsi="Arial" w:cs="Arial"/>
          <w:sz w:val="24"/>
          <w:szCs w:val="24"/>
        </w:rPr>
        <w:t>Rideau St. Law</w:t>
      </w:r>
      <w:r w:rsidR="00535333">
        <w:rPr>
          <w:rFonts w:ascii="Arial" w:hAnsi="Arial" w:cs="Arial"/>
          <w:sz w:val="24"/>
          <w:szCs w:val="24"/>
        </w:rPr>
        <w:t>r</w:t>
      </w:r>
      <w:r w:rsidRPr="00725069">
        <w:rPr>
          <w:rFonts w:ascii="Arial" w:hAnsi="Arial" w:cs="Arial"/>
          <w:sz w:val="24"/>
          <w:szCs w:val="24"/>
        </w:rPr>
        <w:t xml:space="preserve">ence Distribution indicates that Column F includes both billed and unbilled data for each month from its billing system. Please provide the calculations to support the quantities included in Column F breaking out loss adjusted billed volumes and unbilled volumes. </w:t>
      </w:r>
    </w:p>
    <w:p w:rsidR="00725069" w:rsidRPr="00725069" w:rsidRDefault="00725069" w:rsidP="00725069">
      <w:pPr>
        <w:spacing w:after="0"/>
        <w:rPr>
          <w:rFonts w:ascii="Arial" w:hAnsi="Arial" w:cs="Arial"/>
          <w:b/>
          <w:sz w:val="24"/>
          <w:szCs w:val="24"/>
        </w:rPr>
      </w:pPr>
    </w:p>
    <w:p w:rsidR="00725069" w:rsidRPr="00725069" w:rsidRDefault="00725069" w:rsidP="00725069">
      <w:pPr>
        <w:spacing w:after="0"/>
        <w:rPr>
          <w:rFonts w:ascii="Arial" w:hAnsi="Arial" w:cs="Arial"/>
          <w:b/>
          <w:sz w:val="24"/>
          <w:szCs w:val="24"/>
        </w:rPr>
      </w:pP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lastRenderedPageBreak/>
        <w:t>Staff IR-8</w:t>
      </w: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 xml:space="preserve">Ref: </w:t>
      </w:r>
      <w:r w:rsidRPr="00725069">
        <w:rPr>
          <w:rFonts w:ascii="Arial" w:hAnsi="Arial" w:cs="Arial"/>
          <w:b/>
          <w:sz w:val="24"/>
          <w:szCs w:val="24"/>
        </w:rPr>
        <w:tab/>
        <w:t xml:space="preserve">December 21, 2017 Response to OEB Staff Question 5) b) </w:t>
      </w:r>
    </w:p>
    <w:p w:rsidR="00535333" w:rsidRDefault="00725069" w:rsidP="00535333">
      <w:pPr>
        <w:spacing w:after="0"/>
        <w:ind w:firstLine="720"/>
        <w:rPr>
          <w:rFonts w:ascii="Arial" w:hAnsi="Arial" w:cs="Arial"/>
          <w:b/>
          <w:sz w:val="24"/>
          <w:szCs w:val="24"/>
        </w:rPr>
      </w:pPr>
      <w:r w:rsidRPr="00725069">
        <w:rPr>
          <w:rFonts w:ascii="Arial" w:hAnsi="Arial" w:cs="Arial"/>
          <w:b/>
          <w:sz w:val="24"/>
          <w:szCs w:val="24"/>
        </w:rPr>
        <w:t xml:space="preserve">GA Analysis </w:t>
      </w:r>
      <w:proofErr w:type="spellStart"/>
      <w:r w:rsidRPr="00725069">
        <w:rPr>
          <w:rFonts w:ascii="Arial" w:hAnsi="Arial" w:cs="Arial"/>
          <w:b/>
          <w:sz w:val="24"/>
          <w:szCs w:val="24"/>
        </w:rPr>
        <w:t>Workform</w:t>
      </w:r>
      <w:proofErr w:type="spellEnd"/>
    </w:p>
    <w:p w:rsidR="00535333" w:rsidRDefault="00535333" w:rsidP="00535333">
      <w:pPr>
        <w:spacing w:after="0"/>
        <w:ind w:firstLine="720"/>
        <w:rPr>
          <w:rFonts w:ascii="Arial" w:hAnsi="Arial" w:cs="Arial"/>
          <w:sz w:val="24"/>
          <w:szCs w:val="24"/>
        </w:rPr>
      </w:pPr>
    </w:p>
    <w:p w:rsidR="00725069" w:rsidRPr="00725069" w:rsidRDefault="00725069" w:rsidP="00535333">
      <w:pPr>
        <w:spacing w:after="0"/>
        <w:rPr>
          <w:rFonts w:ascii="Arial" w:hAnsi="Arial" w:cs="Arial"/>
          <w:sz w:val="24"/>
          <w:szCs w:val="24"/>
        </w:rPr>
      </w:pPr>
      <w:r w:rsidRPr="00725069">
        <w:rPr>
          <w:rFonts w:ascii="Arial" w:hAnsi="Arial" w:cs="Arial"/>
          <w:sz w:val="24"/>
          <w:szCs w:val="24"/>
        </w:rPr>
        <w:t>Rideau St. Law</w:t>
      </w:r>
      <w:r w:rsidR="00535333">
        <w:rPr>
          <w:rFonts w:ascii="Arial" w:hAnsi="Arial" w:cs="Arial"/>
          <w:sz w:val="24"/>
          <w:szCs w:val="24"/>
        </w:rPr>
        <w:t>r</w:t>
      </w:r>
      <w:r w:rsidRPr="00725069">
        <w:rPr>
          <w:rFonts w:ascii="Arial" w:hAnsi="Arial" w:cs="Arial"/>
          <w:sz w:val="24"/>
          <w:szCs w:val="24"/>
        </w:rPr>
        <w:t xml:space="preserve">ence Distribution provided a </w:t>
      </w:r>
      <w:proofErr w:type="gramStart"/>
      <w:r w:rsidRPr="00725069">
        <w:rPr>
          <w:rFonts w:ascii="Arial" w:hAnsi="Arial" w:cs="Arial"/>
          <w:sz w:val="24"/>
          <w:szCs w:val="24"/>
        </w:rPr>
        <w:t>high level</w:t>
      </w:r>
      <w:proofErr w:type="gramEnd"/>
      <w:r w:rsidRPr="00725069">
        <w:rPr>
          <w:rFonts w:ascii="Arial" w:hAnsi="Arial" w:cs="Arial"/>
          <w:sz w:val="24"/>
          <w:szCs w:val="24"/>
        </w:rPr>
        <w:t xml:space="preserve"> calculation for the ($47,286) adjustment to account 1589. Please describe the methodology and the data used to determine the volumes of monthly consumption for RPP and non-RPP customers in order to determine the pro-ration of the Global Adjustment attributable to the RPP/Non-RPP customer groups.</w:t>
      </w:r>
    </w:p>
    <w:p w:rsidR="00725069" w:rsidRPr="00725069" w:rsidRDefault="00725069" w:rsidP="00725069">
      <w:pPr>
        <w:rPr>
          <w:rFonts w:ascii="Arial" w:hAnsi="Arial" w:cs="Arial"/>
          <w:sz w:val="24"/>
          <w:szCs w:val="24"/>
        </w:rPr>
      </w:pPr>
    </w:p>
    <w:p w:rsidR="00725069" w:rsidRDefault="00725069" w:rsidP="00725069">
      <w:pPr>
        <w:spacing w:after="0"/>
        <w:ind w:left="360" w:hanging="446"/>
        <w:rPr>
          <w:rFonts w:ascii="Arial" w:hAnsi="Arial" w:cs="Arial"/>
          <w:b/>
          <w:sz w:val="24"/>
          <w:szCs w:val="24"/>
        </w:rPr>
      </w:pPr>
      <w:r w:rsidRPr="00725069">
        <w:rPr>
          <w:rFonts w:ascii="Arial" w:hAnsi="Arial" w:cs="Arial"/>
          <w:b/>
          <w:sz w:val="24"/>
          <w:szCs w:val="24"/>
        </w:rPr>
        <w:t>Staff IR-</w:t>
      </w:r>
      <w:r w:rsidR="00535333">
        <w:rPr>
          <w:rFonts w:ascii="Arial" w:hAnsi="Arial" w:cs="Arial"/>
          <w:b/>
          <w:sz w:val="24"/>
          <w:szCs w:val="24"/>
        </w:rPr>
        <w:t>9</w:t>
      </w:r>
    </w:p>
    <w:p w:rsidR="00535333" w:rsidRDefault="00535333" w:rsidP="00725069">
      <w:pPr>
        <w:spacing w:after="0"/>
        <w:ind w:left="360" w:hanging="446"/>
        <w:rPr>
          <w:rFonts w:ascii="Arial" w:hAnsi="Arial" w:cs="Arial"/>
          <w:b/>
          <w:sz w:val="24"/>
          <w:szCs w:val="24"/>
        </w:rPr>
      </w:pPr>
      <w:r>
        <w:rPr>
          <w:rFonts w:ascii="Arial" w:hAnsi="Arial" w:cs="Arial"/>
          <w:b/>
          <w:sz w:val="24"/>
          <w:szCs w:val="24"/>
        </w:rPr>
        <w:t>Digger Truck Cost Recovery Treatment</w:t>
      </w:r>
    </w:p>
    <w:p w:rsidR="00535333" w:rsidRPr="00725069" w:rsidRDefault="00535333" w:rsidP="00725069">
      <w:pPr>
        <w:spacing w:after="0"/>
        <w:ind w:left="360" w:hanging="446"/>
        <w:rPr>
          <w:rFonts w:ascii="Arial" w:hAnsi="Arial" w:cs="Arial"/>
          <w:b/>
          <w:sz w:val="24"/>
          <w:szCs w:val="24"/>
        </w:rPr>
      </w:pPr>
    </w:p>
    <w:p w:rsidR="00725069" w:rsidRPr="00725069" w:rsidRDefault="00725069" w:rsidP="00725069">
      <w:pPr>
        <w:numPr>
          <w:ilvl w:val="0"/>
          <w:numId w:val="42"/>
        </w:numPr>
        <w:spacing w:after="160" w:line="259" w:lineRule="auto"/>
        <w:contextualSpacing/>
        <w:rPr>
          <w:rFonts w:ascii="Arial" w:hAnsi="Arial" w:cs="Arial"/>
          <w:b/>
          <w:sz w:val="24"/>
          <w:szCs w:val="24"/>
        </w:rPr>
      </w:pPr>
      <w:r w:rsidRPr="00725069">
        <w:rPr>
          <w:rFonts w:ascii="Arial" w:hAnsi="Arial" w:cs="Arial"/>
          <w:b/>
          <w:sz w:val="24"/>
          <w:szCs w:val="24"/>
        </w:rPr>
        <w:t>Ref: Manager’s Summary/pp. 14-16</w:t>
      </w:r>
      <w:r w:rsidRPr="00725069">
        <w:rPr>
          <w:rFonts w:ascii="Arial" w:hAnsi="Arial" w:cs="Arial"/>
          <w:b/>
          <w:sz w:val="24"/>
          <w:szCs w:val="24"/>
        </w:rPr>
        <w:br/>
      </w:r>
      <w:r w:rsidRPr="00725069">
        <w:rPr>
          <w:rFonts w:ascii="Arial" w:hAnsi="Arial" w:cs="Arial"/>
          <w:b/>
          <w:i/>
          <w:sz w:val="24"/>
          <w:szCs w:val="24"/>
        </w:rPr>
        <w:t>Report of the Board: New Policy Options for the Funding of Capital Investments: The Advanced Capital Module (EB-2014-0219)</w:t>
      </w:r>
      <w:r w:rsidRPr="00725069">
        <w:rPr>
          <w:rFonts w:ascii="Arial" w:hAnsi="Arial" w:cs="Arial"/>
          <w:b/>
          <w:sz w:val="24"/>
          <w:szCs w:val="24"/>
        </w:rPr>
        <w:t>, September 18, 2014/ p. 15</w:t>
      </w:r>
    </w:p>
    <w:p w:rsidR="00725069" w:rsidRPr="00725069" w:rsidRDefault="00725069" w:rsidP="00725069">
      <w:pPr>
        <w:spacing w:after="0" w:line="240" w:lineRule="auto"/>
        <w:rPr>
          <w:rFonts w:ascii="Arial" w:eastAsia="Times New Roman" w:hAnsi="Arial" w:cs="Arial"/>
          <w:sz w:val="24"/>
          <w:szCs w:val="24"/>
        </w:rPr>
      </w:pPr>
      <w:r w:rsidRPr="00725069">
        <w:rPr>
          <w:rFonts w:ascii="Arial" w:eastAsia="Times New Roman" w:hAnsi="Arial" w:cs="Arial"/>
          <w:sz w:val="24"/>
          <w:szCs w:val="24"/>
        </w:rPr>
        <w:t>In the Report of the Board: New Policy Options for the Funding of Capital Investments: The Advanced Capital Module (EB-2014-0219), September 18, 2014, on page 15, the OEB identifies a “means test” as a requirement for ICM eligibility in any year:</w:t>
      </w:r>
    </w:p>
    <w:p w:rsidR="00725069" w:rsidRPr="00725069" w:rsidRDefault="00725069" w:rsidP="00725069">
      <w:pPr>
        <w:spacing w:after="0" w:line="240" w:lineRule="auto"/>
        <w:rPr>
          <w:rFonts w:ascii="Arial" w:eastAsia="Times New Roman" w:hAnsi="Arial" w:cs="Arial"/>
          <w:sz w:val="24"/>
          <w:szCs w:val="24"/>
        </w:rPr>
      </w:pPr>
    </w:p>
    <w:p w:rsidR="00725069" w:rsidRPr="00725069" w:rsidRDefault="00725069" w:rsidP="00725069">
      <w:pPr>
        <w:autoSpaceDE w:val="0"/>
        <w:autoSpaceDN w:val="0"/>
        <w:adjustRightInd w:val="0"/>
        <w:spacing w:after="0" w:line="240" w:lineRule="auto"/>
        <w:ind w:left="720" w:right="720"/>
        <w:rPr>
          <w:rFonts w:ascii="Arial" w:hAnsi="Arial" w:cs="Arial"/>
          <w:b/>
          <w:color w:val="000000"/>
          <w:sz w:val="26"/>
          <w:szCs w:val="26"/>
        </w:rPr>
      </w:pPr>
      <w:r w:rsidRPr="00725069">
        <w:rPr>
          <w:rFonts w:ascii="Arial" w:hAnsi="Arial" w:cs="Arial"/>
          <w:b/>
          <w:color w:val="244061" w:themeColor="accent1" w:themeShade="80"/>
          <w:sz w:val="26"/>
          <w:szCs w:val="26"/>
        </w:rPr>
        <w:t xml:space="preserve">4.1.4 The Adoption of a Means Test </w:t>
      </w:r>
    </w:p>
    <w:p w:rsidR="00725069" w:rsidRPr="00725069" w:rsidRDefault="00725069" w:rsidP="00725069">
      <w:pPr>
        <w:spacing w:after="0" w:line="240" w:lineRule="auto"/>
        <w:ind w:left="720" w:right="720"/>
        <w:rPr>
          <w:rFonts w:ascii="Arial" w:eastAsia="Times New Roman" w:hAnsi="Arial" w:cs="Arial"/>
          <w:sz w:val="24"/>
          <w:szCs w:val="24"/>
        </w:rPr>
      </w:pPr>
    </w:p>
    <w:p w:rsidR="00725069" w:rsidRPr="00725069" w:rsidRDefault="00725069" w:rsidP="00725069">
      <w:pPr>
        <w:spacing w:after="0" w:line="240" w:lineRule="auto"/>
        <w:ind w:left="720" w:right="720"/>
        <w:rPr>
          <w:rFonts w:ascii="Arial" w:eastAsia="Times New Roman" w:hAnsi="Arial" w:cs="Arial"/>
          <w:sz w:val="24"/>
          <w:szCs w:val="24"/>
        </w:rPr>
      </w:pPr>
      <w:r w:rsidRPr="00725069">
        <w:rPr>
          <w:rFonts w:ascii="Arial" w:eastAsia="Times New Roman" w:hAnsi="Arial" w:cs="Arial"/>
          <w:sz w:val="24"/>
          <w:szCs w:val="24"/>
        </w:rPr>
        <w:t xml:space="preserve">The Board is of the view that establishing a means test would be prudent in qualifying distributors for incremental capital funding. Any distributor approved for an ACM in its most recent cost of service application must file its most recent calculation of its regulated return (RRR 2.1.5.6) at the time of the applicable Price Cap IR application in which funding for the project, and recovery through rate riders, would commence. </w:t>
      </w:r>
      <w:r w:rsidRPr="00725069">
        <w:rPr>
          <w:rFonts w:ascii="Arial" w:eastAsia="Times New Roman" w:hAnsi="Arial" w:cs="Arial"/>
          <w:b/>
          <w:bCs/>
          <w:sz w:val="24"/>
          <w:szCs w:val="24"/>
        </w:rPr>
        <w:t xml:space="preserve">If the regulated return exceeds 300 basis points </w:t>
      </w:r>
      <w:proofErr w:type="gramStart"/>
      <w:r w:rsidRPr="00725069">
        <w:rPr>
          <w:rFonts w:ascii="Arial" w:eastAsia="Times New Roman" w:hAnsi="Arial" w:cs="Arial"/>
          <w:b/>
          <w:bCs/>
          <w:sz w:val="24"/>
          <w:szCs w:val="24"/>
        </w:rPr>
        <w:t>above</w:t>
      </w:r>
      <w:proofErr w:type="gramEnd"/>
      <w:r w:rsidRPr="00725069">
        <w:rPr>
          <w:rFonts w:ascii="Arial" w:eastAsia="Times New Roman" w:hAnsi="Arial" w:cs="Arial"/>
          <w:b/>
          <w:bCs/>
          <w:sz w:val="24"/>
          <w:szCs w:val="24"/>
        </w:rPr>
        <w:t xml:space="preserve"> the deemed return on equity embedded in the distributor’s rates, the funding for any incremental capital project will not be allowed. </w:t>
      </w:r>
      <w:r w:rsidRPr="00725069">
        <w:rPr>
          <w:rFonts w:ascii="Arial" w:eastAsia="Times New Roman" w:hAnsi="Arial" w:cs="Arial"/>
          <w:sz w:val="24"/>
          <w:szCs w:val="24"/>
        </w:rPr>
        <w:t>Therefore, any approvals provided for an ACM in a cost of service application will be subject to the distributor passing the means test in order to receive its funding during the IR term. The same means test shall also apply going forward for new projects proposed as ICMs during the Price Cap IR term. [Emphasis in original]</w:t>
      </w:r>
    </w:p>
    <w:p w:rsidR="00725069" w:rsidRPr="00725069" w:rsidRDefault="00725069" w:rsidP="00725069">
      <w:pPr>
        <w:contextualSpacing/>
        <w:rPr>
          <w:rFonts w:ascii="Arial" w:hAnsi="Arial" w:cs="Arial"/>
          <w:b/>
          <w:sz w:val="24"/>
          <w:szCs w:val="24"/>
        </w:rPr>
      </w:pPr>
    </w:p>
    <w:p w:rsidR="00725069" w:rsidRPr="00725069" w:rsidRDefault="00725069" w:rsidP="00725069">
      <w:pPr>
        <w:contextualSpacing/>
        <w:rPr>
          <w:rFonts w:ascii="Arial" w:hAnsi="Arial" w:cs="Arial"/>
          <w:sz w:val="24"/>
          <w:szCs w:val="24"/>
        </w:rPr>
      </w:pPr>
      <w:r w:rsidRPr="00725069">
        <w:rPr>
          <w:rFonts w:ascii="Arial" w:hAnsi="Arial" w:cs="Arial"/>
          <w:sz w:val="24"/>
          <w:szCs w:val="24"/>
        </w:rPr>
        <w:t>R</w:t>
      </w:r>
      <w:r w:rsidR="00535333">
        <w:rPr>
          <w:rFonts w:ascii="Arial" w:hAnsi="Arial" w:cs="Arial"/>
          <w:sz w:val="24"/>
          <w:szCs w:val="24"/>
        </w:rPr>
        <w:t>ideau St. Lawrence Distribution</w:t>
      </w:r>
      <w:r w:rsidRPr="00725069">
        <w:rPr>
          <w:rFonts w:ascii="Arial" w:hAnsi="Arial" w:cs="Arial"/>
          <w:sz w:val="24"/>
          <w:szCs w:val="24"/>
        </w:rPr>
        <w:t xml:space="preserve"> has not provided such information in its manager’s summary under consideration of the proposed incremental capital investment.</w:t>
      </w:r>
    </w:p>
    <w:p w:rsidR="00725069" w:rsidRPr="00725069" w:rsidRDefault="00725069" w:rsidP="00725069">
      <w:pPr>
        <w:contextualSpacing/>
        <w:rPr>
          <w:rFonts w:ascii="Arial" w:hAnsi="Arial" w:cs="Arial"/>
          <w:sz w:val="24"/>
          <w:szCs w:val="24"/>
        </w:rPr>
      </w:pPr>
    </w:p>
    <w:p w:rsidR="00725069" w:rsidRPr="00725069" w:rsidRDefault="00725069" w:rsidP="00725069">
      <w:pPr>
        <w:contextualSpacing/>
        <w:rPr>
          <w:rFonts w:ascii="Arial" w:hAnsi="Arial" w:cs="Arial"/>
          <w:sz w:val="24"/>
          <w:szCs w:val="24"/>
        </w:rPr>
      </w:pPr>
      <w:r w:rsidRPr="00725069">
        <w:rPr>
          <w:rFonts w:ascii="Arial" w:hAnsi="Arial" w:cs="Arial"/>
          <w:sz w:val="24"/>
          <w:szCs w:val="24"/>
        </w:rPr>
        <w:lastRenderedPageBreak/>
        <w:t>Please provide complete information, showing calculations and source data, with respect to the regulated ROE for the last year for which actual data is available.</w:t>
      </w:r>
    </w:p>
    <w:p w:rsidR="00725069" w:rsidRPr="00725069" w:rsidRDefault="00725069" w:rsidP="00725069">
      <w:pPr>
        <w:ind w:left="720"/>
        <w:contextualSpacing/>
        <w:rPr>
          <w:rFonts w:ascii="Arial" w:hAnsi="Arial" w:cs="Arial"/>
          <w:b/>
          <w:sz w:val="24"/>
          <w:szCs w:val="24"/>
        </w:rPr>
      </w:pPr>
    </w:p>
    <w:p w:rsidR="00725069" w:rsidRPr="00725069" w:rsidRDefault="00725069" w:rsidP="00725069">
      <w:pPr>
        <w:numPr>
          <w:ilvl w:val="0"/>
          <w:numId w:val="42"/>
        </w:numPr>
        <w:spacing w:after="160" w:line="259" w:lineRule="auto"/>
        <w:contextualSpacing/>
        <w:rPr>
          <w:rFonts w:ascii="Arial" w:hAnsi="Arial" w:cs="Arial"/>
          <w:b/>
          <w:sz w:val="24"/>
          <w:szCs w:val="24"/>
        </w:rPr>
      </w:pPr>
      <w:r w:rsidRPr="00725069">
        <w:rPr>
          <w:rFonts w:ascii="Arial" w:hAnsi="Arial" w:cs="Arial"/>
          <w:b/>
          <w:sz w:val="24"/>
          <w:szCs w:val="24"/>
        </w:rPr>
        <w:t>Ref: Manager’s Summary/page 15</w:t>
      </w:r>
    </w:p>
    <w:p w:rsidR="00725069" w:rsidRPr="00725069" w:rsidRDefault="00535333" w:rsidP="00725069">
      <w:pPr>
        <w:rPr>
          <w:rFonts w:ascii="Arial" w:hAnsi="Arial" w:cs="Arial"/>
          <w:sz w:val="24"/>
          <w:szCs w:val="24"/>
        </w:rPr>
      </w:pPr>
      <w:r w:rsidRPr="00725069">
        <w:rPr>
          <w:rFonts w:ascii="Arial" w:hAnsi="Arial" w:cs="Arial"/>
          <w:sz w:val="24"/>
          <w:szCs w:val="24"/>
        </w:rPr>
        <w:t>R</w:t>
      </w:r>
      <w:r>
        <w:rPr>
          <w:rFonts w:ascii="Arial" w:hAnsi="Arial" w:cs="Arial"/>
          <w:sz w:val="24"/>
          <w:szCs w:val="24"/>
        </w:rPr>
        <w:t>ideau St. Lawrence Distribution</w:t>
      </w:r>
      <w:r w:rsidR="00725069" w:rsidRPr="00725069">
        <w:rPr>
          <w:rFonts w:ascii="Arial" w:hAnsi="Arial" w:cs="Arial"/>
          <w:sz w:val="24"/>
          <w:szCs w:val="24"/>
        </w:rPr>
        <w:t xml:space="preserve"> notes that the digger truck </w:t>
      </w:r>
      <w:proofErr w:type="gramStart"/>
      <w:r w:rsidR="00725069" w:rsidRPr="00725069">
        <w:rPr>
          <w:rFonts w:ascii="Arial" w:hAnsi="Arial" w:cs="Arial"/>
          <w:sz w:val="24"/>
          <w:szCs w:val="24"/>
        </w:rPr>
        <w:t>was acquired</w:t>
      </w:r>
      <w:proofErr w:type="gramEnd"/>
      <w:r w:rsidR="00725069" w:rsidRPr="00725069">
        <w:rPr>
          <w:rFonts w:ascii="Arial" w:hAnsi="Arial" w:cs="Arial"/>
          <w:sz w:val="24"/>
          <w:szCs w:val="24"/>
        </w:rPr>
        <w:t xml:space="preserve"> in April 2017 on page 15 of its manager’s summary.</w:t>
      </w:r>
    </w:p>
    <w:p w:rsidR="00725069" w:rsidRPr="00725069" w:rsidRDefault="00725069" w:rsidP="00725069">
      <w:pPr>
        <w:numPr>
          <w:ilvl w:val="0"/>
          <w:numId w:val="43"/>
        </w:numPr>
        <w:spacing w:after="160" w:line="259" w:lineRule="auto"/>
        <w:contextualSpacing/>
        <w:rPr>
          <w:rFonts w:ascii="Arial" w:hAnsi="Arial" w:cs="Arial"/>
          <w:sz w:val="24"/>
          <w:szCs w:val="24"/>
        </w:rPr>
      </w:pPr>
      <w:r w:rsidRPr="00725069">
        <w:rPr>
          <w:rFonts w:ascii="Arial" w:hAnsi="Arial" w:cs="Arial"/>
          <w:sz w:val="24"/>
          <w:szCs w:val="24"/>
        </w:rPr>
        <w:t xml:space="preserve">Please confirm that, for financial reporting purposes, the digger truck </w:t>
      </w:r>
      <w:proofErr w:type="gramStart"/>
      <w:r w:rsidRPr="00725069">
        <w:rPr>
          <w:rFonts w:ascii="Arial" w:hAnsi="Arial" w:cs="Arial"/>
          <w:sz w:val="24"/>
          <w:szCs w:val="24"/>
        </w:rPr>
        <w:t>will be accounted for</w:t>
      </w:r>
      <w:proofErr w:type="gramEnd"/>
      <w:r w:rsidRPr="00725069">
        <w:rPr>
          <w:rFonts w:ascii="Arial" w:hAnsi="Arial" w:cs="Arial"/>
          <w:sz w:val="24"/>
          <w:szCs w:val="24"/>
        </w:rPr>
        <w:t xml:space="preserve"> as an asset of </w:t>
      </w:r>
      <w:r w:rsidR="00535333" w:rsidRPr="00725069">
        <w:rPr>
          <w:rFonts w:ascii="Arial" w:hAnsi="Arial" w:cs="Arial"/>
          <w:sz w:val="24"/>
          <w:szCs w:val="24"/>
        </w:rPr>
        <w:t>R</w:t>
      </w:r>
      <w:r w:rsidR="00535333">
        <w:rPr>
          <w:rFonts w:ascii="Arial" w:hAnsi="Arial" w:cs="Arial"/>
          <w:sz w:val="24"/>
          <w:szCs w:val="24"/>
        </w:rPr>
        <w:t>ideau St. Lawrence Distribution</w:t>
      </w:r>
      <w:r w:rsidRPr="00725069">
        <w:rPr>
          <w:rFonts w:ascii="Arial" w:hAnsi="Arial" w:cs="Arial"/>
          <w:sz w:val="24"/>
          <w:szCs w:val="24"/>
        </w:rPr>
        <w:t xml:space="preserve"> in the 2017 fiscal calendar year.</w:t>
      </w:r>
    </w:p>
    <w:p w:rsidR="00725069" w:rsidRPr="00725069" w:rsidRDefault="00725069" w:rsidP="00725069">
      <w:pPr>
        <w:numPr>
          <w:ilvl w:val="0"/>
          <w:numId w:val="43"/>
        </w:numPr>
        <w:spacing w:after="160" w:line="259" w:lineRule="auto"/>
        <w:contextualSpacing/>
        <w:rPr>
          <w:rFonts w:ascii="Arial" w:hAnsi="Arial" w:cs="Arial"/>
          <w:sz w:val="24"/>
          <w:szCs w:val="24"/>
        </w:rPr>
      </w:pPr>
      <w:r w:rsidRPr="00725069">
        <w:rPr>
          <w:rFonts w:ascii="Arial" w:hAnsi="Arial" w:cs="Arial"/>
          <w:sz w:val="24"/>
          <w:szCs w:val="24"/>
        </w:rPr>
        <w:t xml:space="preserve">As proposed, </w:t>
      </w:r>
      <w:r w:rsidR="00535333" w:rsidRPr="00725069">
        <w:rPr>
          <w:rFonts w:ascii="Arial" w:hAnsi="Arial" w:cs="Arial"/>
          <w:sz w:val="24"/>
          <w:szCs w:val="24"/>
        </w:rPr>
        <w:t>R</w:t>
      </w:r>
      <w:r w:rsidR="00535333">
        <w:rPr>
          <w:rFonts w:ascii="Arial" w:hAnsi="Arial" w:cs="Arial"/>
          <w:sz w:val="24"/>
          <w:szCs w:val="24"/>
        </w:rPr>
        <w:t>ideau St. Lawrence Distribution</w:t>
      </w:r>
      <w:r w:rsidRPr="00725069">
        <w:rPr>
          <w:rFonts w:ascii="Arial" w:hAnsi="Arial" w:cs="Arial"/>
          <w:sz w:val="24"/>
          <w:szCs w:val="24"/>
        </w:rPr>
        <w:t xml:space="preserve"> is seeking an incremental capital treatment and rate rider as if the digger truck becomes “used and useful” (i.e., in service) in 2018. Is </w:t>
      </w:r>
      <w:r w:rsidR="00535333" w:rsidRPr="00725069">
        <w:rPr>
          <w:rFonts w:ascii="Arial" w:hAnsi="Arial" w:cs="Arial"/>
          <w:sz w:val="24"/>
          <w:szCs w:val="24"/>
        </w:rPr>
        <w:t>R</w:t>
      </w:r>
      <w:r w:rsidR="00535333">
        <w:rPr>
          <w:rFonts w:ascii="Arial" w:hAnsi="Arial" w:cs="Arial"/>
          <w:sz w:val="24"/>
          <w:szCs w:val="24"/>
        </w:rPr>
        <w:t>ideau St. Lawrence Distribution</w:t>
      </w:r>
      <w:r w:rsidRPr="00725069">
        <w:rPr>
          <w:rFonts w:ascii="Arial" w:hAnsi="Arial" w:cs="Arial"/>
          <w:sz w:val="24"/>
          <w:szCs w:val="24"/>
        </w:rPr>
        <w:t xml:space="preserve"> proposing that, for regulatory accounting purposes, the digger truck </w:t>
      </w:r>
      <w:proofErr w:type="gramStart"/>
      <w:r w:rsidRPr="00725069">
        <w:rPr>
          <w:rFonts w:ascii="Arial" w:hAnsi="Arial" w:cs="Arial"/>
          <w:sz w:val="24"/>
          <w:szCs w:val="24"/>
        </w:rPr>
        <w:t>is listed</w:t>
      </w:r>
      <w:proofErr w:type="gramEnd"/>
      <w:r w:rsidRPr="00725069">
        <w:rPr>
          <w:rFonts w:ascii="Arial" w:hAnsi="Arial" w:cs="Arial"/>
          <w:sz w:val="24"/>
          <w:szCs w:val="24"/>
        </w:rPr>
        <w:t xml:space="preserve"> as an asset that enters service during 2018?</w:t>
      </w:r>
    </w:p>
    <w:p w:rsidR="00725069" w:rsidRPr="00725069" w:rsidRDefault="00725069" w:rsidP="00725069">
      <w:pPr>
        <w:numPr>
          <w:ilvl w:val="0"/>
          <w:numId w:val="43"/>
        </w:numPr>
        <w:spacing w:after="160" w:line="259" w:lineRule="auto"/>
        <w:contextualSpacing/>
        <w:rPr>
          <w:rFonts w:ascii="Arial" w:hAnsi="Arial" w:cs="Arial"/>
          <w:sz w:val="24"/>
          <w:szCs w:val="24"/>
        </w:rPr>
      </w:pPr>
      <w:r w:rsidRPr="00725069">
        <w:rPr>
          <w:rFonts w:ascii="Arial" w:hAnsi="Arial" w:cs="Arial"/>
          <w:sz w:val="24"/>
          <w:szCs w:val="24"/>
        </w:rPr>
        <w:t>If the answer to b) is “Yes”, then please explain the rationale for having a temporal (time-based) disconnect between the treatment of the digger truck for financial accounting and regulatory accounting purposes.</w:t>
      </w:r>
    </w:p>
    <w:p w:rsidR="00725069" w:rsidRPr="00725069" w:rsidRDefault="00725069" w:rsidP="00725069">
      <w:pPr>
        <w:numPr>
          <w:ilvl w:val="0"/>
          <w:numId w:val="43"/>
        </w:numPr>
        <w:spacing w:after="160" w:line="259" w:lineRule="auto"/>
        <w:contextualSpacing/>
        <w:rPr>
          <w:rFonts w:ascii="Arial" w:hAnsi="Arial" w:cs="Arial"/>
          <w:sz w:val="24"/>
          <w:szCs w:val="24"/>
        </w:rPr>
      </w:pPr>
      <w:r w:rsidRPr="00725069">
        <w:rPr>
          <w:rFonts w:ascii="Arial" w:hAnsi="Arial" w:cs="Arial"/>
          <w:sz w:val="24"/>
          <w:szCs w:val="24"/>
        </w:rPr>
        <w:t>If the answer to b) is “No”, please provide an explanation.</w:t>
      </w:r>
      <w:r w:rsidRPr="00725069">
        <w:rPr>
          <w:rFonts w:ascii="Arial" w:hAnsi="Arial" w:cs="Arial"/>
          <w:sz w:val="24"/>
          <w:szCs w:val="24"/>
        </w:rPr>
        <w:br/>
      </w:r>
    </w:p>
    <w:p w:rsidR="00725069" w:rsidRPr="00725069" w:rsidRDefault="00725069" w:rsidP="00725069">
      <w:pPr>
        <w:numPr>
          <w:ilvl w:val="0"/>
          <w:numId w:val="42"/>
        </w:numPr>
        <w:spacing w:after="160" w:line="259" w:lineRule="auto"/>
        <w:contextualSpacing/>
        <w:rPr>
          <w:rFonts w:ascii="Arial" w:hAnsi="Arial" w:cs="Arial"/>
          <w:b/>
          <w:sz w:val="24"/>
          <w:szCs w:val="24"/>
        </w:rPr>
      </w:pPr>
      <w:r w:rsidRPr="00725069">
        <w:rPr>
          <w:rFonts w:ascii="Arial" w:hAnsi="Arial" w:cs="Arial"/>
          <w:b/>
          <w:sz w:val="24"/>
          <w:szCs w:val="24"/>
        </w:rPr>
        <w:t>Ref: Manager’s Summary/page 15</w:t>
      </w:r>
      <w:r w:rsidRPr="00725069">
        <w:rPr>
          <w:rFonts w:ascii="Arial" w:hAnsi="Arial" w:cs="Arial"/>
          <w:b/>
          <w:sz w:val="24"/>
          <w:szCs w:val="24"/>
        </w:rPr>
        <w:br/>
        <w:t>Decision and Rate Order EB-2015-0100/pages 4-5 and Settlement Proposal/page 23/Section 2.3</w:t>
      </w:r>
    </w:p>
    <w:p w:rsidR="00725069" w:rsidRPr="00725069" w:rsidRDefault="00535333" w:rsidP="00725069">
      <w:pPr>
        <w:rPr>
          <w:rFonts w:ascii="Arial" w:hAnsi="Arial" w:cs="Arial"/>
          <w:sz w:val="24"/>
          <w:szCs w:val="24"/>
        </w:rPr>
      </w:pPr>
      <w:r w:rsidRPr="00725069">
        <w:rPr>
          <w:rFonts w:ascii="Arial" w:hAnsi="Arial" w:cs="Arial"/>
          <w:sz w:val="24"/>
          <w:szCs w:val="24"/>
        </w:rPr>
        <w:t>R</w:t>
      </w:r>
      <w:r>
        <w:rPr>
          <w:rFonts w:ascii="Arial" w:hAnsi="Arial" w:cs="Arial"/>
          <w:sz w:val="24"/>
          <w:szCs w:val="24"/>
        </w:rPr>
        <w:t>ideau St. Lawrence Distribution</w:t>
      </w:r>
      <w:r w:rsidR="00725069" w:rsidRPr="00725069">
        <w:rPr>
          <w:rFonts w:ascii="Arial" w:hAnsi="Arial" w:cs="Arial"/>
          <w:sz w:val="24"/>
          <w:szCs w:val="24"/>
        </w:rPr>
        <w:t xml:space="preserve"> </w:t>
      </w:r>
      <w:proofErr w:type="gramStart"/>
      <w:r w:rsidR="00725069" w:rsidRPr="00725069">
        <w:rPr>
          <w:rFonts w:ascii="Arial" w:hAnsi="Arial" w:cs="Arial"/>
          <w:sz w:val="24"/>
          <w:szCs w:val="24"/>
        </w:rPr>
        <w:t>states that</w:t>
      </w:r>
      <w:proofErr w:type="gramEnd"/>
      <w:r w:rsidR="00725069" w:rsidRPr="00725069">
        <w:rPr>
          <w:rFonts w:ascii="Arial" w:hAnsi="Arial" w:cs="Arial"/>
          <w:sz w:val="24"/>
          <w:szCs w:val="24"/>
        </w:rPr>
        <w:t xml:space="preserve"> “[d]</w:t>
      </w:r>
      <w:proofErr w:type="spellStart"/>
      <w:r w:rsidR="00725069" w:rsidRPr="00725069">
        <w:rPr>
          <w:rFonts w:ascii="Arial" w:hAnsi="Arial" w:cs="Arial"/>
          <w:sz w:val="24"/>
          <w:szCs w:val="24"/>
        </w:rPr>
        <w:t>ue</w:t>
      </w:r>
      <w:proofErr w:type="spellEnd"/>
      <w:r w:rsidR="00725069" w:rsidRPr="00725069">
        <w:rPr>
          <w:rFonts w:ascii="Arial" w:hAnsi="Arial" w:cs="Arial"/>
          <w:sz w:val="24"/>
          <w:szCs w:val="24"/>
        </w:rPr>
        <w:t xml:space="preserve"> to the late delivery, </w:t>
      </w:r>
      <w:r w:rsidRPr="00725069">
        <w:rPr>
          <w:rFonts w:ascii="Arial" w:hAnsi="Arial" w:cs="Arial"/>
          <w:sz w:val="24"/>
          <w:szCs w:val="24"/>
        </w:rPr>
        <w:t>R</w:t>
      </w:r>
      <w:r>
        <w:rPr>
          <w:rFonts w:ascii="Arial" w:hAnsi="Arial" w:cs="Arial"/>
          <w:sz w:val="24"/>
          <w:szCs w:val="24"/>
        </w:rPr>
        <w:t>ideau St. Lawrence Distribution</w:t>
      </w:r>
      <w:r w:rsidR="00725069" w:rsidRPr="00725069">
        <w:rPr>
          <w:rFonts w:ascii="Arial" w:hAnsi="Arial" w:cs="Arial"/>
          <w:sz w:val="24"/>
          <w:szCs w:val="24"/>
        </w:rPr>
        <w:t xml:space="preserve"> was not able to include this asset in the rate base of the 2016 Cost of Service rate application, EB-2015-0100. As this purchase is a material amount to </w:t>
      </w:r>
      <w:r w:rsidR="00844056" w:rsidRPr="00725069">
        <w:rPr>
          <w:rFonts w:ascii="Arial" w:hAnsi="Arial" w:cs="Arial"/>
          <w:sz w:val="24"/>
          <w:szCs w:val="24"/>
        </w:rPr>
        <w:t>R</w:t>
      </w:r>
      <w:r w:rsidR="00844056">
        <w:rPr>
          <w:rFonts w:ascii="Arial" w:hAnsi="Arial" w:cs="Arial"/>
          <w:sz w:val="24"/>
          <w:szCs w:val="24"/>
        </w:rPr>
        <w:t>ideau St. Lawrence Distribution</w:t>
      </w:r>
      <w:r w:rsidR="00725069" w:rsidRPr="00725069">
        <w:rPr>
          <w:rFonts w:ascii="Arial" w:hAnsi="Arial" w:cs="Arial"/>
          <w:sz w:val="24"/>
          <w:szCs w:val="24"/>
        </w:rPr>
        <w:t xml:space="preserve">, representing almost a full year of capital spending in one asset, </w:t>
      </w:r>
      <w:r w:rsidRPr="00725069">
        <w:rPr>
          <w:rFonts w:ascii="Arial" w:hAnsi="Arial" w:cs="Arial"/>
          <w:sz w:val="24"/>
          <w:szCs w:val="24"/>
        </w:rPr>
        <w:t>R</w:t>
      </w:r>
      <w:r>
        <w:rPr>
          <w:rFonts w:ascii="Arial" w:hAnsi="Arial" w:cs="Arial"/>
          <w:sz w:val="24"/>
          <w:szCs w:val="24"/>
        </w:rPr>
        <w:t>ideau St. Lawrence Distribution</w:t>
      </w:r>
      <w:r w:rsidR="00725069" w:rsidRPr="00725069">
        <w:rPr>
          <w:rFonts w:ascii="Arial" w:hAnsi="Arial" w:cs="Arial"/>
          <w:sz w:val="24"/>
          <w:szCs w:val="24"/>
        </w:rPr>
        <w:t xml:space="preserve"> is applying for incremental capital funding for this truck.” </w:t>
      </w:r>
    </w:p>
    <w:p w:rsidR="00725069" w:rsidRPr="00725069" w:rsidRDefault="00725069" w:rsidP="00725069">
      <w:pPr>
        <w:rPr>
          <w:rFonts w:ascii="Arial" w:hAnsi="Arial" w:cs="Arial"/>
          <w:sz w:val="24"/>
          <w:szCs w:val="24"/>
        </w:rPr>
      </w:pPr>
      <w:r w:rsidRPr="00725069">
        <w:rPr>
          <w:rFonts w:ascii="Arial" w:hAnsi="Arial" w:cs="Arial"/>
          <w:sz w:val="24"/>
          <w:szCs w:val="24"/>
        </w:rPr>
        <w:t>In its Decision and Rate Order EB-2015-0100, issued June 15, 2017, the OEB stated:</w:t>
      </w:r>
    </w:p>
    <w:p w:rsidR="00725069" w:rsidRPr="00725069" w:rsidRDefault="00725069" w:rsidP="00725069">
      <w:pPr>
        <w:ind w:left="720" w:right="720"/>
        <w:rPr>
          <w:rFonts w:ascii="Arial" w:hAnsi="Arial" w:cs="Arial"/>
          <w:b/>
          <w:sz w:val="28"/>
          <w:szCs w:val="28"/>
        </w:rPr>
      </w:pPr>
      <w:r w:rsidRPr="00725069">
        <w:rPr>
          <w:rFonts w:ascii="Arial" w:hAnsi="Arial" w:cs="Arial"/>
          <w:b/>
          <w:sz w:val="28"/>
          <w:szCs w:val="28"/>
        </w:rPr>
        <w:t>3.2 Test Year</w:t>
      </w:r>
    </w:p>
    <w:p w:rsidR="00725069" w:rsidRPr="00725069" w:rsidRDefault="00725069" w:rsidP="00725069">
      <w:pPr>
        <w:ind w:left="720" w:right="720"/>
        <w:rPr>
          <w:rFonts w:ascii="Arial" w:hAnsi="Arial" w:cs="Arial"/>
          <w:sz w:val="24"/>
          <w:szCs w:val="24"/>
        </w:rPr>
      </w:pPr>
      <w:r w:rsidRPr="00725069">
        <w:rPr>
          <w:rFonts w:ascii="Arial" w:hAnsi="Arial" w:cs="Arial"/>
          <w:sz w:val="24"/>
          <w:szCs w:val="24"/>
        </w:rPr>
        <w:t xml:space="preserve">The Application </w:t>
      </w:r>
      <w:proofErr w:type="gramStart"/>
      <w:r w:rsidRPr="00725069">
        <w:rPr>
          <w:rFonts w:ascii="Arial" w:hAnsi="Arial" w:cs="Arial"/>
          <w:sz w:val="24"/>
          <w:szCs w:val="24"/>
        </w:rPr>
        <w:t>was filed</w:t>
      </w:r>
      <w:proofErr w:type="gramEnd"/>
      <w:r w:rsidRPr="00725069">
        <w:rPr>
          <w:rFonts w:ascii="Arial" w:hAnsi="Arial" w:cs="Arial"/>
          <w:sz w:val="24"/>
          <w:szCs w:val="24"/>
        </w:rPr>
        <w:t xml:space="preserve"> on October 21, 2016 pursuant to the Filing Requirements for Electricity Distribution Rate Applications - 2015 Edition for 2016 Rate Applications (filing requirements). Given that the Application </w:t>
      </w:r>
      <w:proofErr w:type="gramStart"/>
      <w:r w:rsidRPr="00725069">
        <w:rPr>
          <w:rFonts w:ascii="Arial" w:hAnsi="Arial" w:cs="Arial"/>
          <w:sz w:val="24"/>
          <w:szCs w:val="24"/>
        </w:rPr>
        <w:t>was filed</w:t>
      </w:r>
      <w:proofErr w:type="gramEnd"/>
      <w:r w:rsidRPr="00725069">
        <w:rPr>
          <w:rFonts w:ascii="Arial" w:hAnsi="Arial" w:cs="Arial"/>
          <w:sz w:val="24"/>
          <w:szCs w:val="24"/>
        </w:rPr>
        <w:t xml:space="preserve"> after the OEB’s August 2015 deadline for 2016 rates’ applications, the OEB received the application as a “late filing”. However, unlike with the OEB’s current edition of the filing requirements, the 2015 edition (for 2016 rates) did not require a late filing applicant to convert its </w:t>
      </w:r>
      <w:r w:rsidRPr="00725069">
        <w:rPr>
          <w:rFonts w:ascii="Arial" w:hAnsi="Arial" w:cs="Arial"/>
          <w:sz w:val="24"/>
          <w:szCs w:val="24"/>
        </w:rPr>
        <w:lastRenderedPageBreak/>
        <w:t xml:space="preserve">application to the subsequent year. (Under the 2016 edition of the filing requirements (for 2017 </w:t>
      </w:r>
      <w:proofErr w:type="gramStart"/>
      <w:r w:rsidRPr="00725069">
        <w:rPr>
          <w:rFonts w:ascii="Arial" w:hAnsi="Arial" w:cs="Arial"/>
          <w:sz w:val="24"/>
          <w:szCs w:val="24"/>
        </w:rPr>
        <w:t>rates)</w:t>
      </w:r>
      <w:proofErr w:type="gramEnd"/>
      <w:r w:rsidRPr="00725069">
        <w:rPr>
          <w:rFonts w:ascii="Arial" w:hAnsi="Arial" w:cs="Arial"/>
          <w:sz w:val="24"/>
          <w:szCs w:val="24"/>
        </w:rPr>
        <w:t xml:space="preserve"> this conversion would now be required.)</w:t>
      </w:r>
    </w:p>
    <w:p w:rsidR="00725069" w:rsidRPr="00725069" w:rsidRDefault="00725069" w:rsidP="00725069">
      <w:pPr>
        <w:ind w:left="720" w:right="720"/>
        <w:rPr>
          <w:rFonts w:ascii="Arial" w:hAnsi="Arial" w:cs="Arial"/>
          <w:sz w:val="24"/>
          <w:szCs w:val="24"/>
        </w:rPr>
      </w:pPr>
      <w:r w:rsidRPr="00725069">
        <w:rPr>
          <w:rFonts w:ascii="Arial" w:hAnsi="Arial" w:cs="Arial"/>
          <w:sz w:val="24"/>
          <w:szCs w:val="24"/>
        </w:rPr>
        <w:t>Through the Settlement Proposal, the parties requested that the OEB approve a 2016 test year with the resulting rates effective in 2017.</w:t>
      </w:r>
    </w:p>
    <w:p w:rsidR="00725069" w:rsidRPr="00725069" w:rsidRDefault="00725069" w:rsidP="00725069">
      <w:pPr>
        <w:ind w:left="720" w:right="720"/>
        <w:rPr>
          <w:rFonts w:ascii="Arial" w:hAnsi="Arial" w:cs="Arial"/>
          <w:sz w:val="24"/>
          <w:szCs w:val="24"/>
        </w:rPr>
      </w:pPr>
      <w:r w:rsidRPr="00725069">
        <w:rPr>
          <w:rFonts w:ascii="Arial" w:hAnsi="Arial" w:cs="Arial"/>
          <w:sz w:val="24"/>
          <w:szCs w:val="24"/>
        </w:rPr>
        <w:t xml:space="preserve">The parties to the settlement agreed that it was appropriate to use 2016 as a test year. The Settlement Proposal indicated that despite the late filing, the OEB did not require Rideau St. Lawrence Distribution to revise or amend its Application. As well, comprehensive forecasts for a 2017 test year </w:t>
      </w:r>
      <w:proofErr w:type="gramStart"/>
      <w:r w:rsidRPr="00725069">
        <w:rPr>
          <w:rFonts w:ascii="Arial" w:hAnsi="Arial" w:cs="Arial"/>
          <w:sz w:val="24"/>
          <w:szCs w:val="24"/>
        </w:rPr>
        <w:t>had not been filed</w:t>
      </w:r>
      <w:proofErr w:type="gramEnd"/>
      <w:r w:rsidRPr="00725069">
        <w:rPr>
          <w:rFonts w:ascii="Arial" w:hAnsi="Arial" w:cs="Arial"/>
          <w:sz w:val="24"/>
          <w:szCs w:val="24"/>
        </w:rPr>
        <w:t>. OEB staff submitted that a 2016 test year would be acceptable as it would be consistent with the edition of the filing requirements applicable to the Application.</w:t>
      </w:r>
    </w:p>
    <w:p w:rsidR="00725069" w:rsidRPr="00725069" w:rsidRDefault="00725069" w:rsidP="00725069">
      <w:pPr>
        <w:ind w:left="720" w:right="720"/>
        <w:rPr>
          <w:rFonts w:ascii="Arial" w:hAnsi="Arial" w:cs="Arial"/>
          <w:b/>
          <w:sz w:val="24"/>
          <w:szCs w:val="24"/>
        </w:rPr>
      </w:pPr>
    </w:p>
    <w:p w:rsidR="00725069" w:rsidRPr="00725069" w:rsidRDefault="00725069" w:rsidP="00725069">
      <w:pPr>
        <w:ind w:left="720" w:right="720"/>
        <w:rPr>
          <w:rFonts w:ascii="Arial" w:hAnsi="Arial" w:cs="Arial"/>
          <w:b/>
          <w:sz w:val="24"/>
          <w:szCs w:val="24"/>
        </w:rPr>
      </w:pPr>
      <w:r w:rsidRPr="00725069">
        <w:rPr>
          <w:rFonts w:ascii="Arial" w:hAnsi="Arial" w:cs="Arial"/>
          <w:b/>
          <w:sz w:val="24"/>
          <w:szCs w:val="24"/>
        </w:rPr>
        <w:t>Findings</w:t>
      </w:r>
    </w:p>
    <w:p w:rsidR="00725069" w:rsidRPr="00725069" w:rsidRDefault="00725069" w:rsidP="00725069">
      <w:pPr>
        <w:ind w:left="720" w:right="720"/>
        <w:rPr>
          <w:rFonts w:ascii="Arial" w:hAnsi="Arial" w:cs="Arial"/>
          <w:sz w:val="24"/>
          <w:szCs w:val="24"/>
        </w:rPr>
      </w:pPr>
      <w:r w:rsidRPr="00725069">
        <w:rPr>
          <w:rFonts w:ascii="Arial" w:hAnsi="Arial" w:cs="Arial"/>
          <w:sz w:val="24"/>
          <w:szCs w:val="24"/>
        </w:rPr>
        <w:t>The OEB finds that it is appropriate to use 2016 as the test year with rates effective in 2017 in this case. [Decision and Rate Order EB-2015-0100, June 15, 2017, pp. 4-5]</w:t>
      </w:r>
    </w:p>
    <w:p w:rsidR="00725069" w:rsidRPr="00725069" w:rsidRDefault="00725069" w:rsidP="00725069">
      <w:pPr>
        <w:ind w:right="720"/>
        <w:rPr>
          <w:rFonts w:ascii="Arial" w:hAnsi="Arial" w:cs="Arial"/>
          <w:sz w:val="24"/>
          <w:szCs w:val="24"/>
        </w:rPr>
      </w:pPr>
      <w:r w:rsidRPr="00725069">
        <w:rPr>
          <w:rFonts w:ascii="Arial" w:hAnsi="Arial" w:cs="Arial"/>
          <w:sz w:val="24"/>
          <w:szCs w:val="24"/>
        </w:rPr>
        <w:t xml:space="preserve">Section 2.3 of the Settlement Proposal states: </w:t>
      </w:r>
    </w:p>
    <w:p w:rsidR="00725069" w:rsidRPr="00725069" w:rsidRDefault="00725069" w:rsidP="00725069">
      <w:pPr>
        <w:ind w:left="720"/>
        <w:rPr>
          <w:rFonts w:ascii="Times New Roman" w:hAnsi="Times New Roman" w:cs="Times New Roman"/>
          <w:i/>
        </w:rPr>
      </w:pPr>
      <w:proofErr w:type="gramStart"/>
      <w:r w:rsidRPr="00725069">
        <w:rPr>
          <w:rFonts w:ascii="Times New Roman" w:hAnsi="Times New Roman" w:cs="Times New Roman"/>
          <w:b/>
          <w:i/>
        </w:rPr>
        <w:t>2.3</w:t>
      </w:r>
      <w:proofErr w:type="gramEnd"/>
      <w:r w:rsidRPr="00725069">
        <w:rPr>
          <w:rFonts w:ascii="Times New Roman" w:hAnsi="Times New Roman" w:cs="Times New Roman"/>
          <w:b/>
          <w:i/>
        </w:rPr>
        <w:t>:</w:t>
      </w:r>
      <w:r w:rsidRPr="00725069">
        <w:rPr>
          <w:rFonts w:ascii="Times New Roman" w:hAnsi="Times New Roman" w:cs="Times New Roman"/>
          <w:i/>
        </w:rPr>
        <w:tab/>
        <w:t>Is it appropriate to use 2016 as the test year when rates are effective June 1, 2017?</w:t>
      </w:r>
    </w:p>
    <w:p w:rsidR="00725069" w:rsidRPr="00725069" w:rsidRDefault="00725069" w:rsidP="00725069">
      <w:pPr>
        <w:ind w:left="720"/>
        <w:rPr>
          <w:rFonts w:ascii="Times New Roman" w:hAnsi="Times New Roman" w:cs="Times New Roman"/>
        </w:rPr>
      </w:pPr>
      <w:r w:rsidRPr="00725069">
        <w:rPr>
          <w:rFonts w:ascii="Times New Roman" w:hAnsi="Times New Roman" w:cs="Times New Roman"/>
          <w:b/>
        </w:rPr>
        <w:t>Complete Settlement:</w:t>
      </w:r>
      <w:r w:rsidRPr="00725069">
        <w:rPr>
          <w:rFonts w:ascii="Times New Roman" w:hAnsi="Times New Roman" w:cs="Times New Roman"/>
        </w:rPr>
        <w:t xml:space="preserve"> The Application </w:t>
      </w:r>
      <w:proofErr w:type="gramStart"/>
      <w:r w:rsidRPr="00725069">
        <w:rPr>
          <w:rFonts w:ascii="Times New Roman" w:hAnsi="Times New Roman" w:cs="Times New Roman"/>
        </w:rPr>
        <w:t>was filed</w:t>
      </w:r>
      <w:proofErr w:type="gramEnd"/>
      <w:r w:rsidRPr="00725069">
        <w:rPr>
          <w:rFonts w:ascii="Times New Roman" w:hAnsi="Times New Roman" w:cs="Times New Roman"/>
        </w:rPr>
        <w:t xml:space="preserve"> based on the OEB’s 2015 Filing Requirements for 2016 rate setting. The Application </w:t>
      </w:r>
      <w:proofErr w:type="gramStart"/>
      <w:r w:rsidRPr="00725069">
        <w:rPr>
          <w:rFonts w:ascii="Times New Roman" w:hAnsi="Times New Roman" w:cs="Times New Roman"/>
        </w:rPr>
        <w:t>was filed</w:t>
      </w:r>
      <w:proofErr w:type="gramEnd"/>
      <w:r w:rsidRPr="00725069">
        <w:rPr>
          <w:rFonts w:ascii="Times New Roman" w:hAnsi="Times New Roman" w:cs="Times New Roman"/>
        </w:rPr>
        <w:t xml:space="preserve"> on October 21, 2016. The OEB did not require RSL to revise or amend its Application.</w:t>
      </w:r>
    </w:p>
    <w:p w:rsidR="00725069" w:rsidRPr="00725069" w:rsidRDefault="00725069" w:rsidP="00725069">
      <w:pPr>
        <w:ind w:left="720"/>
        <w:rPr>
          <w:rFonts w:ascii="Times New Roman" w:hAnsi="Times New Roman" w:cs="Times New Roman"/>
        </w:rPr>
      </w:pPr>
      <w:r w:rsidRPr="00725069">
        <w:rPr>
          <w:rFonts w:ascii="Times New Roman" w:hAnsi="Times New Roman" w:cs="Times New Roman"/>
        </w:rPr>
        <w:t xml:space="preserve">For the purposes of settling all of the issues in this proceeding, the Parties agree that it is appropriate to use 2016 as the test year. The Application, the Interrogatory Responses, and this Settlement Proposal </w:t>
      </w:r>
      <w:proofErr w:type="gramStart"/>
      <w:r w:rsidRPr="00725069">
        <w:rPr>
          <w:rFonts w:ascii="Times New Roman" w:hAnsi="Times New Roman" w:cs="Times New Roman"/>
        </w:rPr>
        <w:t>are all based</w:t>
      </w:r>
      <w:proofErr w:type="gramEnd"/>
      <w:r w:rsidRPr="00725069">
        <w:rPr>
          <w:rFonts w:ascii="Times New Roman" w:hAnsi="Times New Roman" w:cs="Times New Roman"/>
        </w:rPr>
        <w:t xml:space="preserve"> on 2016 test year data. RSL has not provided comprehensive forecasts for a 2017 test year.</w:t>
      </w:r>
    </w:p>
    <w:p w:rsidR="00725069" w:rsidRPr="00725069" w:rsidRDefault="00725069" w:rsidP="00725069">
      <w:pPr>
        <w:ind w:left="720"/>
        <w:rPr>
          <w:rFonts w:ascii="Times New Roman" w:hAnsi="Times New Roman" w:cs="Times New Roman"/>
        </w:rPr>
      </w:pPr>
      <w:r w:rsidRPr="00725069">
        <w:rPr>
          <w:rFonts w:ascii="Times New Roman" w:hAnsi="Times New Roman" w:cs="Times New Roman"/>
        </w:rPr>
        <w:t xml:space="preserve">In addition, </w:t>
      </w:r>
      <w:proofErr w:type="gramStart"/>
      <w:r w:rsidRPr="00725069">
        <w:rPr>
          <w:rFonts w:ascii="Times New Roman" w:hAnsi="Times New Roman" w:cs="Times New Roman"/>
        </w:rPr>
        <w:t>RSL has been informed by counsel that it erred when identifying an “effective date” of January 1, 2017 in its original Application</w:t>
      </w:r>
      <w:proofErr w:type="gramEnd"/>
      <w:r w:rsidRPr="00725069">
        <w:rPr>
          <w:rFonts w:ascii="Times New Roman" w:hAnsi="Times New Roman" w:cs="Times New Roman"/>
        </w:rPr>
        <w:t>. RSL intended to propose an “implementation date” of January 1, 2017 while maintaining an effective date of May 1, 2016. RSL does not intend to move to a January 1 effective date for rates.</w:t>
      </w:r>
    </w:p>
    <w:p w:rsidR="00725069" w:rsidRPr="00725069" w:rsidRDefault="00725069" w:rsidP="00725069">
      <w:pPr>
        <w:ind w:left="720"/>
        <w:rPr>
          <w:rFonts w:ascii="Times New Roman" w:hAnsi="Times New Roman" w:cs="Times New Roman"/>
        </w:rPr>
      </w:pPr>
      <w:r w:rsidRPr="00725069">
        <w:rPr>
          <w:rFonts w:ascii="Times New Roman" w:hAnsi="Times New Roman" w:cs="Times New Roman"/>
        </w:rPr>
        <w:t>The effective and implementation date for 2016 rates as agreed upon in this settlement is in issue 5.2.</w:t>
      </w:r>
    </w:p>
    <w:p w:rsidR="00725069" w:rsidRPr="00725069" w:rsidRDefault="00725069" w:rsidP="00725069">
      <w:pPr>
        <w:ind w:left="720" w:firstLine="720"/>
        <w:rPr>
          <w:rFonts w:ascii="Times New Roman" w:hAnsi="Times New Roman" w:cs="Times New Roman"/>
          <w:b/>
        </w:rPr>
      </w:pPr>
      <w:r w:rsidRPr="00725069">
        <w:rPr>
          <w:rFonts w:ascii="Times New Roman" w:hAnsi="Times New Roman" w:cs="Times New Roman"/>
          <w:b/>
        </w:rPr>
        <w:t>Evidence:</w:t>
      </w:r>
    </w:p>
    <w:p w:rsidR="00725069" w:rsidRPr="00725069" w:rsidRDefault="00725069" w:rsidP="00725069">
      <w:pPr>
        <w:ind w:left="1260"/>
        <w:rPr>
          <w:rFonts w:ascii="Times New Roman" w:hAnsi="Times New Roman" w:cs="Times New Roman"/>
        </w:rPr>
      </w:pPr>
      <w:r w:rsidRPr="00725069">
        <w:rPr>
          <w:rFonts w:ascii="Times New Roman" w:hAnsi="Times New Roman" w:cs="Times New Roman"/>
        </w:rPr>
        <w:tab/>
      </w:r>
      <w:r w:rsidRPr="00725069">
        <w:rPr>
          <w:rFonts w:ascii="Times New Roman" w:hAnsi="Times New Roman" w:cs="Times New Roman"/>
        </w:rPr>
        <w:tab/>
      </w:r>
      <w:r w:rsidRPr="00725069">
        <w:rPr>
          <w:rFonts w:ascii="Times New Roman" w:hAnsi="Times New Roman" w:cs="Times New Roman"/>
          <w:i/>
        </w:rPr>
        <w:t>Application:</w:t>
      </w:r>
      <w:r w:rsidRPr="00725069">
        <w:rPr>
          <w:rFonts w:ascii="Times New Roman" w:hAnsi="Times New Roman" w:cs="Times New Roman"/>
        </w:rPr>
        <w:t xml:space="preserve"> Exhibit 1, Tab 6, Schedule 2.</w:t>
      </w:r>
    </w:p>
    <w:p w:rsidR="00725069" w:rsidRPr="00725069" w:rsidRDefault="00725069" w:rsidP="00725069">
      <w:pPr>
        <w:ind w:left="1260"/>
        <w:rPr>
          <w:rFonts w:ascii="Times New Roman" w:hAnsi="Times New Roman" w:cs="Times New Roman"/>
        </w:rPr>
      </w:pPr>
      <w:r w:rsidRPr="00725069">
        <w:rPr>
          <w:rFonts w:ascii="Times New Roman" w:hAnsi="Times New Roman" w:cs="Times New Roman"/>
        </w:rPr>
        <w:lastRenderedPageBreak/>
        <w:tab/>
      </w:r>
      <w:r w:rsidRPr="00725069">
        <w:rPr>
          <w:rFonts w:ascii="Times New Roman" w:hAnsi="Times New Roman" w:cs="Times New Roman"/>
        </w:rPr>
        <w:tab/>
      </w:r>
      <w:r w:rsidRPr="00725069">
        <w:rPr>
          <w:rFonts w:ascii="Times New Roman" w:hAnsi="Times New Roman" w:cs="Times New Roman"/>
          <w:i/>
        </w:rPr>
        <w:t>IRRs:</w:t>
      </w:r>
      <w:r w:rsidRPr="00725069">
        <w:rPr>
          <w:rFonts w:ascii="Times New Roman" w:hAnsi="Times New Roman" w:cs="Times New Roman"/>
        </w:rPr>
        <w:t xml:space="preserve"> 1-Staff-1; 1-VECC-4.</w:t>
      </w:r>
    </w:p>
    <w:p w:rsidR="00725069" w:rsidRPr="00725069" w:rsidRDefault="00725069" w:rsidP="00725069">
      <w:pPr>
        <w:ind w:left="1260"/>
        <w:rPr>
          <w:rFonts w:ascii="Times New Roman" w:hAnsi="Times New Roman" w:cs="Times New Roman"/>
        </w:rPr>
      </w:pPr>
      <w:r w:rsidRPr="00725069">
        <w:rPr>
          <w:rFonts w:ascii="Times New Roman" w:hAnsi="Times New Roman" w:cs="Times New Roman"/>
        </w:rPr>
        <w:tab/>
      </w:r>
      <w:r w:rsidRPr="00725069">
        <w:rPr>
          <w:rFonts w:ascii="Times New Roman" w:hAnsi="Times New Roman" w:cs="Times New Roman"/>
        </w:rPr>
        <w:tab/>
      </w:r>
      <w:r w:rsidRPr="00725069">
        <w:rPr>
          <w:rFonts w:ascii="Times New Roman" w:hAnsi="Times New Roman" w:cs="Times New Roman"/>
          <w:i/>
        </w:rPr>
        <w:t>Appendices to this Settlement Proposal:</w:t>
      </w:r>
      <w:r w:rsidRPr="00725069">
        <w:rPr>
          <w:rFonts w:ascii="Times New Roman" w:hAnsi="Times New Roman" w:cs="Times New Roman"/>
        </w:rPr>
        <w:t xml:space="preserve"> None.</w:t>
      </w:r>
    </w:p>
    <w:p w:rsidR="00725069" w:rsidRPr="00725069" w:rsidRDefault="00725069" w:rsidP="00725069">
      <w:pPr>
        <w:ind w:left="1260"/>
        <w:rPr>
          <w:rFonts w:ascii="Times New Roman" w:hAnsi="Times New Roman" w:cs="Times New Roman"/>
        </w:rPr>
      </w:pPr>
      <w:r w:rsidRPr="00725069">
        <w:rPr>
          <w:rFonts w:ascii="Times New Roman" w:hAnsi="Times New Roman" w:cs="Times New Roman"/>
        </w:rPr>
        <w:tab/>
      </w:r>
      <w:r w:rsidRPr="00725069">
        <w:rPr>
          <w:rFonts w:ascii="Times New Roman" w:hAnsi="Times New Roman" w:cs="Times New Roman"/>
        </w:rPr>
        <w:tab/>
      </w:r>
      <w:r w:rsidRPr="00725069">
        <w:rPr>
          <w:rFonts w:ascii="Times New Roman" w:hAnsi="Times New Roman" w:cs="Times New Roman"/>
          <w:i/>
        </w:rPr>
        <w:t>Settlement Models:</w:t>
      </w:r>
      <w:r w:rsidRPr="00725069">
        <w:rPr>
          <w:rFonts w:ascii="Times New Roman" w:hAnsi="Times New Roman" w:cs="Times New Roman"/>
        </w:rPr>
        <w:t xml:space="preserve"> None.</w:t>
      </w:r>
    </w:p>
    <w:p w:rsidR="00725069" w:rsidRPr="00725069" w:rsidRDefault="00725069" w:rsidP="00725069">
      <w:pPr>
        <w:ind w:left="720" w:right="720"/>
        <w:rPr>
          <w:rFonts w:ascii="Times New Roman" w:hAnsi="Times New Roman" w:cs="Times New Roman"/>
        </w:rPr>
      </w:pPr>
      <w:r w:rsidRPr="00725069">
        <w:rPr>
          <w:rFonts w:ascii="Times New Roman" w:hAnsi="Times New Roman" w:cs="Times New Roman"/>
          <w:b/>
        </w:rPr>
        <w:t>Supporting Parties:</w:t>
      </w:r>
      <w:r w:rsidRPr="00725069">
        <w:rPr>
          <w:rFonts w:ascii="Times New Roman" w:hAnsi="Times New Roman" w:cs="Times New Roman"/>
        </w:rPr>
        <w:t xml:space="preserve"> All</w:t>
      </w:r>
    </w:p>
    <w:p w:rsidR="00725069" w:rsidRPr="00725069" w:rsidRDefault="00725069" w:rsidP="00725069">
      <w:pPr>
        <w:ind w:left="720" w:right="720"/>
        <w:rPr>
          <w:rFonts w:ascii="Arial" w:hAnsi="Arial" w:cs="Arial"/>
          <w:sz w:val="24"/>
          <w:szCs w:val="24"/>
        </w:rPr>
      </w:pPr>
      <w:r w:rsidRPr="00725069">
        <w:rPr>
          <w:rFonts w:ascii="Arial" w:hAnsi="Arial" w:cs="Arial"/>
          <w:sz w:val="24"/>
          <w:szCs w:val="24"/>
        </w:rPr>
        <w:t xml:space="preserve">[Settlement Proposal, page 23, filed May 11, 2017, included as Schedule </w:t>
      </w:r>
      <w:proofErr w:type="gramStart"/>
      <w:r w:rsidRPr="00725069">
        <w:rPr>
          <w:rFonts w:ascii="Arial" w:hAnsi="Arial" w:cs="Arial"/>
          <w:sz w:val="24"/>
          <w:szCs w:val="24"/>
        </w:rPr>
        <w:t>A</w:t>
      </w:r>
      <w:proofErr w:type="gramEnd"/>
      <w:r w:rsidRPr="00725069">
        <w:rPr>
          <w:rFonts w:ascii="Arial" w:hAnsi="Arial" w:cs="Arial"/>
          <w:sz w:val="24"/>
          <w:szCs w:val="24"/>
        </w:rPr>
        <w:t xml:space="preserve"> of Decision and Rate Order EB-2015-0100]</w:t>
      </w:r>
    </w:p>
    <w:p w:rsidR="00725069" w:rsidRPr="00725069" w:rsidRDefault="00725069" w:rsidP="00725069">
      <w:pPr>
        <w:numPr>
          <w:ilvl w:val="0"/>
          <w:numId w:val="44"/>
        </w:numPr>
        <w:spacing w:after="160" w:line="259" w:lineRule="auto"/>
        <w:contextualSpacing/>
        <w:rPr>
          <w:rFonts w:ascii="Arial" w:hAnsi="Arial" w:cs="Arial"/>
          <w:sz w:val="24"/>
          <w:szCs w:val="24"/>
        </w:rPr>
      </w:pPr>
      <w:r w:rsidRPr="00725069">
        <w:rPr>
          <w:rFonts w:ascii="Arial" w:hAnsi="Arial" w:cs="Arial"/>
          <w:sz w:val="24"/>
          <w:szCs w:val="24"/>
        </w:rPr>
        <w:t xml:space="preserve">Please confirm that </w:t>
      </w:r>
      <w:proofErr w:type="gramStart"/>
      <w:r w:rsidRPr="00725069">
        <w:rPr>
          <w:rFonts w:ascii="Arial" w:hAnsi="Arial" w:cs="Arial"/>
          <w:sz w:val="24"/>
          <w:szCs w:val="24"/>
        </w:rPr>
        <w:t xml:space="preserve">the digger truck was acquired by </w:t>
      </w:r>
      <w:r w:rsidR="00535333" w:rsidRPr="00725069">
        <w:rPr>
          <w:rFonts w:ascii="Arial" w:hAnsi="Arial" w:cs="Arial"/>
          <w:sz w:val="24"/>
          <w:szCs w:val="24"/>
        </w:rPr>
        <w:t>R</w:t>
      </w:r>
      <w:r w:rsidR="00535333">
        <w:rPr>
          <w:rFonts w:ascii="Arial" w:hAnsi="Arial" w:cs="Arial"/>
          <w:sz w:val="24"/>
          <w:szCs w:val="24"/>
        </w:rPr>
        <w:t>ideau St. Lawrence Distribution</w:t>
      </w:r>
      <w:r w:rsidRPr="00725069">
        <w:rPr>
          <w:rFonts w:ascii="Arial" w:hAnsi="Arial" w:cs="Arial"/>
          <w:sz w:val="24"/>
          <w:szCs w:val="24"/>
        </w:rPr>
        <w:t xml:space="preserve"> prior to the Settlement Proposal being completed by the parties</w:t>
      </w:r>
      <w:proofErr w:type="gramEnd"/>
      <w:r w:rsidRPr="00725069">
        <w:rPr>
          <w:rFonts w:ascii="Arial" w:hAnsi="Arial" w:cs="Arial"/>
          <w:sz w:val="24"/>
          <w:szCs w:val="24"/>
        </w:rPr>
        <w:t>.</w:t>
      </w:r>
    </w:p>
    <w:p w:rsidR="00725069" w:rsidRPr="00725069" w:rsidRDefault="00725069" w:rsidP="00725069">
      <w:pPr>
        <w:numPr>
          <w:ilvl w:val="0"/>
          <w:numId w:val="44"/>
        </w:numPr>
        <w:spacing w:after="160" w:line="259" w:lineRule="auto"/>
        <w:contextualSpacing/>
        <w:rPr>
          <w:rFonts w:ascii="Arial" w:hAnsi="Arial" w:cs="Arial"/>
          <w:sz w:val="24"/>
          <w:szCs w:val="24"/>
        </w:rPr>
      </w:pPr>
      <w:proofErr w:type="gramStart"/>
      <w:r w:rsidRPr="00725069">
        <w:rPr>
          <w:rFonts w:ascii="Arial" w:hAnsi="Arial" w:cs="Arial"/>
          <w:sz w:val="24"/>
          <w:szCs w:val="24"/>
        </w:rPr>
        <w:t xml:space="preserve">If </w:t>
      </w:r>
      <w:r w:rsidR="00535333">
        <w:rPr>
          <w:rFonts w:ascii="Arial" w:hAnsi="Arial" w:cs="Arial"/>
          <w:sz w:val="24"/>
          <w:szCs w:val="24"/>
        </w:rPr>
        <w:t xml:space="preserve">Rideau St. Lawrence Distribution </w:t>
      </w:r>
      <w:r w:rsidRPr="00725069">
        <w:rPr>
          <w:rFonts w:ascii="Arial" w:hAnsi="Arial" w:cs="Arial"/>
          <w:sz w:val="24"/>
          <w:szCs w:val="24"/>
        </w:rPr>
        <w:t xml:space="preserve">confirms the response in a), and while respecting the confidentiality of the settlement process in EB-2015-0100, please explain why </w:t>
      </w:r>
      <w:r w:rsidR="00535333">
        <w:rPr>
          <w:rFonts w:ascii="Arial" w:hAnsi="Arial" w:cs="Arial"/>
          <w:sz w:val="24"/>
          <w:szCs w:val="24"/>
        </w:rPr>
        <w:t>Rideau St. Lawrence</w:t>
      </w:r>
      <w:r w:rsidRPr="00725069">
        <w:rPr>
          <w:rFonts w:ascii="Arial" w:hAnsi="Arial" w:cs="Arial"/>
          <w:sz w:val="24"/>
          <w:szCs w:val="24"/>
        </w:rPr>
        <w:t xml:space="preserve"> considered that the rate base and revenue requirement based on a 2016 test year would be suitable for it to fund 2017 capital expenditures and operating expenses when it knew that it had the material capital addition of the digger truck in 2017.</w:t>
      </w:r>
      <w:r w:rsidRPr="00725069">
        <w:rPr>
          <w:rFonts w:ascii="Arial" w:hAnsi="Arial" w:cs="Arial"/>
          <w:sz w:val="24"/>
          <w:szCs w:val="24"/>
        </w:rPr>
        <w:br/>
      </w:r>
      <w:proofErr w:type="gramEnd"/>
    </w:p>
    <w:p w:rsidR="00725069" w:rsidRPr="00725069" w:rsidRDefault="00725069" w:rsidP="00725069">
      <w:pPr>
        <w:numPr>
          <w:ilvl w:val="0"/>
          <w:numId w:val="42"/>
        </w:numPr>
        <w:spacing w:after="160" w:line="259" w:lineRule="auto"/>
        <w:contextualSpacing/>
        <w:rPr>
          <w:rFonts w:ascii="Arial" w:hAnsi="Arial" w:cs="Arial"/>
          <w:b/>
          <w:sz w:val="24"/>
          <w:szCs w:val="24"/>
        </w:rPr>
      </w:pPr>
      <w:r w:rsidRPr="00725069">
        <w:rPr>
          <w:rFonts w:ascii="Arial" w:hAnsi="Arial" w:cs="Arial"/>
          <w:b/>
          <w:sz w:val="24"/>
          <w:szCs w:val="24"/>
        </w:rPr>
        <w:t xml:space="preserve">Ref: </w:t>
      </w:r>
      <w:r w:rsidRPr="00725069">
        <w:rPr>
          <w:rFonts w:ascii="Arial" w:hAnsi="Arial" w:cs="Arial"/>
          <w:b/>
          <w:i/>
          <w:sz w:val="24"/>
          <w:szCs w:val="24"/>
        </w:rPr>
        <w:t>Report of the Board on New Policy Options for the Funding of Capital Investments: The Advanced Capital Module</w:t>
      </w:r>
      <w:r w:rsidRPr="00725069">
        <w:rPr>
          <w:rFonts w:ascii="Arial" w:hAnsi="Arial" w:cs="Arial"/>
          <w:b/>
          <w:sz w:val="24"/>
          <w:szCs w:val="24"/>
        </w:rPr>
        <w:t xml:space="preserve"> (EB-2014-0219)/page 25</w:t>
      </w:r>
    </w:p>
    <w:p w:rsidR="00725069" w:rsidRPr="00725069" w:rsidRDefault="00725069" w:rsidP="00725069">
      <w:pPr>
        <w:rPr>
          <w:rFonts w:ascii="Arial" w:hAnsi="Arial" w:cs="Arial"/>
          <w:sz w:val="24"/>
          <w:szCs w:val="24"/>
        </w:rPr>
      </w:pPr>
      <w:r w:rsidRPr="00725069">
        <w:rPr>
          <w:rFonts w:ascii="Arial" w:hAnsi="Arial" w:cs="Arial"/>
          <w:sz w:val="24"/>
          <w:szCs w:val="24"/>
        </w:rPr>
        <w:t xml:space="preserve">On page 25 of the </w:t>
      </w:r>
      <w:r w:rsidRPr="00725069">
        <w:rPr>
          <w:rFonts w:ascii="Arial" w:hAnsi="Arial" w:cs="Arial"/>
          <w:i/>
          <w:sz w:val="24"/>
          <w:szCs w:val="24"/>
        </w:rPr>
        <w:t>Report of the Board on New Policy Options for the Funding of Capital Investments: The Advanced Capital Module</w:t>
      </w:r>
      <w:r w:rsidRPr="00725069">
        <w:rPr>
          <w:rFonts w:ascii="Arial" w:hAnsi="Arial" w:cs="Arial"/>
          <w:sz w:val="24"/>
          <w:szCs w:val="24"/>
        </w:rPr>
        <w:t xml:space="preserve"> (EB-2014-0219</w:t>
      </w:r>
      <w:proofErr w:type="gramStart"/>
      <w:r w:rsidRPr="00725069">
        <w:rPr>
          <w:rFonts w:ascii="Arial" w:hAnsi="Arial" w:cs="Arial"/>
          <w:sz w:val="24"/>
          <w:szCs w:val="24"/>
        </w:rPr>
        <w:t>),</w:t>
      </w:r>
      <w:proofErr w:type="gramEnd"/>
      <w:r w:rsidRPr="00725069">
        <w:rPr>
          <w:rFonts w:ascii="Arial" w:hAnsi="Arial" w:cs="Arial"/>
          <w:sz w:val="24"/>
          <w:szCs w:val="24"/>
        </w:rPr>
        <w:t xml:space="preserve"> issued September 18, 2014, the OEB states:</w:t>
      </w:r>
    </w:p>
    <w:p w:rsidR="00725069" w:rsidRPr="00725069" w:rsidRDefault="00725069" w:rsidP="00725069">
      <w:pPr>
        <w:ind w:left="720" w:right="720"/>
        <w:rPr>
          <w:rFonts w:ascii="Arial" w:hAnsi="Arial" w:cs="Arial"/>
          <w:sz w:val="24"/>
          <w:szCs w:val="24"/>
        </w:rPr>
      </w:pPr>
      <w:r w:rsidRPr="00725069">
        <w:rPr>
          <w:rFonts w:ascii="Arial" w:hAnsi="Arial" w:cs="Arial"/>
          <w:sz w:val="24"/>
          <w:szCs w:val="24"/>
        </w:rPr>
        <w:t xml:space="preserve">In the Price Cap IR application for the year in which the capital project(s) will go into service and the applicant is seeking to commence recovery through rate riders, the distributor should provide updated, current information with respect to the above [costs, need and prudence] for any approved ACMs for any material changes from what </w:t>
      </w:r>
      <w:proofErr w:type="gramStart"/>
      <w:r w:rsidRPr="00725069">
        <w:rPr>
          <w:rFonts w:ascii="Arial" w:hAnsi="Arial" w:cs="Arial"/>
          <w:sz w:val="24"/>
          <w:szCs w:val="24"/>
        </w:rPr>
        <w:t>was reflected</w:t>
      </w:r>
      <w:proofErr w:type="gramEnd"/>
      <w:r w:rsidRPr="00725069">
        <w:rPr>
          <w:rFonts w:ascii="Arial" w:hAnsi="Arial" w:cs="Arial"/>
          <w:sz w:val="24"/>
          <w:szCs w:val="24"/>
        </w:rPr>
        <w:t xml:space="preserve"> in the DSP.</w:t>
      </w:r>
    </w:p>
    <w:p w:rsidR="00725069" w:rsidRPr="00725069" w:rsidRDefault="00725069" w:rsidP="00725069">
      <w:pPr>
        <w:ind w:left="720" w:right="720"/>
        <w:rPr>
          <w:rFonts w:ascii="Arial" w:hAnsi="Arial" w:cs="Arial"/>
          <w:sz w:val="24"/>
          <w:szCs w:val="24"/>
        </w:rPr>
      </w:pPr>
      <w:r w:rsidRPr="00725069">
        <w:rPr>
          <w:rFonts w:ascii="Arial" w:hAnsi="Arial" w:cs="Arial"/>
          <w:sz w:val="24"/>
          <w:szCs w:val="24"/>
        </w:rPr>
        <w:t xml:space="preserve">In the case of an ICM proposal for recovery of an unanticipated capital project, or for a project for which a distributor did not have sufficient information at the time of the cost of service application, this will be the first time that the distributor is providing such evidence. </w:t>
      </w:r>
      <w:proofErr w:type="gramStart"/>
      <w:r w:rsidRPr="00725069">
        <w:rPr>
          <w:rFonts w:ascii="Arial" w:hAnsi="Arial" w:cs="Arial"/>
          <w:sz w:val="24"/>
          <w:szCs w:val="24"/>
        </w:rPr>
        <w:t>Therefore</w:t>
      </w:r>
      <w:proofErr w:type="gramEnd"/>
      <w:r w:rsidRPr="00725069">
        <w:rPr>
          <w:rFonts w:ascii="Arial" w:hAnsi="Arial" w:cs="Arial"/>
          <w:sz w:val="24"/>
          <w:szCs w:val="24"/>
        </w:rPr>
        <w:t xml:space="preserve"> full and complete details of the project(s) must be filed, as is the current ICM policy and practice.</w:t>
      </w:r>
    </w:p>
    <w:p w:rsidR="00725069" w:rsidRPr="00725069" w:rsidRDefault="00725069" w:rsidP="00725069">
      <w:pPr>
        <w:rPr>
          <w:rFonts w:ascii="Arial" w:hAnsi="Arial" w:cs="Arial"/>
          <w:sz w:val="24"/>
          <w:szCs w:val="24"/>
        </w:rPr>
      </w:pPr>
      <w:r w:rsidRPr="00725069">
        <w:rPr>
          <w:rFonts w:ascii="Arial" w:hAnsi="Arial" w:cs="Arial"/>
          <w:sz w:val="24"/>
          <w:szCs w:val="24"/>
        </w:rPr>
        <w:t>The condition that cost recovery begins with the year that the asset enters service is consistent with the cost recovery through rates treatment of capital additions under tradition cost of service regulation.</w:t>
      </w:r>
    </w:p>
    <w:p w:rsidR="00725069" w:rsidRPr="00725069" w:rsidRDefault="00725069" w:rsidP="00725069">
      <w:pPr>
        <w:rPr>
          <w:rFonts w:ascii="Arial" w:hAnsi="Arial" w:cs="Arial"/>
          <w:sz w:val="24"/>
          <w:szCs w:val="24"/>
        </w:rPr>
      </w:pPr>
      <w:r w:rsidRPr="00725069">
        <w:rPr>
          <w:rFonts w:ascii="Arial" w:hAnsi="Arial" w:cs="Arial"/>
          <w:sz w:val="24"/>
          <w:szCs w:val="24"/>
        </w:rPr>
        <w:lastRenderedPageBreak/>
        <w:t>R</w:t>
      </w:r>
      <w:r w:rsidR="00535333">
        <w:rPr>
          <w:rFonts w:ascii="Arial" w:hAnsi="Arial" w:cs="Arial"/>
          <w:sz w:val="24"/>
          <w:szCs w:val="24"/>
        </w:rPr>
        <w:t>ideau St. Lawrence Distribution</w:t>
      </w:r>
      <w:r w:rsidRPr="00725069">
        <w:rPr>
          <w:rFonts w:ascii="Arial" w:hAnsi="Arial" w:cs="Arial"/>
          <w:sz w:val="24"/>
          <w:szCs w:val="24"/>
        </w:rPr>
        <w:t xml:space="preserve"> is proposing incremental capital funding treatment as part of its 2018 Price Cap IR application for a capital addition acquired and entering service in 2017 (i.e., not the Price Cap IR test year). Please explain how </w:t>
      </w:r>
      <w:r w:rsidR="00535333" w:rsidRPr="00725069">
        <w:rPr>
          <w:rFonts w:ascii="Arial" w:hAnsi="Arial" w:cs="Arial"/>
          <w:sz w:val="24"/>
          <w:szCs w:val="24"/>
        </w:rPr>
        <w:t>R</w:t>
      </w:r>
      <w:r w:rsidR="00535333">
        <w:rPr>
          <w:rFonts w:ascii="Arial" w:hAnsi="Arial" w:cs="Arial"/>
          <w:sz w:val="24"/>
          <w:szCs w:val="24"/>
        </w:rPr>
        <w:t>ideau St. Lawrence Distribution</w:t>
      </w:r>
      <w:r w:rsidRPr="00725069">
        <w:rPr>
          <w:rFonts w:ascii="Arial" w:hAnsi="Arial" w:cs="Arial"/>
          <w:sz w:val="24"/>
          <w:szCs w:val="24"/>
        </w:rPr>
        <w:t>’s proposal is compliant with the OEB’s policy and practice with respect to incremental capital funding.</w:t>
      </w:r>
    </w:p>
    <w:p w:rsidR="00725069" w:rsidRPr="00725069" w:rsidRDefault="00725069" w:rsidP="00725069">
      <w:pPr>
        <w:numPr>
          <w:ilvl w:val="0"/>
          <w:numId w:val="42"/>
        </w:numPr>
        <w:spacing w:after="160" w:line="259" w:lineRule="auto"/>
        <w:contextualSpacing/>
        <w:rPr>
          <w:rFonts w:ascii="Arial" w:hAnsi="Arial" w:cs="Arial"/>
          <w:b/>
          <w:sz w:val="24"/>
          <w:szCs w:val="24"/>
        </w:rPr>
      </w:pPr>
      <w:r w:rsidRPr="00725069">
        <w:rPr>
          <w:rFonts w:ascii="Arial" w:hAnsi="Arial" w:cs="Arial"/>
          <w:b/>
          <w:sz w:val="24"/>
          <w:szCs w:val="24"/>
        </w:rPr>
        <w:t>Ref: Capital Module ACM/ICM Spreadsheet</w:t>
      </w:r>
    </w:p>
    <w:p w:rsidR="00725069" w:rsidRPr="00725069" w:rsidRDefault="00535333" w:rsidP="00725069">
      <w:pPr>
        <w:rPr>
          <w:rFonts w:ascii="Arial" w:hAnsi="Arial" w:cs="Arial"/>
          <w:sz w:val="24"/>
          <w:szCs w:val="24"/>
        </w:rPr>
      </w:pPr>
      <w:r w:rsidRPr="00725069">
        <w:rPr>
          <w:rFonts w:ascii="Arial" w:hAnsi="Arial" w:cs="Arial"/>
          <w:sz w:val="24"/>
          <w:szCs w:val="24"/>
        </w:rPr>
        <w:t>R</w:t>
      </w:r>
      <w:r>
        <w:rPr>
          <w:rFonts w:ascii="Arial" w:hAnsi="Arial" w:cs="Arial"/>
          <w:sz w:val="24"/>
          <w:szCs w:val="24"/>
        </w:rPr>
        <w:t>ideau St. Lawrence Distribution</w:t>
      </w:r>
      <w:r w:rsidR="00725069" w:rsidRPr="00725069">
        <w:rPr>
          <w:rFonts w:ascii="Arial" w:hAnsi="Arial" w:cs="Arial"/>
          <w:sz w:val="24"/>
          <w:szCs w:val="24"/>
        </w:rPr>
        <w:t xml:space="preserve"> has filed a completed Capital Module spreadsheet documenting the calculation of the incremental revenue requirement and the rate riders to recover this based on the digger truck as if it was a capital expenditure and addition in 2018. </w:t>
      </w:r>
    </w:p>
    <w:p w:rsidR="00725069" w:rsidRPr="00725069" w:rsidRDefault="00725069" w:rsidP="00725069">
      <w:pPr>
        <w:rPr>
          <w:rFonts w:ascii="Arial" w:hAnsi="Arial" w:cs="Arial"/>
          <w:sz w:val="24"/>
          <w:szCs w:val="24"/>
        </w:rPr>
      </w:pPr>
      <w:r w:rsidRPr="00725069">
        <w:rPr>
          <w:rFonts w:ascii="Arial" w:hAnsi="Arial" w:cs="Arial"/>
          <w:sz w:val="24"/>
          <w:szCs w:val="24"/>
        </w:rPr>
        <w:t xml:space="preserve">OEB staff note that the model does not work appropriately due to the special circumstances of </w:t>
      </w:r>
      <w:r w:rsidR="00535333" w:rsidRPr="00725069">
        <w:rPr>
          <w:rFonts w:ascii="Arial" w:hAnsi="Arial" w:cs="Arial"/>
          <w:sz w:val="24"/>
          <w:szCs w:val="24"/>
        </w:rPr>
        <w:t>R</w:t>
      </w:r>
      <w:r w:rsidR="00535333">
        <w:rPr>
          <w:rFonts w:ascii="Arial" w:hAnsi="Arial" w:cs="Arial"/>
          <w:sz w:val="24"/>
          <w:szCs w:val="24"/>
        </w:rPr>
        <w:t>ideau St. Lawrence Distribution</w:t>
      </w:r>
      <w:r w:rsidRPr="00725069">
        <w:rPr>
          <w:rFonts w:ascii="Arial" w:hAnsi="Arial" w:cs="Arial"/>
          <w:sz w:val="24"/>
          <w:szCs w:val="24"/>
        </w:rPr>
        <w:t xml:space="preserve">. For example, the growth factor </w:t>
      </w:r>
      <w:proofErr w:type="gramStart"/>
      <w:r w:rsidRPr="00725069">
        <w:rPr>
          <w:rFonts w:ascii="Arial" w:hAnsi="Arial" w:cs="Arial"/>
          <w:sz w:val="24"/>
          <w:szCs w:val="24"/>
        </w:rPr>
        <w:t>is based</w:t>
      </w:r>
      <w:proofErr w:type="gramEnd"/>
      <w:r w:rsidRPr="00725069">
        <w:rPr>
          <w:rFonts w:ascii="Arial" w:hAnsi="Arial" w:cs="Arial"/>
          <w:sz w:val="24"/>
          <w:szCs w:val="24"/>
        </w:rPr>
        <w:t xml:space="preserve"> on an assessment of 2017 Board-approved relative to 2016 Actuals. However, the 2017 Board-approved load forecast is actually a 2016 </w:t>
      </w:r>
      <w:proofErr w:type="gramStart"/>
      <w:r w:rsidRPr="00725069">
        <w:rPr>
          <w:rFonts w:ascii="Arial" w:hAnsi="Arial" w:cs="Arial"/>
          <w:sz w:val="24"/>
          <w:szCs w:val="24"/>
        </w:rPr>
        <w:t>test year load forecast</w:t>
      </w:r>
      <w:proofErr w:type="gramEnd"/>
      <w:r w:rsidRPr="00725069">
        <w:rPr>
          <w:rFonts w:ascii="Arial" w:hAnsi="Arial" w:cs="Arial"/>
          <w:sz w:val="24"/>
          <w:szCs w:val="24"/>
        </w:rPr>
        <w:t xml:space="preserve">. As noted in section 3.1 of the Settlement Proposal in EB-2015-0100, the load forecast agreed to </w:t>
      </w:r>
      <w:proofErr w:type="gramStart"/>
      <w:r w:rsidRPr="00725069">
        <w:rPr>
          <w:rFonts w:ascii="Arial" w:hAnsi="Arial" w:cs="Arial"/>
          <w:sz w:val="24"/>
          <w:szCs w:val="24"/>
        </w:rPr>
        <w:t>used</w:t>
      </w:r>
      <w:proofErr w:type="gramEnd"/>
      <w:r w:rsidRPr="00725069">
        <w:rPr>
          <w:rFonts w:ascii="Arial" w:hAnsi="Arial" w:cs="Arial"/>
          <w:sz w:val="24"/>
          <w:szCs w:val="24"/>
        </w:rPr>
        <w:t xml:space="preserve"> 2016 actual customer and connection counts. There is therefore no information on normal customer and connection annual growth as the 2016 actual and 2017 Board-approved customers and connections are </w:t>
      </w:r>
      <w:proofErr w:type="gramStart"/>
      <w:r w:rsidRPr="00725069">
        <w:rPr>
          <w:rFonts w:ascii="Arial" w:hAnsi="Arial" w:cs="Arial"/>
          <w:sz w:val="24"/>
          <w:szCs w:val="24"/>
        </w:rPr>
        <w:t>exactly the</w:t>
      </w:r>
      <w:proofErr w:type="gramEnd"/>
      <w:r w:rsidRPr="00725069">
        <w:rPr>
          <w:rFonts w:ascii="Arial" w:hAnsi="Arial" w:cs="Arial"/>
          <w:sz w:val="24"/>
          <w:szCs w:val="24"/>
        </w:rPr>
        <w:t xml:space="preserve"> same. It is not clear how the kWh and kW demand vary between the 2016 actuals and 2017 Board-approved amounts, although OEB staff suspects that CDM and weather-actual versus weather-normalized comparisons may be the main drivers.</w:t>
      </w:r>
    </w:p>
    <w:p w:rsidR="00725069" w:rsidRPr="00725069" w:rsidRDefault="00725069" w:rsidP="00725069">
      <w:pPr>
        <w:rPr>
          <w:rFonts w:ascii="Arial" w:hAnsi="Arial" w:cs="Arial"/>
          <w:sz w:val="24"/>
          <w:szCs w:val="24"/>
        </w:rPr>
      </w:pPr>
      <w:r w:rsidRPr="00725069">
        <w:rPr>
          <w:rFonts w:ascii="Arial" w:hAnsi="Arial" w:cs="Arial"/>
          <w:sz w:val="24"/>
          <w:szCs w:val="24"/>
        </w:rPr>
        <w:t xml:space="preserve">OEB staff also views that, if allowance for recovery of the digger truck is to </w:t>
      </w:r>
      <w:proofErr w:type="gramStart"/>
      <w:r w:rsidRPr="00725069">
        <w:rPr>
          <w:rFonts w:ascii="Arial" w:hAnsi="Arial" w:cs="Arial"/>
          <w:sz w:val="24"/>
          <w:szCs w:val="24"/>
        </w:rPr>
        <w:t>be considered</w:t>
      </w:r>
      <w:proofErr w:type="gramEnd"/>
      <w:r w:rsidRPr="00725069">
        <w:rPr>
          <w:rFonts w:ascii="Arial" w:hAnsi="Arial" w:cs="Arial"/>
          <w:sz w:val="24"/>
          <w:szCs w:val="24"/>
        </w:rPr>
        <w:t xml:space="preserve">, its addition to rate base in 2017 as actually occurred should be the starting point. Per the Settlement Proposal accepted by the OEB in its Decision and Rate Order EB-2015-0100, the parties to the Settlement Proposal agreed that the rates established to recover the 2016 test year revenue requirement based on the settled </w:t>
      </w:r>
      <w:proofErr w:type="gramStart"/>
      <w:r w:rsidRPr="00725069">
        <w:rPr>
          <w:rFonts w:ascii="Arial" w:hAnsi="Arial" w:cs="Arial"/>
          <w:sz w:val="24"/>
          <w:szCs w:val="24"/>
        </w:rPr>
        <w:t>2016 load</w:t>
      </w:r>
      <w:proofErr w:type="gramEnd"/>
      <w:r w:rsidRPr="00725069">
        <w:rPr>
          <w:rFonts w:ascii="Arial" w:hAnsi="Arial" w:cs="Arial"/>
          <w:sz w:val="24"/>
          <w:szCs w:val="24"/>
        </w:rPr>
        <w:t xml:space="preserve"> forecast were sufficient for </w:t>
      </w:r>
      <w:r w:rsidR="00844056" w:rsidRPr="00725069">
        <w:rPr>
          <w:rFonts w:ascii="Arial" w:hAnsi="Arial" w:cs="Arial"/>
          <w:sz w:val="24"/>
          <w:szCs w:val="24"/>
        </w:rPr>
        <w:t>R</w:t>
      </w:r>
      <w:r w:rsidR="00844056">
        <w:rPr>
          <w:rFonts w:ascii="Arial" w:hAnsi="Arial" w:cs="Arial"/>
          <w:sz w:val="24"/>
          <w:szCs w:val="24"/>
        </w:rPr>
        <w:t>ideau St. Lawrence Distribution</w:t>
      </w:r>
      <w:r w:rsidRPr="00725069">
        <w:rPr>
          <w:rFonts w:ascii="Arial" w:hAnsi="Arial" w:cs="Arial"/>
          <w:sz w:val="24"/>
          <w:szCs w:val="24"/>
        </w:rPr>
        <w:t xml:space="preserve"> to fund its capital expenditures and operations in 2017. If any recovery is required for 2018 and going forward, it should be based on the opening net book value as of January 1, 2018.</w:t>
      </w:r>
    </w:p>
    <w:p w:rsidR="00725069" w:rsidRPr="00725069" w:rsidRDefault="00725069" w:rsidP="00725069">
      <w:pPr>
        <w:rPr>
          <w:rFonts w:ascii="Arial" w:hAnsi="Arial" w:cs="Arial"/>
          <w:sz w:val="24"/>
          <w:szCs w:val="24"/>
        </w:rPr>
      </w:pPr>
      <w:r w:rsidRPr="00725069">
        <w:rPr>
          <w:rFonts w:ascii="Arial" w:hAnsi="Arial" w:cs="Arial"/>
          <w:sz w:val="24"/>
          <w:szCs w:val="24"/>
        </w:rPr>
        <w:t>OEB staff have populated a Capital Funding Module based on the following:</w:t>
      </w:r>
    </w:p>
    <w:p w:rsidR="00725069" w:rsidRPr="00725069" w:rsidRDefault="00725069" w:rsidP="00725069">
      <w:pPr>
        <w:numPr>
          <w:ilvl w:val="0"/>
          <w:numId w:val="45"/>
        </w:numPr>
        <w:spacing w:after="160" w:line="259" w:lineRule="auto"/>
        <w:contextualSpacing/>
        <w:rPr>
          <w:rFonts w:ascii="Arial" w:hAnsi="Arial" w:cs="Arial"/>
          <w:sz w:val="24"/>
          <w:szCs w:val="24"/>
        </w:rPr>
      </w:pPr>
      <w:r w:rsidRPr="00725069">
        <w:rPr>
          <w:rFonts w:ascii="Arial" w:hAnsi="Arial" w:cs="Arial"/>
          <w:sz w:val="24"/>
          <w:szCs w:val="24"/>
        </w:rPr>
        <w:t xml:space="preserve">Growth </w:t>
      </w:r>
      <w:proofErr w:type="gramStart"/>
      <w:r w:rsidRPr="00725069">
        <w:rPr>
          <w:rFonts w:ascii="Arial" w:hAnsi="Arial" w:cs="Arial"/>
          <w:sz w:val="24"/>
          <w:szCs w:val="24"/>
        </w:rPr>
        <w:t>is based</w:t>
      </w:r>
      <w:proofErr w:type="gramEnd"/>
      <w:r w:rsidRPr="00725069">
        <w:rPr>
          <w:rFonts w:ascii="Arial" w:hAnsi="Arial" w:cs="Arial"/>
          <w:sz w:val="24"/>
          <w:szCs w:val="24"/>
        </w:rPr>
        <w:t xml:space="preserve"> on 2016/17 Board-approved load forecast relative to 2015 actuals. </w:t>
      </w:r>
      <w:proofErr w:type="gramStart"/>
      <w:r w:rsidRPr="00725069">
        <w:rPr>
          <w:rFonts w:ascii="Arial" w:hAnsi="Arial" w:cs="Arial"/>
          <w:sz w:val="24"/>
          <w:szCs w:val="24"/>
        </w:rPr>
        <w:t>2015</w:t>
      </w:r>
      <w:proofErr w:type="gramEnd"/>
      <w:r w:rsidRPr="00725069">
        <w:rPr>
          <w:rFonts w:ascii="Arial" w:hAnsi="Arial" w:cs="Arial"/>
          <w:sz w:val="24"/>
          <w:szCs w:val="24"/>
        </w:rPr>
        <w:t xml:space="preserve"> actuals were taken from the load forecast data filed in EB-2015-0100.</w:t>
      </w:r>
    </w:p>
    <w:p w:rsidR="00725069" w:rsidRPr="00725069" w:rsidRDefault="00725069" w:rsidP="00725069">
      <w:pPr>
        <w:numPr>
          <w:ilvl w:val="0"/>
          <w:numId w:val="45"/>
        </w:numPr>
        <w:spacing w:after="160" w:line="259" w:lineRule="auto"/>
        <w:contextualSpacing/>
        <w:rPr>
          <w:rFonts w:ascii="Arial" w:hAnsi="Arial" w:cs="Arial"/>
          <w:sz w:val="24"/>
          <w:szCs w:val="24"/>
        </w:rPr>
      </w:pPr>
      <w:r w:rsidRPr="00725069">
        <w:rPr>
          <w:rFonts w:ascii="Arial" w:hAnsi="Arial" w:cs="Arial"/>
          <w:sz w:val="24"/>
          <w:szCs w:val="24"/>
        </w:rPr>
        <w:t xml:space="preserve">Projected capital expenditures for each year from 2016 onwards </w:t>
      </w:r>
      <w:proofErr w:type="gramStart"/>
      <w:r w:rsidRPr="00725069">
        <w:rPr>
          <w:rFonts w:ascii="Arial" w:hAnsi="Arial" w:cs="Arial"/>
          <w:sz w:val="24"/>
          <w:szCs w:val="24"/>
        </w:rPr>
        <w:t>were taken</w:t>
      </w:r>
      <w:proofErr w:type="gramEnd"/>
      <w:r w:rsidRPr="00725069">
        <w:rPr>
          <w:rFonts w:ascii="Arial" w:hAnsi="Arial" w:cs="Arial"/>
          <w:sz w:val="24"/>
          <w:szCs w:val="24"/>
        </w:rPr>
        <w:t xml:space="preserve"> from EB-2015-0100, with the forecasts for 2017 and onwards were per R</w:t>
      </w:r>
      <w:r w:rsidR="00E102A2">
        <w:rPr>
          <w:rFonts w:ascii="Arial" w:hAnsi="Arial" w:cs="Arial"/>
          <w:sz w:val="24"/>
          <w:szCs w:val="24"/>
        </w:rPr>
        <w:t>ideau St. Lawrence Distribution,</w:t>
      </w:r>
      <w:r w:rsidRPr="00725069">
        <w:rPr>
          <w:rFonts w:ascii="Arial" w:hAnsi="Arial" w:cs="Arial"/>
          <w:sz w:val="24"/>
          <w:szCs w:val="24"/>
        </w:rPr>
        <w:t xml:space="preserve"> Distribution System Plan and Appendix 2-AB as filed in the Settlement Proposal attached to the Decision and Rate Order EB-2015-0100. </w:t>
      </w:r>
      <w:r w:rsidRPr="00725069">
        <w:rPr>
          <w:rFonts w:ascii="Arial" w:hAnsi="Arial" w:cs="Arial"/>
          <w:sz w:val="24"/>
          <w:szCs w:val="24"/>
        </w:rPr>
        <w:lastRenderedPageBreak/>
        <w:t>For 2018, the opening NBV of the digger truck on January 1, 2017 (i.e. the 2017 GBV of $379,015 less the half-year depreciation in 2017) is added to the 2018 capex.</w:t>
      </w:r>
    </w:p>
    <w:p w:rsidR="00725069" w:rsidRPr="00725069" w:rsidRDefault="00725069" w:rsidP="00725069">
      <w:pPr>
        <w:numPr>
          <w:ilvl w:val="0"/>
          <w:numId w:val="45"/>
        </w:numPr>
        <w:spacing w:after="160" w:line="259" w:lineRule="auto"/>
        <w:contextualSpacing/>
        <w:rPr>
          <w:rFonts w:ascii="Arial" w:hAnsi="Arial" w:cs="Arial"/>
          <w:sz w:val="24"/>
          <w:szCs w:val="24"/>
        </w:rPr>
      </w:pPr>
      <w:r w:rsidRPr="00725069">
        <w:rPr>
          <w:rFonts w:ascii="Arial" w:hAnsi="Arial" w:cs="Arial"/>
          <w:sz w:val="24"/>
          <w:szCs w:val="24"/>
        </w:rPr>
        <w:t xml:space="preserve">Depreciation from 2018 onwards </w:t>
      </w:r>
      <w:proofErr w:type="gramStart"/>
      <w:r w:rsidRPr="00725069">
        <w:rPr>
          <w:rFonts w:ascii="Arial" w:hAnsi="Arial" w:cs="Arial"/>
          <w:sz w:val="24"/>
          <w:szCs w:val="24"/>
        </w:rPr>
        <w:t>is allowed</w:t>
      </w:r>
      <w:proofErr w:type="gramEnd"/>
      <w:r w:rsidRPr="00725069">
        <w:rPr>
          <w:rFonts w:ascii="Arial" w:hAnsi="Arial" w:cs="Arial"/>
          <w:sz w:val="24"/>
          <w:szCs w:val="24"/>
        </w:rPr>
        <w:t xml:space="preserve"> at the full year amount of $47,377.</w:t>
      </w:r>
    </w:p>
    <w:p w:rsidR="00725069" w:rsidRPr="00725069" w:rsidRDefault="00725069" w:rsidP="00725069">
      <w:pPr>
        <w:rPr>
          <w:rFonts w:ascii="Arial" w:hAnsi="Arial" w:cs="Arial"/>
          <w:sz w:val="24"/>
          <w:szCs w:val="24"/>
        </w:rPr>
      </w:pPr>
      <w:r w:rsidRPr="00725069">
        <w:rPr>
          <w:rFonts w:ascii="Arial" w:hAnsi="Arial" w:cs="Arial"/>
          <w:sz w:val="24"/>
          <w:szCs w:val="24"/>
        </w:rPr>
        <w:t xml:space="preserve">Other changes </w:t>
      </w:r>
      <w:proofErr w:type="gramStart"/>
      <w:r w:rsidRPr="00725069">
        <w:rPr>
          <w:rFonts w:ascii="Arial" w:hAnsi="Arial" w:cs="Arial"/>
          <w:sz w:val="24"/>
          <w:szCs w:val="24"/>
        </w:rPr>
        <w:t>were made</w:t>
      </w:r>
      <w:proofErr w:type="gramEnd"/>
      <w:r w:rsidRPr="00725069">
        <w:rPr>
          <w:rFonts w:ascii="Arial" w:hAnsi="Arial" w:cs="Arial"/>
          <w:sz w:val="24"/>
          <w:szCs w:val="24"/>
        </w:rPr>
        <w:t xml:space="preserve"> to adjust labels to reflect this possible treatment. Changes </w:t>
      </w:r>
      <w:proofErr w:type="gramStart"/>
      <w:r w:rsidRPr="00725069">
        <w:rPr>
          <w:rFonts w:ascii="Arial" w:hAnsi="Arial" w:cs="Arial"/>
          <w:sz w:val="24"/>
          <w:szCs w:val="24"/>
        </w:rPr>
        <w:t>are highlighted</w:t>
      </w:r>
      <w:proofErr w:type="gramEnd"/>
      <w:r w:rsidRPr="00725069">
        <w:rPr>
          <w:rFonts w:ascii="Arial" w:hAnsi="Arial" w:cs="Arial"/>
          <w:sz w:val="24"/>
          <w:szCs w:val="24"/>
        </w:rPr>
        <w:t xml:space="preserve"> in yellow and with comments documenting the changes in each cell. These </w:t>
      </w:r>
      <w:proofErr w:type="gramStart"/>
      <w:r w:rsidRPr="00725069">
        <w:rPr>
          <w:rFonts w:ascii="Arial" w:hAnsi="Arial" w:cs="Arial"/>
          <w:sz w:val="24"/>
          <w:szCs w:val="24"/>
        </w:rPr>
        <w:t>are summarized</w:t>
      </w:r>
      <w:proofErr w:type="gramEnd"/>
      <w:r w:rsidRPr="00725069">
        <w:rPr>
          <w:rFonts w:ascii="Arial" w:hAnsi="Arial" w:cs="Arial"/>
          <w:sz w:val="24"/>
          <w:szCs w:val="24"/>
        </w:rPr>
        <w:t xml:space="preserve"> in the following table:</w:t>
      </w:r>
    </w:p>
    <w:tbl>
      <w:tblPr>
        <w:tblStyle w:val="TableGrid"/>
        <w:tblW w:w="0" w:type="auto"/>
        <w:tblLook w:val="04A0" w:firstRow="1" w:lastRow="0" w:firstColumn="1" w:lastColumn="0" w:noHBand="0" w:noVBand="1"/>
      </w:tblPr>
      <w:tblGrid>
        <w:gridCol w:w="1615"/>
        <w:gridCol w:w="1440"/>
        <w:gridCol w:w="6295"/>
      </w:tblGrid>
      <w:tr w:rsidR="00725069" w:rsidRPr="00725069" w:rsidTr="00BA45BD">
        <w:tc>
          <w:tcPr>
            <w:tcW w:w="161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Sheet</w:t>
            </w:r>
          </w:p>
        </w:tc>
        <w:tc>
          <w:tcPr>
            <w:tcW w:w="1440"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Cell(s)</w:t>
            </w:r>
          </w:p>
        </w:tc>
        <w:tc>
          <w:tcPr>
            <w:tcW w:w="629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Description</w:t>
            </w:r>
          </w:p>
        </w:tc>
      </w:tr>
      <w:tr w:rsidR="00725069" w:rsidRPr="00725069" w:rsidTr="00BA45BD">
        <w:tc>
          <w:tcPr>
            <w:tcW w:w="1615" w:type="dxa"/>
            <w:vMerge w:val="restart"/>
          </w:tcPr>
          <w:p w:rsidR="00725069" w:rsidRPr="00725069" w:rsidRDefault="00725069" w:rsidP="00725069">
            <w:pPr>
              <w:numPr>
                <w:ilvl w:val="0"/>
                <w:numId w:val="47"/>
              </w:numPr>
              <w:ind w:left="240"/>
              <w:contextualSpacing/>
              <w:rPr>
                <w:rFonts w:ascii="Arial" w:hAnsi="Arial" w:cs="Arial"/>
                <w:sz w:val="20"/>
                <w:szCs w:val="20"/>
                <w:lang w:val="en-US"/>
              </w:rPr>
            </w:pPr>
            <w:r w:rsidRPr="00725069">
              <w:rPr>
                <w:rFonts w:ascii="Arial" w:hAnsi="Arial" w:cs="Arial"/>
                <w:sz w:val="20"/>
                <w:szCs w:val="20"/>
                <w:lang w:val="en-US"/>
              </w:rPr>
              <w:t>Information Sheet</w:t>
            </w:r>
          </w:p>
        </w:tc>
        <w:tc>
          <w:tcPr>
            <w:tcW w:w="1440"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F34, F38</w:t>
            </w:r>
          </w:p>
        </w:tc>
        <w:tc>
          <w:tcPr>
            <w:tcW w:w="629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 xml:space="preserve">Numerator Year should be 2016 (last </w:t>
            </w:r>
            <w:proofErr w:type="spellStart"/>
            <w:r w:rsidRPr="00725069">
              <w:rPr>
                <w:rFonts w:ascii="Arial" w:hAnsi="Arial" w:cs="Arial"/>
                <w:sz w:val="20"/>
                <w:szCs w:val="20"/>
                <w:lang w:val="en-US"/>
              </w:rPr>
              <w:t>CoS</w:t>
            </w:r>
            <w:proofErr w:type="spellEnd"/>
            <w:r w:rsidRPr="00725069">
              <w:rPr>
                <w:rFonts w:ascii="Arial" w:hAnsi="Arial" w:cs="Arial"/>
                <w:sz w:val="20"/>
                <w:szCs w:val="20"/>
                <w:lang w:val="en-US"/>
              </w:rPr>
              <w:t xml:space="preserve"> test year). Assume 2015 is most recent year of actuals (other than 2016 = cannot use same year for numerator and denominator)</w:t>
            </w:r>
          </w:p>
        </w:tc>
      </w:tr>
      <w:tr w:rsidR="00725069" w:rsidRPr="00725069" w:rsidTr="00BA45BD">
        <w:tc>
          <w:tcPr>
            <w:tcW w:w="1615" w:type="dxa"/>
            <w:vMerge/>
          </w:tcPr>
          <w:p w:rsidR="00725069" w:rsidRPr="00725069" w:rsidRDefault="00725069" w:rsidP="00725069">
            <w:pPr>
              <w:rPr>
                <w:rFonts w:ascii="Arial" w:hAnsi="Arial" w:cs="Arial"/>
                <w:sz w:val="20"/>
                <w:szCs w:val="20"/>
                <w:lang w:val="en-US"/>
              </w:rPr>
            </w:pPr>
          </w:p>
        </w:tc>
        <w:tc>
          <w:tcPr>
            <w:tcW w:w="1440"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F48, F49</w:t>
            </w:r>
          </w:p>
        </w:tc>
        <w:tc>
          <w:tcPr>
            <w:tcW w:w="629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 xml:space="preserve">Overrode formulae. Numerator is 2017 (= 2016) </w:t>
            </w:r>
            <w:proofErr w:type="spellStart"/>
            <w:r w:rsidRPr="00725069">
              <w:rPr>
                <w:rFonts w:ascii="Arial" w:hAnsi="Arial" w:cs="Arial"/>
                <w:sz w:val="20"/>
                <w:szCs w:val="20"/>
                <w:lang w:val="en-US"/>
              </w:rPr>
              <w:t>CoS</w:t>
            </w:r>
            <w:proofErr w:type="spellEnd"/>
            <w:r w:rsidRPr="00725069">
              <w:rPr>
                <w:rFonts w:ascii="Arial" w:hAnsi="Arial" w:cs="Arial"/>
                <w:sz w:val="20"/>
                <w:szCs w:val="20"/>
                <w:lang w:val="en-US"/>
              </w:rPr>
              <w:t xml:space="preserve"> test year load forecast, and denominator is 2015 actuals, both at current (2017) approved rates, for deriving the growth (“g”) factor.</w:t>
            </w:r>
          </w:p>
        </w:tc>
      </w:tr>
      <w:tr w:rsidR="00725069" w:rsidRPr="00725069" w:rsidTr="00BA45BD">
        <w:tc>
          <w:tcPr>
            <w:tcW w:w="161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‘7.   Growth Factor – DEN CALC</w:t>
            </w:r>
          </w:p>
        </w:tc>
        <w:tc>
          <w:tcPr>
            <w:tcW w:w="1440"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G14</w:t>
            </w:r>
          </w:p>
        </w:tc>
        <w:tc>
          <w:tcPr>
            <w:tcW w:w="629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Corrected label. Current (2017) rates are used. Growth is determined based on changes in customers and demand, with no changes in rates (rate changes captured through Price Cap Index)</w:t>
            </w:r>
          </w:p>
        </w:tc>
      </w:tr>
      <w:tr w:rsidR="00725069" w:rsidRPr="00725069" w:rsidTr="00BA45BD">
        <w:tc>
          <w:tcPr>
            <w:tcW w:w="161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‘9.  Threshold Test</w:t>
            </w:r>
          </w:p>
        </w:tc>
        <w:tc>
          <w:tcPr>
            <w:tcW w:w="1440"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E13</w:t>
            </w:r>
          </w:p>
        </w:tc>
        <w:tc>
          <w:tcPr>
            <w:tcW w:w="629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Corrected label</w:t>
            </w:r>
          </w:p>
        </w:tc>
      </w:tr>
      <w:tr w:rsidR="00725069" w:rsidRPr="00725069" w:rsidTr="00BA45BD">
        <w:tc>
          <w:tcPr>
            <w:tcW w:w="1615" w:type="dxa"/>
            <w:vMerge w:val="restart"/>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10b. Proposed ACM ICM Projects</w:t>
            </w:r>
          </w:p>
        </w:tc>
        <w:tc>
          <w:tcPr>
            <w:tcW w:w="1440"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C15-G15</w:t>
            </w:r>
          </w:p>
        </w:tc>
        <w:tc>
          <w:tcPr>
            <w:tcW w:w="629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Year labels corrected.</w:t>
            </w:r>
          </w:p>
        </w:tc>
      </w:tr>
      <w:tr w:rsidR="00725069" w:rsidRPr="00725069" w:rsidTr="00BA45BD">
        <w:tc>
          <w:tcPr>
            <w:tcW w:w="1615" w:type="dxa"/>
            <w:vMerge/>
          </w:tcPr>
          <w:p w:rsidR="00725069" w:rsidRPr="00725069" w:rsidRDefault="00725069" w:rsidP="00725069">
            <w:pPr>
              <w:rPr>
                <w:rFonts w:ascii="Arial" w:hAnsi="Arial" w:cs="Arial"/>
                <w:sz w:val="20"/>
                <w:szCs w:val="20"/>
                <w:lang w:val="en-US"/>
              </w:rPr>
            </w:pPr>
          </w:p>
        </w:tc>
        <w:tc>
          <w:tcPr>
            <w:tcW w:w="1440"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C16-G16</w:t>
            </w:r>
          </w:p>
        </w:tc>
        <w:tc>
          <w:tcPr>
            <w:tcW w:w="629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Entered capex for  years as approved in Decision and Rate Order EB-2015-0100 and from Appendix 2-AB of Proposed Settlement, with the following changes:</w:t>
            </w:r>
          </w:p>
          <w:p w:rsidR="00725069" w:rsidRPr="00725069" w:rsidRDefault="00725069" w:rsidP="00725069">
            <w:pPr>
              <w:numPr>
                <w:ilvl w:val="0"/>
                <w:numId w:val="48"/>
              </w:numPr>
              <w:contextualSpacing/>
              <w:rPr>
                <w:rFonts w:ascii="Arial" w:hAnsi="Arial" w:cs="Arial"/>
                <w:sz w:val="20"/>
                <w:szCs w:val="20"/>
                <w:lang w:val="en-US"/>
              </w:rPr>
            </w:pPr>
            <w:r w:rsidRPr="00725069">
              <w:rPr>
                <w:rFonts w:ascii="Arial" w:hAnsi="Arial" w:cs="Arial"/>
                <w:sz w:val="20"/>
                <w:szCs w:val="20"/>
                <w:lang w:val="en-US"/>
              </w:rPr>
              <w:t>2017 is the $464,288 as approved for the 2016 test year; and</w:t>
            </w:r>
          </w:p>
          <w:p w:rsidR="00725069" w:rsidRPr="00725069" w:rsidRDefault="00725069" w:rsidP="00725069">
            <w:pPr>
              <w:numPr>
                <w:ilvl w:val="0"/>
                <w:numId w:val="48"/>
              </w:numPr>
              <w:contextualSpacing/>
              <w:rPr>
                <w:rFonts w:ascii="Arial" w:hAnsi="Arial" w:cs="Arial"/>
                <w:sz w:val="20"/>
                <w:szCs w:val="20"/>
                <w:lang w:val="en-US"/>
              </w:rPr>
            </w:pPr>
            <w:proofErr w:type="gramStart"/>
            <w:r w:rsidRPr="00725069">
              <w:rPr>
                <w:rFonts w:ascii="Arial" w:hAnsi="Arial" w:cs="Arial"/>
                <w:sz w:val="20"/>
                <w:szCs w:val="20"/>
                <w:lang w:val="en-US"/>
              </w:rPr>
              <w:t>2018</w:t>
            </w:r>
            <w:proofErr w:type="gramEnd"/>
            <w:r w:rsidRPr="00725069">
              <w:rPr>
                <w:rFonts w:ascii="Arial" w:hAnsi="Arial" w:cs="Arial"/>
                <w:sz w:val="20"/>
                <w:szCs w:val="20"/>
                <w:lang w:val="en-US"/>
              </w:rPr>
              <w:t xml:space="preserve"> capex is calculated as the 2018 capex per 2-AB plus the January 1, 2018 opening NBV of the digger truck.</w:t>
            </w:r>
          </w:p>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 xml:space="preserve">Capex aligned with correct years. No forecasted capex for 2021, as RSL </w:t>
            </w:r>
            <w:proofErr w:type="gramStart"/>
            <w:r w:rsidRPr="00725069">
              <w:rPr>
                <w:rFonts w:ascii="Arial" w:hAnsi="Arial" w:cs="Arial"/>
                <w:sz w:val="20"/>
                <w:szCs w:val="20"/>
                <w:lang w:val="en-US"/>
              </w:rPr>
              <w:t>is expected</w:t>
            </w:r>
            <w:proofErr w:type="gramEnd"/>
            <w:r w:rsidRPr="00725069">
              <w:rPr>
                <w:rFonts w:ascii="Arial" w:hAnsi="Arial" w:cs="Arial"/>
                <w:sz w:val="20"/>
                <w:szCs w:val="20"/>
                <w:lang w:val="en-US"/>
              </w:rPr>
              <w:t xml:space="preserve"> to rebase for that year per Decision and Rate Order EB-2015-0100.</w:t>
            </w:r>
          </w:p>
        </w:tc>
      </w:tr>
      <w:tr w:rsidR="00725069" w:rsidRPr="00725069" w:rsidTr="00BA45BD">
        <w:tc>
          <w:tcPr>
            <w:tcW w:w="1615" w:type="dxa"/>
            <w:vMerge/>
          </w:tcPr>
          <w:p w:rsidR="00725069" w:rsidRPr="00725069" w:rsidRDefault="00725069" w:rsidP="00725069">
            <w:pPr>
              <w:rPr>
                <w:rFonts w:ascii="Arial" w:hAnsi="Arial" w:cs="Arial"/>
                <w:sz w:val="20"/>
                <w:szCs w:val="20"/>
                <w:lang w:val="en-US"/>
              </w:rPr>
            </w:pPr>
          </w:p>
        </w:tc>
        <w:tc>
          <w:tcPr>
            <w:tcW w:w="1440"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C24</w:t>
            </w:r>
          </w:p>
        </w:tc>
        <w:tc>
          <w:tcPr>
            <w:tcW w:w="629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Opening capex for digger truck in 2017</w:t>
            </w:r>
          </w:p>
        </w:tc>
      </w:tr>
      <w:tr w:rsidR="00725069" w:rsidRPr="00725069" w:rsidTr="00BA45BD">
        <w:tc>
          <w:tcPr>
            <w:tcW w:w="1615" w:type="dxa"/>
            <w:vMerge/>
          </w:tcPr>
          <w:p w:rsidR="00725069" w:rsidRPr="00725069" w:rsidRDefault="00725069" w:rsidP="00725069">
            <w:pPr>
              <w:rPr>
                <w:rFonts w:ascii="Arial" w:hAnsi="Arial" w:cs="Arial"/>
                <w:sz w:val="20"/>
                <w:szCs w:val="20"/>
                <w:lang w:val="en-US"/>
              </w:rPr>
            </w:pPr>
          </w:p>
        </w:tc>
        <w:tc>
          <w:tcPr>
            <w:tcW w:w="1440"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D24</w:t>
            </w:r>
          </w:p>
        </w:tc>
        <w:tc>
          <w:tcPr>
            <w:tcW w:w="629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Opening NBV of digger truck on January 1, 2018, calculated as 2017 GBV less half-year depreciation in 2017.</w:t>
            </w:r>
          </w:p>
        </w:tc>
      </w:tr>
      <w:tr w:rsidR="00725069" w:rsidRPr="00725069" w:rsidTr="00BA45BD">
        <w:tc>
          <w:tcPr>
            <w:tcW w:w="1615" w:type="dxa"/>
            <w:vMerge/>
          </w:tcPr>
          <w:p w:rsidR="00725069" w:rsidRPr="00725069" w:rsidRDefault="00725069" w:rsidP="00725069">
            <w:pPr>
              <w:rPr>
                <w:rFonts w:ascii="Arial" w:hAnsi="Arial" w:cs="Arial"/>
                <w:sz w:val="20"/>
                <w:szCs w:val="20"/>
                <w:lang w:val="en-US"/>
              </w:rPr>
            </w:pPr>
          </w:p>
        </w:tc>
        <w:tc>
          <w:tcPr>
            <w:tcW w:w="1440"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E61</w:t>
            </w:r>
          </w:p>
        </w:tc>
        <w:tc>
          <w:tcPr>
            <w:tcW w:w="6295" w:type="dxa"/>
          </w:tcPr>
          <w:p w:rsidR="00725069" w:rsidRPr="00725069" w:rsidRDefault="00725069" w:rsidP="00725069">
            <w:pPr>
              <w:rPr>
                <w:rFonts w:ascii="Arial" w:hAnsi="Arial" w:cs="Arial"/>
                <w:sz w:val="20"/>
                <w:szCs w:val="20"/>
                <w:lang w:val="en-US"/>
              </w:rPr>
            </w:pPr>
            <w:r w:rsidRPr="00725069">
              <w:rPr>
                <w:rFonts w:ascii="Arial" w:hAnsi="Arial" w:cs="Arial"/>
                <w:sz w:val="20"/>
                <w:szCs w:val="20"/>
                <w:lang w:val="en-US"/>
              </w:rPr>
              <w:t>No change in value, but assume full-year depreciation based on initial GBV of digger truck over 8 year expected useful life.</w:t>
            </w:r>
          </w:p>
        </w:tc>
      </w:tr>
    </w:tbl>
    <w:p w:rsidR="00725069" w:rsidRPr="00725069" w:rsidRDefault="00725069" w:rsidP="00725069">
      <w:pPr>
        <w:rPr>
          <w:rFonts w:ascii="Arial" w:hAnsi="Arial" w:cs="Arial"/>
          <w:sz w:val="24"/>
          <w:szCs w:val="24"/>
        </w:rPr>
      </w:pPr>
    </w:p>
    <w:p w:rsidR="00725069" w:rsidRPr="00725069" w:rsidRDefault="00725069" w:rsidP="00725069">
      <w:pPr>
        <w:numPr>
          <w:ilvl w:val="0"/>
          <w:numId w:val="46"/>
        </w:numPr>
        <w:spacing w:after="160" w:line="259" w:lineRule="auto"/>
        <w:contextualSpacing/>
        <w:rPr>
          <w:rFonts w:ascii="Arial" w:hAnsi="Arial" w:cs="Arial"/>
          <w:sz w:val="24"/>
          <w:szCs w:val="24"/>
        </w:rPr>
      </w:pPr>
      <w:r w:rsidRPr="00725069">
        <w:rPr>
          <w:rFonts w:ascii="Arial" w:hAnsi="Arial" w:cs="Arial"/>
          <w:sz w:val="24"/>
          <w:szCs w:val="24"/>
        </w:rPr>
        <w:t xml:space="preserve">Please examine the data inputs and adjustments. Provide (or advise) of any corrections that </w:t>
      </w:r>
      <w:r w:rsidR="00E102A2" w:rsidRPr="00725069">
        <w:rPr>
          <w:rFonts w:ascii="Arial" w:hAnsi="Arial" w:cs="Arial"/>
          <w:sz w:val="24"/>
          <w:szCs w:val="24"/>
        </w:rPr>
        <w:t>R</w:t>
      </w:r>
      <w:r w:rsidR="00E102A2">
        <w:rPr>
          <w:rFonts w:ascii="Arial" w:hAnsi="Arial" w:cs="Arial"/>
          <w:sz w:val="24"/>
          <w:szCs w:val="24"/>
        </w:rPr>
        <w:t>ideau St. Lawrence Distribution</w:t>
      </w:r>
      <w:r w:rsidRPr="00725069">
        <w:rPr>
          <w:rFonts w:ascii="Arial" w:hAnsi="Arial" w:cs="Arial"/>
          <w:sz w:val="24"/>
          <w:szCs w:val="24"/>
        </w:rPr>
        <w:t xml:space="preserve"> considers suitable, with explanation.</w:t>
      </w:r>
    </w:p>
    <w:p w:rsidR="00725069" w:rsidRDefault="00725069" w:rsidP="00725069">
      <w:pPr>
        <w:numPr>
          <w:ilvl w:val="0"/>
          <w:numId w:val="46"/>
        </w:numPr>
        <w:spacing w:after="160" w:line="259" w:lineRule="auto"/>
        <w:contextualSpacing/>
        <w:rPr>
          <w:rFonts w:ascii="Arial" w:hAnsi="Arial" w:cs="Arial"/>
          <w:sz w:val="24"/>
          <w:szCs w:val="24"/>
        </w:rPr>
      </w:pPr>
      <w:r w:rsidRPr="00725069">
        <w:rPr>
          <w:rFonts w:ascii="Arial" w:hAnsi="Arial" w:cs="Arial"/>
          <w:sz w:val="24"/>
          <w:szCs w:val="24"/>
        </w:rPr>
        <w:t xml:space="preserve">Please provide </w:t>
      </w:r>
      <w:r w:rsidR="00E102A2" w:rsidRPr="00725069">
        <w:rPr>
          <w:rFonts w:ascii="Arial" w:hAnsi="Arial" w:cs="Arial"/>
          <w:sz w:val="24"/>
          <w:szCs w:val="24"/>
        </w:rPr>
        <w:t>R</w:t>
      </w:r>
      <w:r w:rsidR="00E102A2">
        <w:rPr>
          <w:rFonts w:ascii="Arial" w:hAnsi="Arial" w:cs="Arial"/>
          <w:sz w:val="24"/>
          <w:szCs w:val="24"/>
        </w:rPr>
        <w:t>ideau St. Lawrence Distribution</w:t>
      </w:r>
      <w:r w:rsidRPr="00725069">
        <w:rPr>
          <w:rFonts w:ascii="Arial" w:hAnsi="Arial" w:cs="Arial"/>
          <w:sz w:val="24"/>
          <w:szCs w:val="24"/>
        </w:rPr>
        <w:t xml:space="preserve">’s views on the appropriateness of this approach for recovery of the digger truck from January 1, 2018 until </w:t>
      </w:r>
      <w:r w:rsidR="00844056" w:rsidRPr="00725069">
        <w:rPr>
          <w:rFonts w:ascii="Arial" w:hAnsi="Arial" w:cs="Arial"/>
          <w:sz w:val="24"/>
          <w:szCs w:val="24"/>
        </w:rPr>
        <w:t>R</w:t>
      </w:r>
      <w:r w:rsidR="00844056">
        <w:rPr>
          <w:rFonts w:ascii="Arial" w:hAnsi="Arial" w:cs="Arial"/>
          <w:sz w:val="24"/>
          <w:szCs w:val="24"/>
        </w:rPr>
        <w:t>ideau St. Lawrence Distribution</w:t>
      </w:r>
      <w:r w:rsidR="00844056" w:rsidRPr="00725069">
        <w:rPr>
          <w:rFonts w:ascii="Arial" w:hAnsi="Arial" w:cs="Arial"/>
          <w:sz w:val="24"/>
          <w:szCs w:val="24"/>
        </w:rPr>
        <w:t xml:space="preserve"> </w:t>
      </w:r>
      <w:r w:rsidRPr="00725069">
        <w:rPr>
          <w:rFonts w:ascii="Arial" w:hAnsi="Arial" w:cs="Arial"/>
          <w:sz w:val="24"/>
          <w:szCs w:val="24"/>
        </w:rPr>
        <w:t>next rebases or the digger truck becomes fully depreciated (by June 30, 2025).</w:t>
      </w:r>
    </w:p>
    <w:p w:rsidR="00320892" w:rsidRDefault="00320892" w:rsidP="00320892">
      <w:pPr>
        <w:spacing w:after="160" w:line="259" w:lineRule="auto"/>
        <w:ind w:left="720"/>
        <w:contextualSpacing/>
        <w:rPr>
          <w:rFonts w:ascii="Arial" w:hAnsi="Arial" w:cs="Arial"/>
          <w:sz w:val="24"/>
          <w:szCs w:val="24"/>
        </w:rPr>
      </w:pPr>
    </w:p>
    <w:p w:rsidR="00320892" w:rsidRPr="00725069" w:rsidRDefault="00320892" w:rsidP="00320892">
      <w:pPr>
        <w:spacing w:after="160" w:line="259" w:lineRule="auto"/>
        <w:ind w:left="720"/>
        <w:contextualSpacing/>
        <w:rPr>
          <w:rFonts w:ascii="Arial" w:hAnsi="Arial" w:cs="Arial"/>
          <w:sz w:val="24"/>
          <w:szCs w:val="24"/>
        </w:rPr>
      </w:pPr>
    </w:p>
    <w:p w:rsidR="00725069" w:rsidRPr="00725069" w:rsidRDefault="00725069" w:rsidP="00725069">
      <w:pPr>
        <w:ind w:left="720"/>
        <w:contextualSpacing/>
        <w:rPr>
          <w:rFonts w:ascii="Arial" w:hAnsi="Arial" w:cs="Arial"/>
          <w:b/>
          <w:sz w:val="24"/>
          <w:szCs w:val="24"/>
        </w:rPr>
      </w:pPr>
    </w:p>
    <w:p w:rsidR="00725069" w:rsidRPr="00725069" w:rsidRDefault="00725069" w:rsidP="00725069">
      <w:pPr>
        <w:numPr>
          <w:ilvl w:val="0"/>
          <w:numId w:val="42"/>
        </w:numPr>
        <w:spacing w:after="160" w:line="259" w:lineRule="auto"/>
        <w:contextualSpacing/>
        <w:rPr>
          <w:rFonts w:ascii="Arial" w:hAnsi="Arial" w:cs="Arial"/>
          <w:b/>
          <w:sz w:val="24"/>
          <w:szCs w:val="24"/>
        </w:rPr>
      </w:pPr>
      <w:r w:rsidRPr="00725069">
        <w:rPr>
          <w:rFonts w:ascii="Arial" w:hAnsi="Arial" w:cs="Arial"/>
          <w:b/>
          <w:sz w:val="24"/>
          <w:szCs w:val="24"/>
        </w:rPr>
        <w:lastRenderedPageBreak/>
        <w:t>Ref: Capital Module ACM/ICM Spreadsheet</w:t>
      </w:r>
    </w:p>
    <w:p w:rsidR="00725069" w:rsidRPr="00725069" w:rsidRDefault="00725069" w:rsidP="00725069">
      <w:pPr>
        <w:rPr>
          <w:rFonts w:ascii="Arial" w:hAnsi="Arial" w:cs="Arial"/>
          <w:sz w:val="24"/>
          <w:szCs w:val="24"/>
        </w:rPr>
      </w:pPr>
      <w:r w:rsidRPr="00725069">
        <w:rPr>
          <w:rFonts w:ascii="Arial" w:hAnsi="Arial" w:cs="Arial"/>
          <w:sz w:val="24"/>
          <w:szCs w:val="24"/>
        </w:rPr>
        <w:t xml:space="preserve">As filed in the original application, </w:t>
      </w:r>
      <w:r w:rsidR="00E102A2" w:rsidRPr="00725069">
        <w:rPr>
          <w:rFonts w:ascii="Arial" w:hAnsi="Arial" w:cs="Arial"/>
          <w:sz w:val="24"/>
          <w:szCs w:val="24"/>
        </w:rPr>
        <w:t>R</w:t>
      </w:r>
      <w:r w:rsidR="00E102A2">
        <w:rPr>
          <w:rFonts w:ascii="Arial" w:hAnsi="Arial" w:cs="Arial"/>
          <w:sz w:val="24"/>
          <w:szCs w:val="24"/>
        </w:rPr>
        <w:t>ideau St. Lawrence Distribution</w:t>
      </w:r>
      <w:r w:rsidRPr="00725069">
        <w:rPr>
          <w:rFonts w:ascii="Arial" w:hAnsi="Arial" w:cs="Arial"/>
          <w:sz w:val="24"/>
          <w:szCs w:val="24"/>
        </w:rPr>
        <w:t xml:space="preserve"> has proposed rate riders that </w:t>
      </w:r>
      <w:proofErr w:type="gramStart"/>
      <w:r w:rsidRPr="00725069">
        <w:rPr>
          <w:rFonts w:ascii="Arial" w:hAnsi="Arial" w:cs="Arial"/>
          <w:sz w:val="24"/>
          <w:szCs w:val="24"/>
        </w:rPr>
        <w:t>are fully fixed</w:t>
      </w:r>
      <w:proofErr w:type="gramEnd"/>
      <w:r w:rsidRPr="00725069">
        <w:rPr>
          <w:rFonts w:ascii="Arial" w:hAnsi="Arial" w:cs="Arial"/>
          <w:sz w:val="24"/>
          <w:szCs w:val="24"/>
        </w:rPr>
        <w:t xml:space="preserve"> monthly charges for all six of its customer classes. Except for the Residential customer class, where distribution costs </w:t>
      </w:r>
      <w:proofErr w:type="gramStart"/>
      <w:r w:rsidRPr="00725069">
        <w:rPr>
          <w:rFonts w:ascii="Arial" w:hAnsi="Arial" w:cs="Arial"/>
          <w:sz w:val="24"/>
          <w:szCs w:val="24"/>
        </w:rPr>
        <w:t>are recovered</w:t>
      </w:r>
      <w:proofErr w:type="gramEnd"/>
      <w:r w:rsidRPr="00725069">
        <w:rPr>
          <w:rFonts w:ascii="Arial" w:hAnsi="Arial" w:cs="Arial"/>
          <w:sz w:val="24"/>
          <w:szCs w:val="24"/>
        </w:rPr>
        <w:t xml:space="preserve"> solely through fixed monthly charges, costs (revenue requirements) can be recovered through either fixed charges, volumetric charges, or a combination of these.</w:t>
      </w:r>
    </w:p>
    <w:p w:rsidR="00725069" w:rsidRPr="00725069" w:rsidRDefault="00725069" w:rsidP="00725069">
      <w:pPr>
        <w:rPr>
          <w:rFonts w:ascii="Arial" w:hAnsi="Arial" w:cs="Arial"/>
          <w:sz w:val="24"/>
          <w:szCs w:val="24"/>
        </w:rPr>
      </w:pPr>
      <w:r w:rsidRPr="00725069">
        <w:rPr>
          <w:rFonts w:ascii="Arial" w:hAnsi="Arial" w:cs="Arial"/>
          <w:sz w:val="24"/>
          <w:szCs w:val="24"/>
        </w:rPr>
        <w:t xml:space="preserve">With respect to </w:t>
      </w:r>
      <w:r w:rsidR="00E102A2" w:rsidRPr="00725069">
        <w:rPr>
          <w:rFonts w:ascii="Arial" w:hAnsi="Arial" w:cs="Arial"/>
          <w:sz w:val="24"/>
          <w:szCs w:val="24"/>
        </w:rPr>
        <w:t>R</w:t>
      </w:r>
      <w:r w:rsidR="00E102A2">
        <w:rPr>
          <w:rFonts w:ascii="Arial" w:hAnsi="Arial" w:cs="Arial"/>
          <w:sz w:val="24"/>
          <w:szCs w:val="24"/>
        </w:rPr>
        <w:t>ideau St. Lawrence Distribution</w:t>
      </w:r>
      <w:r w:rsidRPr="00725069">
        <w:rPr>
          <w:rFonts w:ascii="Arial" w:hAnsi="Arial" w:cs="Arial"/>
          <w:sz w:val="24"/>
          <w:szCs w:val="24"/>
        </w:rPr>
        <w:t xml:space="preserve">’s original </w:t>
      </w:r>
      <w:proofErr w:type="gramStart"/>
      <w:r w:rsidRPr="00725069">
        <w:rPr>
          <w:rFonts w:ascii="Arial" w:hAnsi="Arial" w:cs="Arial"/>
          <w:sz w:val="24"/>
          <w:szCs w:val="24"/>
        </w:rPr>
        <w:t>proposal,</w:t>
      </w:r>
      <w:proofErr w:type="gramEnd"/>
      <w:r w:rsidRPr="00725069">
        <w:rPr>
          <w:rFonts w:ascii="Arial" w:hAnsi="Arial" w:cs="Arial"/>
          <w:sz w:val="24"/>
          <w:szCs w:val="24"/>
        </w:rPr>
        <w:t xml:space="preserve"> and the ACM model as revised by OEB staff for Interrogatory 5 above, the following table summarizes four scenarios:</w:t>
      </w:r>
    </w:p>
    <w:p w:rsidR="00725069" w:rsidRPr="00725069" w:rsidRDefault="00E102A2" w:rsidP="00725069">
      <w:pPr>
        <w:numPr>
          <w:ilvl w:val="0"/>
          <w:numId w:val="49"/>
        </w:numPr>
        <w:spacing w:after="160" w:line="259" w:lineRule="auto"/>
        <w:contextualSpacing/>
        <w:rPr>
          <w:rFonts w:ascii="Arial" w:hAnsi="Arial" w:cs="Arial"/>
          <w:sz w:val="24"/>
          <w:szCs w:val="24"/>
        </w:rPr>
      </w:pPr>
      <w:r w:rsidRPr="00725069">
        <w:rPr>
          <w:rFonts w:ascii="Arial" w:hAnsi="Arial" w:cs="Arial"/>
          <w:sz w:val="24"/>
          <w:szCs w:val="24"/>
        </w:rPr>
        <w:t>R</w:t>
      </w:r>
      <w:r>
        <w:rPr>
          <w:rFonts w:ascii="Arial" w:hAnsi="Arial" w:cs="Arial"/>
          <w:sz w:val="24"/>
          <w:szCs w:val="24"/>
        </w:rPr>
        <w:t>ideau St. Lawrence Distribution</w:t>
      </w:r>
      <w:r w:rsidR="00725069" w:rsidRPr="00725069">
        <w:rPr>
          <w:rFonts w:ascii="Arial" w:hAnsi="Arial" w:cs="Arial"/>
          <w:sz w:val="24"/>
          <w:szCs w:val="24"/>
        </w:rPr>
        <w:t>’s proposal as filed on September 25, 2017, with recovery solely through fixed monthly rate riders</w:t>
      </w:r>
    </w:p>
    <w:p w:rsidR="00725069" w:rsidRPr="00725069" w:rsidRDefault="00E102A2" w:rsidP="00725069">
      <w:pPr>
        <w:numPr>
          <w:ilvl w:val="0"/>
          <w:numId w:val="49"/>
        </w:numPr>
        <w:spacing w:after="160" w:line="259" w:lineRule="auto"/>
        <w:contextualSpacing/>
        <w:rPr>
          <w:rFonts w:ascii="Arial" w:hAnsi="Arial" w:cs="Arial"/>
          <w:sz w:val="24"/>
          <w:szCs w:val="24"/>
        </w:rPr>
      </w:pPr>
      <w:r w:rsidRPr="00725069">
        <w:rPr>
          <w:rFonts w:ascii="Arial" w:hAnsi="Arial" w:cs="Arial"/>
          <w:sz w:val="24"/>
          <w:szCs w:val="24"/>
        </w:rPr>
        <w:t>R</w:t>
      </w:r>
      <w:r>
        <w:rPr>
          <w:rFonts w:ascii="Arial" w:hAnsi="Arial" w:cs="Arial"/>
          <w:sz w:val="24"/>
          <w:szCs w:val="24"/>
        </w:rPr>
        <w:t>ideau St. Lawrence Distribution</w:t>
      </w:r>
      <w:r w:rsidR="00725069" w:rsidRPr="00725069">
        <w:rPr>
          <w:rFonts w:ascii="Arial" w:hAnsi="Arial" w:cs="Arial"/>
          <w:sz w:val="24"/>
          <w:szCs w:val="24"/>
        </w:rPr>
        <w:t>’s proposal, but with recovery through a combination of monthly and volumetric rates, except for the Residential class</w:t>
      </w:r>
    </w:p>
    <w:p w:rsidR="00725069" w:rsidRPr="00725069" w:rsidRDefault="00725069" w:rsidP="00725069">
      <w:pPr>
        <w:numPr>
          <w:ilvl w:val="0"/>
          <w:numId w:val="49"/>
        </w:numPr>
        <w:spacing w:after="160" w:line="259" w:lineRule="auto"/>
        <w:contextualSpacing/>
        <w:rPr>
          <w:rFonts w:ascii="Arial" w:hAnsi="Arial" w:cs="Arial"/>
          <w:sz w:val="24"/>
          <w:szCs w:val="24"/>
        </w:rPr>
      </w:pPr>
      <w:r w:rsidRPr="00725069">
        <w:rPr>
          <w:rFonts w:ascii="Arial" w:hAnsi="Arial" w:cs="Arial"/>
          <w:sz w:val="24"/>
          <w:szCs w:val="24"/>
        </w:rPr>
        <w:t>Capital Module as revised by OEB staff per Interrogatory 5 above, with recovery solely through fixed monthly rate riders</w:t>
      </w:r>
    </w:p>
    <w:p w:rsidR="00725069" w:rsidRPr="00725069" w:rsidRDefault="00725069" w:rsidP="00725069">
      <w:pPr>
        <w:numPr>
          <w:ilvl w:val="0"/>
          <w:numId w:val="49"/>
        </w:numPr>
        <w:spacing w:after="160" w:line="259" w:lineRule="auto"/>
        <w:contextualSpacing/>
        <w:rPr>
          <w:rFonts w:ascii="Arial" w:hAnsi="Arial" w:cs="Arial"/>
          <w:sz w:val="24"/>
          <w:szCs w:val="24"/>
        </w:rPr>
      </w:pPr>
      <w:r w:rsidRPr="00725069">
        <w:rPr>
          <w:rFonts w:ascii="Arial" w:hAnsi="Arial" w:cs="Arial"/>
          <w:sz w:val="24"/>
          <w:szCs w:val="24"/>
        </w:rPr>
        <w:t>Capital Module as revised by OEB staff per Interrogatory 5 above, with recovery through a combination of monthly and volumetric rates, except for the Residential class.</w:t>
      </w:r>
    </w:p>
    <w:p w:rsidR="00725069" w:rsidRPr="00725069" w:rsidRDefault="00725069" w:rsidP="00725069">
      <w:pPr>
        <w:rPr>
          <w:rFonts w:ascii="Arial" w:hAnsi="Arial" w:cs="Arial"/>
          <w:b/>
          <w:sz w:val="24"/>
          <w:szCs w:val="24"/>
        </w:rPr>
      </w:pPr>
      <w:r w:rsidRPr="00725069">
        <w:rPr>
          <w:noProof/>
          <w:lang w:val="en-US"/>
        </w:rPr>
        <w:drawing>
          <wp:inline distT="0" distB="0" distL="0" distR="0" wp14:anchorId="13CA28C5" wp14:editId="4D8AC3D0">
            <wp:extent cx="6369050" cy="2590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4336" cy="2596296"/>
                    </a:xfrm>
                    <a:prstGeom prst="rect">
                      <a:avLst/>
                    </a:prstGeom>
                    <a:noFill/>
                    <a:ln>
                      <a:noFill/>
                    </a:ln>
                  </pic:spPr>
                </pic:pic>
              </a:graphicData>
            </a:graphic>
          </wp:inline>
        </w:drawing>
      </w:r>
    </w:p>
    <w:p w:rsidR="00725069" w:rsidRPr="00725069" w:rsidRDefault="00725069" w:rsidP="00725069">
      <w:pPr>
        <w:numPr>
          <w:ilvl w:val="0"/>
          <w:numId w:val="50"/>
        </w:numPr>
        <w:spacing w:after="160" w:line="259" w:lineRule="auto"/>
        <w:contextualSpacing/>
        <w:rPr>
          <w:rFonts w:ascii="Arial" w:hAnsi="Arial" w:cs="Arial"/>
          <w:sz w:val="24"/>
          <w:szCs w:val="24"/>
        </w:rPr>
      </w:pPr>
      <w:r w:rsidRPr="00725069">
        <w:rPr>
          <w:rFonts w:ascii="Arial" w:hAnsi="Arial" w:cs="Arial"/>
          <w:sz w:val="24"/>
          <w:szCs w:val="24"/>
        </w:rPr>
        <w:t xml:space="preserve">Please explain why </w:t>
      </w:r>
      <w:r w:rsidR="00E102A2" w:rsidRPr="00725069">
        <w:rPr>
          <w:rFonts w:ascii="Arial" w:hAnsi="Arial" w:cs="Arial"/>
          <w:sz w:val="24"/>
          <w:szCs w:val="24"/>
        </w:rPr>
        <w:t>R</w:t>
      </w:r>
      <w:r w:rsidR="00E102A2">
        <w:rPr>
          <w:rFonts w:ascii="Arial" w:hAnsi="Arial" w:cs="Arial"/>
          <w:sz w:val="24"/>
          <w:szCs w:val="24"/>
        </w:rPr>
        <w:t>ideau St. Lawrence Distribution</w:t>
      </w:r>
      <w:r w:rsidRPr="00725069">
        <w:rPr>
          <w:rFonts w:ascii="Arial" w:hAnsi="Arial" w:cs="Arial"/>
          <w:sz w:val="24"/>
          <w:szCs w:val="24"/>
        </w:rPr>
        <w:t xml:space="preserve"> proposed recovery for the digger truck solely through fixed monthly charges for all customer classes.</w:t>
      </w:r>
    </w:p>
    <w:p w:rsidR="00725069" w:rsidRPr="00725069" w:rsidRDefault="00725069" w:rsidP="00725069">
      <w:pPr>
        <w:numPr>
          <w:ilvl w:val="0"/>
          <w:numId w:val="50"/>
        </w:numPr>
        <w:spacing w:after="160" w:line="259" w:lineRule="auto"/>
        <w:contextualSpacing/>
        <w:rPr>
          <w:rFonts w:ascii="Arial" w:hAnsi="Arial" w:cs="Arial"/>
          <w:sz w:val="24"/>
          <w:szCs w:val="24"/>
        </w:rPr>
      </w:pPr>
      <w:r w:rsidRPr="00725069">
        <w:rPr>
          <w:rFonts w:ascii="Arial" w:hAnsi="Arial" w:cs="Arial"/>
          <w:sz w:val="24"/>
          <w:szCs w:val="24"/>
        </w:rPr>
        <w:t xml:space="preserve">Considering the responses to OEB staff Interrogatory 5 and the above table, please provide </w:t>
      </w:r>
      <w:r w:rsidR="00E102A2" w:rsidRPr="00725069">
        <w:rPr>
          <w:rFonts w:ascii="Arial" w:hAnsi="Arial" w:cs="Arial"/>
          <w:sz w:val="24"/>
          <w:szCs w:val="24"/>
        </w:rPr>
        <w:t>R</w:t>
      </w:r>
      <w:r w:rsidR="00E102A2">
        <w:rPr>
          <w:rFonts w:ascii="Arial" w:hAnsi="Arial" w:cs="Arial"/>
          <w:sz w:val="24"/>
          <w:szCs w:val="24"/>
        </w:rPr>
        <w:t>ideau St. Lawrence Distribution</w:t>
      </w:r>
      <w:r w:rsidRPr="00725069">
        <w:rPr>
          <w:rFonts w:ascii="Arial" w:hAnsi="Arial" w:cs="Arial"/>
          <w:sz w:val="24"/>
          <w:szCs w:val="24"/>
        </w:rPr>
        <w:t xml:space="preserve">’s views on whether costs </w:t>
      </w:r>
      <w:proofErr w:type="gramStart"/>
      <w:r w:rsidRPr="00725069">
        <w:rPr>
          <w:rFonts w:ascii="Arial" w:hAnsi="Arial" w:cs="Arial"/>
          <w:sz w:val="24"/>
          <w:szCs w:val="24"/>
        </w:rPr>
        <w:t>should be recovered</w:t>
      </w:r>
      <w:proofErr w:type="gramEnd"/>
      <w:r w:rsidRPr="00725069">
        <w:rPr>
          <w:rFonts w:ascii="Arial" w:hAnsi="Arial" w:cs="Arial"/>
          <w:sz w:val="24"/>
          <w:szCs w:val="24"/>
        </w:rPr>
        <w:t xml:space="preserve"> through a fixed charge or through a combination of fixed and variable charges, based on cost causality for the allocated class revenue requirement. </w:t>
      </w:r>
    </w:p>
    <w:p w:rsidR="00725069" w:rsidRPr="00725069" w:rsidRDefault="00725069" w:rsidP="00725069">
      <w:pPr>
        <w:spacing w:after="0"/>
        <w:rPr>
          <w:rFonts w:ascii="Arial" w:hAnsi="Arial" w:cs="Arial"/>
          <w:b/>
          <w:sz w:val="28"/>
          <w:szCs w:val="28"/>
        </w:rPr>
      </w:pPr>
      <w:r w:rsidRPr="00725069">
        <w:rPr>
          <w:rFonts w:ascii="Arial" w:hAnsi="Arial" w:cs="Arial"/>
          <w:b/>
          <w:sz w:val="28"/>
          <w:szCs w:val="28"/>
        </w:rPr>
        <w:lastRenderedPageBreak/>
        <w:t>Questions in relation to LRAMVA</w:t>
      </w:r>
    </w:p>
    <w:p w:rsidR="00725069" w:rsidRPr="00725069" w:rsidRDefault="00320892" w:rsidP="00725069">
      <w:pPr>
        <w:spacing w:after="0"/>
        <w:rPr>
          <w:rFonts w:ascii="Arial" w:hAnsi="Arial" w:cs="Arial"/>
          <w:b/>
          <w:sz w:val="24"/>
          <w:szCs w:val="24"/>
        </w:rPr>
      </w:pPr>
      <w:r>
        <w:rPr>
          <w:rFonts w:ascii="Arial" w:hAnsi="Arial" w:cs="Arial"/>
          <w:b/>
          <w:sz w:val="24"/>
          <w:szCs w:val="24"/>
        </w:rPr>
        <w:t>Staff IR-10</w:t>
      </w:r>
    </w:p>
    <w:p w:rsidR="00725069" w:rsidRPr="00725069" w:rsidRDefault="00725069" w:rsidP="00725069">
      <w:pPr>
        <w:rPr>
          <w:rFonts w:ascii="Arial" w:hAnsi="Arial" w:cs="Arial"/>
          <w:b/>
          <w:sz w:val="24"/>
          <w:szCs w:val="24"/>
        </w:rPr>
      </w:pPr>
      <w:r w:rsidRPr="00725069">
        <w:rPr>
          <w:rFonts w:ascii="Arial" w:hAnsi="Arial" w:cs="Arial"/>
          <w:b/>
          <w:sz w:val="24"/>
          <w:szCs w:val="24"/>
        </w:rPr>
        <w:t>Ref: Tabs 1 and 8 of LRAMVA work form</w:t>
      </w:r>
    </w:p>
    <w:p w:rsidR="00725069" w:rsidRPr="00725069" w:rsidRDefault="00725069" w:rsidP="00725069">
      <w:pPr>
        <w:rPr>
          <w:rFonts w:ascii="Arial" w:hAnsi="Arial" w:cs="Arial"/>
          <w:sz w:val="24"/>
          <w:szCs w:val="24"/>
        </w:rPr>
      </w:pPr>
      <w:r w:rsidRPr="00725069">
        <w:rPr>
          <w:rFonts w:ascii="Arial" w:hAnsi="Arial" w:cs="Arial"/>
          <w:sz w:val="24"/>
          <w:szCs w:val="24"/>
        </w:rPr>
        <w:t xml:space="preserve">In the application, Rideau St. Lawrence Distribution is requesting approval of a debit balance of $41,135 in lost revenues associated with new CDM program savings in 2015, persisting savings from 2011 to 2014 in 2015, and carrying charges of $1,357.  </w:t>
      </w:r>
    </w:p>
    <w:p w:rsidR="00725069" w:rsidRPr="00725069" w:rsidRDefault="00725069" w:rsidP="00725069">
      <w:pPr>
        <w:rPr>
          <w:rFonts w:ascii="Arial" w:hAnsi="Arial" w:cs="Arial"/>
          <w:sz w:val="24"/>
          <w:szCs w:val="24"/>
        </w:rPr>
      </w:pPr>
      <w:r w:rsidRPr="00725069">
        <w:rPr>
          <w:rFonts w:ascii="Arial" w:hAnsi="Arial" w:cs="Arial"/>
          <w:sz w:val="24"/>
          <w:szCs w:val="24"/>
        </w:rPr>
        <w:t xml:space="preserve">In the LRAMVA work form, Table 1-b of Tab 1 shows that interest of $681 </w:t>
      </w:r>
      <w:proofErr w:type="gramStart"/>
      <w:r w:rsidRPr="00725069">
        <w:rPr>
          <w:rFonts w:ascii="Arial" w:hAnsi="Arial" w:cs="Arial"/>
          <w:sz w:val="24"/>
          <w:szCs w:val="24"/>
        </w:rPr>
        <w:t>is claimed</w:t>
      </w:r>
      <w:proofErr w:type="gramEnd"/>
      <w:r w:rsidRPr="00725069">
        <w:rPr>
          <w:rFonts w:ascii="Arial" w:hAnsi="Arial" w:cs="Arial"/>
          <w:sz w:val="24"/>
          <w:szCs w:val="24"/>
        </w:rPr>
        <w:t xml:space="preserve"> up to the period of December 31, 2016.  However, as Rideau St. Lawrence indicates in the application, $1,357 of interest </w:t>
      </w:r>
      <w:proofErr w:type="gramStart"/>
      <w:r w:rsidRPr="00725069">
        <w:rPr>
          <w:rFonts w:ascii="Arial" w:hAnsi="Arial" w:cs="Arial"/>
          <w:sz w:val="24"/>
          <w:szCs w:val="24"/>
        </w:rPr>
        <w:t>is requested to be approved</w:t>
      </w:r>
      <w:proofErr w:type="gramEnd"/>
      <w:r w:rsidRPr="00725069">
        <w:rPr>
          <w:rFonts w:ascii="Arial" w:hAnsi="Arial" w:cs="Arial"/>
          <w:sz w:val="24"/>
          <w:szCs w:val="24"/>
        </w:rPr>
        <w:t xml:space="preserve"> up to April 30, 2018.  </w:t>
      </w:r>
    </w:p>
    <w:p w:rsidR="00725069" w:rsidRPr="00725069" w:rsidRDefault="00725069" w:rsidP="00725069">
      <w:pPr>
        <w:numPr>
          <w:ilvl w:val="0"/>
          <w:numId w:val="34"/>
        </w:numPr>
        <w:spacing w:after="160" w:line="259" w:lineRule="auto"/>
        <w:contextualSpacing/>
        <w:rPr>
          <w:rFonts w:ascii="Arial" w:hAnsi="Arial" w:cs="Arial"/>
          <w:sz w:val="24"/>
          <w:szCs w:val="24"/>
        </w:rPr>
      </w:pPr>
      <w:r w:rsidRPr="00725069">
        <w:rPr>
          <w:rFonts w:ascii="Arial" w:hAnsi="Arial" w:cs="Arial"/>
          <w:sz w:val="24"/>
          <w:szCs w:val="24"/>
        </w:rPr>
        <w:t>Please update Table 1-b of the LRAMVA work form accordingly to ensure that the total carrying charges are consistent in both the LRAMVA work form and application.</w:t>
      </w:r>
    </w:p>
    <w:p w:rsidR="00725069" w:rsidRPr="00725069" w:rsidRDefault="00725069" w:rsidP="00725069">
      <w:pPr>
        <w:spacing w:after="0" w:line="240" w:lineRule="auto"/>
        <w:rPr>
          <w:rFonts w:ascii="Arial" w:hAnsi="Arial" w:cs="Arial"/>
          <w:sz w:val="24"/>
          <w:szCs w:val="24"/>
        </w:rPr>
      </w:pPr>
    </w:p>
    <w:p w:rsidR="00725069" w:rsidRPr="00725069" w:rsidRDefault="00320892" w:rsidP="00725069">
      <w:pPr>
        <w:spacing w:after="0"/>
        <w:rPr>
          <w:rFonts w:ascii="Arial" w:hAnsi="Arial" w:cs="Arial"/>
          <w:b/>
          <w:sz w:val="24"/>
          <w:szCs w:val="24"/>
        </w:rPr>
      </w:pPr>
      <w:r>
        <w:rPr>
          <w:rFonts w:ascii="Arial" w:hAnsi="Arial" w:cs="Arial"/>
          <w:b/>
          <w:sz w:val="24"/>
          <w:szCs w:val="24"/>
        </w:rPr>
        <w:t>Staff IR-11</w:t>
      </w: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Ref:</w:t>
      </w:r>
      <w:r w:rsidRPr="00725069">
        <w:rPr>
          <w:rFonts w:ascii="Arial" w:hAnsi="Arial" w:cs="Arial"/>
          <w:b/>
          <w:sz w:val="24"/>
          <w:szCs w:val="24"/>
        </w:rPr>
        <w:tab/>
        <w:t>Application, page 8 of 48</w:t>
      </w:r>
    </w:p>
    <w:p w:rsidR="00725069" w:rsidRPr="00725069" w:rsidRDefault="00725069" w:rsidP="00725069">
      <w:pPr>
        <w:ind w:firstLine="720"/>
        <w:rPr>
          <w:rFonts w:ascii="Arial" w:hAnsi="Arial" w:cs="Arial"/>
          <w:b/>
          <w:sz w:val="24"/>
          <w:szCs w:val="24"/>
        </w:rPr>
      </w:pPr>
      <w:r w:rsidRPr="00725069">
        <w:rPr>
          <w:rFonts w:ascii="Arial" w:hAnsi="Arial" w:cs="Arial"/>
          <w:b/>
          <w:sz w:val="24"/>
          <w:szCs w:val="24"/>
        </w:rPr>
        <w:t>Tabs 1 and 8 of LRAMVA work form</w:t>
      </w:r>
    </w:p>
    <w:p w:rsidR="00725069" w:rsidRPr="00725069" w:rsidRDefault="00725069" w:rsidP="00725069">
      <w:pPr>
        <w:rPr>
          <w:rFonts w:ascii="Arial" w:hAnsi="Arial" w:cs="Arial"/>
          <w:sz w:val="24"/>
          <w:szCs w:val="24"/>
        </w:rPr>
      </w:pPr>
      <w:r w:rsidRPr="00725069">
        <w:rPr>
          <w:rFonts w:ascii="Arial" w:hAnsi="Arial" w:cs="Arial"/>
          <w:sz w:val="24"/>
          <w:szCs w:val="24"/>
        </w:rPr>
        <w:t xml:space="preserve">Included in the LRAMVA claim is $2,929.43 in savings related to a street lighting project in 2014.  These savings were not included in the final approved amount in 2014, but </w:t>
      </w:r>
      <w:proofErr w:type="gramStart"/>
      <w:r w:rsidRPr="00725069">
        <w:rPr>
          <w:rFonts w:ascii="Arial" w:hAnsi="Arial" w:cs="Arial"/>
          <w:sz w:val="24"/>
          <w:szCs w:val="24"/>
        </w:rPr>
        <w:t>are requested to be claimed</w:t>
      </w:r>
      <w:proofErr w:type="gramEnd"/>
      <w:r w:rsidRPr="00725069">
        <w:rPr>
          <w:rFonts w:ascii="Arial" w:hAnsi="Arial" w:cs="Arial"/>
          <w:sz w:val="24"/>
          <w:szCs w:val="24"/>
        </w:rPr>
        <w:t xml:space="preserve"> in 2018 rates.  </w:t>
      </w:r>
    </w:p>
    <w:p w:rsidR="00725069" w:rsidRPr="00725069" w:rsidRDefault="00725069" w:rsidP="00725069">
      <w:pPr>
        <w:rPr>
          <w:rFonts w:ascii="Arial" w:hAnsi="Arial" w:cs="Arial"/>
          <w:sz w:val="24"/>
          <w:szCs w:val="24"/>
        </w:rPr>
      </w:pPr>
      <w:r w:rsidRPr="00725069">
        <w:rPr>
          <w:rFonts w:ascii="Arial" w:hAnsi="Arial" w:cs="Arial"/>
          <w:sz w:val="24"/>
          <w:szCs w:val="24"/>
        </w:rPr>
        <w:t xml:space="preserve">Rideau St. Lawrence Distribution has not claimed the persistence of 2014 street lighting savings (South Dundas project) in 2015.  </w:t>
      </w:r>
    </w:p>
    <w:p w:rsidR="00725069" w:rsidRPr="00725069" w:rsidRDefault="00725069" w:rsidP="00725069">
      <w:pPr>
        <w:numPr>
          <w:ilvl w:val="0"/>
          <w:numId w:val="38"/>
        </w:numPr>
        <w:spacing w:after="160" w:line="240" w:lineRule="auto"/>
        <w:rPr>
          <w:rFonts w:ascii="Arial" w:hAnsi="Arial" w:cs="Arial"/>
          <w:sz w:val="24"/>
          <w:szCs w:val="24"/>
          <w:lang w:val="en-US"/>
        </w:rPr>
      </w:pPr>
      <w:r w:rsidRPr="00725069">
        <w:rPr>
          <w:rFonts w:ascii="Arial" w:hAnsi="Arial" w:cs="Arial"/>
          <w:sz w:val="24"/>
          <w:szCs w:val="24"/>
          <w:lang w:val="en-US"/>
        </w:rPr>
        <w:t xml:space="preserve">Please discuss why Rideau St. Lawrence Distribution included $2,929.43 in the LRAMVA disposition and whether Rideau St. Lawrence Distribution agrees </w:t>
      </w:r>
      <w:proofErr w:type="gramStart"/>
      <w:r w:rsidRPr="00725069">
        <w:rPr>
          <w:rFonts w:ascii="Arial" w:hAnsi="Arial" w:cs="Arial"/>
          <w:sz w:val="24"/>
          <w:szCs w:val="24"/>
          <w:lang w:val="en-US"/>
        </w:rPr>
        <w:t>that</w:t>
      </w:r>
      <w:proofErr w:type="gramEnd"/>
      <w:r w:rsidRPr="00725069">
        <w:rPr>
          <w:rFonts w:ascii="Arial" w:hAnsi="Arial" w:cs="Arial"/>
          <w:sz w:val="24"/>
          <w:szCs w:val="24"/>
          <w:lang w:val="en-US"/>
        </w:rPr>
        <w:t xml:space="preserve"> the savings should be removed since, as noted in the Chapter 3 Filing Guidelines, adjustments to final approved amounts related to a previous LRAMVA disposition cannot be made.</w:t>
      </w:r>
    </w:p>
    <w:p w:rsidR="00725069" w:rsidRPr="00725069" w:rsidRDefault="00725069" w:rsidP="00725069">
      <w:pPr>
        <w:numPr>
          <w:ilvl w:val="0"/>
          <w:numId w:val="38"/>
        </w:numPr>
        <w:spacing w:after="160" w:line="240" w:lineRule="auto"/>
        <w:rPr>
          <w:rFonts w:ascii="Arial" w:hAnsi="Arial" w:cs="Arial"/>
          <w:sz w:val="24"/>
          <w:szCs w:val="24"/>
          <w:lang w:val="en-US"/>
        </w:rPr>
      </w:pPr>
      <w:r w:rsidRPr="00725069">
        <w:rPr>
          <w:rFonts w:ascii="Arial" w:hAnsi="Arial" w:cs="Arial"/>
          <w:sz w:val="24"/>
          <w:szCs w:val="24"/>
          <w:lang w:val="en-US"/>
        </w:rPr>
        <w:t>If Rideau St. Lawrence Distribution agrees with not including $2,929.43, please remove the savings in cell G61 of Tab 1.</w:t>
      </w:r>
    </w:p>
    <w:p w:rsidR="00725069" w:rsidRPr="00725069" w:rsidRDefault="00725069" w:rsidP="00725069">
      <w:pPr>
        <w:numPr>
          <w:ilvl w:val="0"/>
          <w:numId w:val="38"/>
        </w:numPr>
        <w:spacing w:after="160" w:line="240" w:lineRule="auto"/>
        <w:rPr>
          <w:rFonts w:ascii="Arial" w:hAnsi="Arial" w:cs="Arial"/>
          <w:sz w:val="24"/>
          <w:szCs w:val="24"/>
          <w:lang w:val="en-US"/>
        </w:rPr>
      </w:pPr>
      <w:r w:rsidRPr="00725069">
        <w:rPr>
          <w:rFonts w:ascii="Arial" w:hAnsi="Arial" w:cs="Arial"/>
          <w:sz w:val="24"/>
          <w:szCs w:val="24"/>
          <w:lang w:val="en-US"/>
        </w:rPr>
        <w:t>Please discuss whether Rideau St. Lawrence Distribution has received information from the IESO related to the persistence of street lighting savings in future years and whether Rideau St. Lawrence Distribution has considered claiming the persistence of 2014 street lighting savings (South Dundas project) in 2015.</w:t>
      </w:r>
    </w:p>
    <w:p w:rsidR="00725069" w:rsidRPr="00725069" w:rsidRDefault="00725069" w:rsidP="00725069">
      <w:pPr>
        <w:numPr>
          <w:ilvl w:val="0"/>
          <w:numId w:val="39"/>
        </w:numPr>
        <w:spacing w:after="160" w:line="259" w:lineRule="auto"/>
        <w:contextualSpacing/>
        <w:rPr>
          <w:rFonts w:ascii="Arial" w:hAnsi="Arial" w:cs="Arial"/>
          <w:sz w:val="24"/>
          <w:szCs w:val="24"/>
        </w:rPr>
      </w:pPr>
      <w:r w:rsidRPr="00725069">
        <w:rPr>
          <w:rFonts w:ascii="Arial" w:hAnsi="Arial" w:cs="Arial"/>
          <w:sz w:val="24"/>
          <w:szCs w:val="24"/>
        </w:rPr>
        <w:t xml:space="preserve">If Rideau St. Lawrence Distribution would like to claim the persistence of 2014 street lighting savings in 2015, but did not receive information from </w:t>
      </w:r>
      <w:r w:rsidRPr="00725069">
        <w:rPr>
          <w:rFonts w:ascii="Arial" w:hAnsi="Arial" w:cs="Arial"/>
          <w:sz w:val="24"/>
          <w:szCs w:val="24"/>
        </w:rPr>
        <w:lastRenderedPageBreak/>
        <w:t>the IESO, please provide assumptions related to future year’s persistence of the 2014 streetlight project.</w:t>
      </w:r>
    </w:p>
    <w:p w:rsidR="00725069" w:rsidRPr="00725069" w:rsidRDefault="00725069" w:rsidP="00725069">
      <w:pPr>
        <w:spacing w:after="0" w:line="240" w:lineRule="auto"/>
        <w:rPr>
          <w:rFonts w:ascii="Arial" w:hAnsi="Arial" w:cs="Arial"/>
          <w:sz w:val="24"/>
          <w:szCs w:val="24"/>
        </w:rPr>
      </w:pPr>
    </w:p>
    <w:p w:rsidR="00725069" w:rsidRPr="00725069" w:rsidRDefault="00320892" w:rsidP="00725069">
      <w:pPr>
        <w:spacing w:after="0"/>
        <w:rPr>
          <w:rFonts w:ascii="Arial" w:hAnsi="Arial" w:cs="Arial"/>
          <w:b/>
          <w:sz w:val="24"/>
          <w:szCs w:val="24"/>
        </w:rPr>
      </w:pPr>
      <w:r>
        <w:rPr>
          <w:rFonts w:ascii="Arial" w:hAnsi="Arial" w:cs="Arial"/>
          <w:b/>
          <w:sz w:val="24"/>
          <w:szCs w:val="24"/>
        </w:rPr>
        <w:t>Staff IR-12</w:t>
      </w:r>
    </w:p>
    <w:p w:rsidR="00725069" w:rsidRPr="00725069" w:rsidRDefault="00725069" w:rsidP="00725069">
      <w:pPr>
        <w:spacing w:after="0"/>
        <w:rPr>
          <w:rFonts w:ascii="Arial" w:hAnsi="Arial" w:cs="Arial"/>
          <w:b/>
          <w:sz w:val="24"/>
          <w:szCs w:val="24"/>
        </w:rPr>
      </w:pPr>
      <w:r w:rsidRPr="00725069">
        <w:rPr>
          <w:rFonts w:ascii="Arial" w:hAnsi="Arial" w:cs="Arial"/>
          <w:b/>
          <w:sz w:val="24"/>
          <w:szCs w:val="24"/>
        </w:rPr>
        <w:t>Ref: Tabs 1 and 3 of LRAMVA work form</w:t>
      </w:r>
    </w:p>
    <w:p w:rsidR="00725069" w:rsidRPr="00725069" w:rsidRDefault="00725069" w:rsidP="00725069">
      <w:pPr>
        <w:spacing w:after="0"/>
        <w:rPr>
          <w:rFonts w:ascii="Arial" w:hAnsi="Arial" w:cs="Arial"/>
          <w:b/>
          <w:sz w:val="24"/>
          <w:szCs w:val="24"/>
        </w:rPr>
      </w:pPr>
    </w:p>
    <w:p w:rsidR="00725069" w:rsidRPr="00725069" w:rsidRDefault="00725069" w:rsidP="00725069">
      <w:pPr>
        <w:spacing w:after="0"/>
        <w:rPr>
          <w:rFonts w:ascii="Arial" w:hAnsi="Arial" w:cs="Arial"/>
          <w:sz w:val="24"/>
          <w:szCs w:val="24"/>
        </w:rPr>
      </w:pPr>
      <w:r w:rsidRPr="00725069">
        <w:rPr>
          <w:rFonts w:ascii="Arial" w:hAnsi="Arial" w:cs="Arial"/>
          <w:sz w:val="24"/>
          <w:szCs w:val="24"/>
        </w:rPr>
        <w:t xml:space="preserve">Tab </w:t>
      </w:r>
      <w:proofErr w:type="gramStart"/>
      <w:r w:rsidRPr="00725069">
        <w:rPr>
          <w:rFonts w:ascii="Arial" w:hAnsi="Arial" w:cs="Arial"/>
          <w:sz w:val="24"/>
          <w:szCs w:val="24"/>
        </w:rPr>
        <w:t>3</w:t>
      </w:r>
      <w:proofErr w:type="gramEnd"/>
      <w:r w:rsidRPr="00725069">
        <w:rPr>
          <w:rFonts w:ascii="Arial" w:hAnsi="Arial" w:cs="Arial"/>
          <w:sz w:val="24"/>
          <w:szCs w:val="24"/>
        </w:rPr>
        <w:t xml:space="preserve"> of the LRAMVA work form allows distributors to input distribution rates used in the LRAMVA calculation. In row 39 of Tab 3, it appears that the distribution rate for the street lighting class was converted to an energy charge, $/kWh, to be consistent with Rideau St. Lawrence </w:t>
      </w:r>
      <w:proofErr w:type="gramStart"/>
      <w:r w:rsidRPr="00725069">
        <w:rPr>
          <w:rFonts w:ascii="Arial" w:hAnsi="Arial" w:cs="Arial"/>
          <w:sz w:val="24"/>
          <w:szCs w:val="24"/>
        </w:rPr>
        <w:t>Distribution’s</w:t>
      </w:r>
      <w:proofErr w:type="gramEnd"/>
      <w:r w:rsidRPr="00725069">
        <w:rPr>
          <w:rFonts w:ascii="Arial" w:hAnsi="Arial" w:cs="Arial"/>
          <w:sz w:val="24"/>
          <w:szCs w:val="24"/>
        </w:rPr>
        <w:t xml:space="preserve"> billing system. As noted in Rideau St. Lawrence Distribution’s tariffs, it appears that the volumetric rates for the </w:t>
      </w:r>
      <w:proofErr w:type="spellStart"/>
      <w:r w:rsidRPr="00725069">
        <w:rPr>
          <w:rFonts w:ascii="Arial" w:hAnsi="Arial" w:cs="Arial"/>
          <w:sz w:val="24"/>
          <w:szCs w:val="24"/>
        </w:rPr>
        <w:t>streetlighting</w:t>
      </w:r>
      <w:proofErr w:type="spellEnd"/>
      <w:r w:rsidRPr="00725069">
        <w:rPr>
          <w:rFonts w:ascii="Arial" w:hAnsi="Arial" w:cs="Arial"/>
          <w:sz w:val="24"/>
          <w:szCs w:val="24"/>
        </w:rPr>
        <w:t xml:space="preserve"> class are expressed in $/kW.</w:t>
      </w:r>
    </w:p>
    <w:p w:rsidR="00725069" w:rsidRPr="00725069" w:rsidRDefault="00725069" w:rsidP="00725069">
      <w:pPr>
        <w:spacing w:after="0"/>
        <w:rPr>
          <w:rFonts w:ascii="Arial" w:hAnsi="Arial" w:cs="Arial"/>
          <w:sz w:val="24"/>
          <w:szCs w:val="24"/>
        </w:rPr>
      </w:pPr>
    </w:p>
    <w:p w:rsidR="00725069" w:rsidRPr="00725069" w:rsidRDefault="00725069" w:rsidP="00725069">
      <w:pPr>
        <w:numPr>
          <w:ilvl w:val="0"/>
          <w:numId w:val="35"/>
        </w:numPr>
        <w:spacing w:after="160" w:line="259" w:lineRule="auto"/>
        <w:contextualSpacing/>
        <w:rPr>
          <w:rFonts w:ascii="Arial" w:hAnsi="Arial" w:cs="Arial"/>
          <w:sz w:val="24"/>
          <w:szCs w:val="24"/>
        </w:rPr>
      </w:pPr>
      <w:r w:rsidRPr="00725069">
        <w:rPr>
          <w:rFonts w:ascii="Arial" w:hAnsi="Arial" w:cs="Arial"/>
          <w:sz w:val="24"/>
          <w:szCs w:val="24"/>
        </w:rPr>
        <w:t xml:space="preserve">Please confirm whether the </w:t>
      </w:r>
      <w:proofErr w:type="spellStart"/>
      <w:r w:rsidRPr="00725069">
        <w:rPr>
          <w:rFonts w:ascii="Arial" w:hAnsi="Arial" w:cs="Arial"/>
          <w:sz w:val="24"/>
          <w:szCs w:val="24"/>
        </w:rPr>
        <w:t>streetlighting</w:t>
      </w:r>
      <w:proofErr w:type="spellEnd"/>
      <w:r w:rsidRPr="00725069">
        <w:rPr>
          <w:rFonts w:ascii="Arial" w:hAnsi="Arial" w:cs="Arial"/>
          <w:sz w:val="24"/>
          <w:szCs w:val="24"/>
        </w:rPr>
        <w:t xml:space="preserve"> rates are charged on a $/kW basis.  </w:t>
      </w:r>
    </w:p>
    <w:p w:rsidR="00725069" w:rsidRPr="00725069" w:rsidRDefault="00725069" w:rsidP="00725069">
      <w:pPr>
        <w:numPr>
          <w:ilvl w:val="0"/>
          <w:numId w:val="35"/>
        </w:numPr>
        <w:spacing w:after="160" w:line="259" w:lineRule="auto"/>
        <w:contextualSpacing/>
        <w:rPr>
          <w:rFonts w:ascii="Arial" w:hAnsi="Arial" w:cs="Arial"/>
          <w:sz w:val="24"/>
          <w:szCs w:val="24"/>
        </w:rPr>
      </w:pPr>
      <w:r w:rsidRPr="00725069">
        <w:rPr>
          <w:rFonts w:ascii="Arial" w:hAnsi="Arial" w:cs="Arial"/>
          <w:sz w:val="24"/>
          <w:szCs w:val="24"/>
        </w:rPr>
        <w:t xml:space="preserve">Please confirm whether Rideau St. Lawrence Distribution has correctly calculated savings for the </w:t>
      </w:r>
      <w:proofErr w:type="gramStart"/>
      <w:r w:rsidRPr="00725069">
        <w:rPr>
          <w:rFonts w:ascii="Arial" w:hAnsi="Arial" w:cs="Arial"/>
          <w:sz w:val="24"/>
          <w:szCs w:val="24"/>
        </w:rPr>
        <w:t xml:space="preserve">two </w:t>
      </w:r>
      <w:proofErr w:type="spellStart"/>
      <w:r w:rsidRPr="00725069">
        <w:rPr>
          <w:rFonts w:ascii="Arial" w:hAnsi="Arial" w:cs="Arial"/>
          <w:sz w:val="24"/>
          <w:szCs w:val="24"/>
        </w:rPr>
        <w:t>streetlighting</w:t>
      </w:r>
      <w:proofErr w:type="spellEnd"/>
      <w:proofErr w:type="gramEnd"/>
      <w:r w:rsidRPr="00725069">
        <w:rPr>
          <w:rFonts w:ascii="Arial" w:hAnsi="Arial" w:cs="Arial"/>
          <w:sz w:val="24"/>
          <w:szCs w:val="24"/>
        </w:rPr>
        <w:t xml:space="preserve"> projects.</w:t>
      </w:r>
    </w:p>
    <w:p w:rsidR="00725069" w:rsidRPr="00725069" w:rsidRDefault="00725069" w:rsidP="00725069">
      <w:pPr>
        <w:spacing w:after="0" w:line="240" w:lineRule="auto"/>
        <w:rPr>
          <w:rFonts w:ascii="Arial" w:hAnsi="Arial" w:cs="Arial"/>
          <w:sz w:val="24"/>
          <w:szCs w:val="24"/>
        </w:rPr>
      </w:pPr>
    </w:p>
    <w:p w:rsidR="00725069" w:rsidRPr="00725069" w:rsidRDefault="00320892" w:rsidP="00725069">
      <w:pPr>
        <w:spacing w:after="0"/>
        <w:rPr>
          <w:rFonts w:ascii="Arial" w:hAnsi="Arial" w:cs="Arial"/>
          <w:b/>
          <w:sz w:val="24"/>
          <w:szCs w:val="24"/>
        </w:rPr>
      </w:pPr>
      <w:r>
        <w:rPr>
          <w:rFonts w:ascii="Arial" w:hAnsi="Arial" w:cs="Arial"/>
          <w:b/>
          <w:sz w:val="24"/>
          <w:szCs w:val="24"/>
        </w:rPr>
        <w:t>Staff IR-13</w:t>
      </w:r>
    </w:p>
    <w:p w:rsidR="00725069" w:rsidRPr="00725069" w:rsidRDefault="00725069" w:rsidP="00725069">
      <w:pPr>
        <w:rPr>
          <w:rFonts w:ascii="Arial" w:hAnsi="Arial" w:cs="Arial"/>
          <w:b/>
          <w:sz w:val="24"/>
          <w:szCs w:val="24"/>
        </w:rPr>
      </w:pPr>
      <w:r w:rsidRPr="00725069">
        <w:rPr>
          <w:rFonts w:ascii="Arial" w:hAnsi="Arial" w:cs="Arial"/>
          <w:b/>
          <w:sz w:val="24"/>
          <w:szCs w:val="24"/>
        </w:rPr>
        <w:t>Ref: Tabs 4 and 5 of LRAMVA work form</w:t>
      </w:r>
    </w:p>
    <w:p w:rsidR="00725069" w:rsidRPr="00725069" w:rsidRDefault="00725069" w:rsidP="00725069">
      <w:pPr>
        <w:rPr>
          <w:rFonts w:ascii="Arial" w:hAnsi="Arial" w:cs="Arial"/>
          <w:sz w:val="24"/>
          <w:szCs w:val="24"/>
        </w:rPr>
      </w:pPr>
      <w:r w:rsidRPr="00725069">
        <w:rPr>
          <w:rFonts w:ascii="Arial" w:hAnsi="Arial" w:cs="Arial"/>
          <w:sz w:val="24"/>
          <w:szCs w:val="24"/>
        </w:rPr>
        <w:t xml:space="preserve">Actual program savings </w:t>
      </w:r>
      <w:proofErr w:type="gramStart"/>
      <w:r w:rsidRPr="00725069">
        <w:rPr>
          <w:rFonts w:ascii="Arial" w:hAnsi="Arial" w:cs="Arial"/>
          <w:sz w:val="24"/>
          <w:szCs w:val="24"/>
        </w:rPr>
        <w:t>are allocated</w:t>
      </w:r>
      <w:proofErr w:type="gramEnd"/>
      <w:r w:rsidRPr="00725069">
        <w:rPr>
          <w:rFonts w:ascii="Arial" w:hAnsi="Arial" w:cs="Arial"/>
          <w:sz w:val="24"/>
          <w:szCs w:val="24"/>
        </w:rPr>
        <w:t xml:space="preserve"> to their respective rate classes to be compared against forecast savings by rate class. In the LRAMVA work form, </w:t>
      </w:r>
      <w:proofErr w:type="gramStart"/>
      <w:r w:rsidRPr="00725069">
        <w:rPr>
          <w:rFonts w:ascii="Arial" w:hAnsi="Arial" w:cs="Arial"/>
          <w:sz w:val="24"/>
          <w:szCs w:val="24"/>
        </w:rPr>
        <w:t>rate class allocation percentages</w:t>
      </w:r>
      <w:proofErr w:type="gramEnd"/>
      <w:r w:rsidRPr="00725069">
        <w:rPr>
          <w:rFonts w:ascii="Arial" w:hAnsi="Arial" w:cs="Arial"/>
          <w:sz w:val="24"/>
          <w:szCs w:val="24"/>
        </w:rPr>
        <w:t xml:space="preserve"> are provided by LDCs with supporting documentation and rationale for its proposal.</w:t>
      </w:r>
    </w:p>
    <w:p w:rsidR="00725069" w:rsidRPr="00725069" w:rsidRDefault="00725069" w:rsidP="00725069">
      <w:pPr>
        <w:numPr>
          <w:ilvl w:val="0"/>
          <w:numId w:val="36"/>
        </w:numPr>
        <w:spacing w:after="160" w:line="259" w:lineRule="auto"/>
        <w:contextualSpacing/>
        <w:rPr>
          <w:rFonts w:ascii="Arial" w:hAnsi="Arial" w:cs="Arial"/>
          <w:sz w:val="24"/>
          <w:szCs w:val="24"/>
        </w:rPr>
      </w:pPr>
      <w:r w:rsidRPr="00725069">
        <w:rPr>
          <w:rFonts w:ascii="Arial" w:hAnsi="Arial" w:cs="Arial"/>
          <w:sz w:val="24"/>
          <w:szCs w:val="24"/>
        </w:rPr>
        <w:t>Please discuss the rate class allocation of the business retrofit program in 2014 and 2015, as compared to prior years from 2011 to 2013.</w:t>
      </w:r>
    </w:p>
    <w:p w:rsidR="00725069" w:rsidRPr="00725069" w:rsidRDefault="00725069" w:rsidP="00725069">
      <w:pPr>
        <w:spacing w:after="0" w:line="240" w:lineRule="auto"/>
        <w:rPr>
          <w:rFonts w:ascii="Arial" w:hAnsi="Arial" w:cs="Arial"/>
          <w:sz w:val="24"/>
          <w:szCs w:val="24"/>
        </w:rPr>
      </w:pPr>
    </w:p>
    <w:p w:rsidR="00725069" w:rsidRPr="00725069" w:rsidRDefault="00320892" w:rsidP="00725069">
      <w:pPr>
        <w:spacing w:after="0"/>
        <w:rPr>
          <w:rFonts w:ascii="Arial" w:hAnsi="Arial" w:cs="Arial"/>
          <w:b/>
          <w:sz w:val="24"/>
          <w:szCs w:val="24"/>
        </w:rPr>
      </w:pPr>
      <w:r>
        <w:rPr>
          <w:rFonts w:ascii="Arial" w:hAnsi="Arial" w:cs="Arial"/>
          <w:b/>
          <w:sz w:val="24"/>
          <w:szCs w:val="24"/>
        </w:rPr>
        <w:t>Staff IR-14</w:t>
      </w:r>
    </w:p>
    <w:p w:rsidR="00725069" w:rsidRPr="00725069" w:rsidRDefault="00725069" w:rsidP="00725069">
      <w:pPr>
        <w:rPr>
          <w:rFonts w:ascii="Arial" w:hAnsi="Arial" w:cs="Arial"/>
          <w:b/>
          <w:sz w:val="24"/>
          <w:szCs w:val="24"/>
        </w:rPr>
      </w:pPr>
      <w:r w:rsidRPr="00725069">
        <w:rPr>
          <w:rFonts w:ascii="Arial" w:hAnsi="Arial" w:cs="Arial"/>
          <w:b/>
          <w:sz w:val="24"/>
          <w:szCs w:val="24"/>
        </w:rPr>
        <w:t>Ref: Tab 8 of LRAMVA work form</w:t>
      </w:r>
    </w:p>
    <w:p w:rsidR="00725069" w:rsidRPr="00725069" w:rsidRDefault="00725069" w:rsidP="00725069">
      <w:pPr>
        <w:rPr>
          <w:rFonts w:ascii="Arial" w:hAnsi="Arial" w:cs="Arial"/>
          <w:sz w:val="24"/>
          <w:szCs w:val="24"/>
        </w:rPr>
      </w:pPr>
      <w:r w:rsidRPr="00725069">
        <w:rPr>
          <w:rFonts w:ascii="Arial" w:hAnsi="Arial" w:cs="Arial"/>
          <w:sz w:val="24"/>
          <w:szCs w:val="24"/>
        </w:rPr>
        <w:t>Rideau St. Lawrence Distribution has included billing information on the pre- and post-installation of two street lighting projects (South Dundas and Cardinal).</w:t>
      </w:r>
    </w:p>
    <w:p w:rsidR="00725069" w:rsidRPr="00725069" w:rsidRDefault="00725069" w:rsidP="00725069">
      <w:pPr>
        <w:numPr>
          <w:ilvl w:val="0"/>
          <w:numId w:val="37"/>
        </w:numPr>
        <w:rPr>
          <w:rFonts w:ascii="Arial" w:hAnsi="Arial" w:cs="Arial"/>
          <w:sz w:val="24"/>
          <w:szCs w:val="24"/>
        </w:rPr>
      </w:pPr>
      <w:r w:rsidRPr="00725069">
        <w:rPr>
          <w:rFonts w:ascii="Arial" w:hAnsi="Arial" w:cs="Arial"/>
          <w:sz w:val="24"/>
          <w:szCs w:val="24"/>
        </w:rPr>
        <w:t xml:space="preserve">Please describe the nature of the two street lighting projects that Rideau St. Lawrence Distribution has engaged in, including support received from the IESO, if any, with respect to the implementation of these two projects. </w:t>
      </w:r>
    </w:p>
    <w:p w:rsidR="00725069" w:rsidRPr="00725069" w:rsidRDefault="00725069" w:rsidP="00725069">
      <w:pPr>
        <w:numPr>
          <w:ilvl w:val="0"/>
          <w:numId w:val="37"/>
        </w:numPr>
        <w:rPr>
          <w:rFonts w:ascii="Arial" w:hAnsi="Arial" w:cs="Arial"/>
          <w:sz w:val="24"/>
          <w:szCs w:val="24"/>
        </w:rPr>
      </w:pPr>
      <w:r w:rsidRPr="00725069">
        <w:rPr>
          <w:rFonts w:ascii="Arial" w:hAnsi="Arial" w:cs="Arial"/>
          <w:sz w:val="24"/>
          <w:szCs w:val="24"/>
        </w:rPr>
        <w:t xml:space="preserve">Please discuss whether Rideau St. Lawrence Distribution has relied on the OEB approved street lighting load profile to calculate savings for the pre and post installation of LED streetlights.  If not, please discuss how monthly street lighting savings </w:t>
      </w:r>
      <w:proofErr w:type="gramStart"/>
      <w:r w:rsidRPr="00725069">
        <w:rPr>
          <w:rFonts w:ascii="Arial" w:hAnsi="Arial" w:cs="Arial"/>
          <w:sz w:val="24"/>
          <w:szCs w:val="24"/>
        </w:rPr>
        <w:t>were calculated</w:t>
      </w:r>
      <w:proofErr w:type="gramEnd"/>
      <w:r w:rsidRPr="00725069">
        <w:rPr>
          <w:rFonts w:ascii="Arial" w:hAnsi="Arial" w:cs="Arial"/>
          <w:sz w:val="24"/>
          <w:szCs w:val="24"/>
        </w:rPr>
        <w:t xml:space="preserve"> for both projects.  </w:t>
      </w:r>
    </w:p>
    <w:p w:rsidR="00725069" w:rsidRPr="00725069" w:rsidRDefault="00725069" w:rsidP="00725069">
      <w:pPr>
        <w:numPr>
          <w:ilvl w:val="0"/>
          <w:numId w:val="37"/>
        </w:numPr>
        <w:rPr>
          <w:rFonts w:ascii="Arial" w:hAnsi="Arial" w:cs="Arial"/>
          <w:sz w:val="24"/>
          <w:szCs w:val="24"/>
        </w:rPr>
      </w:pPr>
      <w:r w:rsidRPr="00725069">
        <w:rPr>
          <w:rFonts w:ascii="Arial" w:hAnsi="Arial" w:cs="Arial"/>
          <w:sz w:val="24"/>
          <w:szCs w:val="24"/>
        </w:rPr>
        <w:lastRenderedPageBreak/>
        <w:t xml:space="preserve">Please confirm </w:t>
      </w:r>
      <w:proofErr w:type="gramStart"/>
      <w:r w:rsidRPr="00725069">
        <w:rPr>
          <w:rFonts w:ascii="Arial" w:hAnsi="Arial" w:cs="Arial"/>
          <w:sz w:val="24"/>
          <w:szCs w:val="24"/>
        </w:rPr>
        <w:t>whether or not</w:t>
      </w:r>
      <w:proofErr w:type="gramEnd"/>
      <w:r w:rsidRPr="00725069">
        <w:rPr>
          <w:rFonts w:ascii="Arial" w:hAnsi="Arial" w:cs="Arial"/>
          <w:sz w:val="24"/>
          <w:szCs w:val="24"/>
        </w:rPr>
        <w:t xml:space="preserve"> the lost revenue amounts on both street lighting projects are net savings.  Please confirm whether an adjustment for free ridership </w:t>
      </w:r>
      <w:proofErr w:type="gramStart"/>
      <w:r w:rsidRPr="00725069">
        <w:rPr>
          <w:rFonts w:ascii="Arial" w:hAnsi="Arial" w:cs="Arial"/>
          <w:sz w:val="24"/>
          <w:szCs w:val="24"/>
        </w:rPr>
        <w:t>has been applied</w:t>
      </w:r>
      <w:proofErr w:type="gramEnd"/>
      <w:r w:rsidRPr="00725069">
        <w:rPr>
          <w:rFonts w:ascii="Arial" w:hAnsi="Arial" w:cs="Arial"/>
          <w:sz w:val="24"/>
          <w:szCs w:val="24"/>
        </w:rPr>
        <w:t xml:space="preserve">.  </w:t>
      </w:r>
    </w:p>
    <w:p w:rsidR="00725069" w:rsidRPr="00725069" w:rsidRDefault="00725069" w:rsidP="00725069">
      <w:pPr>
        <w:spacing w:after="0" w:line="240" w:lineRule="auto"/>
        <w:rPr>
          <w:rFonts w:ascii="Arial" w:hAnsi="Arial" w:cs="Arial"/>
          <w:sz w:val="24"/>
          <w:szCs w:val="24"/>
        </w:rPr>
      </w:pPr>
    </w:p>
    <w:p w:rsidR="00725069" w:rsidRPr="00725069" w:rsidRDefault="00725069" w:rsidP="00725069">
      <w:pPr>
        <w:rPr>
          <w:rFonts w:ascii="Arial" w:hAnsi="Arial" w:cs="Arial"/>
          <w:b/>
          <w:sz w:val="24"/>
          <w:szCs w:val="24"/>
        </w:rPr>
      </w:pPr>
      <w:r w:rsidRPr="00725069">
        <w:rPr>
          <w:rFonts w:ascii="Arial" w:hAnsi="Arial" w:cs="Arial"/>
          <w:b/>
          <w:sz w:val="24"/>
          <w:szCs w:val="24"/>
        </w:rPr>
        <w:t>Staff IR-</w:t>
      </w:r>
      <w:r w:rsidR="00320892">
        <w:rPr>
          <w:rFonts w:ascii="Arial" w:hAnsi="Arial" w:cs="Arial"/>
          <w:b/>
          <w:sz w:val="24"/>
          <w:szCs w:val="24"/>
        </w:rPr>
        <w:t>15</w:t>
      </w:r>
    </w:p>
    <w:p w:rsidR="00725069" w:rsidRPr="00725069" w:rsidRDefault="00725069" w:rsidP="00725069">
      <w:pPr>
        <w:spacing w:after="0" w:line="240" w:lineRule="auto"/>
        <w:rPr>
          <w:rFonts w:ascii="Arial" w:hAnsi="Arial" w:cs="Arial"/>
          <w:sz w:val="24"/>
          <w:szCs w:val="24"/>
          <w:lang w:val="en-US"/>
        </w:rPr>
      </w:pPr>
      <w:r w:rsidRPr="00725069">
        <w:rPr>
          <w:rFonts w:ascii="Arial" w:hAnsi="Arial" w:cs="Arial"/>
          <w:sz w:val="24"/>
          <w:szCs w:val="24"/>
          <w:lang w:val="en-US"/>
        </w:rPr>
        <w:t>Please file an excel copy of Rideau St. Lawrence Distribution’s 2015 Final CDM Annual Report, and the 2011-2015 Persistence Savings Report issued by the IESO.</w:t>
      </w:r>
    </w:p>
    <w:p w:rsidR="00725069" w:rsidRPr="00725069" w:rsidRDefault="00725069" w:rsidP="00725069">
      <w:pPr>
        <w:spacing w:after="0" w:line="240" w:lineRule="auto"/>
        <w:ind w:left="720"/>
        <w:rPr>
          <w:rFonts w:ascii="Arial" w:hAnsi="Arial" w:cs="Arial"/>
          <w:sz w:val="24"/>
          <w:szCs w:val="24"/>
          <w:lang w:val="en-US"/>
        </w:rPr>
      </w:pPr>
    </w:p>
    <w:p w:rsidR="00725069" w:rsidRPr="00725069" w:rsidRDefault="00725069" w:rsidP="00725069">
      <w:pPr>
        <w:rPr>
          <w:rFonts w:ascii="Arial" w:hAnsi="Arial" w:cs="Arial"/>
          <w:b/>
          <w:sz w:val="24"/>
          <w:szCs w:val="24"/>
        </w:rPr>
      </w:pPr>
      <w:r w:rsidRPr="00725069">
        <w:rPr>
          <w:rFonts w:ascii="Arial" w:hAnsi="Arial" w:cs="Arial"/>
          <w:b/>
          <w:sz w:val="24"/>
          <w:szCs w:val="24"/>
        </w:rPr>
        <w:t>Staff IR-</w:t>
      </w:r>
      <w:r w:rsidR="00320892">
        <w:rPr>
          <w:rFonts w:ascii="Arial" w:hAnsi="Arial" w:cs="Arial"/>
          <w:b/>
          <w:sz w:val="24"/>
          <w:szCs w:val="24"/>
        </w:rPr>
        <w:t>16</w:t>
      </w:r>
      <w:bookmarkStart w:id="0" w:name="_GoBack"/>
      <w:bookmarkEnd w:id="0"/>
    </w:p>
    <w:p w:rsidR="00725069" w:rsidRPr="00725069" w:rsidRDefault="00725069" w:rsidP="00725069">
      <w:pPr>
        <w:rPr>
          <w:rFonts w:ascii="Arial" w:hAnsi="Arial" w:cs="Arial"/>
          <w:sz w:val="24"/>
          <w:szCs w:val="24"/>
        </w:rPr>
      </w:pPr>
      <w:r w:rsidRPr="00725069">
        <w:rPr>
          <w:rFonts w:ascii="Arial" w:hAnsi="Arial" w:cs="Arial"/>
          <w:sz w:val="24"/>
          <w:szCs w:val="24"/>
        </w:rPr>
        <w:t xml:space="preserve">If Rideau St. Lawrence Distribution has made any changes to the LRAMVA work form </w:t>
      </w:r>
      <w:proofErr w:type="gramStart"/>
      <w:r w:rsidRPr="00725069">
        <w:rPr>
          <w:rFonts w:ascii="Arial" w:hAnsi="Arial" w:cs="Arial"/>
          <w:sz w:val="24"/>
          <w:szCs w:val="24"/>
        </w:rPr>
        <w:t>as a result</w:t>
      </w:r>
      <w:proofErr w:type="gramEnd"/>
      <w:r w:rsidRPr="00725069">
        <w:rPr>
          <w:rFonts w:ascii="Arial" w:hAnsi="Arial" w:cs="Arial"/>
          <w:sz w:val="24"/>
          <w:szCs w:val="24"/>
        </w:rPr>
        <w:t xml:space="preserve"> of its responses to interrogatories, please file an updated LRAMVA work form.</w:t>
      </w:r>
    </w:p>
    <w:p w:rsidR="00725069" w:rsidRPr="00725069" w:rsidRDefault="00725069" w:rsidP="00725069">
      <w:pPr>
        <w:rPr>
          <w:rFonts w:ascii="Arial" w:hAnsi="Arial" w:cs="Arial"/>
          <w:b/>
          <w:sz w:val="24"/>
          <w:szCs w:val="24"/>
        </w:rPr>
      </w:pPr>
    </w:p>
    <w:p w:rsidR="00725069" w:rsidRPr="00725069" w:rsidRDefault="00725069" w:rsidP="00725069">
      <w:pPr>
        <w:ind w:left="720"/>
        <w:rPr>
          <w:rFonts w:ascii="Arial" w:hAnsi="Arial" w:cs="Arial"/>
          <w:sz w:val="24"/>
          <w:szCs w:val="24"/>
        </w:rPr>
      </w:pPr>
    </w:p>
    <w:p w:rsidR="008C729A" w:rsidRDefault="008C729A" w:rsidP="003721A8">
      <w:pPr>
        <w:spacing w:after="0"/>
        <w:rPr>
          <w:rFonts w:ascii="Arial" w:hAnsi="Arial" w:cs="Arial"/>
          <w:b/>
          <w:sz w:val="24"/>
          <w:szCs w:val="24"/>
        </w:rPr>
      </w:pPr>
    </w:p>
    <w:sectPr w:rsidR="008C729A" w:rsidSect="0020620A">
      <w:headerReference w:type="default" r:id="rId14"/>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90C" w:rsidRDefault="0072790C" w:rsidP="0072790C">
      <w:pPr>
        <w:spacing w:after="0" w:line="240" w:lineRule="auto"/>
      </w:pPr>
      <w:r>
        <w:separator/>
      </w:r>
    </w:p>
  </w:endnote>
  <w:endnote w:type="continuationSeparator" w:id="0">
    <w:p w:rsidR="0072790C" w:rsidRDefault="0072790C" w:rsidP="0072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90C" w:rsidRDefault="0072790C" w:rsidP="0072790C">
      <w:pPr>
        <w:spacing w:after="0" w:line="240" w:lineRule="auto"/>
      </w:pPr>
      <w:r>
        <w:separator/>
      </w:r>
    </w:p>
  </w:footnote>
  <w:footnote w:type="continuationSeparator" w:id="0">
    <w:p w:rsidR="0072790C" w:rsidRDefault="0072790C" w:rsidP="00727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0C" w:rsidRDefault="00464B1D" w:rsidP="0072790C">
    <w:pPr>
      <w:pStyle w:val="Header"/>
      <w:jc w:val="right"/>
    </w:pPr>
    <w:r>
      <w:t>Rideau St. Lawrence Distribution Inc.</w:t>
    </w:r>
  </w:p>
  <w:p w:rsidR="0072790C" w:rsidRDefault="0072790C" w:rsidP="0072790C">
    <w:pPr>
      <w:pStyle w:val="Header"/>
      <w:jc w:val="right"/>
    </w:pPr>
    <w:r>
      <w:t>OEB Staff Interrogatories</w:t>
    </w:r>
  </w:p>
  <w:p w:rsidR="0072790C" w:rsidRDefault="00464B1D" w:rsidP="0072790C">
    <w:pPr>
      <w:pStyle w:val="Header"/>
      <w:jc w:val="right"/>
    </w:pPr>
    <w:r>
      <w:t>EB-2017-0265</w:t>
    </w:r>
  </w:p>
  <w:p w:rsidR="003721A8" w:rsidRDefault="003721A8" w:rsidP="0072790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BAC"/>
    <w:multiLevelType w:val="hybridMultilevel"/>
    <w:tmpl w:val="B8562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4A13B2"/>
    <w:multiLevelType w:val="hybridMultilevel"/>
    <w:tmpl w:val="86701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03086"/>
    <w:multiLevelType w:val="hybridMultilevel"/>
    <w:tmpl w:val="D10E8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CC7274"/>
    <w:multiLevelType w:val="hybridMultilevel"/>
    <w:tmpl w:val="BD9217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8E784B"/>
    <w:multiLevelType w:val="hybridMultilevel"/>
    <w:tmpl w:val="24AEA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C5CC8"/>
    <w:multiLevelType w:val="hybridMultilevel"/>
    <w:tmpl w:val="92A40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25AF8"/>
    <w:multiLevelType w:val="hybridMultilevel"/>
    <w:tmpl w:val="A7563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2B47D16"/>
    <w:multiLevelType w:val="hybridMultilevel"/>
    <w:tmpl w:val="2626D7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51D08CD"/>
    <w:multiLevelType w:val="hybridMultilevel"/>
    <w:tmpl w:val="3782DE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884013A"/>
    <w:multiLevelType w:val="hybridMultilevel"/>
    <w:tmpl w:val="6F2ED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1A138EF"/>
    <w:multiLevelType w:val="hybridMultilevel"/>
    <w:tmpl w:val="D90422CA"/>
    <w:lvl w:ilvl="0" w:tplc="F53EF72A">
      <w:start w:val="1"/>
      <w:numFmt w:val="lowerLetter"/>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B9204A6"/>
    <w:multiLevelType w:val="hybridMultilevel"/>
    <w:tmpl w:val="E732E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B341C"/>
    <w:multiLevelType w:val="hybridMultilevel"/>
    <w:tmpl w:val="4AE49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0DA29BF"/>
    <w:multiLevelType w:val="hybridMultilevel"/>
    <w:tmpl w:val="CB8C6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D12B5"/>
    <w:multiLevelType w:val="hybridMultilevel"/>
    <w:tmpl w:val="CE287B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5AB6A85"/>
    <w:multiLevelType w:val="hybridMultilevel"/>
    <w:tmpl w:val="265029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01719C8"/>
    <w:multiLevelType w:val="hybridMultilevel"/>
    <w:tmpl w:val="3530EF08"/>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1F36FE5"/>
    <w:multiLevelType w:val="hybridMultilevel"/>
    <w:tmpl w:val="AE6E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A726D"/>
    <w:multiLevelType w:val="hybridMultilevel"/>
    <w:tmpl w:val="9AF8A810"/>
    <w:lvl w:ilvl="0" w:tplc="EE3E5888">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C0F4205"/>
    <w:multiLevelType w:val="hybridMultilevel"/>
    <w:tmpl w:val="8AC89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CDA024E"/>
    <w:multiLevelType w:val="hybridMultilevel"/>
    <w:tmpl w:val="141A8E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D53912"/>
    <w:multiLevelType w:val="hybridMultilevel"/>
    <w:tmpl w:val="32484FE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13"/>
  </w:num>
  <w:num w:numId="3">
    <w:abstractNumId w:val="38"/>
  </w:num>
  <w:num w:numId="4">
    <w:abstractNumId w:val="46"/>
  </w:num>
  <w:num w:numId="5">
    <w:abstractNumId w:val="25"/>
  </w:num>
  <w:num w:numId="6">
    <w:abstractNumId w:val="17"/>
  </w:num>
  <w:num w:numId="7">
    <w:abstractNumId w:val="31"/>
  </w:num>
  <w:num w:numId="8">
    <w:abstractNumId w:val="27"/>
  </w:num>
  <w:num w:numId="9">
    <w:abstractNumId w:val="28"/>
  </w:num>
  <w:num w:numId="10">
    <w:abstractNumId w:val="11"/>
  </w:num>
  <w:num w:numId="11">
    <w:abstractNumId w:val="30"/>
  </w:num>
  <w:num w:numId="12">
    <w:abstractNumId w:val="40"/>
  </w:num>
  <w:num w:numId="13">
    <w:abstractNumId w:val="10"/>
  </w:num>
  <w:num w:numId="14">
    <w:abstractNumId w:val="4"/>
  </w:num>
  <w:num w:numId="15">
    <w:abstractNumId w:val="45"/>
  </w:num>
  <w:num w:numId="16">
    <w:abstractNumId w:val="15"/>
  </w:num>
  <w:num w:numId="17">
    <w:abstractNumId w:val="34"/>
  </w:num>
  <w:num w:numId="18">
    <w:abstractNumId w:val="43"/>
  </w:num>
  <w:num w:numId="19">
    <w:abstractNumId w:val="44"/>
  </w:num>
  <w:num w:numId="20">
    <w:abstractNumId w:val="22"/>
  </w:num>
  <w:num w:numId="21">
    <w:abstractNumId w:val="41"/>
  </w:num>
  <w:num w:numId="22">
    <w:abstractNumId w:val="19"/>
  </w:num>
  <w:num w:numId="23">
    <w:abstractNumId w:val="39"/>
  </w:num>
  <w:num w:numId="24">
    <w:abstractNumId w:val="37"/>
  </w:num>
  <w:num w:numId="25">
    <w:abstractNumId w:val="5"/>
  </w:num>
  <w:num w:numId="26">
    <w:abstractNumId w:val="29"/>
  </w:num>
  <w:num w:numId="27">
    <w:abstractNumId w:val="32"/>
  </w:num>
  <w:num w:numId="28">
    <w:abstractNumId w:val="6"/>
  </w:num>
  <w:num w:numId="29">
    <w:abstractNumId w:val="49"/>
  </w:num>
  <w:num w:numId="30">
    <w:abstractNumId w:val="48"/>
  </w:num>
  <w:num w:numId="31">
    <w:abstractNumId w:val="36"/>
  </w:num>
  <w:num w:numId="32">
    <w:abstractNumId w:val="35"/>
  </w:num>
  <w:num w:numId="33">
    <w:abstractNumId w:val="20"/>
  </w:num>
  <w:num w:numId="34">
    <w:abstractNumId w:val="14"/>
  </w:num>
  <w:num w:numId="35">
    <w:abstractNumId w:val="42"/>
  </w:num>
  <w:num w:numId="36">
    <w:abstractNumId w:val="16"/>
  </w:num>
  <w:num w:numId="37">
    <w:abstractNumId w:val="33"/>
  </w:num>
  <w:num w:numId="38">
    <w:abstractNumId w:val="3"/>
  </w:num>
  <w:num w:numId="39">
    <w:abstractNumId w:val="24"/>
  </w:num>
  <w:num w:numId="40">
    <w:abstractNumId w:val="18"/>
  </w:num>
  <w:num w:numId="41">
    <w:abstractNumId w:val="9"/>
  </w:num>
  <w:num w:numId="42">
    <w:abstractNumId w:val="8"/>
  </w:num>
  <w:num w:numId="43">
    <w:abstractNumId w:val="7"/>
  </w:num>
  <w:num w:numId="44">
    <w:abstractNumId w:val="12"/>
  </w:num>
  <w:num w:numId="45">
    <w:abstractNumId w:val="2"/>
  </w:num>
  <w:num w:numId="46">
    <w:abstractNumId w:val="26"/>
  </w:num>
  <w:num w:numId="47">
    <w:abstractNumId w:val="23"/>
  </w:num>
  <w:num w:numId="48">
    <w:abstractNumId w:val="0"/>
  </w:num>
  <w:num w:numId="49">
    <w:abstractNumId w:val="4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27BD5"/>
    <w:rsid w:val="0003073C"/>
    <w:rsid w:val="00035337"/>
    <w:rsid w:val="00054071"/>
    <w:rsid w:val="0006126D"/>
    <w:rsid w:val="00067F57"/>
    <w:rsid w:val="00071BEC"/>
    <w:rsid w:val="00074514"/>
    <w:rsid w:val="000832D4"/>
    <w:rsid w:val="00090160"/>
    <w:rsid w:val="000B3E7E"/>
    <w:rsid w:val="000D223C"/>
    <w:rsid w:val="000E4006"/>
    <w:rsid w:val="000F1E3A"/>
    <w:rsid w:val="0014652B"/>
    <w:rsid w:val="00164E99"/>
    <w:rsid w:val="00183CC8"/>
    <w:rsid w:val="00187E9B"/>
    <w:rsid w:val="001927C2"/>
    <w:rsid w:val="001A4DCD"/>
    <w:rsid w:val="001E0467"/>
    <w:rsid w:val="00203092"/>
    <w:rsid w:val="0020620A"/>
    <w:rsid w:val="0021606B"/>
    <w:rsid w:val="002208C0"/>
    <w:rsid w:val="00224C06"/>
    <w:rsid w:val="002564A3"/>
    <w:rsid w:val="0025687C"/>
    <w:rsid w:val="00267CDD"/>
    <w:rsid w:val="00274A48"/>
    <w:rsid w:val="00282A84"/>
    <w:rsid w:val="00291CCC"/>
    <w:rsid w:val="002A6415"/>
    <w:rsid w:val="002B7B7C"/>
    <w:rsid w:val="002C7EF6"/>
    <w:rsid w:val="002F4756"/>
    <w:rsid w:val="00302509"/>
    <w:rsid w:val="003049C5"/>
    <w:rsid w:val="00320892"/>
    <w:rsid w:val="00340C00"/>
    <w:rsid w:val="003625A3"/>
    <w:rsid w:val="003702D1"/>
    <w:rsid w:val="003721A8"/>
    <w:rsid w:val="00373FAD"/>
    <w:rsid w:val="003777B5"/>
    <w:rsid w:val="003832E7"/>
    <w:rsid w:val="003A20A0"/>
    <w:rsid w:val="003A58B0"/>
    <w:rsid w:val="00412DC6"/>
    <w:rsid w:val="004377B0"/>
    <w:rsid w:val="0046272C"/>
    <w:rsid w:val="00464B1D"/>
    <w:rsid w:val="00472C81"/>
    <w:rsid w:val="00475032"/>
    <w:rsid w:val="004859EF"/>
    <w:rsid w:val="005164F5"/>
    <w:rsid w:val="0052560F"/>
    <w:rsid w:val="00535333"/>
    <w:rsid w:val="005666F2"/>
    <w:rsid w:val="00570175"/>
    <w:rsid w:val="00572064"/>
    <w:rsid w:val="00584369"/>
    <w:rsid w:val="00587A35"/>
    <w:rsid w:val="005F4693"/>
    <w:rsid w:val="0064279A"/>
    <w:rsid w:val="006A5D23"/>
    <w:rsid w:val="006D619E"/>
    <w:rsid w:val="006E3D58"/>
    <w:rsid w:val="006F3F84"/>
    <w:rsid w:val="00704EE5"/>
    <w:rsid w:val="007066E2"/>
    <w:rsid w:val="00722640"/>
    <w:rsid w:val="00725069"/>
    <w:rsid w:val="0072790C"/>
    <w:rsid w:val="0073197E"/>
    <w:rsid w:val="00746080"/>
    <w:rsid w:val="00772B57"/>
    <w:rsid w:val="00781D04"/>
    <w:rsid w:val="007C2D45"/>
    <w:rsid w:val="007F49EB"/>
    <w:rsid w:val="00812C1B"/>
    <w:rsid w:val="0083373C"/>
    <w:rsid w:val="00835AD0"/>
    <w:rsid w:val="00844056"/>
    <w:rsid w:val="008747B3"/>
    <w:rsid w:val="008926F0"/>
    <w:rsid w:val="008964E8"/>
    <w:rsid w:val="008A48F6"/>
    <w:rsid w:val="008C729A"/>
    <w:rsid w:val="008E6045"/>
    <w:rsid w:val="0090032E"/>
    <w:rsid w:val="0090113B"/>
    <w:rsid w:val="0093258A"/>
    <w:rsid w:val="0094373C"/>
    <w:rsid w:val="00946DEE"/>
    <w:rsid w:val="00951E2B"/>
    <w:rsid w:val="00952939"/>
    <w:rsid w:val="00961EA0"/>
    <w:rsid w:val="00971AD3"/>
    <w:rsid w:val="009A5C44"/>
    <w:rsid w:val="009B03AF"/>
    <w:rsid w:val="009C4216"/>
    <w:rsid w:val="009D5F4B"/>
    <w:rsid w:val="009E626E"/>
    <w:rsid w:val="009E7CBF"/>
    <w:rsid w:val="00A07077"/>
    <w:rsid w:val="00A516B0"/>
    <w:rsid w:val="00A5620A"/>
    <w:rsid w:val="00A56A2A"/>
    <w:rsid w:val="00AA06D9"/>
    <w:rsid w:val="00AC2406"/>
    <w:rsid w:val="00AD3FCF"/>
    <w:rsid w:val="00AF1CCC"/>
    <w:rsid w:val="00B03802"/>
    <w:rsid w:val="00B069AA"/>
    <w:rsid w:val="00B22D73"/>
    <w:rsid w:val="00B23A36"/>
    <w:rsid w:val="00B25576"/>
    <w:rsid w:val="00B25EF5"/>
    <w:rsid w:val="00B50EB2"/>
    <w:rsid w:val="00B6722A"/>
    <w:rsid w:val="00B82D78"/>
    <w:rsid w:val="00BA434C"/>
    <w:rsid w:val="00BD4F65"/>
    <w:rsid w:val="00C06F9E"/>
    <w:rsid w:val="00C13E6B"/>
    <w:rsid w:val="00C2370B"/>
    <w:rsid w:val="00C624D5"/>
    <w:rsid w:val="00C848A0"/>
    <w:rsid w:val="00C878C5"/>
    <w:rsid w:val="00C96AEA"/>
    <w:rsid w:val="00CC0B6D"/>
    <w:rsid w:val="00CE1CD3"/>
    <w:rsid w:val="00CE4F01"/>
    <w:rsid w:val="00D55546"/>
    <w:rsid w:val="00D6213C"/>
    <w:rsid w:val="00D64108"/>
    <w:rsid w:val="00D647C0"/>
    <w:rsid w:val="00D77694"/>
    <w:rsid w:val="00D77B0F"/>
    <w:rsid w:val="00DB6B52"/>
    <w:rsid w:val="00DE5488"/>
    <w:rsid w:val="00DE75AC"/>
    <w:rsid w:val="00DF5A52"/>
    <w:rsid w:val="00E102A2"/>
    <w:rsid w:val="00E17C58"/>
    <w:rsid w:val="00E231C2"/>
    <w:rsid w:val="00E429DA"/>
    <w:rsid w:val="00E62C2A"/>
    <w:rsid w:val="00E7591B"/>
    <w:rsid w:val="00E8586E"/>
    <w:rsid w:val="00E96A06"/>
    <w:rsid w:val="00EA0919"/>
    <w:rsid w:val="00EB30B5"/>
    <w:rsid w:val="00EB5240"/>
    <w:rsid w:val="00EC0B55"/>
    <w:rsid w:val="00F034BF"/>
    <w:rsid w:val="00F26D30"/>
    <w:rsid w:val="00F57152"/>
    <w:rsid w:val="00F7362C"/>
    <w:rsid w:val="00F7485D"/>
    <w:rsid w:val="00F92F61"/>
    <w:rsid w:val="00FB6F10"/>
    <w:rsid w:val="00FC32C3"/>
    <w:rsid w:val="00FC4C76"/>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DC86"/>
  <w15:docId w15:val="{19F12382-4F29-4893-9893-D1063912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B33B0-DB72-4C39-9812-92591BC5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3813</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Christiane Wong</cp:lastModifiedBy>
  <cp:revision>10</cp:revision>
  <cp:lastPrinted>2014-09-29T14:43:00Z</cp:lastPrinted>
  <dcterms:created xsi:type="dcterms:W3CDTF">2018-01-23T16:30:00Z</dcterms:created>
  <dcterms:modified xsi:type="dcterms:W3CDTF">2018-01-23T20:26:00Z</dcterms:modified>
</cp:coreProperties>
</file>