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3874" w14:textId="77777777" w:rsidR="00746080" w:rsidRPr="00394351" w:rsidRDefault="00515DDA" w:rsidP="00D0773D">
      <w:pPr>
        <w:jc w:val="center"/>
        <w:rPr>
          <w:rFonts w:ascii="Arial" w:hAnsi="Arial" w:cs="Arial"/>
          <w:b/>
          <w:sz w:val="28"/>
          <w:szCs w:val="28"/>
        </w:rPr>
      </w:pPr>
      <w:r>
        <w:rPr>
          <w:rFonts w:ascii="Arial" w:hAnsi="Arial" w:cs="Arial"/>
          <w:b/>
          <w:sz w:val="28"/>
          <w:szCs w:val="28"/>
        </w:rPr>
        <w:t>Orillia Power Distribution Corporation</w:t>
      </w:r>
    </w:p>
    <w:p w14:paraId="73A37AA7" w14:textId="77777777"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515DDA">
        <w:rPr>
          <w:rFonts w:ascii="Arial" w:hAnsi="Arial" w:cs="Arial"/>
          <w:b/>
          <w:sz w:val="28"/>
          <w:szCs w:val="28"/>
        </w:rPr>
        <w:t>7-0264</w:t>
      </w:r>
      <w:r w:rsidR="00B20109">
        <w:rPr>
          <w:rFonts w:ascii="Arial" w:hAnsi="Arial" w:cs="Arial"/>
          <w:b/>
          <w:sz w:val="28"/>
          <w:szCs w:val="28"/>
        </w:rPr>
        <w:t xml:space="preserve">                                                                                                                                                                                                                                                                                                                                                    </w:t>
      </w:r>
      <w:r w:rsidR="006125B7">
        <w:rPr>
          <w:rFonts w:ascii="Arial" w:hAnsi="Arial" w:cs="Arial"/>
          <w:b/>
          <w:sz w:val="28"/>
          <w:szCs w:val="28"/>
        </w:rPr>
        <w:t xml:space="preserve">                             </w:t>
      </w:r>
    </w:p>
    <w:p w14:paraId="61A54191" w14:textId="4D64E1D3" w:rsidR="00304228" w:rsidRPr="00DD1405" w:rsidRDefault="004E6E99" w:rsidP="00CC447E">
      <w:pPr>
        <w:jc w:val="center"/>
        <w:rPr>
          <w:rFonts w:ascii="Arial" w:hAnsi="Arial" w:cs="Arial"/>
          <w:b/>
          <w:sz w:val="28"/>
          <w:szCs w:val="28"/>
        </w:rPr>
      </w:pPr>
      <w:r>
        <w:rPr>
          <w:rFonts w:ascii="Arial" w:hAnsi="Arial" w:cs="Arial"/>
          <w:b/>
          <w:sz w:val="28"/>
          <w:szCs w:val="28"/>
        </w:rPr>
        <w:t xml:space="preserve">Responses to </w:t>
      </w:r>
      <w:r w:rsidR="00304228" w:rsidRPr="00DD1405">
        <w:rPr>
          <w:rFonts w:ascii="Arial" w:hAnsi="Arial" w:cs="Arial"/>
          <w:b/>
          <w:sz w:val="28"/>
          <w:szCs w:val="28"/>
        </w:rPr>
        <w:t>Staff Questions</w:t>
      </w:r>
    </w:p>
    <w:p w14:paraId="1BD13CE8" w14:textId="44A55ABF" w:rsidR="00E6651E" w:rsidRPr="00DD1405" w:rsidRDefault="00DD1405" w:rsidP="00DD1405">
      <w:pPr>
        <w:jc w:val="center"/>
        <w:rPr>
          <w:rFonts w:ascii="Arial" w:hAnsi="Arial" w:cs="Arial"/>
          <w:b/>
          <w:sz w:val="24"/>
          <w:szCs w:val="28"/>
        </w:rPr>
      </w:pPr>
      <w:r w:rsidRPr="00DD1405">
        <w:rPr>
          <w:rFonts w:ascii="Arial" w:hAnsi="Arial" w:cs="Arial"/>
          <w:b/>
          <w:sz w:val="24"/>
          <w:szCs w:val="28"/>
        </w:rPr>
        <w:t xml:space="preserve">January </w:t>
      </w:r>
      <w:r w:rsidR="004E6E99">
        <w:rPr>
          <w:rFonts w:ascii="Arial" w:hAnsi="Arial" w:cs="Arial"/>
          <w:b/>
          <w:sz w:val="24"/>
          <w:szCs w:val="28"/>
        </w:rPr>
        <w:t>25</w:t>
      </w:r>
      <w:r w:rsidR="0029152A" w:rsidRPr="00DD1405">
        <w:rPr>
          <w:rFonts w:ascii="Arial" w:hAnsi="Arial" w:cs="Arial"/>
          <w:b/>
          <w:sz w:val="24"/>
          <w:szCs w:val="28"/>
        </w:rPr>
        <w:t>, 2018</w:t>
      </w:r>
    </w:p>
    <w:p w14:paraId="451A52F8" w14:textId="77777777"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14:paraId="1DEDC0E6" w14:textId="77777777" w:rsidR="00DA14AA"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A700A8">
        <w:rPr>
          <w:rFonts w:ascii="Arial" w:hAnsi="Arial" w:cs="Arial"/>
          <w:b/>
          <w:sz w:val="24"/>
          <w:szCs w:val="24"/>
        </w:rPr>
        <w:t>1</w:t>
      </w:r>
      <w:r w:rsidR="00EC26AE">
        <w:rPr>
          <w:rFonts w:ascii="Arial" w:hAnsi="Arial" w:cs="Arial"/>
          <w:b/>
          <w:sz w:val="24"/>
          <w:szCs w:val="24"/>
        </w:rPr>
        <w:t xml:space="preserve">: </w:t>
      </w:r>
      <w:r w:rsidR="00CC096F">
        <w:rPr>
          <w:rFonts w:ascii="Arial" w:hAnsi="Arial" w:cs="Arial"/>
          <w:b/>
          <w:sz w:val="24"/>
          <w:szCs w:val="24"/>
        </w:rPr>
        <w:t>Rate-setting Method;</w:t>
      </w:r>
      <w:r w:rsidR="00A700A8">
        <w:rPr>
          <w:rFonts w:ascii="Arial" w:hAnsi="Arial" w:cs="Arial"/>
          <w:b/>
          <w:sz w:val="24"/>
          <w:szCs w:val="24"/>
        </w:rPr>
        <w:t xml:space="preserve"> Rate Year in which Group 1 accounts were last cleared</w:t>
      </w:r>
    </w:p>
    <w:p w14:paraId="450DF200" w14:textId="77777777" w:rsidR="00DD749A" w:rsidRPr="00576217" w:rsidRDefault="00A700A8" w:rsidP="00576217">
      <w:pPr>
        <w:pStyle w:val="ListParagraph"/>
        <w:numPr>
          <w:ilvl w:val="0"/>
          <w:numId w:val="34"/>
        </w:numPr>
        <w:rPr>
          <w:rFonts w:ascii="Arial" w:hAnsi="Arial" w:cs="Arial"/>
          <w:sz w:val="24"/>
          <w:szCs w:val="24"/>
        </w:rPr>
      </w:pPr>
      <w:r w:rsidRPr="00576217">
        <w:rPr>
          <w:rFonts w:ascii="Arial" w:hAnsi="Arial" w:cs="Arial"/>
          <w:sz w:val="24"/>
          <w:szCs w:val="24"/>
        </w:rPr>
        <w:t>Orillia Power selected “Annual IR Index” as the rate-setting method in tab 1 of the IRM model. OEB staff noted that Orillia Power filed its previous rate applications (2015 to 2017) under the Price Cap IR methodology. Please confirm the rate setting method of Orillia Power’s 2018 application.</w:t>
      </w:r>
    </w:p>
    <w:p w14:paraId="4309B78D" w14:textId="77777777" w:rsidR="00576217" w:rsidRDefault="00A700A8" w:rsidP="00576217">
      <w:pPr>
        <w:rPr>
          <w:rFonts w:ascii="Arial" w:hAnsi="Arial" w:cs="Arial"/>
          <w:sz w:val="24"/>
          <w:szCs w:val="24"/>
        </w:rPr>
      </w:pPr>
      <w:r>
        <w:rPr>
          <w:noProof/>
          <w:lang w:val="en-US"/>
        </w:rPr>
        <w:drawing>
          <wp:inline distT="0" distB="0" distL="0" distR="0" wp14:anchorId="19EB6C8F" wp14:editId="3FE10788">
            <wp:extent cx="5810250" cy="3494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5695" cy="3498116"/>
                    </a:xfrm>
                    <a:prstGeom prst="rect">
                      <a:avLst/>
                    </a:prstGeom>
                  </pic:spPr>
                </pic:pic>
              </a:graphicData>
            </a:graphic>
          </wp:inline>
        </w:drawing>
      </w:r>
    </w:p>
    <w:p w14:paraId="3E27C7A3" w14:textId="4288F016" w:rsidR="004E6E99" w:rsidRPr="004E6E99" w:rsidRDefault="004E6E99" w:rsidP="004E6E99">
      <w:pPr>
        <w:spacing w:after="0" w:line="259" w:lineRule="auto"/>
        <w:ind w:left="709"/>
        <w:rPr>
          <w:rFonts w:ascii="Arial" w:hAnsi="Arial" w:cs="Arial"/>
          <w:color w:val="002060"/>
          <w:sz w:val="24"/>
          <w:lang w:val="en-US"/>
        </w:rPr>
      </w:pPr>
      <w:r w:rsidRPr="004E6E99">
        <w:rPr>
          <w:rFonts w:ascii="Arial" w:hAnsi="Arial" w:cs="Arial"/>
          <w:color w:val="002060"/>
          <w:sz w:val="24"/>
          <w:lang w:val="en-US"/>
        </w:rPr>
        <w:t xml:space="preserve">Reply: </w:t>
      </w:r>
    </w:p>
    <w:p w14:paraId="6C98BFD3" w14:textId="77777777" w:rsidR="004E6E99" w:rsidRPr="00821A72" w:rsidRDefault="004E6E99" w:rsidP="004E6E99">
      <w:pPr>
        <w:pStyle w:val="ListParagraph"/>
        <w:ind w:left="709"/>
        <w:rPr>
          <w:rFonts w:ascii="Arial" w:hAnsi="Arial" w:cs="Arial"/>
          <w:color w:val="002060"/>
          <w:sz w:val="24"/>
          <w:szCs w:val="24"/>
        </w:rPr>
      </w:pPr>
      <w:r w:rsidRPr="00821A72">
        <w:rPr>
          <w:rFonts w:ascii="Arial" w:hAnsi="Arial" w:cs="Arial"/>
          <w:color w:val="002060"/>
          <w:sz w:val="24"/>
          <w:szCs w:val="24"/>
        </w:rPr>
        <w:t>In the Board letter dated July 5, 2016, Orillia Power was placed on the list of distributors whose rates will be scheduled for the 2018 rate year.  This was the fourth year that Orillia Power sought a deferral to file a cost of service rate application. In paragraph four, the letter states:</w:t>
      </w:r>
    </w:p>
    <w:p w14:paraId="072D8CC9" w14:textId="77777777" w:rsidR="004E6E99" w:rsidRPr="00821A72" w:rsidRDefault="004E6E99" w:rsidP="004E6E99">
      <w:pPr>
        <w:pStyle w:val="ListParagraph"/>
        <w:ind w:left="709"/>
        <w:rPr>
          <w:rFonts w:ascii="Arial" w:hAnsi="Arial" w:cs="Arial"/>
          <w:color w:val="002060"/>
          <w:sz w:val="24"/>
          <w:szCs w:val="24"/>
        </w:rPr>
      </w:pPr>
    </w:p>
    <w:p w14:paraId="5F11EC18" w14:textId="4D0F085F" w:rsidR="004E6E99" w:rsidRPr="00821A72" w:rsidRDefault="004E6E99" w:rsidP="004E6E99">
      <w:pPr>
        <w:pStyle w:val="Default"/>
        <w:ind w:left="709"/>
        <w:rPr>
          <w:i/>
          <w:color w:val="002060"/>
        </w:rPr>
      </w:pPr>
      <w:r w:rsidRPr="00821A72">
        <w:rPr>
          <w:i/>
          <w:color w:val="002060"/>
        </w:rPr>
        <w:lastRenderedPageBreak/>
        <w:t>“In the absence of a 2018 cost of service rate application from Orillia Power, the OEB will apply the Annual IR Index method.”</w:t>
      </w:r>
    </w:p>
    <w:p w14:paraId="4973FC9D" w14:textId="77777777" w:rsidR="00821A72" w:rsidRPr="00821A72" w:rsidRDefault="00821A72" w:rsidP="004E6E99">
      <w:pPr>
        <w:pStyle w:val="Default"/>
        <w:ind w:left="709"/>
        <w:rPr>
          <w:color w:val="002060"/>
        </w:rPr>
      </w:pPr>
    </w:p>
    <w:p w14:paraId="54C0FBF4" w14:textId="73060829" w:rsidR="004E6E99" w:rsidRPr="00821A72" w:rsidRDefault="004E6E99" w:rsidP="004E6E99">
      <w:pPr>
        <w:pStyle w:val="Default"/>
        <w:ind w:left="709"/>
        <w:rPr>
          <w:color w:val="002060"/>
        </w:rPr>
      </w:pPr>
      <w:r w:rsidRPr="00821A72">
        <w:rPr>
          <w:color w:val="002060"/>
        </w:rPr>
        <w:t>Accordingly, Orillia Power confirms that</w:t>
      </w:r>
      <w:r w:rsidR="00821A72" w:rsidRPr="00821A72">
        <w:rPr>
          <w:color w:val="002060"/>
        </w:rPr>
        <w:t xml:space="preserve"> the rate-setting method for this application is Annual IR Index.</w:t>
      </w:r>
    </w:p>
    <w:p w14:paraId="4BB359BA" w14:textId="77777777" w:rsidR="004E6E99" w:rsidRPr="00821A72" w:rsidRDefault="004E6E99" w:rsidP="004E6E99">
      <w:pPr>
        <w:pStyle w:val="ListParagraph"/>
        <w:rPr>
          <w:rFonts w:ascii="Arial" w:hAnsi="Arial" w:cs="Arial"/>
          <w:color w:val="002060"/>
          <w:sz w:val="24"/>
          <w:szCs w:val="24"/>
        </w:rPr>
      </w:pPr>
    </w:p>
    <w:p w14:paraId="66D375FC" w14:textId="1684E7AF" w:rsidR="00E36950" w:rsidRDefault="00E36950" w:rsidP="00576217">
      <w:pPr>
        <w:pStyle w:val="ListParagraph"/>
        <w:numPr>
          <w:ilvl w:val="0"/>
          <w:numId w:val="34"/>
        </w:numPr>
        <w:rPr>
          <w:rFonts w:ascii="Arial" w:hAnsi="Arial" w:cs="Arial"/>
          <w:sz w:val="24"/>
          <w:szCs w:val="24"/>
        </w:rPr>
      </w:pPr>
      <w:r w:rsidRPr="0000009A">
        <w:rPr>
          <w:rFonts w:ascii="Arial" w:hAnsi="Arial" w:cs="Arial"/>
          <w:sz w:val="24"/>
          <w:szCs w:val="24"/>
        </w:rPr>
        <w:t>In the Decision and Rate Order issued for Orillia Power’s 2017 rates (EB-2016-0321), the Group 1 DVA accounts balances as of December 31, 2015 were disposed of. Therefore, the rate year associated with this disposition should be 2017. In tab 1 of the 2018 IRM model, Orillia Power selected 2015 as the rate year in which the Group 1 accounts were last cleared. Please confirm if the rate year should be corrected to 2017.</w:t>
      </w:r>
    </w:p>
    <w:p w14:paraId="4C935C39" w14:textId="77777777" w:rsidR="0061770F" w:rsidRDefault="0061770F" w:rsidP="0061770F">
      <w:pPr>
        <w:pStyle w:val="ListParagraph"/>
        <w:spacing w:after="0" w:line="259" w:lineRule="auto"/>
        <w:rPr>
          <w:rFonts w:ascii="Arial" w:hAnsi="Arial" w:cs="Arial"/>
          <w:color w:val="002060"/>
          <w:sz w:val="24"/>
          <w:lang w:val="en-US"/>
        </w:rPr>
      </w:pPr>
    </w:p>
    <w:p w14:paraId="502F3C96" w14:textId="7A488E98" w:rsidR="0061770F" w:rsidRPr="0061770F" w:rsidRDefault="0061770F" w:rsidP="0061770F">
      <w:pPr>
        <w:pStyle w:val="ListParagraph"/>
        <w:spacing w:after="0" w:line="259" w:lineRule="auto"/>
        <w:rPr>
          <w:rFonts w:ascii="Arial" w:hAnsi="Arial" w:cs="Arial"/>
          <w:color w:val="002060"/>
          <w:sz w:val="24"/>
          <w:lang w:val="en-US"/>
        </w:rPr>
      </w:pPr>
      <w:r w:rsidRPr="0061770F">
        <w:rPr>
          <w:rFonts w:ascii="Arial" w:hAnsi="Arial" w:cs="Arial"/>
          <w:color w:val="002060"/>
          <w:sz w:val="24"/>
          <w:lang w:val="en-US"/>
        </w:rPr>
        <w:t xml:space="preserve">Reply: </w:t>
      </w:r>
    </w:p>
    <w:p w14:paraId="03B8E085" w14:textId="2F5DFEC7" w:rsidR="0061770F" w:rsidRPr="0061770F" w:rsidRDefault="008C3942" w:rsidP="0061770F">
      <w:pPr>
        <w:pStyle w:val="ListParagraph"/>
        <w:rPr>
          <w:rFonts w:ascii="Arial" w:hAnsi="Arial" w:cs="Arial"/>
          <w:sz w:val="24"/>
          <w:szCs w:val="24"/>
        </w:rPr>
      </w:pPr>
      <w:r>
        <w:rPr>
          <w:rFonts w:ascii="Arial" w:hAnsi="Arial" w:cs="Arial"/>
          <w:color w:val="002060"/>
          <w:sz w:val="24"/>
          <w:szCs w:val="24"/>
        </w:rPr>
        <w:t xml:space="preserve">Orillia Power confirms that the rate year should be corrected to 2017.  </w:t>
      </w:r>
    </w:p>
    <w:p w14:paraId="5962359D" w14:textId="77777777"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14:paraId="27AFA58C" w14:textId="77777777" w:rsidR="00B314F3" w:rsidRDefault="002B7C64" w:rsidP="0001354E">
      <w:pPr>
        <w:rPr>
          <w:rFonts w:ascii="Arial" w:hAnsi="Arial" w:cs="Arial"/>
          <w:b/>
          <w:sz w:val="24"/>
          <w:szCs w:val="24"/>
        </w:rPr>
      </w:pPr>
      <w:r>
        <w:rPr>
          <w:rFonts w:ascii="Arial" w:hAnsi="Arial" w:cs="Arial"/>
          <w:b/>
          <w:sz w:val="24"/>
          <w:szCs w:val="24"/>
        </w:rPr>
        <w:t>Ref:</w:t>
      </w:r>
      <w:r w:rsidR="00041482">
        <w:rPr>
          <w:rFonts w:ascii="Arial" w:hAnsi="Arial" w:cs="Arial"/>
          <w:b/>
          <w:sz w:val="24"/>
          <w:szCs w:val="24"/>
        </w:rPr>
        <w:t xml:space="preserve"> </w:t>
      </w:r>
      <w:r w:rsidR="003252C9">
        <w:rPr>
          <w:rFonts w:ascii="Arial" w:hAnsi="Arial" w:cs="Arial"/>
          <w:b/>
          <w:sz w:val="24"/>
          <w:szCs w:val="24"/>
        </w:rPr>
        <w:t>IRM Model Tab 3: Adjustments in Account 1595 (2012) and Account 1595 (2014); 2017 OEB-approved disposition in Account 1595 (2012)</w:t>
      </w:r>
    </w:p>
    <w:p w14:paraId="186EB9B6" w14:textId="77777777" w:rsidR="00041482" w:rsidRPr="003252C9" w:rsidRDefault="003252C9" w:rsidP="003252C9">
      <w:pPr>
        <w:pStyle w:val="ListParagraph"/>
        <w:numPr>
          <w:ilvl w:val="0"/>
          <w:numId w:val="35"/>
        </w:numPr>
        <w:rPr>
          <w:rFonts w:ascii="Arial" w:hAnsi="Arial" w:cs="Arial"/>
          <w:sz w:val="24"/>
          <w:szCs w:val="24"/>
        </w:rPr>
      </w:pPr>
      <w:r w:rsidRPr="003252C9">
        <w:rPr>
          <w:rFonts w:ascii="Arial" w:hAnsi="Arial" w:cs="Arial"/>
          <w:sz w:val="24"/>
          <w:szCs w:val="24"/>
        </w:rPr>
        <w:t>In tab 3 continuity schedule of the IRM model, Orillia Power reported adjustment amounts in 2016 in account 1595 (2012) and account 1595 (2014). Please provide explanations for these adjustments (as highlighted in the screenshot below in both principal and interest).</w:t>
      </w:r>
    </w:p>
    <w:p w14:paraId="604DBEE9" w14:textId="0B2008D8" w:rsidR="00AF0D73" w:rsidRDefault="003252C9" w:rsidP="00041482">
      <w:pPr>
        <w:rPr>
          <w:rFonts w:ascii="Arial" w:hAnsi="Arial" w:cs="Arial"/>
          <w:sz w:val="24"/>
          <w:szCs w:val="24"/>
        </w:rPr>
      </w:pPr>
      <w:r>
        <w:rPr>
          <w:noProof/>
          <w:lang w:val="en-US"/>
        </w:rPr>
        <w:drawing>
          <wp:inline distT="0" distB="0" distL="0" distR="0" wp14:anchorId="4444CD09" wp14:editId="1E7AB7CD">
            <wp:extent cx="5943600" cy="2946136"/>
            <wp:effectExtent l="0" t="0" r="0" b="6985"/>
            <wp:docPr id="2" name="Picture 2" descr="C:\Users\wangka\AppData\Local\Temp\SNAGHTML1cb8da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ka\AppData\Local\Temp\SNAGHTML1cb8daf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46136"/>
                    </a:xfrm>
                    <a:prstGeom prst="rect">
                      <a:avLst/>
                    </a:prstGeom>
                    <a:noFill/>
                    <a:ln>
                      <a:noFill/>
                    </a:ln>
                  </pic:spPr>
                </pic:pic>
              </a:graphicData>
            </a:graphic>
          </wp:inline>
        </w:drawing>
      </w:r>
    </w:p>
    <w:p w14:paraId="471E1817" w14:textId="77777777" w:rsidR="007D0071" w:rsidRDefault="007D0071" w:rsidP="007D0071">
      <w:pPr>
        <w:spacing w:after="0" w:line="259" w:lineRule="auto"/>
        <w:ind w:left="709"/>
        <w:rPr>
          <w:rFonts w:ascii="Arial" w:hAnsi="Arial" w:cs="Arial"/>
          <w:color w:val="002060"/>
          <w:sz w:val="24"/>
          <w:lang w:val="en-US"/>
        </w:rPr>
      </w:pPr>
    </w:p>
    <w:p w14:paraId="4272C6CE" w14:textId="30E11CE4" w:rsidR="007D0071" w:rsidRDefault="007D0071" w:rsidP="007D0071">
      <w:pPr>
        <w:spacing w:after="0" w:line="259" w:lineRule="auto"/>
        <w:ind w:left="709"/>
        <w:rPr>
          <w:rFonts w:ascii="Arial" w:hAnsi="Arial" w:cs="Arial"/>
          <w:color w:val="002060"/>
          <w:sz w:val="24"/>
          <w:lang w:val="en-US"/>
        </w:rPr>
      </w:pPr>
      <w:r w:rsidRPr="004E6E99">
        <w:rPr>
          <w:rFonts w:ascii="Arial" w:hAnsi="Arial" w:cs="Arial"/>
          <w:color w:val="002060"/>
          <w:sz w:val="24"/>
          <w:lang w:val="en-US"/>
        </w:rPr>
        <w:lastRenderedPageBreak/>
        <w:t xml:space="preserve">Reply: </w:t>
      </w:r>
    </w:p>
    <w:p w14:paraId="262098A2" w14:textId="0F4967FD" w:rsidR="007D0071" w:rsidRDefault="00796151" w:rsidP="007D0071">
      <w:pPr>
        <w:spacing w:after="0" w:line="259" w:lineRule="auto"/>
        <w:ind w:left="709"/>
        <w:rPr>
          <w:rFonts w:ascii="Arial" w:hAnsi="Arial" w:cs="Arial"/>
          <w:color w:val="002060"/>
          <w:sz w:val="24"/>
          <w:lang w:val="en-US"/>
        </w:rPr>
      </w:pPr>
      <w:r>
        <w:rPr>
          <w:rFonts w:ascii="Arial" w:hAnsi="Arial" w:cs="Arial"/>
          <w:color w:val="002060"/>
          <w:sz w:val="24"/>
          <w:lang w:val="en-US"/>
        </w:rPr>
        <w:t xml:space="preserve">In tab 3. Continuity Schedule, the principal adjustment of $95 in column BF represents the write-off of small amounts recovered through bills cancelled and reissued post sunset date for the related rate riders. </w:t>
      </w:r>
      <w:r w:rsidR="00535381">
        <w:rPr>
          <w:rFonts w:ascii="Arial" w:hAnsi="Arial" w:cs="Arial"/>
          <w:color w:val="002060"/>
          <w:sz w:val="24"/>
          <w:lang w:val="en-US"/>
        </w:rPr>
        <w:t xml:space="preserve">The </w:t>
      </w:r>
      <w:r>
        <w:rPr>
          <w:rFonts w:ascii="Arial" w:hAnsi="Arial" w:cs="Arial"/>
          <w:color w:val="002060"/>
          <w:sz w:val="24"/>
          <w:lang w:val="en-US"/>
        </w:rPr>
        <w:t xml:space="preserve">interest adjustment of $20,135 in column BK represents the </w:t>
      </w:r>
      <w:r w:rsidR="00535381">
        <w:rPr>
          <w:rFonts w:ascii="Arial" w:hAnsi="Arial" w:cs="Arial"/>
          <w:color w:val="002060"/>
          <w:sz w:val="24"/>
          <w:lang w:val="en-US"/>
        </w:rPr>
        <w:t xml:space="preserve">residual balance of $20,159 in Account 1563 Deferred PILs Contra Account at December 31, 2015 moved to Account 1595 </w:t>
      </w:r>
      <w:r w:rsidR="008D6A89">
        <w:rPr>
          <w:rFonts w:ascii="Arial" w:hAnsi="Arial" w:cs="Arial"/>
          <w:color w:val="002060"/>
          <w:sz w:val="24"/>
          <w:lang w:val="en-US"/>
        </w:rPr>
        <w:t xml:space="preserve">in 2016 </w:t>
      </w:r>
      <w:r w:rsidR="00535381">
        <w:rPr>
          <w:rFonts w:ascii="Arial" w:hAnsi="Arial" w:cs="Arial"/>
          <w:color w:val="002060"/>
          <w:sz w:val="24"/>
          <w:lang w:val="en-US"/>
        </w:rPr>
        <w:t xml:space="preserve">as explained on page 14 of </w:t>
      </w:r>
      <w:r w:rsidR="00535381" w:rsidRPr="00535381">
        <w:rPr>
          <w:rFonts w:ascii="Arial" w:hAnsi="Arial" w:cs="Arial"/>
          <w:color w:val="002060"/>
          <w:sz w:val="24"/>
          <w:lang w:val="en-US"/>
        </w:rPr>
        <w:t xml:space="preserve">Orillia_APPL_2017 </w:t>
      </w:r>
      <w:proofErr w:type="spellStart"/>
      <w:r w:rsidR="00535381" w:rsidRPr="00535381">
        <w:rPr>
          <w:rFonts w:ascii="Arial" w:hAnsi="Arial" w:cs="Arial"/>
          <w:color w:val="002060"/>
          <w:sz w:val="24"/>
          <w:lang w:val="en-US"/>
        </w:rPr>
        <w:t>IRM_Revised</w:t>
      </w:r>
      <w:proofErr w:type="spellEnd"/>
      <w:r w:rsidR="00535381" w:rsidRPr="00535381">
        <w:rPr>
          <w:rFonts w:ascii="Arial" w:hAnsi="Arial" w:cs="Arial"/>
          <w:color w:val="002060"/>
          <w:sz w:val="24"/>
          <w:lang w:val="en-US"/>
        </w:rPr>
        <w:t xml:space="preserve"> Manager Summary_20161114</w:t>
      </w:r>
      <w:r w:rsidR="00535381">
        <w:rPr>
          <w:rStyle w:val="FootnoteReference"/>
          <w:rFonts w:ascii="Arial" w:hAnsi="Arial" w:cs="Arial"/>
          <w:color w:val="002060"/>
          <w:sz w:val="24"/>
          <w:lang w:val="en-US"/>
        </w:rPr>
        <w:footnoteReference w:id="1"/>
      </w:r>
      <w:r w:rsidR="00007794">
        <w:rPr>
          <w:rFonts w:ascii="Arial" w:hAnsi="Arial" w:cs="Arial"/>
          <w:color w:val="002060"/>
          <w:sz w:val="24"/>
          <w:lang w:val="en-US"/>
        </w:rPr>
        <w:t xml:space="preserve"> net of a small</w:t>
      </w:r>
      <w:r w:rsidR="00535381">
        <w:rPr>
          <w:rFonts w:ascii="Arial" w:hAnsi="Arial" w:cs="Arial"/>
          <w:color w:val="002060"/>
          <w:sz w:val="24"/>
          <w:lang w:val="en-US"/>
        </w:rPr>
        <w:t xml:space="preserve"> </w:t>
      </w:r>
      <w:r>
        <w:rPr>
          <w:rFonts w:ascii="Arial" w:hAnsi="Arial" w:cs="Arial"/>
          <w:color w:val="002060"/>
          <w:sz w:val="24"/>
          <w:lang w:val="en-US"/>
        </w:rPr>
        <w:t xml:space="preserve">difference of approximately $24 related to a formula error in cell BQ33 </w:t>
      </w:r>
      <w:r w:rsidR="00007794">
        <w:rPr>
          <w:rFonts w:ascii="Arial" w:hAnsi="Arial" w:cs="Arial"/>
          <w:color w:val="002060"/>
          <w:sz w:val="24"/>
          <w:lang w:val="en-US"/>
        </w:rPr>
        <w:t xml:space="preserve">of </w:t>
      </w:r>
      <w:r w:rsidR="00007794" w:rsidRPr="00007794">
        <w:rPr>
          <w:rFonts w:ascii="Arial" w:hAnsi="Arial" w:cs="Arial"/>
          <w:color w:val="002060"/>
          <w:sz w:val="24"/>
          <w:lang w:val="en-US"/>
        </w:rPr>
        <w:t xml:space="preserve">Orillia </w:t>
      </w:r>
      <w:proofErr w:type="spellStart"/>
      <w:r w:rsidR="00007794" w:rsidRPr="00007794">
        <w:rPr>
          <w:rFonts w:ascii="Arial" w:hAnsi="Arial" w:cs="Arial"/>
          <w:color w:val="002060"/>
          <w:sz w:val="24"/>
          <w:lang w:val="en-US"/>
        </w:rPr>
        <w:t>Power_Rate</w:t>
      </w:r>
      <w:proofErr w:type="spellEnd"/>
      <w:r w:rsidR="00007794" w:rsidRPr="00007794">
        <w:rPr>
          <w:rFonts w:ascii="Arial" w:hAnsi="Arial" w:cs="Arial"/>
          <w:color w:val="002060"/>
          <w:sz w:val="24"/>
          <w:lang w:val="en-US"/>
        </w:rPr>
        <w:t xml:space="preserve"> Model 2017_20170330</w:t>
      </w:r>
      <w:r w:rsidR="00007794">
        <w:rPr>
          <w:rFonts w:ascii="Arial" w:hAnsi="Arial" w:cs="Arial"/>
          <w:color w:val="002060"/>
          <w:sz w:val="24"/>
          <w:lang w:val="en-US"/>
        </w:rPr>
        <w:t xml:space="preserve">.  As shown in the table below, the approved rate rider was based on $20,136.  </w:t>
      </w:r>
    </w:p>
    <w:p w14:paraId="538ED738" w14:textId="3B6F1D8F" w:rsidR="00007794" w:rsidRDefault="00007794" w:rsidP="007D0071">
      <w:pPr>
        <w:spacing w:after="0" w:line="259" w:lineRule="auto"/>
        <w:ind w:left="709"/>
        <w:rPr>
          <w:rFonts w:ascii="Arial" w:hAnsi="Arial" w:cs="Arial"/>
          <w:color w:val="002060"/>
          <w:sz w:val="24"/>
          <w:lang w:val="en-US"/>
        </w:rPr>
      </w:pPr>
    </w:p>
    <w:p w14:paraId="30CDC5ED" w14:textId="64034022" w:rsidR="001C194E" w:rsidRDefault="001C194E" w:rsidP="007D0071">
      <w:pPr>
        <w:spacing w:after="0" w:line="259" w:lineRule="auto"/>
        <w:ind w:left="709"/>
        <w:rPr>
          <w:rFonts w:ascii="Arial" w:hAnsi="Arial" w:cs="Arial"/>
          <w:color w:val="002060"/>
          <w:sz w:val="24"/>
          <w:lang w:val="en-US"/>
        </w:rPr>
      </w:pPr>
      <w:r>
        <w:rPr>
          <w:rFonts w:ascii="Arial" w:hAnsi="Arial" w:cs="Arial"/>
          <w:color w:val="002060"/>
          <w:sz w:val="24"/>
          <w:lang w:val="en-US"/>
        </w:rPr>
        <w:t xml:space="preserve">A further adjustment in tab 3. Continuity Schedule, column BF, for Account 1595(2014) represents the full recovery of the principal amount plus </w:t>
      </w:r>
      <w:r w:rsidR="00AB7081">
        <w:rPr>
          <w:rFonts w:ascii="Arial" w:hAnsi="Arial" w:cs="Arial"/>
          <w:color w:val="002060"/>
          <w:sz w:val="24"/>
          <w:lang w:val="en-US"/>
        </w:rPr>
        <w:t xml:space="preserve">partial </w:t>
      </w:r>
      <w:r>
        <w:rPr>
          <w:rFonts w:ascii="Arial" w:hAnsi="Arial" w:cs="Arial"/>
          <w:color w:val="002060"/>
          <w:sz w:val="24"/>
          <w:lang w:val="en-US"/>
        </w:rPr>
        <w:t xml:space="preserve">recovery of $5,338 of approved carrying charges.  The adjustment is column BK of $8,458 consists of the $5,338 plus carrying charges of $3,120 </w:t>
      </w:r>
      <w:r w:rsidR="00F458D7">
        <w:rPr>
          <w:rFonts w:ascii="Arial" w:hAnsi="Arial" w:cs="Arial"/>
          <w:color w:val="002060"/>
          <w:sz w:val="24"/>
          <w:lang w:val="en-US"/>
        </w:rPr>
        <w:t xml:space="preserve">on approved balances </w:t>
      </w:r>
      <w:r>
        <w:rPr>
          <w:rFonts w:ascii="Arial" w:hAnsi="Arial" w:cs="Arial"/>
          <w:color w:val="002060"/>
          <w:sz w:val="24"/>
          <w:lang w:val="en-US"/>
        </w:rPr>
        <w:t xml:space="preserve">further written off in OPDC customers’ </w:t>
      </w:r>
      <w:proofErr w:type="spellStart"/>
      <w:r>
        <w:rPr>
          <w:rFonts w:ascii="Arial" w:hAnsi="Arial" w:cs="Arial"/>
          <w:color w:val="002060"/>
          <w:sz w:val="24"/>
          <w:lang w:val="en-US"/>
        </w:rPr>
        <w:t>favour</w:t>
      </w:r>
      <w:proofErr w:type="spellEnd"/>
      <w:r>
        <w:rPr>
          <w:rFonts w:ascii="Arial" w:hAnsi="Arial" w:cs="Arial"/>
          <w:color w:val="002060"/>
          <w:sz w:val="24"/>
          <w:lang w:val="en-US"/>
        </w:rPr>
        <w:t xml:space="preserve">.  </w:t>
      </w:r>
    </w:p>
    <w:p w14:paraId="68157BD9" w14:textId="77777777" w:rsidR="001D39B8" w:rsidRPr="004E6E99" w:rsidRDefault="001D39B8" w:rsidP="007D0071">
      <w:pPr>
        <w:spacing w:after="0" w:line="259" w:lineRule="auto"/>
        <w:ind w:left="709"/>
        <w:rPr>
          <w:rFonts w:ascii="Arial" w:hAnsi="Arial" w:cs="Arial"/>
          <w:color w:val="002060"/>
          <w:sz w:val="24"/>
          <w:lang w:val="en-US"/>
        </w:rPr>
      </w:pPr>
    </w:p>
    <w:p w14:paraId="66FFF1A0" w14:textId="1731B06A" w:rsidR="007D0071" w:rsidRDefault="00007794" w:rsidP="00041482">
      <w:pPr>
        <w:rPr>
          <w:rFonts w:ascii="Arial" w:hAnsi="Arial" w:cs="Arial"/>
          <w:sz w:val="24"/>
          <w:szCs w:val="24"/>
        </w:rPr>
      </w:pPr>
      <w:r w:rsidRPr="00CB66C7">
        <w:rPr>
          <w:noProof/>
        </w:rPr>
        <w:drawing>
          <wp:inline distT="0" distB="0" distL="0" distR="0" wp14:anchorId="2FFE54CB" wp14:editId="72E7D6DA">
            <wp:extent cx="5943600" cy="20605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60532"/>
                    </a:xfrm>
                    <a:prstGeom prst="rect">
                      <a:avLst/>
                    </a:prstGeom>
                    <a:noFill/>
                    <a:ln>
                      <a:noFill/>
                    </a:ln>
                  </pic:spPr>
                </pic:pic>
              </a:graphicData>
            </a:graphic>
          </wp:inline>
        </w:drawing>
      </w:r>
    </w:p>
    <w:p w14:paraId="21A1CFBB" w14:textId="298E55D9" w:rsidR="00041482" w:rsidRDefault="00AF0D73" w:rsidP="003252C9">
      <w:pPr>
        <w:pStyle w:val="ListParagraph"/>
        <w:numPr>
          <w:ilvl w:val="0"/>
          <w:numId w:val="35"/>
        </w:numPr>
        <w:rPr>
          <w:rFonts w:ascii="Arial" w:hAnsi="Arial" w:cs="Arial"/>
          <w:sz w:val="24"/>
          <w:szCs w:val="24"/>
        </w:rPr>
      </w:pPr>
      <w:r>
        <w:rPr>
          <w:rFonts w:ascii="Arial" w:hAnsi="Arial" w:cs="Arial"/>
          <w:sz w:val="24"/>
          <w:szCs w:val="24"/>
        </w:rPr>
        <w:t>As per the Decision and Rate Order issued for Orillia Power’s 2017 rates, the interest disposition during 2017 in account 1595 (2012) should be a debit amount of $20,064. In the continuity schedule in Orillia Power’s 2018 IRM model, the disposition amount mentioned above was reported as a debit amount of $20,040. Please provide explanation for the discrepancy ($24).</w:t>
      </w:r>
    </w:p>
    <w:p w14:paraId="755E06C5" w14:textId="77777777" w:rsidR="00CB66C7" w:rsidRDefault="00CB66C7" w:rsidP="00CB66C7">
      <w:pPr>
        <w:pStyle w:val="ListParagraph"/>
        <w:spacing w:after="0" w:line="259" w:lineRule="auto"/>
        <w:rPr>
          <w:rFonts w:ascii="Arial" w:hAnsi="Arial" w:cs="Arial"/>
          <w:color w:val="002060"/>
          <w:sz w:val="24"/>
          <w:lang w:val="en-US"/>
        </w:rPr>
      </w:pPr>
    </w:p>
    <w:p w14:paraId="2DAD0F55" w14:textId="4EB79F10" w:rsidR="00CB66C7" w:rsidRPr="00CB66C7" w:rsidRDefault="00CB66C7" w:rsidP="00CB66C7">
      <w:pPr>
        <w:pStyle w:val="ListParagraph"/>
        <w:spacing w:after="0" w:line="259" w:lineRule="auto"/>
        <w:rPr>
          <w:rFonts w:ascii="Arial" w:hAnsi="Arial" w:cs="Arial"/>
          <w:color w:val="002060"/>
          <w:sz w:val="24"/>
          <w:lang w:val="en-US"/>
        </w:rPr>
      </w:pPr>
      <w:r w:rsidRPr="00CB66C7">
        <w:rPr>
          <w:rFonts w:ascii="Arial" w:hAnsi="Arial" w:cs="Arial"/>
          <w:color w:val="002060"/>
          <w:sz w:val="24"/>
          <w:lang w:val="en-US"/>
        </w:rPr>
        <w:t xml:space="preserve">Reply: </w:t>
      </w:r>
    </w:p>
    <w:p w14:paraId="54803016" w14:textId="71B4B62A" w:rsidR="00367234" w:rsidRDefault="00CB66C7" w:rsidP="00CB66C7">
      <w:pPr>
        <w:pStyle w:val="ListParagraph"/>
        <w:rPr>
          <w:rFonts w:ascii="Arial" w:hAnsi="Arial" w:cs="Arial"/>
          <w:color w:val="002060"/>
          <w:sz w:val="24"/>
          <w:szCs w:val="24"/>
        </w:rPr>
      </w:pPr>
      <w:r w:rsidRPr="00CB66C7">
        <w:rPr>
          <w:rFonts w:ascii="Arial" w:hAnsi="Arial" w:cs="Arial"/>
          <w:color w:val="002060"/>
          <w:sz w:val="24"/>
          <w:szCs w:val="24"/>
        </w:rPr>
        <w:t xml:space="preserve">In the </w:t>
      </w:r>
      <w:r>
        <w:rPr>
          <w:rFonts w:ascii="Arial" w:hAnsi="Arial" w:cs="Arial"/>
          <w:color w:val="002060"/>
          <w:sz w:val="24"/>
          <w:szCs w:val="24"/>
        </w:rPr>
        <w:t xml:space="preserve">2017 IRM Model, tab 3. Continuity Schedule, projected interest from Jan 1, 2016 to Apr 30, 2017 on Dec 31-15 balance for account 1595 (2012) should have </w:t>
      </w:r>
      <w:r>
        <w:rPr>
          <w:rFonts w:ascii="Arial" w:hAnsi="Arial" w:cs="Arial"/>
          <w:color w:val="002060"/>
          <w:sz w:val="24"/>
          <w:szCs w:val="24"/>
        </w:rPr>
        <w:lastRenderedPageBreak/>
        <w:t xml:space="preserve">been zero.  </w:t>
      </w:r>
      <w:r w:rsidR="00007794">
        <w:rPr>
          <w:rFonts w:ascii="Arial" w:hAnsi="Arial" w:cs="Arial"/>
          <w:color w:val="002060"/>
          <w:sz w:val="24"/>
          <w:szCs w:val="24"/>
        </w:rPr>
        <w:t xml:space="preserve">This is same issue noted in a) above.  After correction, the debit amount </w:t>
      </w:r>
      <w:r w:rsidR="00EB769D">
        <w:rPr>
          <w:rFonts w:ascii="Arial" w:hAnsi="Arial" w:cs="Arial"/>
          <w:color w:val="002060"/>
          <w:sz w:val="24"/>
          <w:szCs w:val="24"/>
        </w:rPr>
        <w:t xml:space="preserve">that </w:t>
      </w:r>
      <w:r w:rsidR="00AB7081">
        <w:rPr>
          <w:rFonts w:ascii="Arial" w:hAnsi="Arial" w:cs="Arial"/>
          <w:color w:val="002060"/>
          <w:sz w:val="24"/>
          <w:szCs w:val="24"/>
        </w:rPr>
        <w:t>was</w:t>
      </w:r>
      <w:r w:rsidR="00EB769D">
        <w:rPr>
          <w:rFonts w:ascii="Arial" w:hAnsi="Arial" w:cs="Arial"/>
          <w:color w:val="002060"/>
          <w:sz w:val="24"/>
          <w:szCs w:val="24"/>
        </w:rPr>
        <w:t xml:space="preserve"> approved </w:t>
      </w:r>
      <w:r w:rsidR="00AB7081">
        <w:rPr>
          <w:rFonts w:ascii="Arial" w:hAnsi="Arial" w:cs="Arial"/>
          <w:color w:val="002060"/>
          <w:sz w:val="24"/>
          <w:szCs w:val="24"/>
        </w:rPr>
        <w:t>i</w:t>
      </w:r>
      <w:r w:rsidR="00007794">
        <w:rPr>
          <w:rFonts w:ascii="Arial" w:hAnsi="Arial" w:cs="Arial"/>
          <w:color w:val="002060"/>
          <w:sz w:val="24"/>
          <w:szCs w:val="24"/>
        </w:rPr>
        <w:t>s $20,040.</w:t>
      </w:r>
    </w:p>
    <w:p w14:paraId="561F0894" w14:textId="3630A9CB" w:rsidR="0054418E" w:rsidRDefault="00513825" w:rsidP="00F27A5F">
      <w:pPr>
        <w:rPr>
          <w:rFonts w:ascii="Arial" w:hAnsi="Arial" w:cs="Arial"/>
          <w:b/>
          <w:sz w:val="24"/>
          <w:szCs w:val="24"/>
        </w:rPr>
      </w:pPr>
      <w:r>
        <w:rPr>
          <w:rFonts w:ascii="Arial" w:hAnsi="Arial" w:cs="Arial"/>
          <w:b/>
          <w:sz w:val="24"/>
          <w:szCs w:val="24"/>
        </w:rPr>
        <w:t>Question #3</w:t>
      </w:r>
    </w:p>
    <w:p w14:paraId="7F98FE36" w14:textId="279976CE" w:rsidR="0054418E" w:rsidRDefault="00E93284" w:rsidP="00513825">
      <w:pPr>
        <w:rPr>
          <w:rFonts w:ascii="Arial" w:hAnsi="Arial" w:cs="Arial"/>
          <w:b/>
          <w:sz w:val="24"/>
          <w:szCs w:val="24"/>
        </w:rPr>
      </w:pPr>
      <w:r>
        <w:rPr>
          <w:rFonts w:ascii="Arial" w:hAnsi="Arial" w:cs="Arial"/>
          <w:b/>
          <w:sz w:val="24"/>
          <w:szCs w:val="24"/>
        </w:rPr>
        <w:t xml:space="preserve">Ref: </w:t>
      </w:r>
      <w:r w:rsidR="00155FAC">
        <w:rPr>
          <w:rFonts w:ascii="Arial" w:hAnsi="Arial" w:cs="Arial"/>
          <w:b/>
          <w:sz w:val="24"/>
          <w:szCs w:val="24"/>
        </w:rPr>
        <w:t>Account 1588 Power</w:t>
      </w:r>
      <w:r w:rsidR="00425CF6">
        <w:rPr>
          <w:rStyle w:val="FootnoteReference"/>
          <w:rFonts w:ascii="Arial" w:hAnsi="Arial" w:cs="Arial"/>
          <w:b/>
          <w:sz w:val="24"/>
          <w:szCs w:val="24"/>
        </w:rPr>
        <w:footnoteReference w:id="2"/>
      </w:r>
    </w:p>
    <w:p w14:paraId="72EB2F8E" w14:textId="4DA89E73" w:rsidR="00425CF6" w:rsidRPr="00527C2D" w:rsidRDefault="00425CF6" w:rsidP="00425CF6">
      <w:pPr>
        <w:ind w:left="1440" w:hanging="1440"/>
        <w:rPr>
          <w:rFonts w:ascii="Arial" w:hAnsi="Arial" w:cs="Arial"/>
          <w:b/>
          <w:bCs/>
          <w:sz w:val="24"/>
          <w:szCs w:val="24"/>
        </w:rPr>
      </w:pPr>
      <w:r>
        <w:rPr>
          <w:rFonts w:ascii="Arial" w:hAnsi="Arial" w:cs="Arial"/>
          <w:b/>
          <w:bCs/>
          <w:sz w:val="24"/>
          <w:szCs w:val="24"/>
        </w:rPr>
        <w:t>Ref: 2018 Rate Generator Model – Tab 3 Continuity Schedule</w:t>
      </w:r>
    </w:p>
    <w:p w14:paraId="438C4B34" w14:textId="77777777" w:rsidR="00425CF6" w:rsidRDefault="00425CF6" w:rsidP="00425CF6">
      <w:pPr>
        <w:rPr>
          <w:rFonts w:ascii="Arial" w:hAnsi="Arial" w:cs="Arial"/>
          <w:sz w:val="24"/>
          <w:szCs w:val="24"/>
        </w:rPr>
      </w:pPr>
      <w:r w:rsidRPr="00A87532">
        <w:rPr>
          <w:rFonts w:ascii="Arial" w:hAnsi="Arial" w:cs="Arial"/>
          <w:sz w:val="24"/>
          <w:szCs w:val="24"/>
        </w:rPr>
        <w:t xml:space="preserve">With regards to the amount being requested for disposition of </w:t>
      </w:r>
      <w:proofErr w:type="spellStart"/>
      <w:r w:rsidRPr="00A87532">
        <w:rPr>
          <w:rFonts w:ascii="Arial" w:hAnsi="Arial" w:cs="Arial"/>
          <w:sz w:val="24"/>
          <w:szCs w:val="24"/>
        </w:rPr>
        <w:t>USoA</w:t>
      </w:r>
      <w:proofErr w:type="spellEnd"/>
      <w:r w:rsidRPr="00A87532">
        <w:rPr>
          <w:rFonts w:ascii="Arial" w:hAnsi="Arial" w:cs="Arial"/>
          <w:sz w:val="24"/>
          <w:szCs w:val="24"/>
        </w:rPr>
        <w:t xml:space="preserve"> 158</w:t>
      </w:r>
      <w:r>
        <w:rPr>
          <w:rFonts w:ascii="Arial" w:hAnsi="Arial" w:cs="Arial"/>
          <w:sz w:val="24"/>
          <w:szCs w:val="24"/>
        </w:rPr>
        <w:t>8</w:t>
      </w:r>
      <w:r w:rsidRPr="00A87532">
        <w:rPr>
          <w:rFonts w:ascii="Arial" w:hAnsi="Arial" w:cs="Arial"/>
          <w:sz w:val="24"/>
          <w:szCs w:val="24"/>
        </w:rPr>
        <w:t xml:space="preserve"> account balance as at Dec. 31, 2016, all components that flow into Account </w:t>
      </w:r>
      <w:proofErr w:type="gramStart"/>
      <w:r w:rsidRPr="00A87532">
        <w:rPr>
          <w:rFonts w:ascii="Arial" w:hAnsi="Arial" w:cs="Arial"/>
          <w:sz w:val="24"/>
          <w:szCs w:val="24"/>
        </w:rPr>
        <w:t>158</w:t>
      </w:r>
      <w:r>
        <w:rPr>
          <w:rFonts w:ascii="Arial" w:hAnsi="Arial" w:cs="Arial"/>
          <w:sz w:val="24"/>
          <w:szCs w:val="24"/>
        </w:rPr>
        <w:t>8</w:t>
      </w:r>
      <w:r w:rsidRPr="00A87532">
        <w:rPr>
          <w:rFonts w:ascii="Arial" w:hAnsi="Arial" w:cs="Arial"/>
          <w:sz w:val="24"/>
          <w:szCs w:val="24"/>
        </w:rPr>
        <w:t xml:space="preserve">  (</w:t>
      </w:r>
      <w:proofErr w:type="spellStart"/>
      <w:proofErr w:type="gramEnd"/>
      <w:r w:rsidRPr="00A87532">
        <w:rPr>
          <w:rFonts w:ascii="Arial" w:hAnsi="Arial" w:cs="Arial"/>
          <w:sz w:val="24"/>
          <w:szCs w:val="24"/>
        </w:rPr>
        <w:t>i</w:t>
      </w:r>
      <w:proofErr w:type="spellEnd"/>
      <w:r w:rsidRPr="00A87532">
        <w:rPr>
          <w:rFonts w:ascii="Arial" w:hAnsi="Arial" w:cs="Arial"/>
          <w:sz w:val="24"/>
          <w:szCs w:val="24"/>
        </w:rPr>
        <w:t xml:space="preserve"> to iv in table below) should be all based on actuals at year end. Please complete the following table to</w:t>
      </w:r>
      <w:r>
        <w:rPr>
          <w:rFonts w:ascii="Arial" w:hAnsi="Arial" w:cs="Arial"/>
          <w:sz w:val="24"/>
          <w:szCs w:val="24"/>
        </w:rPr>
        <w:t>:</w:t>
      </w:r>
    </w:p>
    <w:p w14:paraId="782DE407" w14:textId="77777777" w:rsidR="00425CF6" w:rsidRPr="00AD1178" w:rsidRDefault="00425CF6" w:rsidP="00425CF6">
      <w:pPr>
        <w:pStyle w:val="ListParagraph"/>
        <w:numPr>
          <w:ilvl w:val="0"/>
          <w:numId w:val="38"/>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14:paraId="1391CE17" w14:textId="77777777" w:rsidR="00425CF6" w:rsidRPr="00AD1178" w:rsidRDefault="00425CF6" w:rsidP="00425CF6">
      <w:pPr>
        <w:pStyle w:val="ListParagraph"/>
        <w:numPr>
          <w:ilvl w:val="0"/>
          <w:numId w:val="38"/>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425CF6" w14:paraId="6C85CA40" w14:textId="77777777" w:rsidTr="001C194E">
        <w:tc>
          <w:tcPr>
            <w:tcW w:w="389" w:type="dxa"/>
          </w:tcPr>
          <w:p w14:paraId="5B9C1169" w14:textId="77777777" w:rsidR="00425CF6" w:rsidRPr="00FE126C" w:rsidRDefault="00425CF6" w:rsidP="001C194E">
            <w:pPr>
              <w:rPr>
                <w:rFonts w:ascii="Arial" w:hAnsi="Arial" w:cs="Arial"/>
                <w:sz w:val="20"/>
                <w:szCs w:val="20"/>
              </w:rPr>
            </w:pPr>
          </w:p>
        </w:tc>
        <w:tc>
          <w:tcPr>
            <w:tcW w:w="2486" w:type="dxa"/>
          </w:tcPr>
          <w:p w14:paraId="0D54C6CF" w14:textId="77777777" w:rsidR="00425CF6" w:rsidRPr="00FE126C" w:rsidRDefault="00425CF6" w:rsidP="001C194E">
            <w:pPr>
              <w:rPr>
                <w:rFonts w:ascii="Arial" w:hAnsi="Arial" w:cs="Arial"/>
                <w:b/>
                <w:sz w:val="20"/>
                <w:szCs w:val="20"/>
              </w:rPr>
            </w:pPr>
            <w:r w:rsidRPr="00FE126C">
              <w:rPr>
                <w:rFonts w:ascii="Arial" w:hAnsi="Arial" w:cs="Arial"/>
                <w:b/>
                <w:sz w:val="20"/>
                <w:szCs w:val="20"/>
              </w:rPr>
              <w:t>Component</w:t>
            </w:r>
          </w:p>
        </w:tc>
        <w:tc>
          <w:tcPr>
            <w:tcW w:w="1350" w:type="dxa"/>
          </w:tcPr>
          <w:p w14:paraId="085BA8A0" w14:textId="77777777" w:rsidR="00425CF6" w:rsidRPr="00FE126C" w:rsidRDefault="00425CF6" w:rsidP="001C194E">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3F60C928" w14:textId="77777777" w:rsidR="00425CF6" w:rsidRPr="00FE126C" w:rsidRDefault="00425CF6" w:rsidP="001C194E">
            <w:pPr>
              <w:rPr>
                <w:rFonts w:ascii="Arial" w:hAnsi="Arial" w:cs="Arial"/>
                <w:b/>
                <w:sz w:val="20"/>
                <w:szCs w:val="20"/>
              </w:rPr>
            </w:pPr>
            <w:r w:rsidRPr="00FE126C">
              <w:rPr>
                <w:rFonts w:ascii="Arial" w:hAnsi="Arial" w:cs="Arial"/>
                <w:b/>
                <w:sz w:val="20"/>
                <w:szCs w:val="20"/>
              </w:rPr>
              <w:t>Notes/Comments</w:t>
            </w:r>
          </w:p>
        </w:tc>
        <w:tc>
          <w:tcPr>
            <w:tcW w:w="1980" w:type="dxa"/>
          </w:tcPr>
          <w:p w14:paraId="7F11E4DC" w14:textId="77777777" w:rsidR="00425CF6" w:rsidRPr="00FE126C" w:rsidRDefault="00425CF6" w:rsidP="001C194E">
            <w:pPr>
              <w:rPr>
                <w:rFonts w:ascii="Arial" w:hAnsi="Arial" w:cs="Arial"/>
                <w:b/>
                <w:sz w:val="20"/>
                <w:szCs w:val="20"/>
              </w:rPr>
            </w:pPr>
            <w:r w:rsidRPr="00FE126C">
              <w:rPr>
                <w:rFonts w:ascii="Arial" w:hAnsi="Arial" w:cs="Arial"/>
                <w:b/>
                <w:sz w:val="20"/>
                <w:szCs w:val="20"/>
              </w:rPr>
              <w:t xml:space="preserve">Quantify True </w:t>
            </w:r>
            <w:proofErr w:type="gramStart"/>
            <w:r w:rsidRPr="00FE126C">
              <w:rPr>
                <w:rFonts w:ascii="Arial" w:hAnsi="Arial" w:cs="Arial"/>
                <w:b/>
                <w:sz w:val="20"/>
                <w:szCs w:val="20"/>
              </w:rPr>
              <w:t>Up  Adjustment</w:t>
            </w:r>
            <w:proofErr w:type="gramEnd"/>
            <w:r>
              <w:rPr>
                <w:rFonts w:ascii="Arial" w:hAnsi="Arial" w:cs="Arial"/>
                <w:b/>
                <w:sz w:val="20"/>
                <w:szCs w:val="20"/>
              </w:rPr>
              <w:t xml:space="preserve"> $ Amount</w:t>
            </w:r>
          </w:p>
        </w:tc>
      </w:tr>
      <w:tr w:rsidR="00425CF6" w14:paraId="7651649F" w14:textId="77777777" w:rsidTr="001C194E">
        <w:trPr>
          <w:trHeight w:val="1385"/>
        </w:trPr>
        <w:tc>
          <w:tcPr>
            <w:tcW w:w="389" w:type="dxa"/>
          </w:tcPr>
          <w:p w14:paraId="63ACDCAE" w14:textId="77777777" w:rsidR="00425CF6" w:rsidRPr="00FE126C" w:rsidRDefault="00425CF6" w:rsidP="001C194E">
            <w:pPr>
              <w:rPr>
                <w:rFonts w:ascii="Arial" w:hAnsi="Arial" w:cs="Arial"/>
                <w:sz w:val="20"/>
                <w:szCs w:val="20"/>
              </w:rPr>
            </w:pPr>
            <w:proofErr w:type="spellStart"/>
            <w:r w:rsidRPr="00FE126C">
              <w:rPr>
                <w:rFonts w:ascii="Arial" w:hAnsi="Arial" w:cs="Arial"/>
                <w:sz w:val="20"/>
                <w:szCs w:val="20"/>
              </w:rPr>
              <w:t>i</w:t>
            </w:r>
            <w:proofErr w:type="spellEnd"/>
          </w:p>
        </w:tc>
        <w:tc>
          <w:tcPr>
            <w:tcW w:w="2486" w:type="dxa"/>
          </w:tcPr>
          <w:p w14:paraId="799ADA8C" w14:textId="77777777" w:rsidR="00425CF6" w:rsidRPr="00FE126C" w:rsidRDefault="00425CF6" w:rsidP="001C194E">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44BF16CF" w14:textId="633A24A8" w:rsidR="00425CF6" w:rsidRPr="00FE126C" w:rsidRDefault="00AB7081" w:rsidP="001C194E">
            <w:pPr>
              <w:rPr>
                <w:rFonts w:ascii="Arial" w:hAnsi="Arial" w:cs="Arial"/>
                <w:sz w:val="20"/>
                <w:szCs w:val="20"/>
              </w:rPr>
            </w:pPr>
            <w:r w:rsidRPr="00544DA0">
              <w:rPr>
                <w:rFonts w:ascii="Arial" w:hAnsi="Arial" w:cs="Arial"/>
                <w:color w:val="002060"/>
                <w:sz w:val="20"/>
                <w:szCs w:val="20"/>
              </w:rPr>
              <w:t>Actual</w:t>
            </w:r>
          </w:p>
        </w:tc>
        <w:tc>
          <w:tcPr>
            <w:tcW w:w="4230" w:type="dxa"/>
          </w:tcPr>
          <w:p w14:paraId="71DAD70B" w14:textId="58FC1CC1" w:rsidR="00425CF6" w:rsidRPr="00FE126C" w:rsidRDefault="00544DA0" w:rsidP="001C194E">
            <w:pPr>
              <w:rPr>
                <w:rFonts w:ascii="Arial" w:hAnsi="Arial" w:cs="Arial"/>
                <w:sz w:val="20"/>
                <w:szCs w:val="20"/>
              </w:rPr>
            </w:pPr>
            <w:r w:rsidRPr="009700F7">
              <w:rPr>
                <w:rFonts w:ascii="Arial" w:hAnsi="Arial" w:cs="Arial"/>
                <w:color w:val="002060"/>
                <w:sz w:val="20"/>
                <w:szCs w:val="20"/>
              </w:rPr>
              <w:t xml:space="preserve">Dec unbilled revenues are booked </w:t>
            </w:r>
            <w:r>
              <w:rPr>
                <w:rFonts w:ascii="Arial" w:hAnsi="Arial" w:cs="Arial"/>
                <w:color w:val="002060"/>
                <w:sz w:val="20"/>
                <w:szCs w:val="20"/>
              </w:rPr>
              <w:t>after</w:t>
            </w:r>
            <w:r w:rsidRPr="009700F7">
              <w:rPr>
                <w:rFonts w:ascii="Arial" w:hAnsi="Arial" w:cs="Arial"/>
                <w:color w:val="002060"/>
                <w:sz w:val="20"/>
                <w:szCs w:val="20"/>
              </w:rPr>
              <w:t xml:space="preserve"> billing for Dec usage is completed in the following Jan; no true up needed</w:t>
            </w:r>
          </w:p>
        </w:tc>
        <w:tc>
          <w:tcPr>
            <w:tcW w:w="1980" w:type="dxa"/>
          </w:tcPr>
          <w:p w14:paraId="7378A4A6" w14:textId="77777777" w:rsidR="00425CF6" w:rsidRPr="00FE126C" w:rsidRDefault="00425CF6" w:rsidP="001C194E">
            <w:pPr>
              <w:rPr>
                <w:rFonts w:ascii="Arial" w:hAnsi="Arial" w:cs="Arial"/>
                <w:sz w:val="20"/>
                <w:szCs w:val="20"/>
              </w:rPr>
            </w:pPr>
          </w:p>
        </w:tc>
      </w:tr>
      <w:tr w:rsidR="00425CF6" w14:paraId="69D30278" w14:textId="77777777" w:rsidTr="001C194E">
        <w:tc>
          <w:tcPr>
            <w:tcW w:w="389" w:type="dxa"/>
          </w:tcPr>
          <w:p w14:paraId="2B8E0C64" w14:textId="77777777" w:rsidR="00425CF6" w:rsidRPr="00FE126C" w:rsidRDefault="00425CF6" w:rsidP="001C194E">
            <w:pPr>
              <w:rPr>
                <w:rFonts w:ascii="Arial" w:hAnsi="Arial" w:cs="Arial"/>
                <w:sz w:val="20"/>
                <w:szCs w:val="20"/>
              </w:rPr>
            </w:pPr>
            <w:r>
              <w:rPr>
                <w:rFonts w:ascii="Arial" w:hAnsi="Arial" w:cs="Arial"/>
                <w:sz w:val="20"/>
                <w:szCs w:val="20"/>
              </w:rPr>
              <w:t>ii</w:t>
            </w:r>
          </w:p>
        </w:tc>
        <w:tc>
          <w:tcPr>
            <w:tcW w:w="2486" w:type="dxa"/>
          </w:tcPr>
          <w:p w14:paraId="037E3013" w14:textId="77777777" w:rsidR="00425CF6" w:rsidRDefault="00425CF6" w:rsidP="001C194E">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1B06F0EB" w14:textId="3E719BA9" w:rsidR="00425CF6" w:rsidRPr="00FE126C" w:rsidRDefault="00AB7081" w:rsidP="001C194E">
            <w:pPr>
              <w:rPr>
                <w:rFonts w:ascii="Arial" w:hAnsi="Arial" w:cs="Arial"/>
                <w:sz w:val="20"/>
                <w:szCs w:val="20"/>
              </w:rPr>
            </w:pPr>
            <w:r w:rsidRPr="00544DA0">
              <w:rPr>
                <w:rFonts w:ascii="Arial" w:hAnsi="Arial" w:cs="Arial"/>
                <w:color w:val="002060"/>
                <w:sz w:val="20"/>
                <w:szCs w:val="20"/>
              </w:rPr>
              <w:t>Actual</w:t>
            </w:r>
          </w:p>
        </w:tc>
        <w:tc>
          <w:tcPr>
            <w:tcW w:w="4230" w:type="dxa"/>
          </w:tcPr>
          <w:p w14:paraId="74551AB2" w14:textId="3187B5D9" w:rsidR="00425CF6" w:rsidRPr="00FE126C" w:rsidRDefault="00544DA0" w:rsidP="001C194E">
            <w:pPr>
              <w:rPr>
                <w:rFonts w:ascii="Arial" w:hAnsi="Arial" w:cs="Arial"/>
                <w:sz w:val="20"/>
                <w:szCs w:val="20"/>
              </w:rPr>
            </w:pPr>
            <w:r w:rsidRPr="009700F7">
              <w:rPr>
                <w:rFonts w:ascii="Arial" w:hAnsi="Arial" w:cs="Arial"/>
                <w:color w:val="002060"/>
                <w:sz w:val="20"/>
                <w:szCs w:val="20"/>
              </w:rPr>
              <w:t>Expense is based on IESO invoice for Dec.</w:t>
            </w:r>
          </w:p>
        </w:tc>
        <w:tc>
          <w:tcPr>
            <w:tcW w:w="1980" w:type="dxa"/>
          </w:tcPr>
          <w:p w14:paraId="7FEE08C2" w14:textId="77777777" w:rsidR="00425CF6" w:rsidRPr="00FE126C" w:rsidRDefault="00425CF6" w:rsidP="001C194E">
            <w:pPr>
              <w:rPr>
                <w:rFonts w:ascii="Arial" w:hAnsi="Arial" w:cs="Arial"/>
                <w:sz w:val="20"/>
                <w:szCs w:val="20"/>
              </w:rPr>
            </w:pPr>
          </w:p>
        </w:tc>
      </w:tr>
      <w:tr w:rsidR="00425CF6" w14:paraId="1A553636" w14:textId="77777777" w:rsidTr="001C194E">
        <w:trPr>
          <w:trHeight w:val="1628"/>
        </w:trPr>
        <w:tc>
          <w:tcPr>
            <w:tcW w:w="389" w:type="dxa"/>
          </w:tcPr>
          <w:p w14:paraId="5F12A982" w14:textId="74395BD9" w:rsidR="00425CF6" w:rsidRPr="00FE126C" w:rsidRDefault="00DD1405" w:rsidP="001C194E">
            <w:pPr>
              <w:rPr>
                <w:rFonts w:ascii="Arial" w:hAnsi="Arial" w:cs="Arial"/>
                <w:sz w:val="20"/>
                <w:szCs w:val="20"/>
              </w:rPr>
            </w:pPr>
            <w:r>
              <w:rPr>
                <w:rFonts w:ascii="Arial" w:hAnsi="Arial" w:cs="Arial"/>
                <w:sz w:val="20"/>
                <w:szCs w:val="20"/>
              </w:rPr>
              <w:t>iii</w:t>
            </w:r>
          </w:p>
        </w:tc>
        <w:tc>
          <w:tcPr>
            <w:tcW w:w="2486" w:type="dxa"/>
          </w:tcPr>
          <w:p w14:paraId="69FDB9FD" w14:textId="77777777" w:rsidR="00425CF6" w:rsidRPr="00FE126C" w:rsidRDefault="00425CF6" w:rsidP="001C194E">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45D50FFA" w14:textId="2690C2C8" w:rsidR="00425CF6" w:rsidRPr="00FE126C" w:rsidRDefault="00AB7081" w:rsidP="001C194E">
            <w:pPr>
              <w:rPr>
                <w:rFonts w:ascii="Arial" w:hAnsi="Arial" w:cs="Arial"/>
                <w:sz w:val="20"/>
                <w:szCs w:val="20"/>
              </w:rPr>
            </w:pPr>
            <w:r w:rsidRPr="00544DA0">
              <w:rPr>
                <w:rFonts w:ascii="Arial" w:hAnsi="Arial" w:cs="Arial"/>
                <w:color w:val="002060"/>
                <w:sz w:val="20"/>
                <w:szCs w:val="20"/>
              </w:rPr>
              <w:t>Actual</w:t>
            </w:r>
          </w:p>
        </w:tc>
        <w:tc>
          <w:tcPr>
            <w:tcW w:w="4230" w:type="dxa"/>
          </w:tcPr>
          <w:p w14:paraId="19D2C755" w14:textId="3A90F20D" w:rsidR="00425CF6" w:rsidRPr="00FE126C" w:rsidRDefault="00544DA0" w:rsidP="001C194E">
            <w:pPr>
              <w:rPr>
                <w:rFonts w:ascii="Arial" w:hAnsi="Arial" w:cs="Arial"/>
                <w:sz w:val="20"/>
                <w:szCs w:val="20"/>
              </w:rPr>
            </w:pPr>
            <w:r w:rsidRPr="009700F7">
              <w:rPr>
                <w:rFonts w:ascii="Arial" w:hAnsi="Arial" w:cs="Arial"/>
                <w:color w:val="002060"/>
                <w:sz w:val="20"/>
                <w:szCs w:val="20"/>
              </w:rPr>
              <w:t>Expense is based on IESO invoice for Dec.</w:t>
            </w:r>
          </w:p>
        </w:tc>
        <w:tc>
          <w:tcPr>
            <w:tcW w:w="1980" w:type="dxa"/>
          </w:tcPr>
          <w:p w14:paraId="4635D5BB" w14:textId="77777777" w:rsidR="00425CF6" w:rsidRPr="00FE126C" w:rsidRDefault="00425CF6" w:rsidP="001C194E">
            <w:pPr>
              <w:rPr>
                <w:rFonts w:ascii="Arial" w:hAnsi="Arial" w:cs="Arial"/>
                <w:sz w:val="20"/>
                <w:szCs w:val="20"/>
              </w:rPr>
            </w:pPr>
          </w:p>
        </w:tc>
      </w:tr>
      <w:tr w:rsidR="00425CF6" w14:paraId="273765CE" w14:textId="77777777" w:rsidTr="001C194E">
        <w:tc>
          <w:tcPr>
            <w:tcW w:w="389" w:type="dxa"/>
          </w:tcPr>
          <w:p w14:paraId="520D6FD6" w14:textId="77777777" w:rsidR="00425CF6" w:rsidRPr="00FE126C" w:rsidRDefault="00425CF6" w:rsidP="001C194E">
            <w:pPr>
              <w:rPr>
                <w:rFonts w:ascii="Arial" w:hAnsi="Arial" w:cs="Arial"/>
                <w:sz w:val="20"/>
                <w:szCs w:val="20"/>
              </w:rPr>
            </w:pPr>
            <w:r>
              <w:rPr>
                <w:rFonts w:ascii="Arial" w:hAnsi="Arial" w:cs="Arial"/>
                <w:sz w:val="20"/>
                <w:szCs w:val="20"/>
              </w:rPr>
              <w:t>iv</w:t>
            </w:r>
          </w:p>
        </w:tc>
        <w:tc>
          <w:tcPr>
            <w:tcW w:w="2486" w:type="dxa"/>
          </w:tcPr>
          <w:p w14:paraId="688843C0" w14:textId="77777777" w:rsidR="00425CF6" w:rsidRPr="00FE126C" w:rsidRDefault="00425CF6" w:rsidP="001C194E">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4E9C02E0" w14:textId="518C1CE6" w:rsidR="00425CF6" w:rsidRPr="00FE126C" w:rsidRDefault="00AB7081" w:rsidP="001C194E">
            <w:pPr>
              <w:rPr>
                <w:rFonts w:ascii="Arial" w:hAnsi="Arial" w:cs="Arial"/>
                <w:sz w:val="20"/>
                <w:szCs w:val="20"/>
              </w:rPr>
            </w:pPr>
            <w:r w:rsidRPr="00394F26">
              <w:rPr>
                <w:rFonts w:ascii="Arial" w:hAnsi="Arial" w:cs="Arial"/>
                <w:color w:val="002060"/>
                <w:sz w:val="20"/>
                <w:szCs w:val="20"/>
              </w:rPr>
              <w:t>Actual</w:t>
            </w:r>
          </w:p>
        </w:tc>
        <w:tc>
          <w:tcPr>
            <w:tcW w:w="4230" w:type="dxa"/>
          </w:tcPr>
          <w:p w14:paraId="52273B51" w14:textId="6FEC1771" w:rsidR="00425CF6" w:rsidRPr="00FE126C" w:rsidRDefault="00394F26" w:rsidP="001C194E">
            <w:pPr>
              <w:rPr>
                <w:rFonts w:ascii="Arial" w:hAnsi="Arial" w:cs="Arial"/>
                <w:sz w:val="20"/>
                <w:szCs w:val="20"/>
              </w:rPr>
            </w:pPr>
            <w:r w:rsidRPr="009700F7">
              <w:rPr>
                <w:rFonts w:ascii="Arial" w:hAnsi="Arial" w:cs="Arial"/>
                <w:color w:val="002060"/>
                <w:sz w:val="20"/>
                <w:szCs w:val="20"/>
              </w:rPr>
              <w:t xml:space="preserve">RPP/Non-RPP proration percentages are </w:t>
            </w:r>
            <w:r w:rsidR="00736119">
              <w:rPr>
                <w:rFonts w:ascii="Arial" w:hAnsi="Arial" w:cs="Arial"/>
                <w:color w:val="002060"/>
                <w:sz w:val="20"/>
                <w:szCs w:val="20"/>
              </w:rPr>
              <w:t>upd</w:t>
            </w:r>
            <w:r w:rsidR="00EB4127">
              <w:rPr>
                <w:rFonts w:ascii="Arial" w:hAnsi="Arial" w:cs="Arial"/>
                <w:color w:val="002060"/>
                <w:sz w:val="20"/>
                <w:szCs w:val="20"/>
              </w:rPr>
              <w:t xml:space="preserve">ated </w:t>
            </w:r>
            <w:r w:rsidR="00117176">
              <w:rPr>
                <w:rFonts w:ascii="Arial" w:hAnsi="Arial" w:cs="Arial"/>
                <w:color w:val="002060"/>
                <w:sz w:val="20"/>
                <w:szCs w:val="20"/>
              </w:rPr>
              <w:t xml:space="preserve">monthly </w:t>
            </w:r>
            <w:r w:rsidR="00EB4127">
              <w:rPr>
                <w:rFonts w:ascii="Arial" w:hAnsi="Arial" w:cs="Arial"/>
                <w:color w:val="002060"/>
                <w:sz w:val="20"/>
                <w:szCs w:val="20"/>
              </w:rPr>
              <w:t>with each</w:t>
            </w:r>
            <w:r w:rsidRPr="009700F7">
              <w:rPr>
                <w:rFonts w:ascii="Arial" w:hAnsi="Arial" w:cs="Arial"/>
                <w:color w:val="002060"/>
                <w:sz w:val="20"/>
                <w:szCs w:val="20"/>
              </w:rPr>
              <w:t xml:space="preserve"> reconciliation of IESO Form 1598.</w:t>
            </w:r>
          </w:p>
        </w:tc>
        <w:tc>
          <w:tcPr>
            <w:tcW w:w="1980" w:type="dxa"/>
          </w:tcPr>
          <w:p w14:paraId="461B7A80" w14:textId="77777777" w:rsidR="00425CF6" w:rsidRPr="00FE126C" w:rsidRDefault="00425CF6" w:rsidP="001C194E">
            <w:pPr>
              <w:rPr>
                <w:rFonts w:ascii="Arial" w:hAnsi="Arial" w:cs="Arial"/>
                <w:sz w:val="20"/>
                <w:szCs w:val="20"/>
              </w:rPr>
            </w:pPr>
          </w:p>
        </w:tc>
      </w:tr>
      <w:tr w:rsidR="00394F26" w14:paraId="3A81CC44" w14:textId="77777777" w:rsidTr="001C194E">
        <w:tc>
          <w:tcPr>
            <w:tcW w:w="389" w:type="dxa"/>
          </w:tcPr>
          <w:p w14:paraId="1349597E" w14:textId="77777777" w:rsidR="00394F26" w:rsidRPr="00FE126C" w:rsidRDefault="00394F26" w:rsidP="00394F26">
            <w:pPr>
              <w:rPr>
                <w:rFonts w:ascii="Arial" w:hAnsi="Arial" w:cs="Arial"/>
                <w:sz w:val="20"/>
                <w:szCs w:val="20"/>
              </w:rPr>
            </w:pPr>
            <w:r>
              <w:rPr>
                <w:rFonts w:ascii="Arial" w:hAnsi="Arial" w:cs="Arial"/>
                <w:sz w:val="20"/>
                <w:szCs w:val="20"/>
              </w:rPr>
              <w:lastRenderedPageBreak/>
              <w:t>v</w:t>
            </w:r>
          </w:p>
        </w:tc>
        <w:tc>
          <w:tcPr>
            <w:tcW w:w="2486" w:type="dxa"/>
          </w:tcPr>
          <w:p w14:paraId="7FFAFF73" w14:textId="6E64AC10" w:rsidR="00394F26" w:rsidRPr="00FE126C" w:rsidRDefault="00394F26" w:rsidP="00394F26">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14:paraId="5B26E652" w14:textId="009B89B0" w:rsidR="00394F26" w:rsidRPr="00FE126C" w:rsidRDefault="00394F26" w:rsidP="00394F26">
            <w:pPr>
              <w:rPr>
                <w:rFonts w:ascii="Arial" w:hAnsi="Arial" w:cs="Arial"/>
                <w:sz w:val="20"/>
                <w:szCs w:val="20"/>
              </w:rPr>
            </w:pPr>
            <w:r w:rsidRPr="00394F26">
              <w:rPr>
                <w:rFonts w:ascii="Arial" w:hAnsi="Arial" w:cs="Arial"/>
                <w:color w:val="002060"/>
                <w:sz w:val="20"/>
                <w:szCs w:val="20"/>
              </w:rPr>
              <w:t>Actual</w:t>
            </w:r>
          </w:p>
        </w:tc>
        <w:tc>
          <w:tcPr>
            <w:tcW w:w="4230" w:type="dxa"/>
          </w:tcPr>
          <w:p w14:paraId="7E5EC841" w14:textId="5739F52C" w:rsidR="00394F26" w:rsidRPr="00FE126C" w:rsidRDefault="00957B1E" w:rsidP="00394F26">
            <w:pPr>
              <w:rPr>
                <w:rFonts w:ascii="Arial" w:hAnsi="Arial" w:cs="Arial"/>
                <w:sz w:val="20"/>
                <w:szCs w:val="20"/>
              </w:rPr>
            </w:pPr>
            <w:r w:rsidRPr="009700F7">
              <w:rPr>
                <w:rFonts w:ascii="Arial" w:hAnsi="Arial" w:cs="Arial"/>
                <w:color w:val="002060"/>
                <w:sz w:val="20"/>
                <w:szCs w:val="20"/>
              </w:rPr>
              <w:t>RPP/Non-RPP proration percentages are</w:t>
            </w:r>
            <w:r w:rsidR="00070ABA">
              <w:rPr>
                <w:rFonts w:ascii="Arial" w:hAnsi="Arial" w:cs="Arial"/>
                <w:color w:val="002060"/>
                <w:sz w:val="20"/>
                <w:szCs w:val="20"/>
              </w:rPr>
              <w:t xml:space="preserve"> </w:t>
            </w:r>
            <w:r w:rsidR="008C792E">
              <w:rPr>
                <w:rFonts w:ascii="Arial" w:hAnsi="Arial" w:cs="Arial"/>
                <w:color w:val="002060"/>
                <w:sz w:val="20"/>
                <w:szCs w:val="20"/>
              </w:rPr>
              <w:t>updated as actual billing and GA pricing become available as part of</w:t>
            </w:r>
            <w:r w:rsidR="00267C9E" w:rsidRPr="00267C9E">
              <w:rPr>
                <w:rFonts w:ascii="Arial" w:hAnsi="Arial" w:cs="Arial"/>
                <w:color w:val="002060"/>
                <w:sz w:val="20"/>
                <w:szCs w:val="20"/>
              </w:rPr>
              <w:t xml:space="preserve"> monthly reconciliation</w:t>
            </w:r>
            <w:r w:rsidR="008C792E">
              <w:rPr>
                <w:rFonts w:ascii="Arial" w:hAnsi="Arial" w:cs="Arial"/>
                <w:color w:val="002060"/>
                <w:sz w:val="20"/>
                <w:szCs w:val="20"/>
              </w:rPr>
              <w:t>s</w:t>
            </w:r>
            <w:r w:rsidR="00267C9E" w:rsidRPr="00267C9E">
              <w:rPr>
                <w:rFonts w:ascii="Arial" w:hAnsi="Arial" w:cs="Arial"/>
                <w:color w:val="002060"/>
                <w:sz w:val="20"/>
                <w:szCs w:val="20"/>
              </w:rPr>
              <w:t xml:space="preserve"> a</w:t>
            </w:r>
            <w:r w:rsidR="00660DFE">
              <w:rPr>
                <w:rFonts w:ascii="Arial" w:hAnsi="Arial" w:cs="Arial"/>
                <w:color w:val="002060"/>
                <w:sz w:val="20"/>
                <w:szCs w:val="20"/>
              </w:rPr>
              <w:t>s well as</w:t>
            </w:r>
            <w:r w:rsidR="00267C9E" w:rsidRPr="00267C9E">
              <w:rPr>
                <w:rFonts w:ascii="Arial" w:hAnsi="Arial" w:cs="Arial"/>
                <w:color w:val="002060"/>
                <w:sz w:val="20"/>
                <w:szCs w:val="20"/>
              </w:rPr>
              <w:t xml:space="preserve"> a</w:t>
            </w:r>
            <w:r w:rsidR="006F26F5">
              <w:rPr>
                <w:rFonts w:ascii="Arial" w:hAnsi="Arial" w:cs="Arial"/>
                <w:color w:val="002060"/>
                <w:sz w:val="20"/>
                <w:szCs w:val="20"/>
              </w:rPr>
              <w:t>n annual</w:t>
            </w:r>
            <w:r w:rsidR="00267C9E" w:rsidRPr="00267C9E">
              <w:rPr>
                <w:rFonts w:ascii="Arial" w:hAnsi="Arial" w:cs="Arial"/>
                <w:color w:val="002060"/>
                <w:sz w:val="20"/>
                <w:szCs w:val="20"/>
              </w:rPr>
              <w:t xml:space="preserve"> reasonableness test for the GA balance in Account 1589</w:t>
            </w:r>
            <w:r w:rsidR="00267C9E">
              <w:rPr>
                <w:rFonts w:ascii="Arial" w:hAnsi="Arial" w:cs="Arial"/>
                <w:color w:val="002060"/>
                <w:sz w:val="20"/>
                <w:szCs w:val="20"/>
              </w:rPr>
              <w:t>.</w:t>
            </w:r>
          </w:p>
        </w:tc>
        <w:tc>
          <w:tcPr>
            <w:tcW w:w="1980" w:type="dxa"/>
          </w:tcPr>
          <w:p w14:paraId="1535581B" w14:textId="44AE4B34" w:rsidR="00394F26" w:rsidRPr="00FE126C" w:rsidRDefault="006F0843" w:rsidP="00394F26">
            <w:pPr>
              <w:rPr>
                <w:rFonts w:ascii="Arial" w:hAnsi="Arial" w:cs="Arial"/>
                <w:sz w:val="20"/>
                <w:szCs w:val="20"/>
              </w:rPr>
            </w:pPr>
            <w:r w:rsidRPr="006F0843">
              <w:rPr>
                <w:rFonts w:ascii="Arial" w:hAnsi="Arial" w:cs="Arial"/>
                <w:color w:val="002060"/>
                <w:sz w:val="20"/>
                <w:szCs w:val="20"/>
              </w:rPr>
              <w:t xml:space="preserve">In 2016, a </w:t>
            </w:r>
            <w:r w:rsidR="00EA76B0">
              <w:rPr>
                <w:rFonts w:ascii="Arial" w:hAnsi="Arial" w:cs="Arial"/>
                <w:color w:val="002060"/>
                <w:sz w:val="20"/>
                <w:szCs w:val="20"/>
              </w:rPr>
              <w:t xml:space="preserve">final </w:t>
            </w:r>
            <w:r w:rsidRPr="006F0843">
              <w:rPr>
                <w:rFonts w:ascii="Arial" w:hAnsi="Arial" w:cs="Arial"/>
                <w:color w:val="002060"/>
                <w:sz w:val="20"/>
                <w:szCs w:val="20"/>
              </w:rPr>
              <w:t>true up adjustment of $45,500 to Account 1588.</w:t>
            </w:r>
          </w:p>
        </w:tc>
      </w:tr>
    </w:tbl>
    <w:p w14:paraId="208618FB" w14:textId="77777777" w:rsidR="00425CF6" w:rsidRDefault="00425CF6" w:rsidP="00425CF6">
      <w:pPr>
        <w:rPr>
          <w:rFonts w:ascii="Arial" w:hAnsi="Arial" w:cs="Arial"/>
          <w:b/>
          <w:bCs/>
          <w:i/>
          <w:sz w:val="24"/>
          <w:szCs w:val="24"/>
        </w:rPr>
      </w:pPr>
    </w:p>
    <w:p w14:paraId="53792B93" w14:textId="7E74EB3C" w:rsidR="00425CF6" w:rsidRPr="00583F39" w:rsidRDefault="00425CF6" w:rsidP="00425CF6">
      <w:pPr>
        <w:pStyle w:val="ListParagraph"/>
        <w:numPr>
          <w:ilvl w:val="0"/>
          <w:numId w:val="38"/>
        </w:numPr>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Tab 3 Continuity Schedule for 2016 ha</w:t>
      </w:r>
      <w:r>
        <w:rPr>
          <w:rFonts w:ascii="Arial" w:hAnsi="Arial" w:cs="Arial"/>
          <w:sz w:val="24"/>
          <w:szCs w:val="24"/>
        </w:rPr>
        <w:t>ve</w:t>
      </w:r>
      <w:r w:rsidRPr="00583F39">
        <w:rPr>
          <w:rFonts w:ascii="Arial" w:hAnsi="Arial" w:cs="Arial"/>
          <w:sz w:val="24"/>
          <w:szCs w:val="24"/>
        </w:rPr>
        <w:t xml:space="preserve"> been adjusted for settlement true-ups where settlement was originally based on estimate and trued up to actuals subsequent to 2016</w:t>
      </w:r>
      <w:r>
        <w:rPr>
          <w:rFonts w:ascii="Arial" w:hAnsi="Arial" w:cs="Arial"/>
          <w:sz w:val="24"/>
          <w:szCs w:val="24"/>
        </w:rPr>
        <w:t>.</w:t>
      </w:r>
    </w:p>
    <w:p w14:paraId="3D9B0B7F" w14:textId="77777777" w:rsidR="002F5776" w:rsidRDefault="002F5776" w:rsidP="002F5776">
      <w:pPr>
        <w:pStyle w:val="ListParagraph"/>
        <w:spacing w:after="0" w:line="259" w:lineRule="auto"/>
        <w:ind w:left="1080"/>
        <w:rPr>
          <w:rFonts w:ascii="Arial" w:hAnsi="Arial" w:cs="Arial"/>
          <w:color w:val="002060"/>
          <w:sz w:val="24"/>
          <w:lang w:val="en-US"/>
        </w:rPr>
      </w:pPr>
    </w:p>
    <w:p w14:paraId="54FEEC40" w14:textId="77777777" w:rsidR="002F5776" w:rsidRDefault="002F5776" w:rsidP="002F5776">
      <w:pPr>
        <w:pStyle w:val="ListParagraph"/>
        <w:spacing w:after="0" w:line="259" w:lineRule="auto"/>
        <w:ind w:left="1080"/>
        <w:rPr>
          <w:rFonts w:ascii="Arial" w:hAnsi="Arial" w:cs="Arial"/>
          <w:color w:val="002060"/>
          <w:sz w:val="24"/>
          <w:lang w:val="en-US"/>
        </w:rPr>
      </w:pPr>
      <w:r w:rsidRPr="00CB66C7">
        <w:rPr>
          <w:rFonts w:ascii="Arial" w:hAnsi="Arial" w:cs="Arial"/>
          <w:color w:val="002060"/>
          <w:sz w:val="24"/>
          <w:lang w:val="en-US"/>
        </w:rPr>
        <w:t>Reply:</w:t>
      </w:r>
    </w:p>
    <w:p w14:paraId="22F299DD" w14:textId="1CC6355E" w:rsidR="002F5776" w:rsidRPr="00CB66C7" w:rsidRDefault="002F5776" w:rsidP="002F5776">
      <w:pPr>
        <w:pStyle w:val="ListParagraph"/>
        <w:spacing w:after="0" w:line="259" w:lineRule="auto"/>
        <w:ind w:left="1080"/>
        <w:rPr>
          <w:rFonts w:ascii="Arial" w:hAnsi="Arial" w:cs="Arial"/>
          <w:color w:val="002060"/>
          <w:sz w:val="24"/>
          <w:lang w:val="en-US"/>
        </w:rPr>
      </w:pPr>
      <w:r>
        <w:rPr>
          <w:rFonts w:ascii="Arial" w:hAnsi="Arial" w:cs="Arial"/>
          <w:color w:val="002060"/>
          <w:sz w:val="24"/>
          <w:lang w:val="en-US"/>
        </w:rPr>
        <w:t>Orillia Power confirms that the 2018 Rate Generator Model Tab 3 Continuity Schedule for 2016 has been adjusted for settlement true-ups where settlement was originally based on estimate and trued-up to actuals subsequent to 2016.</w:t>
      </w:r>
      <w:r w:rsidR="006D0E16">
        <w:rPr>
          <w:rFonts w:ascii="Arial" w:hAnsi="Arial" w:cs="Arial"/>
          <w:color w:val="002060"/>
          <w:sz w:val="24"/>
          <w:lang w:val="en-US"/>
        </w:rPr>
        <w:t xml:space="preserve">  </w:t>
      </w:r>
    </w:p>
    <w:p w14:paraId="14C4EF8E" w14:textId="5BB13F7B" w:rsidR="00155FAC" w:rsidRPr="00155FAC" w:rsidRDefault="00155FAC" w:rsidP="00155FAC">
      <w:pPr>
        <w:rPr>
          <w:rFonts w:ascii="Arial" w:hAnsi="Arial" w:cs="Arial"/>
          <w:sz w:val="24"/>
          <w:szCs w:val="24"/>
        </w:rPr>
      </w:pPr>
    </w:p>
    <w:p w14:paraId="6226DCD2" w14:textId="77777777" w:rsidR="00BC1A68" w:rsidRDefault="006762DD" w:rsidP="006762DD">
      <w:pPr>
        <w:rPr>
          <w:rFonts w:ascii="Arial" w:hAnsi="Arial" w:cs="Arial"/>
          <w:b/>
          <w:sz w:val="24"/>
          <w:szCs w:val="24"/>
        </w:rPr>
      </w:pPr>
      <w:r w:rsidRPr="006762DD">
        <w:rPr>
          <w:rFonts w:ascii="Arial" w:hAnsi="Arial" w:cs="Arial"/>
          <w:b/>
          <w:sz w:val="24"/>
          <w:szCs w:val="24"/>
        </w:rPr>
        <w:t>Question #4</w:t>
      </w:r>
    </w:p>
    <w:p w14:paraId="07F25403" w14:textId="77777777" w:rsidR="006762DD" w:rsidRDefault="006762DD" w:rsidP="006762DD">
      <w:pPr>
        <w:rPr>
          <w:rFonts w:ascii="Arial" w:hAnsi="Arial" w:cs="Arial"/>
          <w:b/>
          <w:sz w:val="24"/>
          <w:szCs w:val="24"/>
        </w:rPr>
      </w:pPr>
      <w:r>
        <w:rPr>
          <w:rFonts w:ascii="Arial" w:hAnsi="Arial" w:cs="Arial"/>
          <w:b/>
          <w:sz w:val="24"/>
          <w:szCs w:val="24"/>
        </w:rPr>
        <w:t xml:space="preserve">Ref: Follow up questions on </w:t>
      </w:r>
      <w:r w:rsidR="00782C54">
        <w:rPr>
          <w:rFonts w:ascii="Arial" w:hAnsi="Arial" w:cs="Arial"/>
          <w:b/>
          <w:sz w:val="24"/>
          <w:szCs w:val="24"/>
        </w:rPr>
        <w:t>GA Analysis</w:t>
      </w:r>
    </w:p>
    <w:p w14:paraId="768DA3E5" w14:textId="5E74127B" w:rsidR="006762DD" w:rsidRDefault="00CC096F" w:rsidP="006762DD">
      <w:pPr>
        <w:pStyle w:val="ListParagraph"/>
        <w:numPr>
          <w:ilvl w:val="0"/>
          <w:numId w:val="36"/>
        </w:numPr>
        <w:rPr>
          <w:rFonts w:ascii="Arial" w:hAnsi="Arial" w:cs="Arial"/>
          <w:sz w:val="24"/>
          <w:szCs w:val="24"/>
        </w:rPr>
      </w:pPr>
      <w:r>
        <w:rPr>
          <w:rFonts w:ascii="Arial" w:hAnsi="Arial" w:cs="Arial"/>
          <w:sz w:val="24"/>
          <w:szCs w:val="24"/>
        </w:rPr>
        <w:t xml:space="preserve">Please indicate which GA rate </w:t>
      </w:r>
      <w:r w:rsidR="006762DD">
        <w:rPr>
          <w:rFonts w:ascii="Arial" w:hAnsi="Arial" w:cs="Arial"/>
          <w:sz w:val="24"/>
          <w:szCs w:val="24"/>
        </w:rPr>
        <w:t>Orillia Power uses for the unbilled revenue.</w:t>
      </w:r>
    </w:p>
    <w:p w14:paraId="6BC5C592" w14:textId="77777777" w:rsidR="00FD3C08" w:rsidRDefault="00FD3C08" w:rsidP="00FD3C08">
      <w:pPr>
        <w:pStyle w:val="ListParagraph"/>
        <w:spacing w:after="0" w:line="259" w:lineRule="auto"/>
        <w:rPr>
          <w:rFonts w:ascii="Arial" w:hAnsi="Arial" w:cs="Arial"/>
          <w:color w:val="002060"/>
          <w:sz w:val="24"/>
          <w:lang w:val="en-US"/>
        </w:rPr>
      </w:pPr>
    </w:p>
    <w:p w14:paraId="1E3C0539" w14:textId="6DDE4253" w:rsidR="00FD3C08" w:rsidRDefault="00FD3C08" w:rsidP="00FD3C08">
      <w:pPr>
        <w:pStyle w:val="ListParagraph"/>
        <w:spacing w:after="0" w:line="259" w:lineRule="auto"/>
        <w:rPr>
          <w:rFonts w:ascii="Arial" w:hAnsi="Arial" w:cs="Arial"/>
          <w:color w:val="002060"/>
          <w:sz w:val="24"/>
          <w:lang w:val="en-US"/>
        </w:rPr>
      </w:pPr>
      <w:r w:rsidRPr="00CB66C7">
        <w:rPr>
          <w:rFonts w:ascii="Arial" w:hAnsi="Arial" w:cs="Arial"/>
          <w:color w:val="002060"/>
          <w:sz w:val="24"/>
          <w:lang w:val="en-US"/>
        </w:rPr>
        <w:t>Reply:</w:t>
      </w:r>
    </w:p>
    <w:p w14:paraId="02A3620B" w14:textId="07D4F88B" w:rsidR="00FD3C08" w:rsidRDefault="00D872A3" w:rsidP="00D872A3">
      <w:pPr>
        <w:autoSpaceDE w:val="0"/>
        <w:autoSpaceDN w:val="0"/>
        <w:adjustRightInd w:val="0"/>
        <w:spacing w:after="0" w:line="240" w:lineRule="auto"/>
        <w:ind w:firstLine="720"/>
        <w:rPr>
          <w:rFonts w:ascii="Arial" w:hAnsi="Arial" w:cs="Arial"/>
          <w:color w:val="002060"/>
          <w:sz w:val="24"/>
          <w:lang w:val="en-US"/>
        </w:rPr>
      </w:pPr>
      <w:r w:rsidRPr="00D872A3">
        <w:rPr>
          <w:rFonts w:ascii="Arial" w:hAnsi="Arial" w:cs="Arial"/>
          <w:color w:val="002060"/>
          <w:sz w:val="24"/>
          <w:lang w:val="en-US"/>
        </w:rPr>
        <w:t xml:space="preserve">Orillia Power uses the IESO’s 1st GA estimate </w:t>
      </w:r>
      <w:r>
        <w:rPr>
          <w:rFonts w:ascii="Arial" w:hAnsi="Arial" w:cs="Arial"/>
          <w:color w:val="002060"/>
          <w:sz w:val="24"/>
          <w:lang w:val="en-US"/>
        </w:rPr>
        <w:t>for unbilled revenue.</w:t>
      </w:r>
    </w:p>
    <w:p w14:paraId="25F5D6A5" w14:textId="77777777" w:rsidR="00FD3C08" w:rsidRDefault="00FD3C08" w:rsidP="00FD3C08">
      <w:pPr>
        <w:pStyle w:val="ListParagraph"/>
        <w:rPr>
          <w:rFonts w:ascii="Arial" w:hAnsi="Arial" w:cs="Arial"/>
          <w:sz w:val="24"/>
          <w:szCs w:val="24"/>
        </w:rPr>
      </w:pPr>
    </w:p>
    <w:p w14:paraId="32D579DC" w14:textId="77777777" w:rsidR="00D61816" w:rsidRDefault="00D61816" w:rsidP="00D61816">
      <w:pPr>
        <w:pStyle w:val="ListParagraph"/>
        <w:numPr>
          <w:ilvl w:val="0"/>
          <w:numId w:val="36"/>
        </w:numPr>
        <w:rPr>
          <w:rFonts w:ascii="Arial" w:hAnsi="Arial" w:cs="Arial"/>
          <w:sz w:val="24"/>
          <w:szCs w:val="24"/>
        </w:rPr>
      </w:pPr>
      <w:r>
        <w:rPr>
          <w:rFonts w:ascii="Arial" w:hAnsi="Arial" w:cs="Arial"/>
          <w:sz w:val="24"/>
          <w:szCs w:val="24"/>
        </w:rPr>
        <w:t>On page 14 of the application, it states that “Orillia Power completes a true-up and reconciles the estimates of RPP and non-RPP consumption to actuals on a monthly basis. Orillia Power bills on a calendar month basis and uses actual billing data in the following month to true-up estimates used in the preliminary settlement process.”</w:t>
      </w:r>
    </w:p>
    <w:p w14:paraId="42B0B587" w14:textId="1527567A" w:rsidR="00D61816" w:rsidRDefault="00D61816" w:rsidP="00D61816">
      <w:pPr>
        <w:pStyle w:val="ListParagraph"/>
        <w:numPr>
          <w:ilvl w:val="0"/>
          <w:numId w:val="37"/>
        </w:numPr>
        <w:rPr>
          <w:rFonts w:ascii="Arial" w:hAnsi="Arial" w:cs="Arial"/>
          <w:sz w:val="24"/>
          <w:szCs w:val="24"/>
        </w:rPr>
      </w:pPr>
      <w:r>
        <w:rPr>
          <w:rFonts w:ascii="Arial" w:hAnsi="Arial" w:cs="Arial"/>
          <w:sz w:val="24"/>
          <w:szCs w:val="24"/>
        </w:rPr>
        <w:t>Does Orillia Power use the actual billing data in the following month to record unbilled revenue?</w:t>
      </w:r>
    </w:p>
    <w:p w14:paraId="16FA199F" w14:textId="77777777" w:rsidR="008A249D" w:rsidRDefault="008A249D" w:rsidP="008A249D">
      <w:pPr>
        <w:pStyle w:val="ListParagraph"/>
        <w:spacing w:after="0" w:line="259" w:lineRule="auto"/>
        <w:ind w:left="1440"/>
        <w:rPr>
          <w:rFonts w:ascii="Arial" w:hAnsi="Arial" w:cs="Arial"/>
          <w:color w:val="002060"/>
          <w:sz w:val="24"/>
          <w:lang w:val="en-US"/>
        </w:rPr>
      </w:pPr>
    </w:p>
    <w:p w14:paraId="49F83B9C" w14:textId="529E1E38" w:rsidR="008A249D" w:rsidRDefault="008A249D" w:rsidP="008A249D">
      <w:pPr>
        <w:pStyle w:val="ListParagraph"/>
        <w:spacing w:after="0" w:line="259" w:lineRule="auto"/>
        <w:ind w:left="1440"/>
        <w:rPr>
          <w:rFonts w:ascii="Arial" w:hAnsi="Arial" w:cs="Arial"/>
          <w:color w:val="002060"/>
          <w:sz w:val="24"/>
          <w:lang w:val="en-US"/>
        </w:rPr>
      </w:pPr>
      <w:r w:rsidRPr="00CB66C7">
        <w:rPr>
          <w:rFonts w:ascii="Arial" w:hAnsi="Arial" w:cs="Arial"/>
          <w:color w:val="002060"/>
          <w:sz w:val="24"/>
          <w:lang w:val="en-US"/>
        </w:rPr>
        <w:t>Reply:</w:t>
      </w:r>
    </w:p>
    <w:p w14:paraId="212D5512" w14:textId="5B1FB7C1" w:rsidR="008A249D" w:rsidRDefault="008A249D" w:rsidP="008A249D">
      <w:pPr>
        <w:pStyle w:val="ListParagraph"/>
        <w:ind w:left="1440"/>
        <w:rPr>
          <w:rFonts w:ascii="Arial" w:hAnsi="Arial" w:cs="Arial"/>
          <w:color w:val="002060"/>
          <w:sz w:val="24"/>
          <w:lang w:val="en-US"/>
        </w:rPr>
      </w:pPr>
      <w:r>
        <w:rPr>
          <w:rFonts w:ascii="Arial" w:hAnsi="Arial" w:cs="Arial"/>
          <w:color w:val="002060"/>
          <w:sz w:val="24"/>
          <w:lang w:val="en-US"/>
        </w:rPr>
        <w:t xml:space="preserve">Yes, </w:t>
      </w:r>
      <w:r w:rsidRPr="008A249D">
        <w:rPr>
          <w:rFonts w:ascii="Arial" w:hAnsi="Arial" w:cs="Arial"/>
          <w:color w:val="002060"/>
          <w:sz w:val="24"/>
          <w:lang w:val="en-US"/>
        </w:rPr>
        <w:t>Orillia Power</w:t>
      </w:r>
      <w:r>
        <w:rPr>
          <w:rFonts w:ascii="Arial" w:hAnsi="Arial" w:cs="Arial"/>
          <w:color w:val="002060"/>
          <w:sz w:val="24"/>
          <w:lang w:val="en-US"/>
        </w:rPr>
        <w:t xml:space="preserve"> uses actual billing data in the month following year end to calculate and record unbilled revenue.</w:t>
      </w:r>
    </w:p>
    <w:p w14:paraId="53092EEC" w14:textId="77777777" w:rsidR="008A249D" w:rsidRPr="008A249D" w:rsidRDefault="008A249D" w:rsidP="008A249D">
      <w:pPr>
        <w:pStyle w:val="ListParagraph"/>
        <w:ind w:left="1440"/>
        <w:rPr>
          <w:rFonts w:ascii="Arial" w:hAnsi="Arial" w:cs="Arial"/>
          <w:sz w:val="24"/>
          <w:szCs w:val="24"/>
        </w:rPr>
      </w:pPr>
    </w:p>
    <w:p w14:paraId="1030D643" w14:textId="3905EB4B" w:rsidR="00D61816" w:rsidRDefault="00D61816" w:rsidP="00D61816">
      <w:pPr>
        <w:pStyle w:val="ListParagraph"/>
        <w:numPr>
          <w:ilvl w:val="0"/>
          <w:numId w:val="37"/>
        </w:numPr>
        <w:rPr>
          <w:rFonts w:ascii="Arial" w:hAnsi="Arial" w:cs="Arial"/>
          <w:sz w:val="24"/>
          <w:szCs w:val="24"/>
        </w:rPr>
      </w:pPr>
      <w:r>
        <w:rPr>
          <w:rFonts w:ascii="Arial" w:hAnsi="Arial" w:cs="Arial"/>
          <w:sz w:val="24"/>
          <w:szCs w:val="24"/>
        </w:rPr>
        <w:t>Please explain the time lag of the RPP Settlement True-up, i.e. when would the October, November and December true-ups be reflected in the G/L.</w:t>
      </w:r>
    </w:p>
    <w:p w14:paraId="0B7F02BC" w14:textId="77777777" w:rsidR="00BB1511" w:rsidRDefault="00BB1511" w:rsidP="00BB1511">
      <w:pPr>
        <w:pStyle w:val="ListParagraph"/>
        <w:spacing w:after="0" w:line="259" w:lineRule="auto"/>
        <w:ind w:left="1440"/>
        <w:rPr>
          <w:rFonts w:ascii="Arial" w:hAnsi="Arial" w:cs="Arial"/>
          <w:color w:val="002060"/>
          <w:sz w:val="24"/>
          <w:lang w:val="en-US"/>
        </w:rPr>
      </w:pPr>
    </w:p>
    <w:p w14:paraId="781DB9DE" w14:textId="78D7D7CE" w:rsidR="00BB1511" w:rsidRDefault="00BB1511" w:rsidP="00BB1511">
      <w:pPr>
        <w:pStyle w:val="ListParagraph"/>
        <w:spacing w:after="0" w:line="259" w:lineRule="auto"/>
        <w:ind w:left="1440"/>
        <w:rPr>
          <w:rFonts w:ascii="Arial" w:hAnsi="Arial" w:cs="Arial"/>
          <w:color w:val="002060"/>
          <w:sz w:val="24"/>
          <w:lang w:val="en-US"/>
        </w:rPr>
      </w:pPr>
      <w:r w:rsidRPr="00CB66C7">
        <w:rPr>
          <w:rFonts w:ascii="Arial" w:hAnsi="Arial" w:cs="Arial"/>
          <w:color w:val="002060"/>
          <w:sz w:val="24"/>
          <w:lang w:val="en-US"/>
        </w:rPr>
        <w:t>Reply:</w:t>
      </w:r>
    </w:p>
    <w:p w14:paraId="33207FAD" w14:textId="1A8DD2F0" w:rsidR="00BB1511" w:rsidRPr="00BE42F2" w:rsidRDefault="00FE1886" w:rsidP="00BB1511">
      <w:pPr>
        <w:pStyle w:val="ListParagraph"/>
        <w:ind w:left="1440"/>
        <w:rPr>
          <w:rFonts w:ascii="Arial" w:hAnsi="Arial" w:cs="Arial"/>
          <w:color w:val="002060"/>
          <w:sz w:val="24"/>
          <w:szCs w:val="24"/>
        </w:rPr>
      </w:pPr>
      <w:r w:rsidRPr="00BE42F2">
        <w:rPr>
          <w:rFonts w:ascii="Arial" w:hAnsi="Arial" w:cs="Arial"/>
          <w:color w:val="002060"/>
          <w:sz w:val="24"/>
          <w:szCs w:val="24"/>
        </w:rPr>
        <w:t>True-ups are reflected in the G/L in the month following the initial RPP Settlement with the exception of December which is trued-up before the fiscal books are closed</w:t>
      </w:r>
      <w:r w:rsidR="00AB468B">
        <w:rPr>
          <w:rFonts w:ascii="Arial" w:hAnsi="Arial" w:cs="Arial"/>
          <w:color w:val="002060"/>
          <w:sz w:val="24"/>
          <w:szCs w:val="24"/>
        </w:rPr>
        <w:t>.</w:t>
      </w:r>
      <w:r w:rsidRPr="00BE42F2">
        <w:rPr>
          <w:rFonts w:ascii="Arial" w:hAnsi="Arial" w:cs="Arial"/>
          <w:color w:val="002060"/>
          <w:sz w:val="24"/>
          <w:szCs w:val="24"/>
        </w:rPr>
        <w:t xml:space="preserve"> </w:t>
      </w:r>
      <w:r w:rsidR="00AB468B">
        <w:rPr>
          <w:rFonts w:ascii="Arial" w:hAnsi="Arial" w:cs="Arial"/>
          <w:color w:val="002060"/>
          <w:sz w:val="24"/>
          <w:szCs w:val="24"/>
        </w:rPr>
        <w:t>T</w:t>
      </w:r>
      <w:r w:rsidRPr="00BE42F2">
        <w:rPr>
          <w:rFonts w:ascii="Arial" w:hAnsi="Arial" w:cs="Arial"/>
          <w:color w:val="002060"/>
          <w:sz w:val="24"/>
          <w:szCs w:val="24"/>
        </w:rPr>
        <w:t>he October true-up is reflected in the G/L in November; November and December true-ups are reflected in the G/L in December.</w:t>
      </w:r>
    </w:p>
    <w:p w14:paraId="3C987021" w14:textId="77777777" w:rsidR="00D61816" w:rsidRDefault="00D61816" w:rsidP="00DD1405">
      <w:pPr>
        <w:pStyle w:val="ListParagraph"/>
        <w:ind w:left="1440"/>
        <w:rPr>
          <w:rFonts w:ascii="Arial" w:hAnsi="Arial" w:cs="Arial"/>
          <w:sz w:val="24"/>
          <w:szCs w:val="24"/>
        </w:rPr>
      </w:pPr>
    </w:p>
    <w:p w14:paraId="3F1266C6" w14:textId="75E8D1BF" w:rsidR="00913698" w:rsidRDefault="006762DD" w:rsidP="006762DD">
      <w:pPr>
        <w:pStyle w:val="ListParagraph"/>
        <w:numPr>
          <w:ilvl w:val="0"/>
          <w:numId w:val="36"/>
        </w:numPr>
        <w:rPr>
          <w:rFonts w:ascii="Arial" w:hAnsi="Arial" w:cs="Arial"/>
          <w:sz w:val="24"/>
          <w:szCs w:val="24"/>
        </w:rPr>
      </w:pPr>
      <w:r>
        <w:rPr>
          <w:rFonts w:ascii="Arial" w:hAnsi="Arial" w:cs="Arial"/>
          <w:sz w:val="24"/>
          <w:szCs w:val="24"/>
        </w:rPr>
        <w:t xml:space="preserve">In </w:t>
      </w:r>
      <w:r w:rsidR="00FD66F6">
        <w:rPr>
          <w:rFonts w:ascii="Arial" w:hAnsi="Arial" w:cs="Arial"/>
          <w:sz w:val="24"/>
          <w:szCs w:val="24"/>
        </w:rPr>
        <w:t xml:space="preserve">its </w:t>
      </w:r>
      <w:r>
        <w:rPr>
          <w:rFonts w:ascii="Arial" w:hAnsi="Arial" w:cs="Arial"/>
          <w:sz w:val="24"/>
          <w:szCs w:val="24"/>
        </w:rPr>
        <w:t xml:space="preserve">response to GA question </w:t>
      </w:r>
      <w:proofErr w:type="gramStart"/>
      <w:r>
        <w:rPr>
          <w:rFonts w:ascii="Arial" w:hAnsi="Arial" w:cs="Arial"/>
          <w:sz w:val="24"/>
          <w:szCs w:val="24"/>
        </w:rPr>
        <w:t>#5 part iii</w:t>
      </w:r>
      <w:proofErr w:type="gramEnd"/>
      <w:r>
        <w:rPr>
          <w:rFonts w:ascii="Arial" w:hAnsi="Arial" w:cs="Arial"/>
          <w:sz w:val="24"/>
          <w:szCs w:val="24"/>
        </w:rPr>
        <w:t xml:space="preserve">, </w:t>
      </w:r>
      <w:r w:rsidR="00FD66F6">
        <w:rPr>
          <w:rFonts w:ascii="Arial" w:hAnsi="Arial" w:cs="Arial"/>
          <w:sz w:val="24"/>
          <w:szCs w:val="24"/>
        </w:rPr>
        <w:t>Orillia Power notes that “</w:t>
      </w:r>
      <w:r w:rsidR="00E67CA8">
        <w:rPr>
          <w:rFonts w:ascii="Arial" w:hAnsi="Arial" w:cs="Arial"/>
          <w:sz w:val="24"/>
          <w:szCs w:val="24"/>
        </w:rPr>
        <w:t>RPP</w:t>
      </w:r>
      <w:r w:rsidR="00FD66F6">
        <w:rPr>
          <w:rFonts w:ascii="Arial" w:hAnsi="Arial" w:cs="Arial"/>
          <w:sz w:val="24"/>
          <w:szCs w:val="24"/>
        </w:rPr>
        <w:t xml:space="preserve">/Non-RPP proration percentages are determined after </w:t>
      </w:r>
      <w:r w:rsidR="00FD66F6" w:rsidRPr="00FD66F6">
        <w:rPr>
          <w:rFonts w:ascii="Arial" w:hAnsi="Arial" w:cs="Arial"/>
          <w:b/>
          <w:sz w:val="24"/>
          <w:szCs w:val="24"/>
        </w:rPr>
        <w:t>final annual reconciliation</w:t>
      </w:r>
      <w:r w:rsidR="00FD66F6">
        <w:rPr>
          <w:rFonts w:ascii="Arial" w:hAnsi="Arial" w:cs="Arial"/>
          <w:sz w:val="24"/>
          <w:szCs w:val="24"/>
        </w:rPr>
        <w:t xml:space="preserve"> of IESO Form 1598 is completed”. </w:t>
      </w:r>
    </w:p>
    <w:p w14:paraId="3FFD8A07" w14:textId="5AA42674" w:rsidR="001F0108" w:rsidRDefault="00FD66F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 xml:space="preserve">When was the final annual reconciliation </w:t>
      </w:r>
      <w:r w:rsidR="001F0108">
        <w:rPr>
          <w:rFonts w:ascii="Arial" w:hAnsi="Arial" w:cs="Arial"/>
          <w:sz w:val="24"/>
          <w:szCs w:val="24"/>
        </w:rPr>
        <w:t xml:space="preserve">for 2016 </w:t>
      </w:r>
      <w:r>
        <w:rPr>
          <w:rFonts w:ascii="Arial" w:hAnsi="Arial" w:cs="Arial"/>
          <w:sz w:val="24"/>
          <w:szCs w:val="24"/>
        </w:rPr>
        <w:t xml:space="preserve">completed </w:t>
      </w:r>
      <w:r w:rsidR="001F0108">
        <w:rPr>
          <w:rFonts w:ascii="Arial" w:hAnsi="Arial" w:cs="Arial"/>
          <w:sz w:val="24"/>
          <w:szCs w:val="24"/>
        </w:rPr>
        <w:t>and reflected in the G/L</w:t>
      </w:r>
      <w:r>
        <w:rPr>
          <w:rFonts w:ascii="Arial" w:hAnsi="Arial" w:cs="Arial"/>
          <w:sz w:val="24"/>
          <w:szCs w:val="24"/>
        </w:rPr>
        <w:t xml:space="preserve">? </w:t>
      </w:r>
    </w:p>
    <w:p w14:paraId="666417FD" w14:textId="32D1227C" w:rsidR="00BA5E6A" w:rsidRDefault="00F139EC" w:rsidP="00F139EC">
      <w:pPr>
        <w:pStyle w:val="ListParagraph"/>
        <w:spacing w:after="0" w:line="259" w:lineRule="auto"/>
        <w:ind w:firstLine="720"/>
        <w:rPr>
          <w:rFonts w:ascii="Arial" w:hAnsi="Arial" w:cs="Arial"/>
          <w:color w:val="002060"/>
          <w:sz w:val="24"/>
          <w:lang w:val="en-US"/>
        </w:rPr>
      </w:pPr>
      <w:r w:rsidRPr="00CB66C7">
        <w:rPr>
          <w:rFonts w:ascii="Arial" w:hAnsi="Arial" w:cs="Arial"/>
          <w:color w:val="002060"/>
          <w:sz w:val="24"/>
          <w:lang w:val="en-US"/>
        </w:rPr>
        <w:t>Reply:</w:t>
      </w:r>
    </w:p>
    <w:p w14:paraId="1C24B555" w14:textId="69BE7B45" w:rsidR="00F139EC" w:rsidRPr="00F139EC" w:rsidRDefault="00B62DB8" w:rsidP="00B62DB8">
      <w:pPr>
        <w:pStyle w:val="ListParagraph"/>
        <w:spacing w:after="0" w:line="259" w:lineRule="auto"/>
        <w:ind w:left="1440"/>
        <w:rPr>
          <w:rFonts w:ascii="Arial" w:hAnsi="Arial" w:cs="Arial"/>
          <w:color w:val="002060"/>
          <w:sz w:val="24"/>
          <w:lang w:val="en-US"/>
        </w:rPr>
      </w:pPr>
      <w:r>
        <w:rPr>
          <w:rFonts w:ascii="Arial" w:hAnsi="Arial" w:cs="Arial"/>
          <w:color w:val="002060"/>
          <w:sz w:val="24"/>
          <w:lang w:val="en-US"/>
        </w:rPr>
        <w:t>The final annual reconciliation for 2016 was completed and reflected in the G/L in December 2016.</w:t>
      </w:r>
    </w:p>
    <w:p w14:paraId="7CA50F0C" w14:textId="2B6DB0F9" w:rsidR="006762DD" w:rsidRDefault="00FD66F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What is the dollar amount of the 2016 annual reconciliation? Has Orillia Power reflected the true-up adjustment for 2016 in the 2016 year-end balance?</w:t>
      </w:r>
    </w:p>
    <w:p w14:paraId="2A2AFCB3" w14:textId="05CDA387" w:rsidR="00F139EC" w:rsidRDefault="00F139EC" w:rsidP="00F139EC">
      <w:pPr>
        <w:pStyle w:val="ListParagraph"/>
        <w:spacing w:after="0" w:line="259" w:lineRule="auto"/>
        <w:ind w:firstLine="720"/>
        <w:rPr>
          <w:rFonts w:ascii="Arial" w:hAnsi="Arial" w:cs="Arial"/>
          <w:color w:val="002060"/>
          <w:sz w:val="24"/>
          <w:lang w:val="en-US"/>
        </w:rPr>
      </w:pPr>
      <w:r w:rsidRPr="00CB66C7">
        <w:rPr>
          <w:rFonts w:ascii="Arial" w:hAnsi="Arial" w:cs="Arial"/>
          <w:color w:val="002060"/>
          <w:sz w:val="24"/>
          <w:lang w:val="en-US"/>
        </w:rPr>
        <w:t>Reply:</w:t>
      </w:r>
    </w:p>
    <w:p w14:paraId="3D0714E3" w14:textId="525DF204" w:rsidR="00F139EC" w:rsidRPr="00F139EC" w:rsidRDefault="0088718D" w:rsidP="0088718D">
      <w:pPr>
        <w:pStyle w:val="ListParagraph"/>
        <w:spacing w:after="0" w:line="259" w:lineRule="auto"/>
        <w:ind w:left="1440"/>
        <w:rPr>
          <w:rFonts w:ascii="Arial" w:hAnsi="Arial" w:cs="Arial"/>
          <w:color w:val="002060"/>
          <w:sz w:val="24"/>
          <w:lang w:val="en-US"/>
        </w:rPr>
      </w:pPr>
      <w:r>
        <w:rPr>
          <w:rFonts w:ascii="Arial" w:hAnsi="Arial" w:cs="Arial"/>
          <w:color w:val="002060"/>
          <w:sz w:val="24"/>
          <w:lang w:val="en-US"/>
        </w:rPr>
        <w:t>The dollar amount of the 2016 annual reconciliation was $45,500 and was reflected in the 2016 year-end balance.</w:t>
      </w:r>
    </w:p>
    <w:p w14:paraId="633F3DC3" w14:textId="00A2982E" w:rsidR="00E67CA8" w:rsidRDefault="00E67CA8"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 xml:space="preserve">Has Orillia power updated their RPP Settlement true-up procedures consistent with the OEB May 23, 2017 </w:t>
      </w:r>
      <w:r w:rsidR="00D61816">
        <w:rPr>
          <w:rFonts w:ascii="Arial" w:hAnsi="Arial" w:cs="Arial"/>
          <w:sz w:val="24"/>
          <w:szCs w:val="24"/>
        </w:rPr>
        <w:t xml:space="preserve">letter </w:t>
      </w:r>
      <w:r w:rsidR="001F0108">
        <w:rPr>
          <w:rFonts w:ascii="Arial" w:hAnsi="Arial" w:cs="Arial"/>
          <w:sz w:val="24"/>
          <w:szCs w:val="24"/>
        </w:rPr>
        <w:t xml:space="preserve">regarding the </w:t>
      </w:r>
      <w:r w:rsidRPr="00E67CA8">
        <w:rPr>
          <w:rFonts w:ascii="Arial" w:hAnsi="Arial" w:cs="Arial"/>
          <w:sz w:val="24"/>
          <w:szCs w:val="24"/>
        </w:rPr>
        <w:t>Guidance on the Disposition of Accounts 1588 and 1589</w:t>
      </w:r>
      <w:r>
        <w:rPr>
          <w:rFonts w:ascii="Arial" w:hAnsi="Arial" w:cs="Arial"/>
          <w:sz w:val="24"/>
          <w:szCs w:val="24"/>
        </w:rPr>
        <w:t>?</w:t>
      </w:r>
    </w:p>
    <w:p w14:paraId="78B4D3DB" w14:textId="67CB990A" w:rsidR="00F139EC" w:rsidRDefault="00F139EC" w:rsidP="00F139EC">
      <w:pPr>
        <w:pStyle w:val="ListParagraph"/>
        <w:spacing w:after="0" w:line="259" w:lineRule="auto"/>
        <w:ind w:firstLine="720"/>
        <w:rPr>
          <w:rFonts w:ascii="Arial" w:hAnsi="Arial" w:cs="Arial"/>
          <w:color w:val="002060"/>
          <w:sz w:val="24"/>
          <w:lang w:val="en-US"/>
        </w:rPr>
      </w:pPr>
      <w:r w:rsidRPr="00CB66C7">
        <w:rPr>
          <w:rFonts w:ascii="Arial" w:hAnsi="Arial" w:cs="Arial"/>
          <w:color w:val="002060"/>
          <w:sz w:val="24"/>
          <w:lang w:val="en-US"/>
        </w:rPr>
        <w:t>Reply:</w:t>
      </w:r>
    </w:p>
    <w:p w14:paraId="08BB0CAC" w14:textId="20D51DD5" w:rsidR="00F139EC" w:rsidRPr="00F139EC" w:rsidRDefault="0042550C" w:rsidP="0042550C">
      <w:pPr>
        <w:pStyle w:val="ListParagraph"/>
        <w:spacing w:after="0" w:line="259" w:lineRule="auto"/>
        <w:ind w:left="1440"/>
        <w:rPr>
          <w:rFonts w:ascii="Arial" w:hAnsi="Arial" w:cs="Arial"/>
          <w:color w:val="002060"/>
          <w:sz w:val="24"/>
          <w:lang w:val="en-US"/>
        </w:rPr>
      </w:pPr>
      <w:r>
        <w:rPr>
          <w:rFonts w:ascii="Arial" w:hAnsi="Arial" w:cs="Arial"/>
          <w:color w:val="002060"/>
          <w:sz w:val="24"/>
          <w:lang w:val="en-US"/>
        </w:rPr>
        <w:t>Orillia Power has updated its RPP Settlement true-up procedures to ensure consistency with the OEB May 23, 2017 letter.</w:t>
      </w:r>
    </w:p>
    <w:p w14:paraId="0C314C2B" w14:textId="155C62C5" w:rsidR="00D61816" w:rsidRDefault="00D6181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Please describe the final annual reconciliation process.</w:t>
      </w:r>
    </w:p>
    <w:p w14:paraId="1445DFC8" w14:textId="297669FD" w:rsidR="00F139EC" w:rsidRDefault="00F139EC" w:rsidP="00F139EC">
      <w:pPr>
        <w:pStyle w:val="ListParagraph"/>
        <w:spacing w:after="0" w:line="259" w:lineRule="auto"/>
        <w:ind w:firstLine="720"/>
        <w:rPr>
          <w:rFonts w:ascii="Arial" w:hAnsi="Arial" w:cs="Arial"/>
          <w:color w:val="002060"/>
          <w:sz w:val="24"/>
          <w:lang w:val="en-US"/>
        </w:rPr>
      </w:pPr>
      <w:r w:rsidRPr="00CB66C7">
        <w:rPr>
          <w:rFonts w:ascii="Arial" w:hAnsi="Arial" w:cs="Arial"/>
          <w:color w:val="002060"/>
          <w:sz w:val="24"/>
          <w:lang w:val="en-US"/>
        </w:rPr>
        <w:t>Reply:</w:t>
      </w:r>
    </w:p>
    <w:p w14:paraId="3ECCE215" w14:textId="361E40E0" w:rsidR="00483DB5" w:rsidRDefault="00DB7032" w:rsidP="00DB7032">
      <w:pPr>
        <w:pStyle w:val="ListParagraph"/>
        <w:spacing w:after="0" w:line="259" w:lineRule="auto"/>
        <w:ind w:left="1440"/>
        <w:rPr>
          <w:rFonts w:ascii="Arial" w:hAnsi="Arial" w:cs="Arial"/>
          <w:color w:val="002060"/>
          <w:sz w:val="24"/>
          <w:lang w:val="en-US"/>
        </w:rPr>
      </w:pPr>
      <w:r>
        <w:rPr>
          <w:rFonts w:ascii="Arial" w:hAnsi="Arial" w:cs="Arial"/>
          <w:color w:val="002060"/>
          <w:sz w:val="24"/>
          <w:lang w:val="en-US"/>
        </w:rPr>
        <w:t xml:space="preserve">The final annual reconciliation process </w:t>
      </w:r>
      <w:r w:rsidR="005D057A">
        <w:rPr>
          <w:rFonts w:ascii="Arial" w:hAnsi="Arial" w:cs="Arial"/>
          <w:color w:val="002060"/>
          <w:sz w:val="24"/>
          <w:lang w:val="en-US"/>
        </w:rPr>
        <w:t xml:space="preserve">for RPP Settlement </w:t>
      </w:r>
      <w:r w:rsidR="004C547C">
        <w:rPr>
          <w:rFonts w:ascii="Arial" w:hAnsi="Arial" w:cs="Arial"/>
          <w:color w:val="002060"/>
          <w:sz w:val="24"/>
          <w:lang w:val="en-US"/>
        </w:rPr>
        <w:t xml:space="preserve">is part of Orillia Power’s year-end audit processes and </w:t>
      </w:r>
      <w:r>
        <w:rPr>
          <w:rFonts w:ascii="Arial" w:hAnsi="Arial" w:cs="Arial"/>
          <w:color w:val="002060"/>
          <w:sz w:val="24"/>
          <w:lang w:val="en-US"/>
        </w:rPr>
        <w:t xml:space="preserve">includes verification of billed statistics for both </w:t>
      </w:r>
      <w:r w:rsidR="00FF701B">
        <w:rPr>
          <w:rFonts w:ascii="Arial" w:hAnsi="Arial" w:cs="Arial"/>
          <w:color w:val="002060"/>
          <w:sz w:val="24"/>
          <w:lang w:val="en-US"/>
        </w:rPr>
        <w:t xml:space="preserve">RPP </w:t>
      </w:r>
      <w:r>
        <w:rPr>
          <w:rFonts w:ascii="Arial" w:hAnsi="Arial" w:cs="Arial"/>
          <w:color w:val="002060"/>
          <w:sz w:val="24"/>
          <w:lang w:val="en-US"/>
        </w:rPr>
        <w:t xml:space="preserve">Tier and </w:t>
      </w:r>
      <w:r w:rsidR="00FF701B">
        <w:rPr>
          <w:rFonts w:ascii="Arial" w:hAnsi="Arial" w:cs="Arial"/>
          <w:color w:val="002060"/>
          <w:sz w:val="24"/>
          <w:lang w:val="en-US"/>
        </w:rPr>
        <w:t xml:space="preserve">RPP </w:t>
      </w:r>
      <w:r>
        <w:rPr>
          <w:rFonts w:ascii="Arial" w:hAnsi="Arial" w:cs="Arial"/>
          <w:color w:val="002060"/>
          <w:sz w:val="24"/>
          <w:lang w:val="en-US"/>
        </w:rPr>
        <w:t>TOU consumers and regulated prices</w:t>
      </w:r>
      <w:r w:rsidR="00391A65">
        <w:rPr>
          <w:rFonts w:ascii="Arial" w:hAnsi="Arial" w:cs="Arial"/>
          <w:color w:val="002060"/>
          <w:sz w:val="24"/>
          <w:lang w:val="en-US"/>
        </w:rPr>
        <w:t xml:space="preserve"> reflected in G/L</w:t>
      </w:r>
      <w:r w:rsidR="00746814">
        <w:rPr>
          <w:rFonts w:ascii="Arial" w:hAnsi="Arial" w:cs="Arial"/>
          <w:color w:val="002060"/>
          <w:sz w:val="24"/>
          <w:lang w:val="en-US"/>
        </w:rPr>
        <w:t xml:space="preserve"> balances</w:t>
      </w:r>
      <w:r w:rsidR="004C547C">
        <w:rPr>
          <w:rFonts w:ascii="Arial" w:hAnsi="Arial" w:cs="Arial"/>
          <w:color w:val="002060"/>
          <w:sz w:val="24"/>
          <w:lang w:val="en-US"/>
        </w:rPr>
        <w:t>.</w:t>
      </w:r>
      <w:r>
        <w:rPr>
          <w:rFonts w:ascii="Arial" w:hAnsi="Arial" w:cs="Arial"/>
          <w:color w:val="002060"/>
          <w:sz w:val="24"/>
          <w:lang w:val="en-US"/>
        </w:rPr>
        <w:t xml:space="preserve"> </w:t>
      </w:r>
      <w:r w:rsidR="008B334C">
        <w:rPr>
          <w:rFonts w:ascii="Arial" w:hAnsi="Arial" w:cs="Arial"/>
          <w:color w:val="002060"/>
          <w:sz w:val="24"/>
          <w:lang w:val="en-US"/>
        </w:rPr>
        <w:t xml:space="preserve">An </w:t>
      </w:r>
      <w:r w:rsidR="008B334C" w:rsidRPr="008B334C">
        <w:rPr>
          <w:rFonts w:ascii="Arial" w:hAnsi="Arial" w:cs="Arial"/>
          <w:color w:val="002060"/>
          <w:sz w:val="24"/>
          <w:lang w:val="en-US"/>
        </w:rPr>
        <w:t xml:space="preserve">annual reasonableness test </w:t>
      </w:r>
      <w:r w:rsidR="007C494E">
        <w:rPr>
          <w:rFonts w:ascii="Arial" w:hAnsi="Arial" w:cs="Arial"/>
          <w:color w:val="002060"/>
          <w:sz w:val="24"/>
          <w:lang w:val="en-US"/>
        </w:rPr>
        <w:t>of</w:t>
      </w:r>
      <w:r w:rsidR="008B334C" w:rsidRPr="008B334C">
        <w:rPr>
          <w:rFonts w:ascii="Arial" w:hAnsi="Arial" w:cs="Arial"/>
          <w:color w:val="002060"/>
          <w:sz w:val="24"/>
          <w:lang w:val="en-US"/>
        </w:rPr>
        <w:t xml:space="preserve"> the GA balance in Account 1589 </w:t>
      </w:r>
      <w:r w:rsidR="009E1379">
        <w:rPr>
          <w:rFonts w:ascii="Arial" w:hAnsi="Arial" w:cs="Arial"/>
          <w:color w:val="002060"/>
          <w:sz w:val="24"/>
          <w:lang w:val="en-US"/>
        </w:rPr>
        <w:t xml:space="preserve">is prepared </w:t>
      </w:r>
      <w:r w:rsidR="00A17A34">
        <w:rPr>
          <w:rFonts w:ascii="Arial" w:hAnsi="Arial" w:cs="Arial"/>
          <w:color w:val="002060"/>
          <w:sz w:val="24"/>
          <w:lang w:val="en-US"/>
        </w:rPr>
        <w:t>using</w:t>
      </w:r>
      <w:r w:rsidR="008B334C" w:rsidRPr="008B334C">
        <w:rPr>
          <w:rFonts w:ascii="Arial" w:hAnsi="Arial" w:cs="Arial"/>
          <w:color w:val="002060"/>
          <w:sz w:val="24"/>
          <w:lang w:val="en-US"/>
        </w:rPr>
        <w:t xml:space="preserve"> </w:t>
      </w:r>
      <w:r w:rsidR="009E1379">
        <w:rPr>
          <w:rFonts w:ascii="Arial" w:hAnsi="Arial" w:cs="Arial"/>
          <w:color w:val="002060"/>
          <w:sz w:val="24"/>
          <w:lang w:val="en-US"/>
        </w:rPr>
        <w:t>actual billing</w:t>
      </w:r>
      <w:r w:rsidR="008B334C" w:rsidRPr="008B334C">
        <w:rPr>
          <w:rFonts w:ascii="Arial" w:hAnsi="Arial" w:cs="Arial"/>
          <w:color w:val="002060"/>
          <w:sz w:val="24"/>
          <w:lang w:val="en-US"/>
        </w:rPr>
        <w:t xml:space="preserve"> data and final GA</w:t>
      </w:r>
      <w:r w:rsidR="009E1379">
        <w:rPr>
          <w:rFonts w:ascii="Arial" w:hAnsi="Arial" w:cs="Arial"/>
          <w:color w:val="002060"/>
          <w:sz w:val="24"/>
          <w:lang w:val="en-US"/>
        </w:rPr>
        <w:t xml:space="preserve"> prices</w:t>
      </w:r>
      <w:r w:rsidR="008B334C">
        <w:rPr>
          <w:rFonts w:ascii="Arial" w:hAnsi="Arial" w:cs="Arial"/>
          <w:color w:val="002060"/>
          <w:sz w:val="24"/>
          <w:lang w:val="en-US"/>
        </w:rPr>
        <w:t xml:space="preserve">.  Orillia Power determines </w:t>
      </w:r>
      <w:r w:rsidR="007C494E">
        <w:rPr>
          <w:rFonts w:ascii="Arial" w:hAnsi="Arial" w:cs="Arial"/>
          <w:color w:val="002060"/>
          <w:sz w:val="24"/>
          <w:lang w:val="en-US"/>
        </w:rPr>
        <w:t xml:space="preserve">whether </w:t>
      </w:r>
      <w:r w:rsidR="008B334C">
        <w:rPr>
          <w:rFonts w:ascii="Arial" w:hAnsi="Arial" w:cs="Arial"/>
          <w:color w:val="002060"/>
          <w:sz w:val="24"/>
          <w:lang w:val="en-US"/>
        </w:rPr>
        <w:t xml:space="preserve">a final true up adjustment is </w:t>
      </w:r>
      <w:r w:rsidR="008B334C">
        <w:rPr>
          <w:rFonts w:ascii="Arial" w:hAnsi="Arial" w:cs="Arial"/>
          <w:color w:val="002060"/>
          <w:sz w:val="24"/>
          <w:lang w:val="en-US"/>
        </w:rPr>
        <w:lastRenderedPageBreak/>
        <w:t xml:space="preserve">required, </w:t>
      </w:r>
      <w:r w:rsidR="007C494E">
        <w:rPr>
          <w:rFonts w:ascii="Arial" w:hAnsi="Arial" w:cs="Arial"/>
          <w:color w:val="002060"/>
          <w:sz w:val="24"/>
          <w:lang w:val="en-US"/>
        </w:rPr>
        <w:t xml:space="preserve">and if so determined, </w:t>
      </w:r>
      <w:r w:rsidR="008B334C">
        <w:rPr>
          <w:rFonts w:ascii="Arial" w:hAnsi="Arial" w:cs="Arial"/>
          <w:color w:val="002060"/>
          <w:sz w:val="24"/>
          <w:lang w:val="en-US"/>
        </w:rPr>
        <w:t>an entry is</w:t>
      </w:r>
      <w:r w:rsidR="007C494E">
        <w:rPr>
          <w:rFonts w:ascii="Arial" w:hAnsi="Arial" w:cs="Arial"/>
          <w:color w:val="002060"/>
          <w:sz w:val="24"/>
          <w:lang w:val="en-US"/>
        </w:rPr>
        <w:t xml:space="preserve"> prepared to be</w:t>
      </w:r>
      <w:r w:rsidR="008B334C">
        <w:rPr>
          <w:rFonts w:ascii="Arial" w:hAnsi="Arial" w:cs="Arial"/>
          <w:color w:val="002060"/>
          <w:sz w:val="24"/>
          <w:lang w:val="en-US"/>
        </w:rPr>
        <w:t xml:space="preserve"> reflected in December before the </w:t>
      </w:r>
      <w:r w:rsidR="00667906">
        <w:rPr>
          <w:rFonts w:ascii="Arial" w:hAnsi="Arial" w:cs="Arial"/>
          <w:color w:val="002060"/>
          <w:sz w:val="24"/>
          <w:lang w:val="en-US"/>
        </w:rPr>
        <w:t xml:space="preserve">fiscal </w:t>
      </w:r>
      <w:r w:rsidR="008B334C">
        <w:rPr>
          <w:rFonts w:ascii="Arial" w:hAnsi="Arial" w:cs="Arial"/>
          <w:color w:val="002060"/>
          <w:sz w:val="24"/>
          <w:lang w:val="en-US"/>
        </w:rPr>
        <w:t xml:space="preserve">books are closed.  </w:t>
      </w:r>
      <w:r w:rsidR="004C547C">
        <w:rPr>
          <w:rFonts w:ascii="Arial" w:hAnsi="Arial" w:cs="Arial"/>
          <w:color w:val="002060"/>
          <w:sz w:val="24"/>
          <w:lang w:val="en-US"/>
        </w:rPr>
        <w:t xml:space="preserve">Orillia Power </w:t>
      </w:r>
      <w:r w:rsidR="00667906">
        <w:rPr>
          <w:rFonts w:ascii="Arial" w:hAnsi="Arial" w:cs="Arial"/>
          <w:color w:val="002060"/>
          <w:sz w:val="24"/>
          <w:lang w:val="en-US"/>
        </w:rPr>
        <w:t>also</w:t>
      </w:r>
      <w:r w:rsidR="008B334C">
        <w:rPr>
          <w:rFonts w:ascii="Arial" w:hAnsi="Arial" w:cs="Arial"/>
          <w:color w:val="002060"/>
          <w:sz w:val="24"/>
          <w:lang w:val="en-US"/>
        </w:rPr>
        <w:t xml:space="preserve"> </w:t>
      </w:r>
      <w:r w:rsidR="004C547C">
        <w:rPr>
          <w:rFonts w:ascii="Arial" w:hAnsi="Arial" w:cs="Arial"/>
          <w:color w:val="002060"/>
          <w:sz w:val="24"/>
          <w:lang w:val="en-US"/>
        </w:rPr>
        <w:t xml:space="preserve">completes </w:t>
      </w:r>
      <w:r>
        <w:rPr>
          <w:rFonts w:ascii="Arial" w:hAnsi="Arial" w:cs="Arial"/>
          <w:color w:val="002060"/>
          <w:sz w:val="24"/>
          <w:lang w:val="en-US"/>
        </w:rPr>
        <w:t xml:space="preserve">a </w:t>
      </w:r>
      <w:r w:rsidR="008B334C">
        <w:rPr>
          <w:rFonts w:ascii="Arial" w:hAnsi="Arial" w:cs="Arial"/>
          <w:color w:val="002060"/>
          <w:sz w:val="24"/>
          <w:lang w:val="en-US"/>
        </w:rPr>
        <w:t>high-level</w:t>
      </w:r>
      <w:r>
        <w:rPr>
          <w:rFonts w:ascii="Arial" w:hAnsi="Arial" w:cs="Arial"/>
          <w:color w:val="002060"/>
          <w:sz w:val="24"/>
          <w:lang w:val="en-US"/>
        </w:rPr>
        <w:t xml:space="preserve"> review of the monthly claims </w:t>
      </w:r>
      <w:r w:rsidR="005D057A">
        <w:rPr>
          <w:rFonts w:ascii="Arial" w:hAnsi="Arial" w:cs="Arial"/>
          <w:color w:val="002060"/>
          <w:sz w:val="24"/>
          <w:lang w:val="en-US"/>
        </w:rPr>
        <w:t xml:space="preserve">and adjustments </w:t>
      </w:r>
      <w:r>
        <w:rPr>
          <w:rFonts w:ascii="Arial" w:hAnsi="Arial" w:cs="Arial"/>
          <w:color w:val="002060"/>
          <w:sz w:val="24"/>
          <w:lang w:val="en-US"/>
        </w:rPr>
        <w:t>and the impact on annual cost of power</w:t>
      </w:r>
      <w:r w:rsidR="004C547C">
        <w:rPr>
          <w:rFonts w:ascii="Arial" w:hAnsi="Arial" w:cs="Arial"/>
          <w:color w:val="002060"/>
          <w:sz w:val="24"/>
          <w:lang w:val="en-US"/>
        </w:rPr>
        <w:t xml:space="preserve"> that is reflected in the 2016 </w:t>
      </w:r>
      <w:r w:rsidR="00A5022A">
        <w:rPr>
          <w:rFonts w:ascii="Arial" w:hAnsi="Arial" w:cs="Arial"/>
          <w:color w:val="002060"/>
          <w:sz w:val="24"/>
          <w:lang w:val="en-US"/>
        </w:rPr>
        <w:t>audited</w:t>
      </w:r>
      <w:r w:rsidR="004C547C">
        <w:rPr>
          <w:rFonts w:ascii="Arial" w:hAnsi="Arial" w:cs="Arial"/>
          <w:color w:val="002060"/>
          <w:sz w:val="24"/>
          <w:lang w:val="en-US"/>
        </w:rPr>
        <w:t xml:space="preserve"> financial statements</w:t>
      </w:r>
      <w:r w:rsidR="00A5022A">
        <w:rPr>
          <w:rFonts w:ascii="Arial" w:hAnsi="Arial" w:cs="Arial"/>
          <w:color w:val="002060"/>
          <w:sz w:val="24"/>
          <w:lang w:val="en-US"/>
        </w:rPr>
        <w:t>.</w:t>
      </w:r>
      <w:r>
        <w:rPr>
          <w:rFonts w:ascii="Arial" w:hAnsi="Arial" w:cs="Arial"/>
          <w:color w:val="002060"/>
          <w:sz w:val="24"/>
          <w:lang w:val="en-US"/>
        </w:rPr>
        <w:t xml:space="preserve"> </w:t>
      </w:r>
    </w:p>
    <w:p w14:paraId="64AF9860" w14:textId="5635CF01" w:rsidR="003F7D01" w:rsidRDefault="00D6181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Please explain what the difference is between this annual reconciliation true-up and the monthly true-up that is completed by Orillia Power.</w:t>
      </w:r>
    </w:p>
    <w:p w14:paraId="0CC4ADEC" w14:textId="64934F6A" w:rsidR="00F139EC" w:rsidRDefault="00F139EC" w:rsidP="00F139EC">
      <w:pPr>
        <w:pStyle w:val="ListParagraph"/>
        <w:spacing w:after="0" w:line="259" w:lineRule="auto"/>
        <w:ind w:firstLine="720"/>
        <w:rPr>
          <w:rFonts w:ascii="Arial" w:hAnsi="Arial" w:cs="Arial"/>
          <w:color w:val="002060"/>
          <w:sz w:val="24"/>
          <w:lang w:val="en-US"/>
        </w:rPr>
      </w:pPr>
      <w:r w:rsidRPr="00CB66C7">
        <w:rPr>
          <w:rFonts w:ascii="Arial" w:hAnsi="Arial" w:cs="Arial"/>
          <w:color w:val="002060"/>
          <w:sz w:val="24"/>
          <w:lang w:val="en-US"/>
        </w:rPr>
        <w:t>Reply:</w:t>
      </w:r>
    </w:p>
    <w:p w14:paraId="025A7412" w14:textId="71BCA929" w:rsidR="008B334C" w:rsidRDefault="007519E8" w:rsidP="007519E8">
      <w:pPr>
        <w:pStyle w:val="ListParagraph"/>
        <w:spacing w:after="0" w:line="259" w:lineRule="auto"/>
        <w:ind w:left="1440"/>
        <w:rPr>
          <w:rFonts w:ascii="Arial" w:hAnsi="Arial" w:cs="Arial"/>
          <w:color w:val="002060"/>
          <w:sz w:val="24"/>
          <w:lang w:val="en-US"/>
        </w:rPr>
      </w:pPr>
      <w:r>
        <w:rPr>
          <w:rFonts w:ascii="Arial" w:hAnsi="Arial" w:cs="Arial"/>
          <w:color w:val="002060"/>
          <w:sz w:val="24"/>
          <w:lang w:val="en-US"/>
        </w:rPr>
        <w:t xml:space="preserve">The annual reconciliation is a high-level review that reflects audited sale of power and cost of power transactions adjusted for unbilled.  The monthly true-up is tied to actual </w:t>
      </w:r>
      <w:r w:rsidR="00D27AEB">
        <w:rPr>
          <w:rFonts w:ascii="Arial" w:hAnsi="Arial" w:cs="Arial"/>
          <w:color w:val="002060"/>
          <w:sz w:val="24"/>
          <w:lang w:val="en-US"/>
        </w:rPr>
        <w:t>data</w:t>
      </w:r>
      <w:r>
        <w:rPr>
          <w:rFonts w:ascii="Arial" w:hAnsi="Arial" w:cs="Arial"/>
          <w:color w:val="002060"/>
          <w:sz w:val="24"/>
          <w:lang w:val="en-US"/>
        </w:rPr>
        <w:t xml:space="preserve"> as </w:t>
      </w:r>
      <w:r w:rsidR="00D27AEB">
        <w:rPr>
          <w:rFonts w:ascii="Arial" w:hAnsi="Arial" w:cs="Arial"/>
          <w:color w:val="002060"/>
          <w:sz w:val="24"/>
          <w:lang w:val="en-US"/>
        </w:rPr>
        <w:t>it</w:t>
      </w:r>
      <w:r>
        <w:rPr>
          <w:rFonts w:ascii="Arial" w:hAnsi="Arial" w:cs="Arial"/>
          <w:color w:val="002060"/>
          <w:sz w:val="24"/>
          <w:lang w:val="en-US"/>
        </w:rPr>
        <w:t xml:space="preserve"> become</w:t>
      </w:r>
      <w:r w:rsidR="00D27AEB">
        <w:rPr>
          <w:rFonts w:ascii="Arial" w:hAnsi="Arial" w:cs="Arial"/>
          <w:color w:val="002060"/>
          <w:sz w:val="24"/>
          <w:lang w:val="en-US"/>
        </w:rPr>
        <w:t>s</w:t>
      </w:r>
      <w:r>
        <w:rPr>
          <w:rFonts w:ascii="Arial" w:hAnsi="Arial" w:cs="Arial"/>
          <w:color w:val="002060"/>
          <w:sz w:val="24"/>
          <w:lang w:val="en-US"/>
        </w:rPr>
        <w:t xml:space="preserve"> available.  The following is a brief description of Orillia Power’s </w:t>
      </w:r>
      <w:r w:rsidR="00121EEB">
        <w:rPr>
          <w:rFonts w:ascii="Arial" w:hAnsi="Arial" w:cs="Arial"/>
          <w:color w:val="002060"/>
          <w:sz w:val="24"/>
          <w:lang w:val="en-US"/>
        </w:rPr>
        <w:t xml:space="preserve">monthly </w:t>
      </w:r>
      <w:r w:rsidR="00B922C2">
        <w:rPr>
          <w:rFonts w:ascii="Arial" w:hAnsi="Arial" w:cs="Arial"/>
          <w:color w:val="002060"/>
          <w:sz w:val="24"/>
          <w:lang w:val="en-US"/>
        </w:rPr>
        <w:t xml:space="preserve">true-up </w:t>
      </w:r>
      <w:r>
        <w:rPr>
          <w:rFonts w:ascii="Arial" w:hAnsi="Arial" w:cs="Arial"/>
          <w:color w:val="002060"/>
          <w:sz w:val="24"/>
          <w:lang w:val="en-US"/>
        </w:rPr>
        <w:t xml:space="preserve">methodology applied </w:t>
      </w:r>
      <w:r w:rsidR="00D869C2">
        <w:rPr>
          <w:rFonts w:ascii="Arial" w:hAnsi="Arial" w:cs="Arial"/>
          <w:color w:val="002060"/>
          <w:sz w:val="24"/>
          <w:lang w:val="en-US"/>
        </w:rPr>
        <w:t xml:space="preserve">separately </w:t>
      </w:r>
      <w:r>
        <w:rPr>
          <w:rFonts w:ascii="Arial" w:hAnsi="Arial" w:cs="Arial"/>
          <w:color w:val="002060"/>
          <w:sz w:val="24"/>
          <w:lang w:val="en-US"/>
        </w:rPr>
        <w:t xml:space="preserve">to </w:t>
      </w:r>
      <w:r w:rsidR="00D869C2">
        <w:rPr>
          <w:rFonts w:ascii="Arial" w:hAnsi="Arial" w:cs="Arial"/>
          <w:color w:val="002060"/>
          <w:sz w:val="24"/>
          <w:lang w:val="en-US"/>
        </w:rPr>
        <w:t xml:space="preserve">RPP </w:t>
      </w:r>
      <w:r>
        <w:rPr>
          <w:rFonts w:ascii="Arial" w:hAnsi="Arial" w:cs="Arial"/>
          <w:color w:val="002060"/>
          <w:sz w:val="24"/>
          <w:lang w:val="en-US"/>
        </w:rPr>
        <w:t xml:space="preserve">Tier and </w:t>
      </w:r>
      <w:r w:rsidR="00D869C2">
        <w:rPr>
          <w:rFonts w:ascii="Arial" w:hAnsi="Arial" w:cs="Arial"/>
          <w:color w:val="002060"/>
          <w:sz w:val="24"/>
          <w:lang w:val="en-US"/>
        </w:rPr>
        <w:t xml:space="preserve">RPP </w:t>
      </w:r>
      <w:r>
        <w:rPr>
          <w:rFonts w:ascii="Arial" w:hAnsi="Arial" w:cs="Arial"/>
          <w:color w:val="002060"/>
          <w:sz w:val="24"/>
          <w:lang w:val="en-US"/>
        </w:rPr>
        <w:t xml:space="preserve">TOU </w:t>
      </w:r>
      <w:r w:rsidR="00D869C2">
        <w:rPr>
          <w:rFonts w:ascii="Arial" w:hAnsi="Arial" w:cs="Arial"/>
          <w:color w:val="002060"/>
          <w:sz w:val="24"/>
          <w:lang w:val="en-US"/>
        </w:rPr>
        <w:t>settlement.</w:t>
      </w:r>
    </w:p>
    <w:p w14:paraId="69E34C29" w14:textId="29B2FF46" w:rsidR="007519E8" w:rsidRDefault="007519E8" w:rsidP="00F139EC">
      <w:pPr>
        <w:pStyle w:val="ListParagraph"/>
        <w:spacing w:after="0" w:line="259" w:lineRule="auto"/>
        <w:ind w:firstLine="720"/>
        <w:rPr>
          <w:rFonts w:ascii="Arial" w:hAnsi="Arial" w:cs="Arial"/>
          <w:color w:val="002060"/>
          <w:sz w:val="24"/>
          <w:lang w:val="en-US"/>
        </w:rPr>
      </w:pPr>
    </w:p>
    <w:p w14:paraId="1B7F2CDC" w14:textId="3542D3AE" w:rsidR="00D869C2" w:rsidRPr="00D869C2" w:rsidRDefault="00D869C2" w:rsidP="007519E8">
      <w:pPr>
        <w:pStyle w:val="ListParagraph"/>
        <w:spacing w:after="0" w:line="259" w:lineRule="auto"/>
        <w:ind w:left="1440"/>
        <w:rPr>
          <w:rFonts w:ascii="Arial" w:hAnsi="Arial" w:cs="Arial"/>
          <w:color w:val="002060"/>
          <w:sz w:val="24"/>
          <w:lang w:val="en-US"/>
        </w:rPr>
      </w:pPr>
      <w:r w:rsidRPr="00D869C2">
        <w:rPr>
          <w:rFonts w:ascii="Arial" w:hAnsi="Arial" w:cs="Arial"/>
          <w:color w:val="002060"/>
          <w:sz w:val="24"/>
          <w:lang w:val="en-US"/>
        </w:rPr>
        <w:t>RPP TOU Settlement Monthly Reconciliation:</w:t>
      </w:r>
    </w:p>
    <w:p w14:paraId="3301E7B9" w14:textId="4C7C7848" w:rsidR="007519E8" w:rsidRPr="007519E8" w:rsidRDefault="007519E8" w:rsidP="007519E8">
      <w:pPr>
        <w:pStyle w:val="ListParagraph"/>
        <w:spacing w:after="0" w:line="259" w:lineRule="auto"/>
        <w:ind w:left="1440"/>
        <w:rPr>
          <w:rFonts w:ascii="Arial" w:hAnsi="Arial" w:cs="Arial"/>
          <w:color w:val="002060"/>
          <w:sz w:val="24"/>
          <w:lang w:val="en-US"/>
        </w:rPr>
      </w:pPr>
      <w:r w:rsidRPr="007519E8">
        <w:rPr>
          <w:rFonts w:ascii="Arial" w:hAnsi="Arial" w:cs="Arial"/>
          <w:color w:val="002060"/>
          <w:sz w:val="24"/>
          <w:lang w:val="en-US"/>
        </w:rPr>
        <w:t>Bottom up kWh approach using billing statistics – one-month delay in settlement with the IESO e.g. Jan-17 billed usage is settled on the Feb-17 Form 1598 workbook. Actual billed kWh multiplied by WAP plus final GA prices for the bill period is compared to the actual RPP amount billed. No correction or true up is generally required once billed usage is settled.</w:t>
      </w:r>
    </w:p>
    <w:p w14:paraId="6B23820D" w14:textId="77777777" w:rsidR="007519E8" w:rsidRPr="007519E8" w:rsidRDefault="007519E8" w:rsidP="007519E8">
      <w:pPr>
        <w:pStyle w:val="ListParagraph"/>
        <w:spacing w:after="0" w:line="259" w:lineRule="auto"/>
        <w:ind w:firstLine="720"/>
        <w:rPr>
          <w:rFonts w:ascii="Arial" w:hAnsi="Arial" w:cs="Arial"/>
          <w:color w:val="002060"/>
          <w:sz w:val="24"/>
          <w:lang w:val="en-US"/>
        </w:rPr>
      </w:pPr>
    </w:p>
    <w:p w14:paraId="4C412D1D" w14:textId="52DE7C38" w:rsidR="007519E8" w:rsidRPr="007519E8" w:rsidRDefault="007519E8" w:rsidP="007519E8">
      <w:pPr>
        <w:pStyle w:val="ListParagraph"/>
        <w:spacing w:after="0" w:line="259" w:lineRule="auto"/>
        <w:ind w:left="1440"/>
        <w:rPr>
          <w:rFonts w:ascii="Arial" w:hAnsi="Arial" w:cs="Arial"/>
          <w:color w:val="002060"/>
          <w:sz w:val="24"/>
          <w:lang w:val="en-US"/>
        </w:rPr>
      </w:pPr>
      <w:r w:rsidRPr="007519E8">
        <w:rPr>
          <w:rFonts w:ascii="Arial" w:hAnsi="Arial" w:cs="Arial"/>
          <w:color w:val="002060"/>
          <w:sz w:val="24"/>
          <w:lang w:val="en-US"/>
        </w:rPr>
        <w:t xml:space="preserve">RPP </w:t>
      </w:r>
      <w:r w:rsidR="00FF701B">
        <w:rPr>
          <w:rFonts w:ascii="Arial" w:hAnsi="Arial" w:cs="Arial"/>
          <w:color w:val="002060"/>
          <w:sz w:val="24"/>
          <w:lang w:val="en-US"/>
        </w:rPr>
        <w:t xml:space="preserve">TOU </w:t>
      </w:r>
      <w:r w:rsidRPr="007519E8">
        <w:rPr>
          <w:rFonts w:ascii="Arial" w:hAnsi="Arial" w:cs="Arial"/>
          <w:color w:val="002060"/>
          <w:sz w:val="24"/>
          <w:lang w:val="en-US"/>
        </w:rPr>
        <w:t>settlement is prepared on an accrual basis using the best estimate of unbilled kWh and 2nd estimate GA prices. The following month, actual billed usage is settled as described above and the accrued amounts are reversed.</w:t>
      </w:r>
    </w:p>
    <w:p w14:paraId="52F7F5EC" w14:textId="6B2695BC" w:rsidR="007519E8" w:rsidRDefault="007519E8" w:rsidP="00F139EC">
      <w:pPr>
        <w:pStyle w:val="ListParagraph"/>
        <w:spacing w:after="0" w:line="259" w:lineRule="auto"/>
        <w:ind w:firstLine="720"/>
        <w:rPr>
          <w:rFonts w:ascii="Arial" w:hAnsi="Arial" w:cs="Arial"/>
          <w:color w:val="002060"/>
          <w:sz w:val="24"/>
          <w:lang w:val="en-US"/>
        </w:rPr>
      </w:pPr>
    </w:p>
    <w:p w14:paraId="6EB4115B" w14:textId="621EA3FB" w:rsidR="00D869C2" w:rsidRDefault="00D869C2" w:rsidP="007519E8">
      <w:pPr>
        <w:pStyle w:val="ListParagraph"/>
        <w:spacing w:after="0" w:line="259" w:lineRule="auto"/>
        <w:ind w:left="1440"/>
        <w:rPr>
          <w:rFonts w:ascii="Arial" w:hAnsi="Arial" w:cs="Arial"/>
          <w:color w:val="002060"/>
          <w:sz w:val="24"/>
          <w:lang w:val="en-US"/>
        </w:rPr>
      </w:pPr>
      <w:r>
        <w:rPr>
          <w:rFonts w:ascii="Arial" w:hAnsi="Arial" w:cs="Arial"/>
          <w:color w:val="002060"/>
          <w:sz w:val="24"/>
          <w:lang w:val="en-US"/>
        </w:rPr>
        <w:t xml:space="preserve">RPP TOU Settlement </w:t>
      </w:r>
      <w:r w:rsidRPr="00D869C2">
        <w:rPr>
          <w:rFonts w:ascii="Arial" w:hAnsi="Arial" w:cs="Arial"/>
          <w:color w:val="002060"/>
          <w:sz w:val="24"/>
          <w:lang w:val="en-US"/>
        </w:rPr>
        <w:t>Monthly Reconciliation:</w:t>
      </w:r>
    </w:p>
    <w:p w14:paraId="5031C157" w14:textId="62C9DBB6" w:rsidR="007519E8" w:rsidRPr="00D869C2" w:rsidRDefault="007519E8" w:rsidP="00D869C2">
      <w:pPr>
        <w:pStyle w:val="ListParagraph"/>
        <w:spacing w:after="0" w:line="259" w:lineRule="auto"/>
        <w:ind w:left="1440"/>
        <w:rPr>
          <w:rFonts w:ascii="Arial" w:hAnsi="Arial" w:cs="Arial"/>
          <w:color w:val="002060"/>
          <w:sz w:val="24"/>
          <w:lang w:val="en-US"/>
        </w:rPr>
      </w:pPr>
      <w:r w:rsidRPr="007519E8">
        <w:rPr>
          <w:rFonts w:ascii="Arial" w:hAnsi="Arial" w:cs="Arial"/>
          <w:color w:val="002060"/>
          <w:sz w:val="24"/>
          <w:lang w:val="en-US"/>
        </w:rPr>
        <w:t xml:space="preserve">Top down kWh approach – captures all kWh purchased including embedded generation delivered, reduced by non-designated non-interval usage, interval usage, RPP TOU usage, adjusted for unaccounted energy </w:t>
      </w:r>
      <w:r w:rsidR="00FF701B">
        <w:rPr>
          <w:rFonts w:ascii="Arial" w:hAnsi="Arial" w:cs="Arial"/>
          <w:color w:val="002060"/>
          <w:sz w:val="24"/>
          <w:lang w:val="en-US"/>
        </w:rPr>
        <w:t>if material</w:t>
      </w:r>
      <w:r w:rsidRPr="007519E8">
        <w:rPr>
          <w:rFonts w:ascii="Arial" w:hAnsi="Arial" w:cs="Arial"/>
          <w:color w:val="002060"/>
          <w:sz w:val="24"/>
          <w:lang w:val="en-US"/>
        </w:rPr>
        <w:t xml:space="preserve">. </w:t>
      </w:r>
      <w:r w:rsidRPr="00D869C2">
        <w:rPr>
          <w:rFonts w:ascii="Arial" w:hAnsi="Arial" w:cs="Arial"/>
          <w:color w:val="002060"/>
          <w:sz w:val="24"/>
          <w:lang w:val="en-US"/>
        </w:rPr>
        <w:t xml:space="preserve">Designated interval usage is included in this reconciliation. </w:t>
      </w:r>
    </w:p>
    <w:p w14:paraId="1FD2FB5A" w14:textId="77777777" w:rsidR="007519E8" w:rsidRPr="007519E8" w:rsidRDefault="007519E8" w:rsidP="007519E8">
      <w:pPr>
        <w:pStyle w:val="ListParagraph"/>
        <w:spacing w:after="0" w:line="259" w:lineRule="auto"/>
        <w:ind w:left="1440"/>
        <w:rPr>
          <w:rFonts w:ascii="Arial" w:hAnsi="Arial" w:cs="Arial"/>
          <w:color w:val="002060"/>
          <w:sz w:val="24"/>
          <w:lang w:val="en-US"/>
        </w:rPr>
      </w:pPr>
    </w:p>
    <w:p w14:paraId="3F75813A" w14:textId="662262E2" w:rsidR="00145A2B" w:rsidRPr="00FF701B" w:rsidRDefault="007519E8" w:rsidP="00FF701B">
      <w:pPr>
        <w:pStyle w:val="ListParagraph"/>
        <w:spacing w:after="0" w:line="259" w:lineRule="auto"/>
        <w:ind w:left="1440"/>
        <w:rPr>
          <w:rFonts w:ascii="Arial" w:hAnsi="Arial" w:cs="Arial"/>
          <w:color w:val="002060"/>
          <w:sz w:val="24"/>
          <w:lang w:val="en-US"/>
        </w:rPr>
      </w:pPr>
      <w:r w:rsidRPr="007519E8">
        <w:rPr>
          <w:rFonts w:ascii="Arial" w:hAnsi="Arial" w:cs="Arial"/>
          <w:color w:val="002060"/>
          <w:sz w:val="24"/>
          <w:lang w:val="en-US"/>
        </w:rPr>
        <w:t xml:space="preserve">This method involves several estimates based on unbilled data (previous month billed data, if unbilled is not available) in the initial claim.  Estimates used are updated as actual billing data becomes available. </w:t>
      </w:r>
      <w:r w:rsidR="00FF701B">
        <w:rPr>
          <w:rFonts w:ascii="Arial" w:hAnsi="Arial" w:cs="Arial"/>
          <w:color w:val="002060"/>
          <w:sz w:val="24"/>
          <w:lang w:val="en-US"/>
        </w:rPr>
        <w:t>Th</w:t>
      </w:r>
      <w:r w:rsidR="00736B24">
        <w:rPr>
          <w:rFonts w:ascii="Arial" w:hAnsi="Arial" w:cs="Arial"/>
          <w:color w:val="002060"/>
          <w:sz w:val="24"/>
          <w:lang w:val="en-US"/>
        </w:rPr>
        <w:t>e</w:t>
      </w:r>
      <w:r w:rsidR="00FF701B">
        <w:rPr>
          <w:rFonts w:ascii="Arial" w:hAnsi="Arial" w:cs="Arial"/>
          <w:color w:val="002060"/>
          <w:sz w:val="24"/>
          <w:lang w:val="en-US"/>
        </w:rPr>
        <w:t xml:space="preserve"> </w:t>
      </w:r>
      <w:r w:rsidR="00736B24">
        <w:rPr>
          <w:rFonts w:ascii="Arial" w:hAnsi="Arial" w:cs="Arial"/>
          <w:color w:val="002060"/>
          <w:sz w:val="24"/>
          <w:lang w:val="en-US"/>
        </w:rPr>
        <w:t>t</w:t>
      </w:r>
      <w:r w:rsidR="00FF701B">
        <w:rPr>
          <w:rFonts w:ascii="Arial" w:hAnsi="Arial" w:cs="Arial"/>
          <w:color w:val="002060"/>
          <w:sz w:val="24"/>
          <w:lang w:val="en-US"/>
        </w:rPr>
        <w:t>rue-up</w:t>
      </w:r>
      <w:r w:rsidRPr="007519E8">
        <w:rPr>
          <w:rFonts w:ascii="Arial" w:hAnsi="Arial" w:cs="Arial"/>
          <w:color w:val="002060"/>
          <w:sz w:val="24"/>
          <w:lang w:val="en-US"/>
        </w:rPr>
        <w:t xml:space="preserve"> is </w:t>
      </w:r>
      <w:r w:rsidR="00736B24">
        <w:rPr>
          <w:rFonts w:ascii="Arial" w:hAnsi="Arial" w:cs="Arial"/>
          <w:color w:val="002060"/>
          <w:sz w:val="24"/>
          <w:lang w:val="en-US"/>
        </w:rPr>
        <w:t xml:space="preserve">usually </w:t>
      </w:r>
      <w:r w:rsidRPr="007519E8">
        <w:rPr>
          <w:rFonts w:ascii="Arial" w:hAnsi="Arial" w:cs="Arial"/>
          <w:color w:val="002060"/>
          <w:sz w:val="24"/>
          <w:lang w:val="en-US"/>
        </w:rPr>
        <w:t xml:space="preserve">completed </w:t>
      </w:r>
      <w:r w:rsidR="00736B24">
        <w:rPr>
          <w:rFonts w:ascii="Arial" w:hAnsi="Arial" w:cs="Arial"/>
          <w:color w:val="002060"/>
          <w:sz w:val="24"/>
          <w:lang w:val="en-US"/>
        </w:rPr>
        <w:t xml:space="preserve">the following month, always </w:t>
      </w:r>
      <w:r w:rsidRPr="007519E8">
        <w:rPr>
          <w:rFonts w:ascii="Arial" w:hAnsi="Arial" w:cs="Arial"/>
          <w:color w:val="002060"/>
          <w:sz w:val="24"/>
          <w:lang w:val="en-US"/>
        </w:rPr>
        <w:t xml:space="preserve">within 3 months of the claim month. True-up amounts, if </w:t>
      </w:r>
      <w:r w:rsidR="00FF701B">
        <w:rPr>
          <w:rFonts w:ascii="Arial" w:hAnsi="Arial" w:cs="Arial"/>
          <w:color w:val="002060"/>
          <w:sz w:val="24"/>
          <w:lang w:val="en-US"/>
        </w:rPr>
        <w:t>required</w:t>
      </w:r>
      <w:r w:rsidRPr="007519E8">
        <w:rPr>
          <w:rFonts w:ascii="Arial" w:hAnsi="Arial" w:cs="Arial"/>
          <w:color w:val="002060"/>
          <w:sz w:val="24"/>
          <w:lang w:val="en-US"/>
        </w:rPr>
        <w:t>, are included in the following claim month.</w:t>
      </w:r>
      <w:bookmarkStart w:id="0" w:name="_GoBack"/>
      <w:bookmarkEnd w:id="0"/>
    </w:p>
    <w:sectPr w:rsidR="00145A2B" w:rsidRPr="00FF701B"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CFAB3" w14:textId="77777777" w:rsidR="007519E8" w:rsidRDefault="007519E8" w:rsidP="00851418">
      <w:pPr>
        <w:spacing w:after="0" w:line="240" w:lineRule="auto"/>
      </w:pPr>
      <w:r>
        <w:separator/>
      </w:r>
    </w:p>
  </w:endnote>
  <w:endnote w:type="continuationSeparator" w:id="0">
    <w:p w14:paraId="2EA2F630" w14:textId="77777777" w:rsidR="007519E8" w:rsidRDefault="007519E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603130"/>
      <w:docPartObj>
        <w:docPartGallery w:val="Page Numbers (Bottom of Page)"/>
        <w:docPartUnique/>
      </w:docPartObj>
    </w:sdtPr>
    <w:sdtEndPr>
      <w:rPr>
        <w:noProof/>
      </w:rPr>
    </w:sdtEndPr>
    <w:sdtContent>
      <w:p w14:paraId="513084CF" w14:textId="62F5C530" w:rsidR="007519E8" w:rsidRDefault="007519E8">
        <w:pPr>
          <w:pStyle w:val="Footer"/>
          <w:jc w:val="center"/>
        </w:pPr>
        <w:r>
          <w:fldChar w:fldCharType="begin"/>
        </w:r>
        <w:r>
          <w:instrText xml:space="preserve"> PAGE   \* MERGEFORMAT </w:instrText>
        </w:r>
        <w:r>
          <w:fldChar w:fldCharType="separate"/>
        </w:r>
        <w:r w:rsidR="00D27AEB">
          <w:rPr>
            <w:noProof/>
          </w:rPr>
          <w:t>6</w:t>
        </w:r>
        <w:r>
          <w:rPr>
            <w:noProof/>
          </w:rPr>
          <w:fldChar w:fldCharType="end"/>
        </w:r>
      </w:p>
    </w:sdtContent>
  </w:sdt>
  <w:p w14:paraId="4D63D6C9" w14:textId="77777777" w:rsidR="007519E8" w:rsidRDefault="0075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5320" w14:textId="77777777" w:rsidR="007519E8" w:rsidRDefault="007519E8" w:rsidP="00851418">
      <w:pPr>
        <w:spacing w:after="0" w:line="240" w:lineRule="auto"/>
      </w:pPr>
      <w:r>
        <w:separator/>
      </w:r>
    </w:p>
  </w:footnote>
  <w:footnote w:type="continuationSeparator" w:id="0">
    <w:p w14:paraId="0CD88EF3" w14:textId="77777777" w:rsidR="007519E8" w:rsidRDefault="007519E8" w:rsidP="00851418">
      <w:pPr>
        <w:spacing w:after="0" w:line="240" w:lineRule="auto"/>
      </w:pPr>
      <w:r>
        <w:continuationSeparator/>
      </w:r>
    </w:p>
  </w:footnote>
  <w:footnote w:id="1">
    <w:p w14:paraId="374B514C" w14:textId="039C3A2E" w:rsidR="007519E8" w:rsidRDefault="007519E8">
      <w:pPr>
        <w:pStyle w:val="FootnoteText"/>
      </w:pPr>
      <w:r>
        <w:rPr>
          <w:rStyle w:val="FootnoteReference"/>
        </w:rPr>
        <w:footnoteRef/>
      </w:r>
      <w:r>
        <w:t xml:space="preserve"> </w:t>
      </w:r>
      <w:r w:rsidRPr="00535381">
        <w:t xml:space="preserve">Orillia_APPL_2017 </w:t>
      </w:r>
      <w:proofErr w:type="spellStart"/>
      <w:r w:rsidRPr="00535381">
        <w:t>IRM_Revised</w:t>
      </w:r>
      <w:proofErr w:type="spellEnd"/>
      <w:r w:rsidRPr="00535381">
        <w:t xml:space="preserve"> Manager Summary_20161114</w:t>
      </w:r>
      <w:r>
        <w:t xml:space="preserve">, page 14, paragraph 3. </w:t>
      </w:r>
    </w:p>
  </w:footnote>
  <w:footnote w:id="2">
    <w:p w14:paraId="456F8943" w14:textId="02F2F9DF" w:rsidR="007519E8" w:rsidRPr="00425CF6" w:rsidRDefault="007519E8">
      <w:pPr>
        <w:pStyle w:val="FootnoteText"/>
        <w:rPr>
          <w:lang w:val="en-US"/>
        </w:rPr>
      </w:pPr>
      <w:r>
        <w:rPr>
          <w:rStyle w:val="FootnoteReference"/>
        </w:rPr>
        <w:footnoteRef/>
      </w:r>
      <w:r>
        <w:t xml:space="preserve"> </w:t>
      </w:r>
      <w:r>
        <w:rPr>
          <w:lang w:val="en-US"/>
        </w:rPr>
        <w:t xml:space="preserve">Note, the following in all references in OEB Staff questions relating to amounts booked to account 1588. Amounts are not booked directly to account </w:t>
      </w:r>
      <w:proofErr w:type="spellStart"/>
      <w:r>
        <w:rPr>
          <w:lang w:val="en-US"/>
        </w:rPr>
        <w:t>USoA</w:t>
      </w:r>
      <w:proofErr w:type="spellEnd"/>
      <w:r>
        <w:rPr>
          <w:lang w:val="en-US"/>
        </w:rPr>
        <w:t xml:space="preserve"> 1588 relating to power purchase and sale transactions, but are rather booked to the cost of power </w:t>
      </w:r>
      <w:proofErr w:type="spellStart"/>
      <w:r>
        <w:rPr>
          <w:lang w:val="en-US"/>
        </w:rPr>
        <w:t>USoA</w:t>
      </w:r>
      <w:proofErr w:type="spellEnd"/>
      <w:r>
        <w:rPr>
          <w:lang w:val="en-US"/>
        </w:rPr>
        <w:t xml:space="preserve"> </w:t>
      </w:r>
      <w:r w:rsidRPr="00AD18B6">
        <w:rPr>
          <w:lang w:val="en-US"/>
        </w:rPr>
        <w:t>4705 Power Purchased</w:t>
      </w:r>
      <w:r>
        <w:rPr>
          <w:lang w:val="en-US"/>
        </w:rPr>
        <w:t>. However, account 1588 is impacted the same way as accounts 4705 is for cost of power transactions, and the same way as the Energy Sales accounts are for revenue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3D1F" w14:textId="77777777" w:rsidR="007519E8" w:rsidRDefault="007519E8">
    <w:pPr>
      <w:pStyle w:val="Header"/>
    </w:pPr>
    <w:r>
      <w:ptab w:relativeTo="margin" w:alignment="center" w:leader="none"/>
    </w:r>
    <w:r>
      <w:ptab w:relativeTo="margin" w:alignment="right" w:leader="none"/>
    </w:r>
    <w:r>
      <w:t>Orillia Power Distribution Corporation</w:t>
    </w:r>
  </w:p>
  <w:p w14:paraId="3B85C5EC" w14:textId="77777777" w:rsidR="007519E8" w:rsidRDefault="007519E8">
    <w:pPr>
      <w:pStyle w:val="Header"/>
    </w:pPr>
    <w:r>
      <w:tab/>
    </w:r>
    <w:r>
      <w:tab/>
      <w:t>EB-2017-0264</w:t>
    </w:r>
  </w:p>
  <w:p w14:paraId="1606CBA6" w14:textId="77777777" w:rsidR="007519E8" w:rsidRDefault="007519E8" w:rsidP="0029152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B00DFA"/>
    <w:multiLevelType w:val="hybridMultilevel"/>
    <w:tmpl w:val="EA345C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E32CBD"/>
    <w:multiLevelType w:val="hybridMultilevel"/>
    <w:tmpl w:val="553A11B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A20630"/>
    <w:multiLevelType w:val="hybridMultilevel"/>
    <w:tmpl w:val="21146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3"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8"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9"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4"/>
  </w:num>
  <w:num w:numId="2">
    <w:abstractNumId w:val="9"/>
  </w:num>
  <w:num w:numId="3">
    <w:abstractNumId w:val="15"/>
  </w:num>
  <w:num w:numId="4">
    <w:abstractNumId w:val="11"/>
  </w:num>
  <w:num w:numId="5">
    <w:abstractNumId w:val="13"/>
  </w:num>
  <w:num w:numId="6">
    <w:abstractNumId w:val="20"/>
  </w:num>
  <w:num w:numId="7">
    <w:abstractNumId w:val="26"/>
  </w:num>
  <w:num w:numId="8">
    <w:abstractNumId w:val="30"/>
  </w:num>
  <w:num w:numId="9">
    <w:abstractNumId w:val="5"/>
  </w:num>
  <w:num w:numId="10">
    <w:abstractNumId w:val="0"/>
  </w:num>
  <w:num w:numId="11">
    <w:abstractNumId w:val="23"/>
  </w:num>
  <w:num w:numId="12">
    <w:abstractNumId w:val="17"/>
  </w:num>
  <w:num w:numId="13">
    <w:abstractNumId w:val="32"/>
  </w:num>
  <w:num w:numId="14">
    <w:abstractNumId w:val="6"/>
  </w:num>
  <w:num w:numId="15">
    <w:abstractNumId w:val="27"/>
  </w:num>
  <w:num w:numId="16">
    <w:abstractNumId w:val="1"/>
  </w:num>
  <w:num w:numId="17">
    <w:abstractNumId w:val="19"/>
  </w:num>
  <w:num w:numId="18">
    <w:abstractNumId w:val="2"/>
  </w:num>
  <w:num w:numId="19">
    <w:abstractNumId w:val="22"/>
  </w:num>
  <w:num w:numId="20">
    <w:abstractNumId w:val="28"/>
  </w:num>
  <w:num w:numId="21">
    <w:abstractNumId w:val="10"/>
  </w:num>
  <w:num w:numId="22">
    <w:abstractNumId w:val="3"/>
  </w:num>
  <w:num w:numId="23">
    <w:abstractNumId w:val="3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num>
  <w:num w:numId="27">
    <w:abstractNumId w:val="25"/>
  </w:num>
  <w:num w:numId="28">
    <w:abstractNumId w:val="36"/>
  </w:num>
  <w:num w:numId="29">
    <w:abstractNumId w:val="8"/>
  </w:num>
  <w:num w:numId="30">
    <w:abstractNumId w:val="21"/>
  </w:num>
  <w:num w:numId="31">
    <w:abstractNumId w:val="24"/>
  </w:num>
  <w:num w:numId="32">
    <w:abstractNumId w:val="35"/>
  </w:num>
  <w:num w:numId="33">
    <w:abstractNumId w:val="31"/>
  </w:num>
  <w:num w:numId="34">
    <w:abstractNumId w:val="16"/>
  </w:num>
  <w:num w:numId="35">
    <w:abstractNumId w:val="12"/>
  </w:num>
  <w:num w:numId="36">
    <w:abstractNumId w:val="14"/>
  </w:num>
  <w:num w:numId="37">
    <w:abstractNumId w:val="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F8"/>
    <w:rsid w:val="0000009A"/>
    <w:rsid w:val="00003BE1"/>
    <w:rsid w:val="00007794"/>
    <w:rsid w:val="0001354E"/>
    <w:rsid w:val="00041482"/>
    <w:rsid w:val="000414BC"/>
    <w:rsid w:val="00041BBD"/>
    <w:rsid w:val="00070ABA"/>
    <w:rsid w:val="000843ED"/>
    <w:rsid w:val="000A0898"/>
    <w:rsid w:val="000C035C"/>
    <w:rsid w:val="000D2EAF"/>
    <w:rsid w:val="000E1373"/>
    <w:rsid w:val="000E4C7B"/>
    <w:rsid w:val="00112D88"/>
    <w:rsid w:val="00117176"/>
    <w:rsid w:val="00121EEB"/>
    <w:rsid w:val="0013576D"/>
    <w:rsid w:val="00145A2B"/>
    <w:rsid w:val="00146770"/>
    <w:rsid w:val="00150BE5"/>
    <w:rsid w:val="00153A81"/>
    <w:rsid w:val="00155FAC"/>
    <w:rsid w:val="001563E4"/>
    <w:rsid w:val="0016286E"/>
    <w:rsid w:val="00163BCB"/>
    <w:rsid w:val="00171C5D"/>
    <w:rsid w:val="00187153"/>
    <w:rsid w:val="001A7E57"/>
    <w:rsid w:val="001B1072"/>
    <w:rsid w:val="001B1BA8"/>
    <w:rsid w:val="001B2AD3"/>
    <w:rsid w:val="001B49C0"/>
    <w:rsid w:val="001C194E"/>
    <w:rsid w:val="001C7CA4"/>
    <w:rsid w:val="001D39B8"/>
    <w:rsid w:val="001D7086"/>
    <w:rsid w:val="001E069B"/>
    <w:rsid w:val="001E179B"/>
    <w:rsid w:val="001E7B41"/>
    <w:rsid w:val="001F0108"/>
    <w:rsid w:val="00204A40"/>
    <w:rsid w:val="0023076C"/>
    <w:rsid w:val="002363C3"/>
    <w:rsid w:val="00267C9E"/>
    <w:rsid w:val="0029152A"/>
    <w:rsid w:val="00293086"/>
    <w:rsid w:val="002A72E9"/>
    <w:rsid w:val="002B0F06"/>
    <w:rsid w:val="002B2DB7"/>
    <w:rsid w:val="002B6483"/>
    <w:rsid w:val="002B7C64"/>
    <w:rsid w:val="002D2F55"/>
    <w:rsid w:val="002F5776"/>
    <w:rsid w:val="00303671"/>
    <w:rsid w:val="00304228"/>
    <w:rsid w:val="00311A10"/>
    <w:rsid w:val="00323BCB"/>
    <w:rsid w:val="0032442F"/>
    <w:rsid w:val="003252C9"/>
    <w:rsid w:val="00347AE0"/>
    <w:rsid w:val="0035397C"/>
    <w:rsid w:val="00354A5F"/>
    <w:rsid w:val="00367234"/>
    <w:rsid w:val="00370D5B"/>
    <w:rsid w:val="0037285F"/>
    <w:rsid w:val="00377FC5"/>
    <w:rsid w:val="0038151A"/>
    <w:rsid w:val="003856F8"/>
    <w:rsid w:val="00391A65"/>
    <w:rsid w:val="00394351"/>
    <w:rsid w:val="00394F26"/>
    <w:rsid w:val="0039687D"/>
    <w:rsid w:val="003A7960"/>
    <w:rsid w:val="003E076C"/>
    <w:rsid w:val="003E7D1C"/>
    <w:rsid w:val="003F7D01"/>
    <w:rsid w:val="00400A66"/>
    <w:rsid w:val="00412DC6"/>
    <w:rsid w:val="0042550C"/>
    <w:rsid w:val="00425CF6"/>
    <w:rsid w:val="00464D00"/>
    <w:rsid w:val="00471B90"/>
    <w:rsid w:val="0047404F"/>
    <w:rsid w:val="00475126"/>
    <w:rsid w:val="00483DB5"/>
    <w:rsid w:val="004A5F89"/>
    <w:rsid w:val="004C1F32"/>
    <w:rsid w:val="004C547C"/>
    <w:rsid w:val="004D46E0"/>
    <w:rsid w:val="004E6E99"/>
    <w:rsid w:val="00511282"/>
    <w:rsid w:val="005117CF"/>
    <w:rsid w:val="00513825"/>
    <w:rsid w:val="00515DDA"/>
    <w:rsid w:val="005216D6"/>
    <w:rsid w:val="00535381"/>
    <w:rsid w:val="0054418E"/>
    <w:rsid w:val="00544DA0"/>
    <w:rsid w:val="00546BA2"/>
    <w:rsid w:val="00553935"/>
    <w:rsid w:val="00566B46"/>
    <w:rsid w:val="00576217"/>
    <w:rsid w:val="00585122"/>
    <w:rsid w:val="005B0481"/>
    <w:rsid w:val="005B1BA0"/>
    <w:rsid w:val="005B4C39"/>
    <w:rsid w:val="005C5C6B"/>
    <w:rsid w:val="005D057A"/>
    <w:rsid w:val="00601C3B"/>
    <w:rsid w:val="006027D1"/>
    <w:rsid w:val="0060662D"/>
    <w:rsid w:val="006125B7"/>
    <w:rsid w:val="0061770F"/>
    <w:rsid w:val="00634992"/>
    <w:rsid w:val="006546FF"/>
    <w:rsid w:val="006561C4"/>
    <w:rsid w:val="006604B5"/>
    <w:rsid w:val="00660DFE"/>
    <w:rsid w:val="00667906"/>
    <w:rsid w:val="006762DD"/>
    <w:rsid w:val="0069057C"/>
    <w:rsid w:val="00691C29"/>
    <w:rsid w:val="00692FC5"/>
    <w:rsid w:val="006A6B6B"/>
    <w:rsid w:val="006B6E93"/>
    <w:rsid w:val="006D0E16"/>
    <w:rsid w:val="006D17C1"/>
    <w:rsid w:val="006F0843"/>
    <w:rsid w:val="006F26F5"/>
    <w:rsid w:val="006F5818"/>
    <w:rsid w:val="00736119"/>
    <w:rsid w:val="00736B24"/>
    <w:rsid w:val="00746080"/>
    <w:rsid w:val="00746814"/>
    <w:rsid w:val="007519E8"/>
    <w:rsid w:val="00776FED"/>
    <w:rsid w:val="00782C54"/>
    <w:rsid w:val="00796151"/>
    <w:rsid w:val="007A377A"/>
    <w:rsid w:val="007C494E"/>
    <w:rsid w:val="007D0071"/>
    <w:rsid w:val="007F0B57"/>
    <w:rsid w:val="00806D93"/>
    <w:rsid w:val="008122B1"/>
    <w:rsid w:val="008147CB"/>
    <w:rsid w:val="00821A72"/>
    <w:rsid w:val="00832A00"/>
    <w:rsid w:val="00834E7C"/>
    <w:rsid w:val="00850053"/>
    <w:rsid w:val="00851418"/>
    <w:rsid w:val="008539D9"/>
    <w:rsid w:val="0087639C"/>
    <w:rsid w:val="00876E3C"/>
    <w:rsid w:val="0088718D"/>
    <w:rsid w:val="008A249D"/>
    <w:rsid w:val="008A5D3A"/>
    <w:rsid w:val="008B1750"/>
    <w:rsid w:val="008B334C"/>
    <w:rsid w:val="008C3942"/>
    <w:rsid w:val="008C74E3"/>
    <w:rsid w:val="008C792E"/>
    <w:rsid w:val="008D6A89"/>
    <w:rsid w:val="008F688C"/>
    <w:rsid w:val="008F73E8"/>
    <w:rsid w:val="009000ED"/>
    <w:rsid w:val="00913698"/>
    <w:rsid w:val="00937121"/>
    <w:rsid w:val="009545D3"/>
    <w:rsid w:val="00957B1E"/>
    <w:rsid w:val="009643D1"/>
    <w:rsid w:val="00983A06"/>
    <w:rsid w:val="009A4440"/>
    <w:rsid w:val="009D5143"/>
    <w:rsid w:val="009E1379"/>
    <w:rsid w:val="00A102CC"/>
    <w:rsid w:val="00A17A34"/>
    <w:rsid w:val="00A5022A"/>
    <w:rsid w:val="00A56508"/>
    <w:rsid w:val="00A700A8"/>
    <w:rsid w:val="00A704BA"/>
    <w:rsid w:val="00A72296"/>
    <w:rsid w:val="00AA06D9"/>
    <w:rsid w:val="00AB468B"/>
    <w:rsid w:val="00AB7081"/>
    <w:rsid w:val="00AF0D73"/>
    <w:rsid w:val="00AF288A"/>
    <w:rsid w:val="00B076A5"/>
    <w:rsid w:val="00B116F6"/>
    <w:rsid w:val="00B20109"/>
    <w:rsid w:val="00B247C1"/>
    <w:rsid w:val="00B25576"/>
    <w:rsid w:val="00B314F3"/>
    <w:rsid w:val="00B62DB8"/>
    <w:rsid w:val="00B76EA7"/>
    <w:rsid w:val="00B922C2"/>
    <w:rsid w:val="00BA5E6A"/>
    <w:rsid w:val="00BB1511"/>
    <w:rsid w:val="00BC07A7"/>
    <w:rsid w:val="00BC1A68"/>
    <w:rsid w:val="00BD4512"/>
    <w:rsid w:val="00BE1A92"/>
    <w:rsid w:val="00BE42F2"/>
    <w:rsid w:val="00C23F96"/>
    <w:rsid w:val="00C5100D"/>
    <w:rsid w:val="00C63C8D"/>
    <w:rsid w:val="00C818E2"/>
    <w:rsid w:val="00C911F9"/>
    <w:rsid w:val="00C926DF"/>
    <w:rsid w:val="00CA0B82"/>
    <w:rsid w:val="00CB168B"/>
    <w:rsid w:val="00CB66C7"/>
    <w:rsid w:val="00CC096F"/>
    <w:rsid w:val="00CC447E"/>
    <w:rsid w:val="00CC6D11"/>
    <w:rsid w:val="00CE062C"/>
    <w:rsid w:val="00CE71EC"/>
    <w:rsid w:val="00CF0F7C"/>
    <w:rsid w:val="00D02D7F"/>
    <w:rsid w:val="00D0773D"/>
    <w:rsid w:val="00D21A42"/>
    <w:rsid w:val="00D27AEB"/>
    <w:rsid w:val="00D36BBE"/>
    <w:rsid w:val="00D5062F"/>
    <w:rsid w:val="00D55F43"/>
    <w:rsid w:val="00D56A27"/>
    <w:rsid w:val="00D61816"/>
    <w:rsid w:val="00D621FC"/>
    <w:rsid w:val="00D85379"/>
    <w:rsid w:val="00D869C2"/>
    <w:rsid w:val="00D872A3"/>
    <w:rsid w:val="00D91B73"/>
    <w:rsid w:val="00D958A6"/>
    <w:rsid w:val="00D95CAA"/>
    <w:rsid w:val="00D95F3E"/>
    <w:rsid w:val="00D974D5"/>
    <w:rsid w:val="00D975C5"/>
    <w:rsid w:val="00DA09D0"/>
    <w:rsid w:val="00DA14AA"/>
    <w:rsid w:val="00DA2484"/>
    <w:rsid w:val="00DB0281"/>
    <w:rsid w:val="00DB7032"/>
    <w:rsid w:val="00DC3F8F"/>
    <w:rsid w:val="00DD09DC"/>
    <w:rsid w:val="00DD1405"/>
    <w:rsid w:val="00DD3DE1"/>
    <w:rsid w:val="00DD749A"/>
    <w:rsid w:val="00DF6932"/>
    <w:rsid w:val="00E12988"/>
    <w:rsid w:val="00E23ECF"/>
    <w:rsid w:val="00E261A1"/>
    <w:rsid w:val="00E2683A"/>
    <w:rsid w:val="00E3191C"/>
    <w:rsid w:val="00E336E4"/>
    <w:rsid w:val="00E36950"/>
    <w:rsid w:val="00E45775"/>
    <w:rsid w:val="00E63408"/>
    <w:rsid w:val="00E6651E"/>
    <w:rsid w:val="00E67CA8"/>
    <w:rsid w:val="00E70B6A"/>
    <w:rsid w:val="00E7523D"/>
    <w:rsid w:val="00E8235A"/>
    <w:rsid w:val="00E93284"/>
    <w:rsid w:val="00E9387D"/>
    <w:rsid w:val="00EA0919"/>
    <w:rsid w:val="00EA76B0"/>
    <w:rsid w:val="00EB4127"/>
    <w:rsid w:val="00EB4E97"/>
    <w:rsid w:val="00EB68C4"/>
    <w:rsid w:val="00EB769D"/>
    <w:rsid w:val="00EC0C97"/>
    <w:rsid w:val="00EC1DD6"/>
    <w:rsid w:val="00EC26AE"/>
    <w:rsid w:val="00EE2A00"/>
    <w:rsid w:val="00EE450C"/>
    <w:rsid w:val="00EF3FB9"/>
    <w:rsid w:val="00F139EC"/>
    <w:rsid w:val="00F213C1"/>
    <w:rsid w:val="00F27A5F"/>
    <w:rsid w:val="00F32DE2"/>
    <w:rsid w:val="00F4375E"/>
    <w:rsid w:val="00F452D5"/>
    <w:rsid w:val="00F458D7"/>
    <w:rsid w:val="00F576BF"/>
    <w:rsid w:val="00F72F89"/>
    <w:rsid w:val="00F9113C"/>
    <w:rsid w:val="00F92F12"/>
    <w:rsid w:val="00FA36C2"/>
    <w:rsid w:val="00FB3A11"/>
    <w:rsid w:val="00FD3C08"/>
    <w:rsid w:val="00FD41FB"/>
    <w:rsid w:val="00FD5EDC"/>
    <w:rsid w:val="00FD66F6"/>
    <w:rsid w:val="00FE1886"/>
    <w:rsid w:val="00FE4EF0"/>
    <w:rsid w:val="00FF70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66B077"/>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CA8"/>
    <w:rPr>
      <w:sz w:val="16"/>
      <w:szCs w:val="16"/>
    </w:rPr>
  </w:style>
  <w:style w:type="paragraph" w:styleId="CommentText">
    <w:name w:val="annotation text"/>
    <w:basedOn w:val="Normal"/>
    <w:link w:val="CommentTextChar"/>
    <w:uiPriority w:val="99"/>
    <w:semiHidden/>
    <w:unhideWhenUsed/>
    <w:rsid w:val="00E67CA8"/>
    <w:pPr>
      <w:spacing w:line="240" w:lineRule="auto"/>
    </w:pPr>
    <w:rPr>
      <w:sz w:val="20"/>
      <w:szCs w:val="20"/>
    </w:rPr>
  </w:style>
  <w:style w:type="character" w:customStyle="1" w:styleId="CommentTextChar">
    <w:name w:val="Comment Text Char"/>
    <w:basedOn w:val="DefaultParagraphFont"/>
    <w:link w:val="CommentText"/>
    <w:uiPriority w:val="99"/>
    <w:semiHidden/>
    <w:rsid w:val="00E67CA8"/>
    <w:rPr>
      <w:sz w:val="20"/>
      <w:szCs w:val="20"/>
    </w:rPr>
  </w:style>
  <w:style w:type="paragraph" w:styleId="CommentSubject">
    <w:name w:val="annotation subject"/>
    <w:basedOn w:val="CommentText"/>
    <w:next w:val="CommentText"/>
    <w:link w:val="CommentSubjectChar"/>
    <w:uiPriority w:val="99"/>
    <w:semiHidden/>
    <w:unhideWhenUsed/>
    <w:rsid w:val="00E67CA8"/>
    <w:rPr>
      <w:b/>
      <w:bCs/>
    </w:rPr>
  </w:style>
  <w:style w:type="character" w:customStyle="1" w:styleId="CommentSubjectChar">
    <w:name w:val="Comment Subject Char"/>
    <w:basedOn w:val="CommentTextChar"/>
    <w:link w:val="CommentSubject"/>
    <w:uiPriority w:val="99"/>
    <w:semiHidden/>
    <w:rsid w:val="00E67CA8"/>
    <w:rPr>
      <w:b/>
      <w:bCs/>
      <w:sz w:val="20"/>
      <w:szCs w:val="20"/>
    </w:rPr>
  </w:style>
  <w:style w:type="paragraph" w:styleId="FootnoteText">
    <w:name w:val="footnote text"/>
    <w:basedOn w:val="Normal"/>
    <w:link w:val="FootnoteTextChar"/>
    <w:uiPriority w:val="99"/>
    <w:semiHidden/>
    <w:unhideWhenUsed/>
    <w:rsid w:val="00425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CF6"/>
    <w:rPr>
      <w:sz w:val="20"/>
      <w:szCs w:val="20"/>
    </w:rPr>
  </w:style>
  <w:style w:type="character" w:styleId="FootnoteReference">
    <w:name w:val="footnote reference"/>
    <w:basedOn w:val="DefaultParagraphFont"/>
    <w:uiPriority w:val="99"/>
    <w:semiHidden/>
    <w:unhideWhenUsed/>
    <w:rsid w:val="00425CF6"/>
    <w:rPr>
      <w:vertAlign w:val="superscript"/>
    </w:rPr>
  </w:style>
  <w:style w:type="paragraph" w:customStyle="1" w:styleId="Default">
    <w:name w:val="Default"/>
    <w:rsid w:val="004E6E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6D49-43EA-42E6-96CF-99E3B64F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Pauline Welsh</cp:lastModifiedBy>
  <cp:revision>59</cp:revision>
  <cp:lastPrinted>2018-01-23T16:57:00Z</cp:lastPrinted>
  <dcterms:created xsi:type="dcterms:W3CDTF">2018-01-19T19:08:00Z</dcterms:created>
  <dcterms:modified xsi:type="dcterms:W3CDTF">2018-01-25T16:52:00Z</dcterms:modified>
</cp:coreProperties>
</file>