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F91" w:rsidRPr="00570D42" w:rsidRDefault="00AD3F91" w:rsidP="00AD3F91">
      <w:pPr>
        <w:spacing w:after="0"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SLHI – 2018 Rates (EB-2017-0073) </w:t>
      </w:r>
    </w:p>
    <w:p w:rsidR="00AD3F91" w:rsidRDefault="00AD3F91" w:rsidP="00AD3F91">
      <w:pPr>
        <w:spacing w:after="0" w:line="276" w:lineRule="auto"/>
        <w:rPr>
          <w:rFonts w:asciiTheme="majorHAnsi" w:hAnsiTheme="majorHAnsi" w:cstheme="majorHAnsi"/>
          <w:b/>
          <w:sz w:val="24"/>
          <w:szCs w:val="24"/>
        </w:rPr>
      </w:pPr>
      <w:r w:rsidRPr="00570D42">
        <w:rPr>
          <w:rFonts w:asciiTheme="majorHAnsi" w:hAnsiTheme="majorHAnsi" w:cstheme="majorHAnsi"/>
          <w:b/>
          <w:sz w:val="24"/>
          <w:szCs w:val="24"/>
        </w:rPr>
        <w:t xml:space="preserve">OEB Staff Questions </w:t>
      </w:r>
      <w:r w:rsidR="00306794">
        <w:rPr>
          <w:rFonts w:asciiTheme="majorHAnsi" w:hAnsiTheme="majorHAnsi" w:cstheme="majorHAnsi"/>
          <w:b/>
          <w:sz w:val="24"/>
          <w:szCs w:val="24"/>
        </w:rPr>
        <w:t xml:space="preserve">– Second Round </w:t>
      </w:r>
    </w:p>
    <w:p w:rsidR="006C741C" w:rsidRPr="00570D42" w:rsidRDefault="006C741C" w:rsidP="00AD3F91">
      <w:pPr>
        <w:spacing w:after="0" w:line="276" w:lineRule="auto"/>
        <w:rPr>
          <w:rFonts w:asciiTheme="majorHAnsi" w:hAnsiTheme="majorHAnsi" w:cstheme="majorHAnsi"/>
          <w:b/>
          <w:sz w:val="24"/>
          <w:szCs w:val="24"/>
        </w:rPr>
      </w:pPr>
      <w:r>
        <w:rPr>
          <w:rFonts w:asciiTheme="majorHAnsi" w:hAnsiTheme="majorHAnsi" w:cstheme="majorHAnsi"/>
          <w:b/>
          <w:sz w:val="24"/>
          <w:szCs w:val="24"/>
        </w:rPr>
        <w:t xml:space="preserve">December 5, 2017 </w:t>
      </w:r>
    </w:p>
    <w:p w:rsidR="00AD3F91" w:rsidRDefault="00AD3F91" w:rsidP="00AD3F91">
      <w:pPr>
        <w:spacing w:after="0" w:line="276" w:lineRule="auto"/>
        <w:rPr>
          <w:rFonts w:asciiTheme="majorHAnsi" w:hAnsiTheme="majorHAnsi" w:cstheme="majorHAnsi"/>
          <w:b/>
          <w:sz w:val="24"/>
          <w:szCs w:val="24"/>
        </w:rPr>
      </w:pPr>
    </w:p>
    <w:p w:rsidR="009E4EC7" w:rsidRDefault="009E4EC7" w:rsidP="00513976">
      <w:pPr>
        <w:spacing w:after="0" w:line="276" w:lineRule="auto"/>
        <w:rPr>
          <w:rFonts w:asciiTheme="majorHAnsi" w:hAnsiTheme="majorHAnsi" w:cstheme="majorHAnsi"/>
          <w:sz w:val="24"/>
          <w:szCs w:val="24"/>
        </w:rPr>
      </w:pPr>
      <w:r>
        <w:rPr>
          <w:rFonts w:asciiTheme="majorHAnsi" w:hAnsiTheme="majorHAnsi" w:cstheme="majorHAnsi"/>
          <w:sz w:val="24"/>
          <w:szCs w:val="24"/>
        </w:rPr>
        <w:t xml:space="preserve">As discussed, there is no expectation that updates be made directly to the application (including the supporting models) at this time. If SLHI agrees that it is appropriate to make an update to the application, please </w:t>
      </w:r>
      <w:proofErr w:type="gramStart"/>
      <w:r>
        <w:rPr>
          <w:rFonts w:asciiTheme="majorHAnsi" w:hAnsiTheme="majorHAnsi" w:cstheme="majorHAnsi"/>
          <w:sz w:val="24"/>
          <w:szCs w:val="24"/>
        </w:rPr>
        <w:t>advise</w:t>
      </w:r>
      <w:proofErr w:type="gramEnd"/>
      <w:r>
        <w:rPr>
          <w:rFonts w:asciiTheme="majorHAnsi" w:hAnsiTheme="majorHAnsi" w:cstheme="majorHAnsi"/>
          <w:sz w:val="24"/>
          <w:szCs w:val="24"/>
        </w:rPr>
        <w:t xml:space="preserve"> of that position. If SLHI does not believe an update to the application is warranted, please provide supporting rationale. For some of the questions where no updates to the application are implied, it is best if a comprehensive response can be provided in the written response. </w:t>
      </w:r>
    </w:p>
    <w:p w:rsidR="009E4EC7" w:rsidRDefault="009E4EC7" w:rsidP="00513976">
      <w:pPr>
        <w:spacing w:after="0" w:line="276" w:lineRule="auto"/>
        <w:rPr>
          <w:rFonts w:asciiTheme="majorHAnsi" w:hAnsiTheme="majorHAnsi" w:cstheme="majorHAnsi"/>
          <w:sz w:val="24"/>
          <w:szCs w:val="24"/>
        </w:rPr>
      </w:pPr>
    </w:p>
    <w:p w:rsidR="00503BB8" w:rsidRPr="00503BB8" w:rsidRDefault="00503BB8" w:rsidP="00A47F49">
      <w:pPr>
        <w:spacing w:after="0" w:line="276" w:lineRule="auto"/>
        <w:rPr>
          <w:rFonts w:asciiTheme="majorHAnsi" w:eastAsia="Times New Roman" w:hAnsiTheme="majorHAnsi" w:cstheme="majorHAnsi"/>
          <w:b/>
          <w:sz w:val="24"/>
          <w:szCs w:val="24"/>
          <w:lang w:val="en-CA"/>
        </w:rPr>
      </w:pPr>
      <w:r w:rsidRPr="00503BB8">
        <w:rPr>
          <w:rFonts w:asciiTheme="majorHAnsi" w:eastAsia="Times New Roman" w:hAnsiTheme="majorHAnsi" w:cstheme="majorHAnsi"/>
          <w:b/>
          <w:sz w:val="24"/>
          <w:szCs w:val="24"/>
          <w:lang w:val="en-CA"/>
        </w:rPr>
        <w:t xml:space="preserve">Conference Call – Follow-up </w:t>
      </w:r>
    </w:p>
    <w:p w:rsidR="00503BB8" w:rsidRDefault="00503BB8" w:rsidP="00A47F49">
      <w:pPr>
        <w:spacing w:after="0" w:line="276" w:lineRule="auto"/>
        <w:rPr>
          <w:rFonts w:asciiTheme="majorHAnsi" w:hAnsiTheme="majorHAnsi" w:cstheme="majorHAnsi"/>
          <w:sz w:val="24"/>
          <w:szCs w:val="24"/>
          <w:u w:val="single"/>
        </w:rPr>
      </w:pPr>
    </w:p>
    <w:p w:rsidR="00513976" w:rsidRPr="00C31C94" w:rsidRDefault="00513976" w:rsidP="00A47F49">
      <w:pPr>
        <w:spacing w:after="0" w:line="276" w:lineRule="auto"/>
        <w:rPr>
          <w:rFonts w:asciiTheme="majorHAnsi" w:hAnsiTheme="majorHAnsi" w:cstheme="majorHAnsi"/>
          <w:sz w:val="24"/>
          <w:szCs w:val="24"/>
        </w:rPr>
      </w:pPr>
      <w:r>
        <w:rPr>
          <w:rFonts w:asciiTheme="majorHAnsi" w:hAnsiTheme="majorHAnsi" w:cstheme="majorHAnsi"/>
          <w:sz w:val="24"/>
          <w:szCs w:val="24"/>
        </w:rPr>
        <w:t xml:space="preserve">During our conference call, we discussed that responses to the below questions / issues would </w:t>
      </w:r>
      <w:r w:rsidR="00031A8B">
        <w:rPr>
          <w:rFonts w:asciiTheme="majorHAnsi" w:hAnsiTheme="majorHAnsi" w:cstheme="majorHAnsi"/>
          <w:sz w:val="24"/>
          <w:szCs w:val="24"/>
        </w:rPr>
        <w:t>support the application</w:t>
      </w:r>
      <w:r>
        <w:rPr>
          <w:rFonts w:asciiTheme="majorHAnsi" w:hAnsiTheme="majorHAnsi" w:cstheme="majorHAnsi"/>
          <w:sz w:val="24"/>
          <w:szCs w:val="24"/>
        </w:rPr>
        <w:t xml:space="preserve">. </w:t>
      </w:r>
    </w:p>
    <w:p w:rsidR="00513976" w:rsidRDefault="00513976" w:rsidP="00A47F49">
      <w:pPr>
        <w:spacing w:after="0" w:line="276" w:lineRule="auto"/>
        <w:rPr>
          <w:rFonts w:asciiTheme="majorHAnsi" w:hAnsiTheme="majorHAnsi" w:cstheme="majorHAnsi"/>
          <w:sz w:val="24"/>
          <w:szCs w:val="24"/>
          <w:u w:val="single"/>
        </w:rPr>
      </w:pPr>
    </w:p>
    <w:p w:rsidR="000C0095" w:rsidRPr="00503BB8" w:rsidRDefault="000C0095" w:rsidP="00A47F49">
      <w:pPr>
        <w:spacing w:after="0" w:line="276" w:lineRule="auto"/>
        <w:rPr>
          <w:rFonts w:asciiTheme="majorHAnsi" w:hAnsiTheme="majorHAnsi" w:cstheme="majorHAnsi"/>
          <w:sz w:val="24"/>
          <w:szCs w:val="24"/>
          <w:u w:val="single"/>
        </w:rPr>
      </w:pPr>
      <w:r>
        <w:rPr>
          <w:rFonts w:asciiTheme="majorHAnsi" w:hAnsiTheme="majorHAnsi" w:cstheme="majorHAnsi"/>
          <w:sz w:val="24"/>
          <w:szCs w:val="24"/>
          <w:u w:val="single"/>
        </w:rPr>
        <w:t>Administration (Exhibit 1</w:t>
      </w:r>
      <w:r w:rsidRPr="00503BB8">
        <w:rPr>
          <w:rFonts w:asciiTheme="majorHAnsi" w:hAnsiTheme="majorHAnsi" w:cstheme="majorHAnsi"/>
          <w:sz w:val="24"/>
          <w:szCs w:val="24"/>
          <w:u w:val="single"/>
        </w:rPr>
        <w:t>)</w:t>
      </w:r>
    </w:p>
    <w:p w:rsidR="000C0095" w:rsidRDefault="000C0095" w:rsidP="00A47F49">
      <w:pPr>
        <w:spacing w:after="0" w:line="276" w:lineRule="auto"/>
        <w:rPr>
          <w:rFonts w:asciiTheme="majorHAnsi" w:hAnsiTheme="majorHAnsi" w:cstheme="majorHAnsi"/>
          <w:sz w:val="24"/>
          <w:szCs w:val="24"/>
          <w:u w:val="single"/>
        </w:rPr>
      </w:pPr>
    </w:p>
    <w:p w:rsidR="00306794" w:rsidRPr="00570D42" w:rsidRDefault="00306794" w:rsidP="00306794">
      <w:pPr>
        <w:pStyle w:val="ListParagraph"/>
        <w:numPr>
          <w:ilvl w:val="0"/>
          <w:numId w:val="19"/>
        </w:numPr>
        <w:spacing w:line="276" w:lineRule="auto"/>
        <w:rPr>
          <w:rFonts w:asciiTheme="majorHAnsi" w:hAnsiTheme="majorHAnsi" w:cstheme="majorHAnsi"/>
          <w:b/>
          <w:sz w:val="24"/>
          <w:szCs w:val="24"/>
        </w:rPr>
      </w:pPr>
      <w:r w:rsidRPr="00570D42">
        <w:rPr>
          <w:rFonts w:asciiTheme="majorHAnsi" w:hAnsiTheme="majorHAnsi" w:cstheme="majorHAnsi"/>
          <w:b/>
          <w:sz w:val="24"/>
          <w:szCs w:val="24"/>
        </w:rPr>
        <w:t>Exhibit 1, Page 64, Appendix I, Reconciliation between Audited Financial Statements and Regulatory Results</w:t>
      </w:r>
    </w:p>
    <w:p w:rsidR="00306794" w:rsidRPr="00570D42" w:rsidRDefault="00306794" w:rsidP="00306794">
      <w:pPr>
        <w:spacing w:after="0" w:line="276" w:lineRule="auto"/>
        <w:contextualSpacing/>
        <w:rPr>
          <w:rFonts w:asciiTheme="majorHAnsi" w:hAnsiTheme="majorHAnsi" w:cstheme="majorHAnsi"/>
          <w:sz w:val="24"/>
          <w:szCs w:val="24"/>
        </w:rPr>
      </w:pPr>
    </w:p>
    <w:p w:rsidR="00306794" w:rsidRPr="00570D42" w:rsidRDefault="00306794" w:rsidP="00306794">
      <w:pPr>
        <w:spacing w:after="0" w:line="276" w:lineRule="auto"/>
        <w:contextualSpacing/>
        <w:rPr>
          <w:rFonts w:asciiTheme="majorHAnsi" w:hAnsiTheme="majorHAnsi" w:cstheme="majorHAnsi"/>
          <w:sz w:val="24"/>
          <w:szCs w:val="24"/>
        </w:rPr>
      </w:pPr>
      <w:r w:rsidRPr="00570D42">
        <w:rPr>
          <w:rFonts w:asciiTheme="majorHAnsi" w:hAnsiTheme="majorHAnsi" w:cstheme="majorHAnsi"/>
          <w:sz w:val="24"/>
          <w:szCs w:val="24"/>
        </w:rPr>
        <w:t xml:space="preserve">In the 2016 reconciliation, </w:t>
      </w:r>
    </w:p>
    <w:p w:rsidR="00306794" w:rsidRDefault="00306794" w:rsidP="00306794">
      <w:pPr>
        <w:pStyle w:val="ListParagraph"/>
        <w:numPr>
          <w:ilvl w:val="0"/>
          <w:numId w:val="1"/>
        </w:numPr>
        <w:autoSpaceDE/>
        <w:autoSpaceDN/>
        <w:adjustRightInd/>
        <w:spacing w:line="276" w:lineRule="auto"/>
        <w:rPr>
          <w:rFonts w:asciiTheme="majorHAnsi" w:hAnsiTheme="majorHAnsi" w:cstheme="majorHAnsi"/>
          <w:sz w:val="24"/>
          <w:szCs w:val="24"/>
        </w:rPr>
      </w:pPr>
      <w:r w:rsidRPr="00570D42">
        <w:rPr>
          <w:rFonts w:asciiTheme="majorHAnsi" w:hAnsiTheme="majorHAnsi" w:cstheme="majorHAnsi"/>
          <w:sz w:val="24"/>
          <w:szCs w:val="24"/>
        </w:rPr>
        <w:t xml:space="preserve">Accumulated amortization includes a note “add back $97k for Account 1576” and a corresponding note to adjust retained earnings. Please explain what this means and how the Account 1576 balance would have impacted accumulated amortization and retained earnings based on the accounting guidance for this account provided in the APH and APH FAQs. Please explain whether this adjustment has been reflected in the application and where it has been reflected. </w:t>
      </w:r>
    </w:p>
    <w:p w:rsidR="00B06B6B" w:rsidRDefault="00B06B6B" w:rsidP="00306794">
      <w:pPr>
        <w:spacing w:line="276" w:lineRule="auto"/>
        <w:ind w:left="360"/>
        <w:rPr>
          <w:rFonts w:asciiTheme="majorHAnsi" w:hAnsiTheme="majorHAnsi" w:cstheme="majorHAnsi"/>
          <w:color w:val="C00000"/>
          <w:sz w:val="24"/>
          <w:szCs w:val="24"/>
        </w:rPr>
      </w:pPr>
    </w:p>
    <w:p w:rsidR="00306794" w:rsidRDefault="00306794" w:rsidP="00306794">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Response:</w:t>
      </w:r>
    </w:p>
    <w:p w:rsidR="00306794" w:rsidRDefault="00306794" w:rsidP="00306794">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SLHI recorded the amount in account 1576 for regulatory purposes only. Therefore it was not reflected in the audited financial statements. This required an adjustment to filing 2.1.7 each year since 2013. The amount of $97K was approved for disposition in the 2013 COS application.  The impact to accumulated depreciation was an increase of $24 K over four years beginning in 2013 and an initial decrease to retained earnings in 2012 of $97K, then a reduction to this amount over four years for $25 K. The entries are provided below:</w:t>
      </w:r>
    </w:p>
    <w:p w:rsidR="00306794" w:rsidRDefault="00306794" w:rsidP="00306794">
      <w:pPr>
        <w:spacing w:line="276" w:lineRule="auto"/>
        <w:ind w:left="360"/>
        <w:rPr>
          <w:rFonts w:asciiTheme="majorHAnsi" w:hAnsiTheme="majorHAnsi" w:cstheme="majorHAnsi"/>
          <w:color w:val="C00000"/>
          <w:sz w:val="24"/>
          <w:szCs w:val="24"/>
        </w:rPr>
      </w:pPr>
      <w:r w:rsidRPr="00C613E7">
        <w:rPr>
          <w:noProof/>
          <w:lang w:val="en-CA" w:eastAsia="en-CA"/>
        </w:rPr>
        <w:lastRenderedPageBreak/>
        <w:drawing>
          <wp:inline distT="0" distB="0" distL="0" distR="0" wp14:anchorId="7691AF0F" wp14:editId="4DF5D460">
            <wp:extent cx="3276600" cy="515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5153025"/>
                    </a:xfrm>
                    <a:prstGeom prst="rect">
                      <a:avLst/>
                    </a:prstGeom>
                    <a:noFill/>
                    <a:ln>
                      <a:noFill/>
                    </a:ln>
                  </pic:spPr>
                </pic:pic>
              </a:graphicData>
            </a:graphic>
          </wp:inline>
        </w:drawing>
      </w:r>
    </w:p>
    <w:p w:rsidR="00306794" w:rsidRPr="00C613E7" w:rsidRDefault="00306794" w:rsidP="00306794">
      <w:pPr>
        <w:spacing w:line="276" w:lineRule="auto"/>
        <w:ind w:left="360"/>
        <w:rPr>
          <w:rFonts w:asciiTheme="majorHAnsi" w:hAnsiTheme="majorHAnsi" w:cstheme="majorHAnsi"/>
          <w:color w:val="C00000"/>
          <w:sz w:val="24"/>
          <w:szCs w:val="24"/>
        </w:rPr>
      </w:pPr>
      <w:r>
        <w:rPr>
          <w:rFonts w:asciiTheme="majorHAnsi" w:hAnsiTheme="majorHAnsi" w:cstheme="majorHAnsi"/>
          <w:color w:val="C00000"/>
          <w:sz w:val="24"/>
          <w:szCs w:val="24"/>
        </w:rPr>
        <w:t>These adjustments are reflected in the Appendix 2-BA asset continuity schedules under fully allocated depreciation.</w:t>
      </w:r>
    </w:p>
    <w:p w:rsidR="000C0095" w:rsidRDefault="00306794" w:rsidP="00A47F49">
      <w:pPr>
        <w:spacing w:after="0" w:line="276" w:lineRule="auto"/>
        <w:rPr>
          <w:rFonts w:asciiTheme="majorHAnsi" w:hAnsiTheme="majorHAnsi" w:cstheme="majorHAnsi"/>
          <w:color w:val="4472C4" w:themeColor="accent5"/>
          <w:sz w:val="24"/>
          <w:szCs w:val="24"/>
        </w:rPr>
      </w:pPr>
      <w:r w:rsidRPr="003D58DE">
        <w:rPr>
          <w:rFonts w:asciiTheme="majorHAnsi" w:hAnsiTheme="majorHAnsi" w:cstheme="majorHAnsi"/>
          <w:color w:val="4472C4" w:themeColor="accent5"/>
          <w:sz w:val="24"/>
          <w:szCs w:val="24"/>
        </w:rPr>
        <w:t>Follow-up Question:</w:t>
      </w:r>
      <w:r>
        <w:rPr>
          <w:rFonts w:asciiTheme="majorHAnsi" w:hAnsiTheme="majorHAnsi" w:cstheme="majorHAnsi"/>
          <w:color w:val="4472C4" w:themeColor="accent5"/>
          <w:sz w:val="24"/>
          <w:szCs w:val="24"/>
        </w:rPr>
        <w:t xml:space="preserve"> </w:t>
      </w:r>
    </w:p>
    <w:p w:rsidR="00306794" w:rsidRDefault="00306794" w:rsidP="00A47F49">
      <w:pPr>
        <w:spacing w:after="0" w:line="276" w:lineRule="auto"/>
        <w:rPr>
          <w:rFonts w:asciiTheme="majorHAnsi" w:hAnsiTheme="majorHAnsi" w:cstheme="majorHAnsi"/>
          <w:color w:val="4472C4" w:themeColor="accent5"/>
          <w:sz w:val="24"/>
          <w:szCs w:val="24"/>
        </w:rPr>
      </w:pPr>
    </w:p>
    <w:p w:rsidR="003D58DE" w:rsidRPr="003D58DE" w:rsidRDefault="003D58DE" w:rsidP="003D58DE">
      <w:pPr>
        <w:rPr>
          <w:rFonts w:asciiTheme="majorHAnsi" w:hAnsiTheme="majorHAnsi" w:cstheme="majorHAnsi"/>
          <w:bCs/>
          <w:color w:val="4472C4" w:themeColor="accent5"/>
        </w:rPr>
      </w:pPr>
      <w:r w:rsidRPr="003D58DE">
        <w:rPr>
          <w:rFonts w:asciiTheme="majorHAnsi" w:hAnsiTheme="majorHAnsi" w:cstheme="majorHAnsi"/>
          <w:bCs/>
          <w:color w:val="4472C4" w:themeColor="accent5"/>
        </w:rPr>
        <w:t>The disposition entries above were not made in accordance with the APH guidance per July 2012 FAQ #18, and Appendix A to the same FAQ. According to the OEB guidance on the disposition entries for Account 1576, the credits should have been recorded in Account 5705, Depreciation Expense, not Account 2105, Accumulated Depreciation.</w:t>
      </w:r>
    </w:p>
    <w:p w:rsidR="003D58DE" w:rsidRDefault="003D58DE" w:rsidP="003D58DE">
      <w:pPr>
        <w:rPr>
          <w:rFonts w:asciiTheme="majorHAnsi" w:hAnsiTheme="majorHAnsi" w:cstheme="majorHAnsi"/>
          <w:bCs/>
          <w:color w:val="4472C4" w:themeColor="accent5"/>
        </w:rPr>
      </w:pPr>
      <w:r w:rsidRPr="003D58DE">
        <w:rPr>
          <w:rFonts w:asciiTheme="majorHAnsi" w:hAnsiTheme="majorHAnsi" w:cstheme="majorHAnsi"/>
          <w:bCs/>
          <w:color w:val="4472C4" w:themeColor="accent5"/>
        </w:rPr>
        <w:t>Please calculate the impact of this error on SLHI’s Account 1575 proposed for disposition, PP&amp;E, depreciation schedules, and rate base for the test year.</w:t>
      </w:r>
      <w:r>
        <w:rPr>
          <w:rFonts w:asciiTheme="majorHAnsi" w:hAnsiTheme="majorHAnsi" w:cstheme="majorHAnsi"/>
          <w:bCs/>
          <w:color w:val="4472C4" w:themeColor="accent5"/>
        </w:rPr>
        <w:t xml:space="preserve"> Please advise whether SLHI will make the necessary updates to correct this error in its application. </w:t>
      </w:r>
      <w:r w:rsidRPr="003D58DE">
        <w:rPr>
          <w:rFonts w:asciiTheme="majorHAnsi" w:hAnsiTheme="majorHAnsi" w:cstheme="majorHAnsi"/>
          <w:bCs/>
          <w:color w:val="4472C4" w:themeColor="accent5"/>
        </w:rPr>
        <w:t xml:space="preserve"> </w:t>
      </w:r>
    </w:p>
    <w:p w:rsidR="00731090" w:rsidRDefault="00731090" w:rsidP="003D58DE">
      <w:pPr>
        <w:rPr>
          <w:rFonts w:asciiTheme="majorHAnsi" w:hAnsiTheme="majorHAnsi" w:cstheme="majorHAnsi"/>
          <w:bCs/>
          <w:color w:val="4472C4" w:themeColor="accent5"/>
        </w:rPr>
      </w:pPr>
    </w:p>
    <w:p w:rsidR="00731090" w:rsidRPr="00C61F21" w:rsidRDefault="00731090" w:rsidP="003D58DE">
      <w:pPr>
        <w:rPr>
          <w:rFonts w:asciiTheme="majorHAnsi" w:hAnsiTheme="majorHAnsi" w:cstheme="majorHAnsi"/>
          <w:b/>
          <w:bCs/>
          <w:color w:val="00B050"/>
          <w:u w:val="single"/>
        </w:rPr>
      </w:pPr>
      <w:r w:rsidRPr="00C61F21">
        <w:rPr>
          <w:rFonts w:asciiTheme="majorHAnsi" w:hAnsiTheme="majorHAnsi" w:cstheme="majorHAnsi"/>
          <w:b/>
          <w:bCs/>
          <w:color w:val="00B050"/>
          <w:u w:val="single"/>
        </w:rPr>
        <w:t>Response:</w:t>
      </w:r>
    </w:p>
    <w:p w:rsidR="00731090" w:rsidRPr="00C61F21" w:rsidRDefault="00731090" w:rsidP="003D58DE">
      <w:pPr>
        <w:rPr>
          <w:rFonts w:asciiTheme="majorHAnsi" w:hAnsiTheme="majorHAnsi" w:cstheme="majorHAnsi"/>
          <w:b/>
          <w:bCs/>
          <w:color w:val="00B050"/>
        </w:rPr>
      </w:pPr>
      <w:r w:rsidRPr="00C61F21">
        <w:rPr>
          <w:rFonts w:asciiTheme="majorHAnsi" w:hAnsiTheme="majorHAnsi" w:cstheme="majorHAnsi"/>
          <w:b/>
          <w:bCs/>
          <w:color w:val="00B050"/>
        </w:rPr>
        <w:lastRenderedPageBreak/>
        <w:t>After reviewing this, there is no impact to the error of the entries made to 2105 for RRR 2</w:t>
      </w:r>
      <w:r w:rsidR="007270D6" w:rsidRPr="00C61F21">
        <w:rPr>
          <w:rFonts w:asciiTheme="majorHAnsi" w:hAnsiTheme="majorHAnsi" w:cstheme="majorHAnsi"/>
          <w:b/>
          <w:bCs/>
          <w:color w:val="00B050"/>
        </w:rPr>
        <w:t>.</w:t>
      </w:r>
      <w:r w:rsidRPr="00C61F21">
        <w:rPr>
          <w:rFonts w:asciiTheme="majorHAnsi" w:hAnsiTheme="majorHAnsi" w:cstheme="majorHAnsi"/>
          <w:b/>
          <w:bCs/>
          <w:color w:val="00B050"/>
        </w:rPr>
        <w:t>1.7</w:t>
      </w:r>
      <w:r w:rsidR="004122E0" w:rsidRPr="00C61F21">
        <w:rPr>
          <w:rFonts w:asciiTheme="majorHAnsi" w:hAnsiTheme="majorHAnsi" w:cstheme="majorHAnsi"/>
          <w:b/>
          <w:bCs/>
          <w:color w:val="00B050"/>
        </w:rPr>
        <w:t xml:space="preserve"> to the application. </w:t>
      </w:r>
      <w:r w:rsidRPr="00C61F21">
        <w:rPr>
          <w:rFonts w:asciiTheme="majorHAnsi" w:hAnsiTheme="majorHAnsi" w:cstheme="majorHAnsi"/>
          <w:b/>
          <w:bCs/>
          <w:color w:val="00B050"/>
        </w:rPr>
        <w:t xml:space="preserve">The PP&amp;E, depreciation schedules and rate base are reflected properly in the application where the $24,296 is applied to fully allocated depreciation each year reducing the depreciation expense. </w:t>
      </w:r>
      <w:r w:rsidR="00C61F21">
        <w:rPr>
          <w:rFonts w:asciiTheme="majorHAnsi" w:hAnsiTheme="majorHAnsi" w:cstheme="majorHAnsi"/>
          <w:b/>
          <w:bCs/>
          <w:color w:val="00B050"/>
        </w:rPr>
        <w:t xml:space="preserve"> It is not reflected in accumulated amortization in Appendix 2-BA. </w:t>
      </w:r>
      <w:r w:rsidRPr="00C61F21">
        <w:rPr>
          <w:rFonts w:asciiTheme="majorHAnsi" w:hAnsiTheme="majorHAnsi" w:cstheme="majorHAnsi"/>
          <w:b/>
          <w:bCs/>
          <w:color w:val="00B050"/>
        </w:rPr>
        <w:t>Therefore, there would be no ad</w:t>
      </w:r>
      <w:r w:rsidR="007270D6" w:rsidRPr="00C61F21">
        <w:rPr>
          <w:rFonts w:asciiTheme="majorHAnsi" w:hAnsiTheme="majorHAnsi" w:cstheme="majorHAnsi"/>
          <w:b/>
          <w:bCs/>
          <w:color w:val="00B050"/>
        </w:rPr>
        <w:t>justment to Account 1575 either, and therefore no update to the application.</w:t>
      </w:r>
      <w:r w:rsidRPr="00C61F21">
        <w:rPr>
          <w:rFonts w:asciiTheme="majorHAnsi" w:hAnsiTheme="majorHAnsi" w:cstheme="majorHAnsi"/>
          <w:b/>
          <w:bCs/>
          <w:color w:val="00B050"/>
        </w:rPr>
        <w:t xml:space="preserve"> </w:t>
      </w:r>
    </w:p>
    <w:p w:rsidR="004122E0" w:rsidRPr="00C61F21" w:rsidRDefault="004122E0" w:rsidP="003D58DE">
      <w:pPr>
        <w:rPr>
          <w:rFonts w:asciiTheme="majorHAnsi" w:hAnsiTheme="majorHAnsi" w:cstheme="majorHAnsi"/>
          <w:b/>
          <w:bCs/>
          <w:color w:val="00B050"/>
        </w:rPr>
      </w:pPr>
      <w:r w:rsidRPr="00C61F21">
        <w:rPr>
          <w:rFonts w:asciiTheme="majorHAnsi" w:hAnsiTheme="majorHAnsi" w:cstheme="majorHAnsi"/>
          <w:b/>
          <w:bCs/>
          <w:color w:val="00B050"/>
        </w:rPr>
        <w:t>The amount applied for d</w:t>
      </w:r>
      <w:r w:rsidR="00EE0A9B" w:rsidRPr="00C61F21">
        <w:rPr>
          <w:rFonts w:asciiTheme="majorHAnsi" w:hAnsiTheme="majorHAnsi" w:cstheme="majorHAnsi"/>
          <w:b/>
          <w:bCs/>
          <w:color w:val="00B050"/>
        </w:rPr>
        <w:t>isposition in 1575 is related</w:t>
      </w:r>
      <w:r w:rsidRPr="00C61F21">
        <w:rPr>
          <w:rFonts w:asciiTheme="majorHAnsi" w:hAnsiTheme="majorHAnsi" w:cstheme="majorHAnsi"/>
          <w:b/>
          <w:bCs/>
          <w:color w:val="00B050"/>
        </w:rPr>
        <w:t xml:space="preserve"> mostly to the disposal of pooled assets which was not required under CGAAP. </w:t>
      </w:r>
      <w:r w:rsidR="00EE0A9B" w:rsidRPr="00C61F21">
        <w:rPr>
          <w:rFonts w:asciiTheme="majorHAnsi" w:hAnsiTheme="majorHAnsi" w:cstheme="majorHAnsi"/>
          <w:b/>
          <w:bCs/>
          <w:color w:val="00B050"/>
        </w:rPr>
        <w:t xml:space="preserve"> A small amount is related to amortization due to using more detailed continuity schedules explained i</w:t>
      </w:r>
      <w:r w:rsidR="00C61F21">
        <w:rPr>
          <w:rFonts w:asciiTheme="majorHAnsi" w:hAnsiTheme="majorHAnsi" w:cstheme="majorHAnsi"/>
          <w:b/>
          <w:bCs/>
          <w:color w:val="00B050"/>
        </w:rPr>
        <w:t xml:space="preserve">n the first round of </w:t>
      </w:r>
      <w:proofErr w:type="gramStart"/>
      <w:r w:rsidR="00C61F21">
        <w:rPr>
          <w:rFonts w:asciiTheme="majorHAnsi" w:hAnsiTheme="majorHAnsi" w:cstheme="majorHAnsi"/>
          <w:b/>
          <w:bCs/>
          <w:color w:val="00B050"/>
        </w:rPr>
        <w:t>questions .</w:t>
      </w:r>
      <w:proofErr w:type="gramEnd"/>
      <w:r w:rsidR="00EE0A9B" w:rsidRPr="00C61F21">
        <w:rPr>
          <w:rFonts w:asciiTheme="majorHAnsi" w:hAnsiTheme="majorHAnsi" w:cstheme="majorHAnsi"/>
          <w:b/>
          <w:bCs/>
          <w:color w:val="00B050"/>
        </w:rPr>
        <w:t xml:space="preserve"> </w:t>
      </w:r>
      <w:r w:rsidR="00C61F21">
        <w:rPr>
          <w:rFonts w:asciiTheme="majorHAnsi" w:hAnsiTheme="majorHAnsi" w:cstheme="majorHAnsi"/>
          <w:b/>
          <w:bCs/>
          <w:color w:val="00B050"/>
        </w:rPr>
        <w:t>(</w:t>
      </w:r>
      <w:r w:rsidR="00EE0A9B" w:rsidRPr="00C61F21">
        <w:rPr>
          <w:rFonts w:asciiTheme="majorHAnsi" w:hAnsiTheme="majorHAnsi" w:cstheme="majorHAnsi"/>
          <w:b/>
          <w:bCs/>
          <w:color w:val="00B050"/>
        </w:rPr>
        <w:t>Exhibit 1 question 1</w:t>
      </w:r>
      <w:r w:rsidR="00C61F21">
        <w:rPr>
          <w:rFonts w:asciiTheme="majorHAnsi" w:hAnsiTheme="majorHAnsi" w:cstheme="majorHAnsi"/>
          <w:b/>
          <w:bCs/>
          <w:color w:val="00B050"/>
        </w:rPr>
        <w:t>)</w:t>
      </w:r>
      <w:r w:rsidR="00EE0A9B" w:rsidRPr="00C61F21">
        <w:rPr>
          <w:rFonts w:asciiTheme="majorHAnsi" w:hAnsiTheme="majorHAnsi" w:cstheme="majorHAnsi"/>
          <w:b/>
          <w:bCs/>
          <w:color w:val="00B050"/>
        </w:rPr>
        <w:t>. The breakdown of 1575 is $58,192 for the disposal of pooled assets and $(5,224) for amortization.</w:t>
      </w:r>
    </w:p>
    <w:p w:rsidR="003D58DE" w:rsidRPr="00C61F21" w:rsidRDefault="007270D6" w:rsidP="00F04523">
      <w:pPr>
        <w:rPr>
          <w:rFonts w:asciiTheme="majorHAnsi" w:hAnsiTheme="majorHAnsi" w:cstheme="majorHAnsi"/>
          <w:b/>
          <w:color w:val="4472C4" w:themeColor="accent5"/>
          <w:sz w:val="24"/>
          <w:szCs w:val="24"/>
        </w:rPr>
      </w:pPr>
      <w:r w:rsidRPr="00C61F21">
        <w:rPr>
          <w:rFonts w:asciiTheme="majorHAnsi" w:hAnsiTheme="majorHAnsi" w:cstheme="majorHAnsi"/>
          <w:b/>
          <w:bCs/>
          <w:color w:val="00B050"/>
        </w:rPr>
        <w:t xml:space="preserve">Revisions to RRR 2.1.7 going back to December 31, 2013 could be completed, the accounts that would be affected would be 2105, 5705, </w:t>
      </w:r>
      <w:proofErr w:type="gramStart"/>
      <w:r w:rsidRPr="00C61F21">
        <w:rPr>
          <w:rFonts w:asciiTheme="majorHAnsi" w:hAnsiTheme="majorHAnsi" w:cstheme="majorHAnsi"/>
          <w:b/>
          <w:bCs/>
          <w:color w:val="00B050"/>
        </w:rPr>
        <w:t>3350</w:t>
      </w:r>
      <w:proofErr w:type="gramEnd"/>
      <w:r w:rsidRPr="00C61F21">
        <w:rPr>
          <w:rFonts w:asciiTheme="majorHAnsi" w:hAnsiTheme="majorHAnsi" w:cstheme="majorHAnsi"/>
          <w:b/>
          <w:bCs/>
          <w:color w:val="00B050"/>
        </w:rPr>
        <w:t xml:space="preserve"> and net income which would be $24,296 more than the audited financial stat</w:t>
      </w:r>
      <w:r w:rsidR="00F04523" w:rsidRPr="00C61F21">
        <w:rPr>
          <w:rFonts w:asciiTheme="majorHAnsi" w:hAnsiTheme="majorHAnsi" w:cstheme="majorHAnsi"/>
          <w:b/>
          <w:bCs/>
          <w:color w:val="00B050"/>
        </w:rPr>
        <w:t>ements each year for four years beginning in 2013.</w:t>
      </w:r>
    </w:p>
    <w:p w:rsidR="003D58DE" w:rsidRDefault="003D58DE" w:rsidP="00A47F49">
      <w:pPr>
        <w:spacing w:after="0" w:line="276" w:lineRule="auto"/>
        <w:rPr>
          <w:rFonts w:asciiTheme="majorHAnsi" w:hAnsiTheme="majorHAnsi" w:cstheme="majorHAnsi"/>
          <w:color w:val="4472C4" w:themeColor="accent5"/>
          <w:sz w:val="24"/>
          <w:szCs w:val="24"/>
        </w:rPr>
      </w:pPr>
    </w:p>
    <w:p w:rsidR="00306794" w:rsidRPr="00306794" w:rsidRDefault="00CD0449" w:rsidP="00306794">
      <w:pPr>
        <w:pStyle w:val="ListParagraph"/>
        <w:numPr>
          <w:ilvl w:val="0"/>
          <w:numId w:val="19"/>
        </w:num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New Question: As it is </w:t>
      </w:r>
      <w:r w:rsidR="00AE19D1">
        <w:rPr>
          <w:rFonts w:asciiTheme="majorHAnsi" w:hAnsiTheme="majorHAnsi" w:cstheme="majorHAnsi"/>
          <w:color w:val="4472C4" w:themeColor="accent5"/>
          <w:sz w:val="24"/>
          <w:szCs w:val="24"/>
        </w:rPr>
        <w:t xml:space="preserve">now </w:t>
      </w:r>
      <w:r>
        <w:rPr>
          <w:rFonts w:asciiTheme="majorHAnsi" w:hAnsiTheme="majorHAnsi" w:cstheme="majorHAnsi"/>
          <w:color w:val="4472C4" w:themeColor="accent5"/>
          <w:sz w:val="24"/>
          <w:szCs w:val="24"/>
        </w:rPr>
        <w:t>near the end of 2017, p</w:t>
      </w:r>
      <w:r w:rsidR="00306794">
        <w:rPr>
          <w:rFonts w:asciiTheme="majorHAnsi" w:hAnsiTheme="majorHAnsi" w:cstheme="majorHAnsi"/>
          <w:color w:val="4472C4" w:themeColor="accent5"/>
          <w:sz w:val="24"/>
          <w:szCs w:val="24"/>
        </w:rPr>
        <w:t xml:space="preserve">lease provide a revised forecast </w:t>
      </w:r>
      <w:r>
        <w:rPr>
          <w:rFonts w:asciiTheme="majorHAnsi" w:hAnsiTheme="majorHAnsi" w:cstheme="majorHAnsi"/>
          <w:color w:val="4472C4" w:themeColor="accent5"/>
          <w:sz w:val="24"/>
          <w:szCs w:val="24"/>
        </w:rPr>
        <w:t>of 2017 capital expenditures</w:t>
      </w:r>
      <w:r w:rsidR="006C741C">
        <w:rPr>
          <w:rFonts w:asciiTheme="majorHAnsi" w:hAnsiTheme="majorHAnsi" w:cstheme="majorHAnsi"/>
          <w:color w:val="4472C4" w:themeColor="accent5"/>
          <w:sz w:val="24"/>
          <w:szCs w:val="24"/>
        </w:rPr>
        <w:t xml:space="preserve"> (same format as Appendix 2-AA)</w:t>
      </w:r>
      <w:r>
        <w:rPr>
          <w:rFonts w:asciiTheme="majorHAnsi" w:hAnsiTheme="majorHAnsi" w:cstheme="majorHAnsi"/>
          <w:color w:val="4472C4" w:themeColor="accent5"/>
          <w:sz w:val="24"/>
          <w:szCs w:val="24"/>
        </w:rPr>
        <w:t xml:space="preserve">, </w:t>
      </w:r>
      <w:r w:rsidR="00306794">
        <w:rPr>
          <w:rFonts w:asciiTheme="majorHAnsi" w:hAnsiTheme="majorHAnsi" w:cstheme="majorHAnsi"/>
          <w:color w:val="4472C4" w:themeColor="accent5"/>
          <w:sz w:val="24"/>
          <w:szCs w:val="24"/>
        </w:rPr>
        <w:t>OM&amp;A</w:t>
      </w:r>
      <w:r w:rsidR="006C741C">
        <w:rPr>
          <w:rFonts w:asciiTheme="majorHAnsi" w:hAnsiTheme="majorHAnsi" w:cstheme="majorHAnsi"/>
          <w:color w:val="4472C4" w:themeColor="accent5"/>
          <w:sz w:val="24"/>
          <w:szCs w:val="24"/>
        </w:rPr>
        <w:t xml:space="preserve"> (same format as Appendix 2-JC)</w:t>
      </w:r>
      <w:r>
        <w:rPr>
          <w:rFonts w:asciiTheme="majorHAnsi" w:hAnsiTheme="majorHAnsi" w:cstheme="majorHAnsi"/>
          <w:color w:val="4472C4" w:themeColor="accent5"/>
          <w:sz w:val="24"/>
          <w:szCs w:val="24"/>
        </w:rPr>
        <w:t>, and other revenues</w:t>
      </w:r>
      <w:r w:rsidR="006C741C">
        <w:rPr>
          <w:rFonts w:asciiTheme="majorHAnsi" w:hAnsiTheme="majorHAnsi" w:cstheme="majorHAnsi"/>
          <w:color w:val="4472C4" w:themeColor="accent5"/>
          <w:sz w:val="24"/>
          <w:szCs w:val="24"/>
        </w:rPr>
        <w:t xml:space="preserve"> (same format as Appendix 2-H)</w:t>
      </w:r>
      <w:r w:rsidR="00306794">
        <w:rPr>
          <w:rFonts w:asciiTheme="majorHAnsi" w:hAnsiTheme="majorHAnsi" w:cstheme="majorHAnsi"/>
          <w:color w:val="4472C4" w:themeColor="accent5"/>
          <w:sz w:val="24"/>
          <w:szCs w:val="24"/>
        </w:rPr>
        <w:t xml:space="preserve"> based on the most recent actuals. </w:t>
      </w:r>
    </w:p>
    <w:p w:rsidR="00306794" w:rsidRPr="005E157E" w:rsidRDefault="00306794" w:rsidP="00A47F49">
      <w:pPr>
        <w:spacing w:after="0" w:line="276" w:lineRule="auto"/>
        <w:rPr>
          <w:rFonts w:asciiTheme="majorHAnsi" w:hAnsiTheme="majorHAnsi" w:cstheme="majorHAnsi"/>
          <w:color w:val="00B050"/>
          <w:sz w:val="24"/>
          <w:szCs w:val="24"/>
          <w:u w:val="single"/>
        </w:rPr>
      </w:pPr>
    </w:p>
    <w:p w:rsidR="009E24B0" w:rsidRPr="002C5F31" w:rsidRDefault="009E24B0" w:rsidP="00A47F49">
      <w:pPr>
        <w:spacing w:after="0" w:line="276" w:lineRule="auto"/>
        <w:rPr>
          <w:rFonts w:asciiTheme="majorHAnsi" w:hAnsiTheme="majorHAnsi" w:cstheme="majorHAnsi"/>
          <w:b/>
          <w:color w:val="00B050"/>
          <w:sz w:val="24"/>
          <w:szCs w:val="24"/>
          <w:u w:val="single"/>
        </w:rPr>
      </w:pPr>
      <w:r w:rsidRPr="002C5F31">
        <w:rPr>
          <w:rFonts w:asciiTheme="majorHAnsi" w:hAnsiTheme="majorHAnsi" w:cstheme="majorHAnsi"/>
          <w:b/>
          <w:color w:val="00B050"/>
          <w:sz w:val="24"/>
          <w:szCs w:val="24"/>
          <w:u w:val="single"/>
        </w:rPr>
        <w:t xml:space="preserve">Response: </w:t>
      </w:r>
    </w:p>
    <w:p w:rsidR="00F06EE3" w:rsidRDefault="00F06EE3" w:rsidP="00A47F49">
      <w:pPr>
        <w:spacing w:after="0" w:line="276" w:lineRule="auto"/>
        <w:rPr>
          <w:rFonts w:asciiTheme="majorHAnsi" w:hAnsiTheme="majorHAnsi" w:cstheme="majorHAnsi"/>
          <w:color w:val="00B050"/>
          <w:sz w:val="24"/>
          <w:szCs w:val="24"/>
          <w:u w:val="single"/>
        </w:rPr>
      </w:pPr>
    </w:p>
    <w:p w:rsidR="00F06EE3" w:rsidRPr="002C5F31" w:rsidRDefault="00F06EE3" w:rsidP="00A47F49">
      <w:pPr>
        <w:spacing w:after="0" w:line="276" w:lineRule="auto"/>
        <w:rPr>
          <w:rFonts w:asciiTheme="majorHAnsi" w:hAnsiTheme="majorHAnsi" w:cstheme="majorHAnsi"/>
          <w:b/>
          <w:color w:val="00B050"/>
          <w:sz w:val="24"/>
          <w:szCs w:val="24"/>
        </w:rPr>
      </w:pPr>
      <w:r w:rsidRPr="002C5F31">
        <w:rPr>
          <w:rFonts w:asciiTheme="majorHAnsi" w:hAnsiTheme="majorHAnsi" w:cstheme="majorHAnsi"/>
          <w:b/>
          <w:color w:val="00B050"/>
          <w:sz w:val="24"/>
          <w:szCs w:val="24"/>
        </w:rPr>
        <w:t>The numbers to the end of November have been reviewed and SLH</w:t>
      </w:r>
      <w:r w:rsidR="00CD0D02">
        <w:rPr>
          <w:rFonts w:asciiTheme="majorHAnsi" w:hAnsiTheme="majorHAnsi" w:cstheme="majorHAnsi"/>
          <w:b/>
          <w:color w:val="00B050"/>
          <w:sz w:val="24"/>
          <w:szCs w:val="24"/>
        </w:rPr>
        <w:t>I</w:t>
      </w:r>
      <w:r w:rsidRPr="002C5F31">
        <w:rPr>
          <w:rFonts w:asciiTheme="majorHAnsi" w:hAnsiTheme="majorHAnsi" w:cstheme="majorHAnsi"/>
          <w:b/>
          <w:color w:val="00B050"/>
          <w:sz w:val="24"/>
          <w:szCs w:val="24"/>
        </w:rPr>
        <w:t xml:space="preserve"> feels that they are still accurately forecasted to the end of the year with minor variances. Therefore does not feel revised forecasts are necessary</w:t>
      </w:r>
      <w:r w:rsidR="002C5F31" w:rsidRPr="002C5F31">
        <w:rPr>
          <w:rFonts w:asciiTheme="majorHAnsi" w:hAnsiTheme="majorHAnsi" w:cstheme="majorHAnsi"/>
          <w:b/>
          <w:color w:val="00B050"/>
          <w:sz w:val="24"/>
          <w:szCs w:val="24"/>
        </w:rPr>
        <w:t xml:space="preserve"> with the exception of the amount budgeted for the Cost of Service Application</w:t>
      </w:r>
      <w:r w:rsidRPr="002C5F31">
        <w:rPr>
          <w:rFonts w:asciiTheme="majorHAnsi" w:hAnsiTheme="majorHAnsi" w:cstheme="majorHAnsi"/>
          <w:b/>
          <w:color w:val="00B050"/>
          <w:sz w:val="24"/>
          <w:szCs w:val="24"/>
        </w:rPr>
        <w:t>.</w:t>
      </w:r>
      <w:r w:rsidR="002C5F31" w:rsidRPr="002C5F31">
        <w:rPr>
          <w:rFonts w:asciiTheme="majorHAnsi" w:hAnsiTheme="majorHAnsi" w:cstheme="majorHAnsi"/>
          <w:b/>
          <w:color w:val="00B050"/>
          <w:sz w:val="24"/>
          <w:szCs w:val="24"/>
        </w:rPr>
        <w:t xml:space="preserve"> Given the new process SLH</w:t>
      </w:r>
      <w:r w:rsidR="00CD0D02">
        <w:rPr>
          <w:rFonts w:asciiTheme="majorHAnsi" w:hAnsiTheme="majorHAnsi" w:cstheme="majorHAnsi"/>
          <w:b/>
          <w:color w:val="00B050"/>
          <w:sz w:val="24"/>
          <w:szCs w:val="24"/>
        </w:rPr>
        <w:t>I</w:t>
      </w:r>
      <w:r w:rsidR="002C5F31" w:rsidRPr="002C5F31">
        <w:rPr>
          <w:rFonts w:asciiTheme="majorHAnsi" w:hAnsiTheme="majorHAnsi" w:cstheme="majorHAnsi"/>
          <w:b/>
          <w:color w:val="00B050"/>
          <w:sz w:val="24"/>
          <w:szCs w:val="24"/>
        </w:rPr>
        <w:t xml:space="preserve"> now expects decreased costs for intervenors and lawyers, however there is still some uncertainty until the OEB decides which stream the application will follow.</w:t>
      </w:r>
      <w:r w:rsidRPr="002C5F31">
        <w:rPr>
          <w:rFonts w:asciiTheme="majorHAnsi" w:hAnsiTheme="majorHAnsi" w:cstheme="majorHAnsi"/>
          <w:b/>
          <w:color w:val="00B050"/>
          <w:sz w:val="24"/>
          <w:szCs w:val="24"/>
        </w:rPr>
        <w:t xml:space="preserve"> Below are the numbers to the end of November with explanations for any larger variances.</w:t>
      </w:r>
    </w:p>
    <w:p w:rsidR="00F06EE3" w:rsidRDefault="00F06EE3" w:rsidP="00A47F49">
      <w:pPr>
        <w:spacing w:after="0" w:line="276" w:lineRule="auto"/>
        <w:rPr>
          <w:rFonts w:asciiTheme="majorHAnsi" w:hAnsiTheme="majorHAnsi" w:cstheme="majorHAnsi"/>
          <w:color w:val="00B050"/>
          <w:sz w:val="24"/>
          <w:szCs w:val="24"/>
        </w:rPr>
      </w:pPr>
    </w:p>
    <w:p w:rsidR="00F06EE3" w:rsidRDefault="00F06EE3" w:rsidP="00A47F49">
      <w:pPr>
        <w:spacing w:after="0" w:line="276" w:lineRule="auto"/>
        <w:rPr>
          <w:rFonts w:asciiTheme="majorHAnsi" w:hAnsiTheme="majorHAnsi" w:cstheme="majorHAnsi"/>
          <w:color w:val="00B050"/>
          <w:sz w:val="24"/>
          <w:szCs w:val="24"/>
        </w:rPr>
      </w:pPr>
      <w:r w:rsidRPr="00F06EE3">
        <w:rPr>
          <w:noProof/>
          <w:lang w:val="en-CA" w:eastAsia="en-CA"/>
        </w:rPr>
        <w:lastRenderedPageBreak/>
        <w:drawing>
          <wp:inline distT="0" distB="0" distL="0" distR="0" wp14:anchorId="1EE9EF12" wp14:editId="0F8556FD">
            <wp:extent cx="5943600" cy="433882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38828"/>
                    </a:xfrm>
                    <a:prstGeom prst="rect">
                      <a:avLst/>
                    </a:prstGeom>
                    <a:noFill/>
                    <a:ln>
                      <a:noFill/>
                    </a:ln>
                  </pic:spPr>
                </pic:pic>
              </a:graphicData>
            </a:graphic>
          </wp:inline>
        </w:drawing>
      </w:r>
    </w:p>
    <w:p w:rsidR="00F06EE3" w:rsidRDefault="00F06EE3" w:rsidP="00A47F49">
      <w:pPr>
        <w:spacing w:after="0" w:line="276" w:lineRule="auto"/>
        <w:rPr>
          <w:rFonts w:asciiTheme="majorHAnsi" w:hAnsiTheme="majorHAnsi" w:cstheme="majorHAnsi"/>
          <w:color w:val="00B050"/>
          <w:sz w:val="24"/>
          <w:szCs w:val="24"/>
        </w:rPr>
      </w:pPr>
      <w:r w:rsidRPr="00F06EE3">
        <w:rPr>
          <w:noProof/>
          <w:lang w:val="en-CA" w:eastAsia="en-CA"/>
        </w:rPr>
        <w:lastRenderedPageBreak/>
        <w:drawing>
          <wp:inline distT="0" distB="0" distL="0" distR="0" wp14:anchorId="294DDC37" wp14:editId="2B05E327">
            <wp:extent cx="5943600" cy="5919826"/>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19826"/>
                    </a:xfrm>
                    <a:prstGeom prst="rect">
                      <a:avLst/>
                    </a:prstGeom>
                    <a:noFill/>
                    <a:ln>
                      <a:noFill/>
                    </a:ln>
                  </pic:spPr>
                </pic:pic>
              </a:graphicData>
            </a:graphic>
          </wp:inline>
        </w:drawing>
      </w:r>
    </w:p>
    <w:p w:rsidR="00F06EE3" w:rsidRPr="00F06EE3" w:rsidRDefault="00F06EE3" w:rsidP="00A47F49">
      <w:pPr>
        <w:spacing w:after="0" w:line="276" w:lineRule="auto"/>
        <w:rPr>
          <w:rFonts w:asciiTheme="majorHAnsi" w:hAnsiTheme="majorHAnsi" w:cstheme="majorHAnsi"/>
          <w:color w:val="00B050"/>
          <w:sz w:val="24"/>
          <w:szCs w:val="24"/>
        </w:rPr>
      </w:pPr>
      <w:r w:rsidRPr="00F06EE3">
        <w:rPr>
          <w:noProof/>
          <w:lang w:val="en-CA" w:eastAsia="en-CA"/>
        </w:rPr>
        <w:lastRenderedPageBreak/>
        <w:drawing>
          <wp:inline distT="0" distB="0" distL="0" distR="0" wp14:anchorId="56FA7B29" wp14:editId="6253C243">
            <wp:extent cx="5943600" cy="34373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37333"/>
                    </a:xfrm>
                    <a:prstGeom prst="rect">
                      <a:avLst/>
                    </a:prstGeom>
                    <a:noFill/>
                    <a:ln>
                      <a:noFill/>
                    </a:ln>
                  </pic:spPr>
                </pic:pic>
              </a:graphicData>
            </a:graphic>
          </wp:inline>
        </w:drawing>
      </w:r>
    </w:p>
    <w:p w:rsidR="005E157E" w:rsidRPr="005E157E" w:rsidRDefault="005E157E" w:rsidP="00A47F49">
      <w:pPr>
        <w:spacing w:after="0" w:line="276" w:lineRule="auto"/>
        <w:rPr>
          <w:rFonts w:asciiTheme="majorHAnsi" w:hAnsiTheme="majorHAnsi" w:cstheme="majorHAnsi"/>
          <w:color w:val="00B050"/>
          <w:sz w:val="24"/>
          <w:szCs w:val="24"/>
        </w:rPr>
      </w:pPr>
    </w:p>
    <w:p w:rsidR="009E24B0" w:rsidRPr="009E24B0" w:rsidRDefault="009E24B0" w:rsidP="00A47F49">
      <w:pPr>
        <w:spacing w:after="0" w:line="276" w:lineRule="auto"/>
        <w:rPr>
          <w:rFonts w:asciiTheme="majorHAnsi" w:hAnsiTheme="majorHAnsi" w:cstheme="majorHAnsi"/>
          <w:color w:val="7030A0"/>
          <w:sz w:val="24"/>
          <w:szCs w:val="24"/>
        </w:rPr>
      </w:pPr>
    </w:p>
    <w:p w:rsidR="00503BB8" w:rsidRPr="00503BB8" w:rsidRDefault="00503BB8" w:rsidP="00A47F49">
      <w:pPr>
        <w:spacing w:after="0" w:line="276" w:lineRule="auto"/>
        <w:rPr>
          <w:rFonts w:asciiTheme="majorHAnsi" w:hAnsiTheme="majorHAnsi" w:cstheme="majorHAnsi"/>
          <w:sz w:val="24"/>
          <w:szCs w:val="24"/>
          <w:u w:val="single"/>
        </w:rPr>
      </w:pPr>
      <w:r w:rsidRPr="00503BB8">
        <w:rPr>
          <w:rFonts w:asciiTheme="majorHAnsi" w:hAnsiTheme="majorHAnsi" w:cstheme="majorHAnsi"/>
          <w:sz w:val="24"/>
          <w:szCs w:val="24"/>
          <w:u w:val="single"/>
        </w:rPr>
        <w:t>Rate Base (Exhibit 2)</w:t>
      </w:r>
    </w:p>
    <w:p w:rsidR="00503BB8" w:rsidRPr="00503BB8" w:rsidRDefault="00503BB8" w:rsidP="00A47F49">
      <w:pPr>
        <w:spacing w:after="0" w:line="276" w:lineRule="auto"/>
        <w:rPr>
          <w:rFonts w:asciiTheme="majorHAnsi" w:hAnsiTheme="majorHAnsi" w:cstheme="majorHAnsi"/>
          <w:b/>
          <w:sz w:val="24"/>
          <w:szCs w:val="24"/>
        </w:rPr>
      </w:pPr>
    </w:p>
    <w:p w:rsidR="0036191D" w:rsidRDefault="0036191D" w:rsidP="0036191D">
      <w:pPr>
        <w:pStyle w:val="ListParagraph"/>
        <w:numPr>
          <w:ilvl w:val="0"/>
          <w:numId w:val="25"/>
        </w:numPr>
        <w:spacing w:line="276" w:lineRule="auto"/>
        <w:rPr>
          <w:rFonts w:asciiTheme="majorHAnsi" w:hAnsiTheme="majorHAnsi" w:cstheme="majorHAnsi"/>
          <w:sz w:val="24"/>
          <w:szCs w:val="24"/>
        </w:rPr>
      </w:pPr>
      <w:r w:rsidRPr="00503BB8">
        <w:rPr>
          <w:rFonts w:asciiTheme="majorHAnsi" w:hAnsiTheme="majorHAnsi" w:cstheme="majorHAnsi"/>
          <w:sz w:val="24"/>
          <w:szCs w:val="24"/>
        </w:rPr>
        <w:t xml:space="preserve">Update to cost of power calculation (and related documents) for working capital allowance proposal. </w:t>
      </w:r>
    </w:p>
    <w:p w:rsidR="006C741C" w:rsidRDefault="006C741C" w:rsidP="0036191D">
      <w:pPr>
        <w:spacing w:line="276" w:lineRule="auto"/>
        <w:ind w:left="360"/>
        <w:rPr>
          <w:rFonts w:asciiTheme="majorHAnsi" w:hAnsiTheme="majorHAnsi" w:cstheme="majorHAnsi"/>
          <w:color w:val="FF0000"/>
          <w:sz w:val="24"/>
          <w:szCs w:val="24"/>
        </w:rPr>
      </w:pPr>
    </w:p>
    <w:p w:rsidR="0036191D" w:rsidRDefault="0036191D" w:rsidP="0036191D">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 xml:space="preserve">Response: </w:t>
      </w:r>
    </w:p>
    <w:p w:rsidR="0036191D" w:rsidRPr="00733B0B" w:rsidRDefault="0036191D" w:rsidP="0036191D">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Spreadsheet attached with updated COP. Will update related documents once all the issues have been resolved in order to reduce the number of times everything is updated.</w:t>
      </w:r>
    </w:p>
    <w:p w:rsidR="0036191D" w:rsidRDefault="0036191D" w:rsidP="0036191D">
      <w:pPr>
        <w:spacing w:after="0" w:line="276" w:lineRule="auto"/>
        <w:rPr>
          <w:rFonts w:asciiTheme="majorHAnsi" w:hAnsiTheme="majorHAnsi" w:cstheme="majorHAnsi"/>
          <w:color w:val="4472C4" w:themeColor="accent5"/>
          <w:sz w:val="24"/>
          <w:szCs w:val="24"/>
        </w:rPr>
      </w:pPr>
      <w:r w:rsidRPr="0036191D">
        <w:rPr>
          <w:rFonts w:asciiTheme="majorHAnsi" w:hAnsiTheme="majorHAnsi" w:cstheme="majorHAnsi"/>
          <w:color w:val="4472C4" w:themeColor="accent5"/>
          <w:sz w:val="24"/>
          <w:szCs w:val="24"/>
        </w:rPr>
        <w:t>Follow-up Question:</w:t>
      </w:r>
      <w:r>
        <w:rPr>
          <w:rFonts w:asciiTheme="majorHAnsi" w:hAnsiTheme="majorHAnsi" w:cstheme="majorHAnsi"/>
          <w:color w:val="4472C4" w:themeColor="accent5"/>
          <w:sz w:val="24"/>
          <w:szCs w:val="24"/>
        </w:rPr>
        <w:t xml:space="preserve"> </w:t>
      </w:r>
    </w:p>
    <w:p w:rsidR="0036191D" w:rsidRDefault="0036191D" w:rsidP="0036191D">
      <w:pPr>
        <w:spacing w:after="0" w:line="276" w:lineRule="auto"/>
        <w:rPr>
          <w:rFonts w:asciiTheme="majorHAnsi" w:hAnsiTheme="majorHAnsi" w:cstheme="majorHAnsi"/>
          <w:color w:val="4472C4" w:themeColor="accent5"/>
          <w:sz w:val="24"/>
          <w:szCs w:val="24"/>
        </w:rPr>
      </w:pPr>
    </w:p>
    <w:p w:rsidR="0036191D" w:rsidRDefault="0036191D" w:rsidP="0036191D">
      <w:pPr>
        <w:spacing w:after="0"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Please recalculate the COP using the updated UTRs. Please also correct potential errors in the rate class breakdown in the Non-RPP portion of the calculation.  </w:t>
      </w:r>
    </w:p>
    <w:p w:rsidR="009E24B0" w:rsidRDefault="009E24B0" w:rsidP="0036191D">
      <w:pPr>
        <w:spacing w:after="0" w:line="276" w:lineRule="auto"/>
        <w:rPr>
          <w:rFonts w:asciiTheme="majorHAnsi" w:hAnsiTheme="majorHAnsi" w:cstheme="majorHAnsi"/>
          <w:color w:val="4472C4" w:themeColor="accent5"/>
          <w:sz w:val="24"/>
          <w:szCs w:val="24"/>
        </w:rPr>
      </w:pPr>
    </w:p>
    <w:p w:rsidR="009E24B0" w:rsidRPr="00EF5638" w:rsidRDefault="009E24B0" w:rsidP="0036191D">
      <w:pPr>
        <w:spacing w:after="0" w:line="276" w:lineRule="auto"/>
        <w:rPr>
          <w:rFonts w:asciiTheme="majorHAnsi" w:hAnsiTheme="majorHAnsi" w:cstheme="majorHAnsi"/>
          <w:b/>
          <w:color w:val="00B050"/>
          <w:sz w:val="24"/>
          <w:szCs w:val="24"/>
          <w:u w:val="single"/>
        </w:rPr>
      </w:pPr>
      <w:r w:rsidRPr="00EF5638">
        <w:rPr>
          <w:rFonts w:asciiTheme="majorHAnsi" w:hAnsiTheme="majorHAnsi" w:cstheme="majorHAnsi"/>
          <w:b/>
          <w:color w:val="00B050"/>
          <w:sz w:val="24"/>
          <w:szCs w:val="24"/>
          <w:u w:val="single"/>
        </w:rPr>
        <w:t>Response:</w:t>
      </w:r>
    </w:p>
    <w:p w:rsidR="0016016B" w:rsidRPr="00941AB7" w:rsidRDefault="0016016B" w:rsidP="0036191D">
      <w:pPr>
        <w:spacing w:after="0" w:line="276" w:lineRule="auto"/>
        <w:rPr>
          <w:rFonts w:asciiTheme="majorHAnsi" w:hAnsiTheme="majorHAnsi" w:cstheme="majorHAnsi"/>
          <w:color w:val="00B050"/>
          <w:sz w:val="24"/>
          <w:szCs w:val="24"/>
        </w:rPr>
      </w:pPr>
    </w:p>
    <w:p w:rsidR="0016016B" w:rsidRPr="00942B5A" w:rsidRDefault="0016016B" w:rsidP="0036191D">
      <w:pPr>
        <w:spacing w:after="0" w:line="276" w:lineRule="auto"/>
        <w:rPr>
          <w:rFonts w:asciiTheme="majorHAnsi" w:hAnsiTheme="majorHAnsi" w:cstheme="majorHAnsi"/>
          <w:b/>
          <w:color w:val="00B050"/>
          <w:sz w:val="24"/>
          <w:szCs w:val="24"/>
        </w:rPr>
      </w:pPr>
      <w:r w:rsidRPr="00942B5A">
        <w:rPr>
          <w:rFonts w:asciiTheme="majorHAnsi" w:hAnsiTheme="majorHAnsi" w:cstheme="majorHAnsi"/>
          <w:b/>
          <w:color w:val="00B050"/>
          <w:sz w:val="24"/>
          <w:szCs w:val="24"/>
        </w:rPr>
        <w:t>The updated UTRs will have no effect on the COP calculations since SLHI is charged by Hydro One under the Sub-Transmission rate class. Hydro One’s 2018 rate application is still underway so the new 2018 rates have not been determined at this time.</w:t>
      </w:r>
    </w:p>
    <w:p w:rsidR="0016016B" w:rsidRPr="00942B5A" w:rsidRDefault="0016016B" w:rsidP="0036191D">
      <w:pPr>
        <w:spacing w:after="0" w:line="276" w:lineRule="auto"/>
        <w:rPr>
          <w:rFonts w:asciiTheme="majorHAnsi" w:hAnsiTheme="majorHAnsi" w:cstheme="majorHAnsi"/>
          <w:b/>
          <w:color w:val="00B050"/>
          <w:sz w:val="24"/>
          <w:szCs w:val="24"/>
        </w:rPr>
      </w:pPr>
    </w:p>
    <w:p w:rsidR="0016016B" w:rsidRPr="00942B5A" w:rsidRDefault="0016016B" w:rsidP="0036191D">
      <w:pPr>
        <w:spacing w:after="0" w:line="276" w:lineRule="auto"/>
        <w:rPr>
          <w:rFonts w:asciiTheme="majorHAnsi" w:hAnsiTheme="majorHAnsi" w:cstheme="majorHAnsi"/>
          <w:b/>
          <w:color w:val="00B050"/>
          <w:sz w:val="24"/>
          <w:szCs w:val="24"/>
        </w:rPr>
      </w:pPr>
      <w:r w:rsidRPr="00942B5A">
        <w:rPr>
          <w:rFonts w:asciiTheme="majorHAnsi" w:hAnsiTheme="majorHAnsi" w:cstheme="majorHAnsi"/>
          <w:b/>
          <w:color w:val="00B050"/>
          <w:sz w:val="24"/>
          <w:szCs w:val="24"/>
        </w:rPr>
        <w:t>The spreadsheet was corrected for the breakdown of the Non-RPP and also to include the 2 Tier RPP rates for those General Service &gt; 50 and street lighting customers that are not on TOU.</w:t>
      </w:r>
    </w:p>
    <w:p w:rsidR="00503BB8" w:rsidRPr="0036191D" w:rsidRDefault="00503BB8" w:rsidP="0036191D">
      <w:pPr>
        <w:spacing w:line="276" w:lineRule="auto"/>
        <w:rPr>
          <w:rFonts w:asciiTheme="majorHAnsi" w:hAnsiTheme="majorHAnsi" w:cstheme="majorHAnsi"/>
          <w:sz w:val="24"/>
          <w:szCs w:val="24"/>
        </w:rPr>
      </w:pPr>
    </w:p>
    <w:p w:rsidR="00503BB8" w:rsidRPr="00503BB8" w:rsidRDefault="00503BB8" w:rsidP="00A47F49">
      <w:pPr>
        <w:spacing w:after="0" w:line="276" w:lineRule="auto"/>
        <w:rPr>
          <w:rFonts w:asciiTheme="majorHAnsi" w:hAnsiTheme="majorHAnsi" w:cstheme="majorHAnsi"/>
          <w:sz w:val="24"/>
          <w:szCs w:val="24"/>
          <w:u w:val="single"/>
        </w:rPr>
      </w:pPr>
      <w:r w:rsidRPr="00503BB8">
        <w:rPr>
          <w:rFonts w:asciiTheme="majorHAnsi" w:hAnsiTheme="majorHAnsi" w:cstheme="majorHAnsi"/>
          <w:sz w:val="24"/>
          <w:szCs w:val="24"/>
          <w:u w:val="single"/>
        </w:rPr>
        <w:t>DSP &amp; CAPEX (Exhibit 2)</w:t>
      </w:r>
    </w:p>
    <w:p w:rsidR="00503BB8" w:rsidRPr="00503BB8" w:rsidRDefault="00503BB8" w:rsidP="00A47F49">
      <w:pPr>
        <w:pStyle w:val="ListParagraph"/>
        <w:spacing w:line="276" w:lineRule="auto"/>
        <w:rPr>
          <w:rFonts w:asciiTheme="majorHAnsi" w:hAnsiTheme="majorHAnsi" w:cstheme="majorHAnsi"/>
          <w:sz w:val="24"/>
          <w:szCs w:val="24"/>
        </w:rPr>
      </w:pPr>
    </w:p>
    <w:p w:rsidR="0036191D" w:rsidRDefault="0036191D" w:rsidP="0036191D">
      <w:pPr>
        <w:pStyle w:val="ListParagraph"/>
        <w:numPr>
          <w:ilvl w:val="0"/>
          <w:numId w:val="5"/>
        </w:numPr>
        <w:spacing w:line="276" w:lineRule="auto"/>
        <w:rPr>
          <w:rFonts w:asciiTheme="majorHAnsi" w:hAnsiTheme="majorHAnsi" w:cstheme="majorHAnsi"/>
          <w:sz w:val="24"/>
          <w:szCs w:val="24"/>
          <w:lang w:eastAsia="en-CA"/>
        </w:rPr>
      </w:pPr>
      <w:r w:rsidRPr="00570D42">
        <w:rPr>
          <w:rFonts w:asciiTheme="majorHAnsi" w:hAnsiTheme="majorHAnsi" w:cstheme="majorHAnsi"/>
          <w:sz w:val="24"/>
          <w:szCs w:val="24"/>
          <w:lang w:eastAsia="en-CA"/>
        </w:rPr>
        <w:t xml:space="preserve">Please provide plan vs. actual CAPEX variances for the years 2014-2016 in the same manner as was provided for 2013 (at Ex. 2 / p. 31). </w:t>
      </w:r>
    </w:p>
    <w:p w:rsidR="0036191D" w:rsidRDefault="0036191D" w:rsidP="0036191D">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Response:</w:t>
      </w:r>
    </w:p>
    <w:p w:rsidR="0036191D" w:rsidRPr="00CE1788" w:rsidRDefault="0036191D" w:rsidP="0036191D">
      <w:pPr>
        <w:spacing w:line="276" w:lineRule="auto"/>
        <w:rPr>
          <w:rFonts w:asciiTheme="majorHAnsi" w:hAnsiTheme="majorHAnsi" w:cstheme="majorHAnsi"/>
          <w:color w:val="C00000"/>
          <w:sz w:val="24"/>
          <w:szCs w:val="24"/>
          <w:lang w:eastAsia="en-CA"/>
        </w:rPr>
      </w:pPr>
      <w:r>
        <w:rPr>
          <w:rFonts w:asciiTheme="majorHAnsi" w:hAnsiTheme="majorHAnsi" w:cstheme="majorHAnsi"/>
          <w:color w:val="C00000"/>
          <w:sz w:val="24"/>
          <w:szCs w:val="24"/>
          <w:lang w:eastAsia="en-CA"/>
        </w:rPr>
        <w:t>I believe these variances are illustrated in Table 2-24 on page 27 of Exhibit 2 and on page 56 of Appendix 2A (DSP) Table 24, under 5.4.1.4 total Capital Cost.</w:t>
      </w:r>
    </w:p>
    <w:p w:rsidR="0036191D" w:rsidRDefault="0036191D" w:rsidP="0036191D">
      <w:pPr>
        <w:spacing w:after="0" w:line="276" w:lineRule="auto"/>
        <w:rPr>
          <w:rFonts w:asciiTheme="majorHAnsi" w:hAnsiTheme="majorHAnsi" w:cstheme="majorHAnsi"/>
          <w:color w:val="4472C4" w:themeColor="accent5"/>
          <w:sz w:val="24"/>
          <w:szCs w:val="24"/>
        </w:rPr>
      </w:pPr>
      <w:r w:rsidRPr="0036191D">
        <w:rPr>
          <w:rFonts w:asciiTheme="majorHAnsi" w:hAnsiTheme="majorHAnsi" w:cstheme="majorHAnsi"/>
          <w:color w:val="4472C4" w:themeColor="accent5"/>
          <w:sz w:val="24"/>
          <w:szCs w:val="24"/>
        </w:rPr>
        <w:t>Follow-up Question:</w:t>
      </w:r>
      <w:r>
        <w:rPr>
          <w:rFonts w:asciiTheme="majorHAnsi" w:hAnsiTheme="majorHAnsi" w:cstheme="majorHAnsi"/>
          <w:color w:val="4472C4" w:themeColor="accent5"/>
          <w:sz w:val="24"/>
          <w:szCs w:val="24"/>
        </w:rPr>
        <w:t xml:space="preserve"> </w:t>
      </w:r>
    </w:p>
    <w:p w:rsidR="0036191D" w:rsidRDefault="0036191D" w:rsidP="0036191D">
      <w:pPr>
        <w:spacing w:after="0" w:line="276" w:lineRule="auto"/>
        <w:rPr>
          <w:rFonts w:asciiTheme="majorHAnsi" w:hAnsiTheme="majorHAnsi" w:cstheme="majorHAnsi"/>
          <w:color w:val="4472C4" w:themeColor="accent5"/>
          <w:sz w:val="24"/>
          <w:szCs w:val="24"/>
        </w:rPr>
      </w:pPr>
    </w:p>
    <w:p w:rsidR="0036191D" w:rsidRDefault="0036191D" w:rsidP="0036191D">
      <w:pPr>
        <w:spacing w:after="0"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OEB staff was originally seeking a written description of the CAPEX variance analysis and this continues to be requested. </w:t>
      </w:r>
    </w:p>
    <w:p w:rsidR="00A6331E" w:rsidRDefault="00A6331E" w:rsidP="0036191D">
      <w:pPr>
        <w:spacing w:after="0" w:line="276" w:lineRule="auto"/>
        <w:rPr>
          <w:rFonts w:asciiTheme="majorHAnsi" w:hAnsiTheme="majorHAnsi" w:cstheme="majorHAnsi"/>
          <w:color w:val="4472C4" w:themeColor="accent5"/>
          <w:sz w:val="24"/>
          <w:szCs w:val="24"/>
        </w:rPr>
      </w:pPr>
    </w:p>
    <w:p w:rsidR="00A6331E" w:rsidRPr="00A6331E" w:rsidRDefault="00A6331E" w:rsidP="0036191D">
      <w:pPr>
        <w:spacing w:after="0" w:line="276" w:lineRule="auto"/>
        <w:rPr>
          <w:rFonts w:asciiTheme="majorHAnsi" w:hAnsiTheme="majorHAnsi" w:cstheme="majorHAnsi"/>
          <w:b/>
          <w:color w:val="00B050"/>
          <w:sz w:val="24"/>
          <w:szCs w:val="24"/>
          <w:u w:val="single"/>
        </w:rPr>
      </w:pPr>
      <w:r w:rsidRPr="00A6331E">
        <w:rPr>
          <w:rFonts w:asciiTheme="majorHAnsi" w:hAnsiTheme="majorHAnsi" w:cstheme="majorHAnsi"/>
          <w:b/>
          <w:color w:val="00B050"/>
          <w:sz w:val="24"/>
          <w:szCs w:val="24"/>
          <w:u w:val="single"/>
        </w:rPr>
        <w:t>Response:</w:t>
      </w:r>
    </w:p>
    <w:p w:rsidR="00A6331E" w:rsidRDefault="00A6331E" w:rsidP="0036191D">
      <w:pPr>
        <w:spacing w:after="0" w:line="276" w:lineRule="auto"/>
        <w:rPr>
          <w:rFonts w:asciiTheme="majorHAnsi" w:hAnsiTheme="majorHAnsi" w:cstheme="majorHAnsi"/>
          <w:color w:val="00B050"/>
          <w:sz w:val="24"/>
          <w:szCs w:val="24"/>
        </w:rPr>
      </w:pPr>
      <w:r w:rsidRPr="00A6331E">
        <w:rPr>
          <w:noProof/>
          <w:lang w:val="en-CA" w:eastAsia="en-CA"/>
        </w:rPr>
        <w:drawing>
          <wp:inline distT="0" distB="0" distL="0" distR="0">
            <wp:extent cx="4791075" cy="2524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1075" cy="2524125"/>
                    </a:xfrm>
                    <a:prstGeom prst="rect">
                      <a:avLst/>
                    </a:prstGeom>
                    <a:noFill/>
                    <a:ln>
                      <a:noFill/>
                    </a:ln>
                  </pic:spPr>
                </pic:pic>
              </a:graphicData>
            </a:graphic>
          </wp:inline>
        </w:drawing>
      </w:r>
    </w:p>
    <w:p w:rsidR="00A6331E" w:rsidRPr="00A6331E" w:rsidRDefault="00A6331E" w:rsidP="0036191D">
      <w:pPr>
        <w:spacing w:after="0" w:line="276" w:lineRule="auto"/>
        <w:rPr>
          <w:rFonts w:asciiTheme="majorHAnsi" w:hAnsiTheme="majorHAnsi" w:cstheme="majorHAnsi"/>
          <w:b/>
          <w:color w:val="00B050"/>
          <w:sz w:val="24"/>
          <w:szCs w:val="24"/>
        </w:rPr>
      </w:pPr>
      <w:r w:rsidRPr="00A6331E">
        <w:rPr>
          <w:rFonts w:asciiTheme="majorHAnsi" w:hAnsiTheme="majorHAnsi" w:cstheme="majorHAnsi"/>
          <w:b/>
          <w:color w:val="00B050"/>
          <w:sz w:val="24"/>
          <w:szCs w:val="24"/>
        </w:rPr>
        <w:t>From the DSP page 73:</w:t>
      </w:r>
    </w:p>
    <w:p w:rsidR="00A6331E" w:rsidRPr="00A6331E" w:rsidRDefault="00A6331E" w:rsidP="0036191D">
      <w:pPr>
        <w:spacing w:after="0" w:line="276" w:lineRule="auto"/>
        <w:rPr>
          <w:rFonts w:asciiTheme="majorHAnsi" w:hAnsiTheme="majorHAnsi" w:cstheme="majorHAnsi"/>
          <w:color w:val="00B050"/>
          <w:sz w:val="24"/>
          <w:szCs w:val="24"/>
        </w:rPr>
      </w:pPr>
    </w:p>
    <w:p w:rsidR="00A6331E" w:rsidRDefault="00A6331E" w:rsidP="00A6331E">
      <w:pPr>
        <w:spacing w:after="0" w:line="240" w:lineRule="auto"/>
        <w:rPr>
          <w:rFonts w:ascii="Calibri" w:eastAsia="Times New Roman" w:hAnsi="Calibri" w:cs="Times New Roman"/>
          <w:b/>
          <w:color w:val="00B050"/>
          <w:lang w:eastAsia="en-CA"/>
        </w:rPr>
      </w:pPr>
      <w:r w:rsidRPr="00A6331E">
        <w:rPr>
          <w:rFonts w:ascii="Calibri" w:eastAsia="Times New Roman" w:hAnsi="Calibri" w:cs="Times New Roman"/>
          <w:b/>
          <w:color w:val="00B050"/>
          <w:lang w:eastAsia="en-CA"/>
        </w:rPr>
        <w:t xml:space="preserve">In 2014 SLHI budgeted $37,000 for System Service to complete the South Shore Drive conversion and replace some overhead primary with underground in a heavily wooded area on Hwy 72. However, the South Shore Drive project was cancelled since there was uncertainty about the primary submarine cable feeding the area as it was installed by Hydro One. There was a risk that the cable would blow if the voltage was doubled, and there was no way to measure the capacity at that time. Also, it was determined that the Hwy 72 Primary U/G project was not feasible after determining that the existing poles were still in good condition and the bobcat was used to clear the line sufficient to reduce the </w:t>
      </w:r>
      <w:r w:rsidRPr="00A6331E">
        <w:rPr>
          <w:rFonts w:ascii="Calibri" w:eastAsia="Times New Roman" w:hAnsi="Calibri" w:cs="Times New Roman"/>
          <w:b/>
          <w:color w:val="00B050"/>
          <w:lang w:eastAsia="en-CA"/>
        </w:rPr>
        <w:lastRenderedPageBreak/>
        <w:t>risk of power outages. Therefore, there was no capital spent on System Service in 2014, with more capital allocated to pole replacements.</w:t>
      </w:r>
    </w:p>
    <w:p w:rsidR="00A6331E" w:rsidRDefault="00A6331E" w:rsidP="00A6331E">
      <w:pPr>
        <w:spacing w:after="0" w:line="240" w:lineRule="auto"/>
        <w:rPr>
          <w:rFonts w:ascii="Calibri" w:eastAsia="Times New Roman" w:hAnsi="Calibri" w:cs="Times New Roman"/>
          <w:b/>
          <w:color w:val="00B050"/>
          <w:lang w:eastAsia="en-CA"/>
        </w:rPr>
      </w:pPr>
    </w:p>
    <w:p w:rsidR="00A6331E" w:rsidRDefault="00A6331E" w:rsidP="00A6331E">
      <w:pPr>
        <w:spacing w:after="0" w:line="240" w:lineRule="auto"/>
        <w:rPr>
          <w:rFonts w:ascii="Calibri" w:eastAsia="Times New Roman" w:hAnsi="Calibri" w:cs="Times New Roman"/>
          <w:b/>
          <w:color w:val="00B050"/>
          <w:lang w:eastAsia="en-CA"/>
        </w:rPr>
      </w:pPr>
      <w:r w:rsidRPr="00A6331E">
        <w:rPr>
          <w:noProof/>
          <w:lang w:val="en-CA" w:eastAsia="en-CA"/>
        </w:rPr>
        <w:drawing>
          <wp:inline distT="0" distB="0" distL="0" distR="0">
            <wp:extent cx="4791075" cy="2714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075" cy="2714625"/>
                    </a:xfrm>
                    <a:prstGeom prst="rect">
                      <a:avLst/>
                    </a:prstGeom>
                    <a:noFill/>
                    <a:ln>
                      <a:noFill/>
                    </a:ln>
                  </pic:spPr>
                </pic:pic>
              </a:graphicData>
            </a:graphic>
          </wp:inline>
        </w:drawing>
      </w:r>
    </w:p>
    <w:p w:rsidR="00A6331E" w:rsidRDefault="00A6331E" w:rsidP="00A6331E">
      <w:pPr>
        <w:spacing w:after="0" w:line="240" w:lineRule="auto"/>
        <w:rPr>
          <w:rFonts w:ascii="Calibri" w:eastAsia="Times New Roman" w:hAnsi="Calibri" w:cs="Times New Roman"/>
          <w:b/>
          <w:color w:val="00B050"/>
          <w:lang w:eastAsia="en-CA"/>
        </w:rPr>
      </w:pPr>
    </w:p>
    <w:p w:rsidR="00A6331E" w:rsidRDefault="00A6331E" w:rsidP="00A6331E">
      <w:pPr>
        <w:spacing w:after="0" w:line="240" w:lineRule="auto"/>
        <w:rPr>
          <w:rFonts w:ascii="Calibri" w:eastAsia="Times New Roman" w:hAnsi="Calibri" w:cs="Times New Roman"/>
          <w:b/>
          <w:color w:val="00B050"/>
          <w:lang w:eastAsia="en-CA"/>
        </w:rPr>
      </w:pPr>
      <w:r>
        <w:rPr>
          <w:rFonts w:ascii="Calibri" w:eastAsia="Times New Roman" w:hAnsi="Calibri" w:cs="Times New Roman"/>
          <w:b/>
          <w:color w:val="00B050"/>
          <w:lang w:eastAsia="en-CA"/>
        </w:rPr>
        <w:t xml:space="preserve">General Upgrades were under-budgeted for 2015, however the </w:t>
      </w:r>
      <w:proofErr w:type="spellStart"/>
      <w:r>
        <w:rPr>
          <w:rFonts w:ascii="Calibri" w:eastAsia="Times New Roman" w:hAnsi="Calibri" w:cs="Times New Roman"/>
          <w:b/>
          <w:color w:val="00B050"/>
          <w:lang w:eastAsia="en-CA"/>
        </w:rPr>
        <w:t>Winoga</w:t>
      </w:r>
      <w:proofErr w:type="spellEnd"/>
      <w:r>
        <w:rPr>
          <w:rFonts w:ascii="Calibri" w:eastAsia="Times New Roman" w:hAnsi="Calibri" w:cs="Times New Roman"/>
          <w:b/>
          <w:color w:val="00B050"/>
          <w:lang w:eastAsia="en-CA"/>
        </w:rPr>
        <w:t xml:space="preserve"> Submarine Cable was completed under-budget as explained in the DSP on page 72, </w:t>
      </w:r>
      <w:proofErr w:type="gramStart"/>
      <w:r>
        <w:rPr>
          <w:rFonts w:ascii="Calibri" w:eastAsia="Times New Roman" w:hAnsi="Calibri" w:cs="Times New Roman"/>
          <w:b/>
          <w:color w:val="00B050"/>
          <w:lang w:eastAsia="en-CA"/>
        </w:rPr>
        <w:t>as</w:t>
      </w:r>
      <w:proofErr w:type="gramEnd"/>
      <w:r>
        <w:rPr>
          <w:rFonts w:ascii="Calibri" w:eastAsia="Times New Roman" w:hAnsi="Calibri" w:cs="Times New Roman"/>
          <w:b/>
          <w:color w:val="00B050"/>
          <w:lang w:eastAsia="en-CA"/>
        </w:rPr>
        <w:t xml:space="preserve"> well the Rear Front Street project, F2 Blue Phase </w:t>
      </w:r>
      <w:proofErr w:type="spellStart"/>
      <w:r>
        <w:rPr>
          <w:rFonts w:ascii="Calibri" w:eastAsia="Times New Roman" w:hAnsi="Calibri" w:cs="Times New Roman"/>
          <w:b/>
          <w:color w:val="00B050"/>
          <w:lang w:eastAsia="en-CA"/>
        </w:rPr>
        <w:t>Reconductoring</w:t>
      </w:r>
      <w:proofErr w:type="spellEnd"/>
      <w:r>
        <w:rPr>
          <w:rFonts w:ascii="Calibri" w:eastAsia="Times New Roman" w:hAnsi="Calibri" w:cs="Times New Roman"/>
          <w:b/>
          <w:color w:val="00B050"/>
          <w:lang w:eastAsia="en-CA"/>
        </w:rPr>
        <w:t xml:space="preserve"> and new connection all came in under-budget offsetting this which resulted in a total variance of $(5,432) Actual to Budgeted.</w:t>
      </w:r>
    </w:p>
    <w:p w:rsidR="00747F5B" w:rsidRDefault="00747F5B" w:rsidP="00A6331E">
      <w:pPr>
        <w:spacing w:after="0" w:line="240" w:lineRule="auto"/>
        <w:rPr>
          <w:rFonts w:ascii="Calibri" w:eastAsia="Times New Roman" w:hAnsi="Calibri" w:cs="Times New Roman"/>
          <w:b/>
          <w:color w:val="00B050"/>
          <w:lang w:eastAsia="en-CA"/>
        </w:rPr>
      </w:pPr>
    </w:p>
    <w:p w:rsidR="00747F5B" w:rsidRDefault="00747F5B" w:rsidP="00A6331E">
      <w:pPr>
        <w:spacing w:after="0" w:line="240" w:lineRule="auto"/>
        <w:rPr>
          <w:rFonts w:ascii="Calibri" w:eastAsia="Times New Roman" w:hAnsi="Calibri" w:cs="Times New Roman"/>
          <w:b/>
          <w:color w:val="00B050"/>
          <w:lang w:eastAsia="en-CA"/>
        </w:rPr>
      </w:pPr>
      <w:r w:rsidRPr="00747F5B">
        <w:rPr>
          <w:noProof/>
          <w:lang w:val="en-CA" w:eastAsia="en-CA"/>
        </w:rPr>
        <w:drawing>
          <wp:inline distT="0" distB="0" distL="0" distR="0">
            <wp:extent cx="4791075" cy="1952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91075" cy="1952625"/>
                    </a:xfrm>
                    <a:prstGeom prst="rect">
                      <a:avLst/>
                    </a:prstGeom>
                    <a:noFill/>
                    <a:ln>
                      <a:noFill/>
                    </a:ln>
                  </pic:spPr>
                </pic:pic>
              </a:graphicData>
            </a:graphic>
          </wp:inline>
        </w:drawing>
      </w:r>
    </w:p>
    <w:p w:rsidR="00747F5B" w:rsidRDefault="00747F5B" w:rsidP="00A6331E">
      <w:pPr>
        <w:spacing w:after="0" w:line="240" w:lineRule="auto"/>
        <w:rPr>
          <w:rFonts w:ascii="Calibri" w:eastAsia="Times New Roman" w:hAnsi="Calibri" w:cs="Times New Roman"/>
          <w:b/>
          <w:color w:val="00B050"/>
          <w:lang w:eastAsia="en-CA"/>
        </w:rPr>
      </w:pPr>
      <w:r>
        <w:rPr>
          <w:rFonts w:ascii="Calibri" w:eastAsia="Times New Roman" w:hAnsi="Calibri" w:cs="Times New Roman"/>
          <w:b/>
          <w:color w:val="00B050"/>
          <w:lang w:eastAsia="en-CA"/>
        </w:rPr>
        <w:t>General Upgrades were again under-budgeted for 2016. The 2018 to 2020 Capital Expenditure Plan includes amounts for General Upgrades and New Connections based on historical actual spending as these are customer driven and difficult to estimate.</w:t>
      </w:r>
    </w:p>
    <w:p w:rsidR="00747F5B" w:rsidRDefault="00747F5B" w:rsidP="00A6331E">
      <w:pPr>
        <w:spacing w:after="0" w:line="240" w:lineRule="auto"/>
        <w:rPr>
          <w:rFonts w:ascii="Calibri" w:eastAsia="Times New Roman" w:hAnsi="Calibri" w:cs="Times New Roman"/>
          <w:b/>
          <w:color w:val="00B050"/>
          <w:lang w:eastAsia="en-CA"/>
        </w:rPr>
      </w:pPr>
    </w:p>
    <w:p w:rsidR="00747F5B" w:rsidRDefault="00747F5B" w:rsidP="00A6331E">
      <w:pPr>
        <w:spacing w:after="0" w:line="240" w:lineRule="auto"/>
        <w:rPr>
          <w:rFonts w:ascii="Calibri" w:eastAsia="Times New Roman" w:hAnsi="Calibri" w:cs="Times New Roman"/>
          <w:b/>
          <w:color w:val="00B050"/>
          <w:lang w:eastAsia="en-CA"/>
        </w:rPr>
      </w:pPr>
      <w:r>
        <w:rPr>
          <w:rFonts w:ascii="Calibri" w:eastAsia="Times New Roman" w:hAnsi="Calibri" w:cs="Times New Roman"/>
          <w:b/>
          <w:color w:val="00B050"/>
          <w:lang w:eastAsia="en-CA"/>
        </w:rPr>
        <w:t>From page 74 of the DSP:</w:t>
      </w:r>
    </w:p>
    <w:p w:rsidR="00747F5B" w:rsidRPr="00747F5B" w:rsidRDefault="00747F5B" w:rsidP="00747F5B">
      <w:pPr>
        <w:rPr>
          <w:b/>
          <w:color w:val="00B050"/>
        </w:rPr>
      </w:pPr>
      <w:r w:rsidRPr="00747F5B">
        <w:rPr>
          <w:b/>
          <w:color w:val="00B050"/>
        </w:rPr>
        <w:t>In 2016 SLHI budgeted $25,000 for pole replacements, however once the pole testing equipment and program was implemented in response to the ACA, SLHI identified a number of poles which required replacement in a timely manner. Therefore the actual amount spent on pole replacements was $76,244 and increased the amount spent on System Renewal.</w:t>
      </w:r>
    </w:p>
    <w:p w:rsidR="00747F5B" w:rsidRPr="00A6331E" w:rsidRDefault="00747F5B" w:rsidP="00A6331E">
      <w:pPr>
        <w:spacing w:after="0" w:line="240" w:lineRule="auto"/>
        <w:rPr>
          <w:rFonts w:ascii="Calibri" w:eastAsia="Times New Roman" w:hAnsi="Calibri" w:cs="Times New Roman"/>
          <w:b/>
          <w:color w:val="00B050"/>
          <w:lang w:eastAsia="en-CA"/>
        </w:rPr>
      </w:pPr>
    </w:p>
    <w:p w:rsidR="0036191D" w:rsidRDefault="0036191D" w:rsidP="0036191D">
      <w:pPr>
        <w:spacing w:line="276" w:lineRule="auto"/>
        <w:rPr>
          <w:rFonts w:asciiTheme="majorHAnsi" w:hAnsiTheme="majorHAnsi" w:cstheme="majorHAnsi"/>
          <w:sz w:val="24"/>
          <w:szCs w:val="24"/>
        </w:rPr>
      </w:pPr>
    </w:p>
    <w:p w:rsidR="000E3EFC" w:rsidRDefault="000E3EFC" w:rsidP="000E3EFC">
      <w:pPr>
        <w:pStyle w:val="ListParagraph"/>
        <w:numPr>
          <w:ilvl w:val="0"/>
          <w:numId w:val="5"/>
        </w:numPr>
        <w:spacing w:line="276" w:lineRule="auto"/>
        <w:rPr>
          <w:rFonts w:asciiTheme="majorHAnsi" w:hAnsiTheme="majorHAnsi" w:cstheme="majorHAnsi"/>
          <w:sz w:val="24"/>
          <w:szCs w:val="24"/>
        </w:rPr>
      </w:pPr>
      <w:r>
        <w:rPr>
          <w:rFonts w:asciiTheme="majorHAnsi" w:hAnsiTheme="majorHAnsi" w:cstheme="majorHAnsi"/>
          <w:sz w:val="24"/>
          <w:szCs w:val="24"/>
        </w:rPr>
        <w:t>2013 bucket truck replacement in 2020 – Additional rationale required with respect to the need to replace a bucket truck that will be 7 years old in 2020. Detailed breakdown regarding annual maintenance costs in the recent years and 2017 year to date.</w:t>
      </w:r>
    </w:p>
    <w:p w:rsidR="000E3EFC" w:rsidRDefault="000E3EFC" w:rsidP="000E3EFC">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0E3EFC" w:rsidRDefault="000E3EFC" w:rsidP="000E3EFC">
      <w:pPr>
        <w:spacing w:line="276" w:lineRule="auto"/>
        <w:ind w:left="360"/>
        <w:rPr>
          <w:rFonts w:asciiTheme="majorHAnsi" w:hAnsiTheme="majorHAnsi" w:cstheme="majorHAnsi"/>
          <w:color w:val="FF0000"/>
          <w:sz w:val="24"/>
          <w:szCs w:val="24"/>
        </w:rPr>
      </w:pPr>
      <w:r w:rsidRPr="0037764D">
        <w:rPr>
          <w:rFonts w:asciiTheme="majorHAnsi" w:hAnsiTheme="majorHAnsi" w:cstheme="majorHAnsi"/>
          <w:color w:val="FF0000"/>
          <w:sz w:val="24"/>
          <w:szCs w:val="24"/>
        </w:rPr>
        <w:t xml:space="preserve">The bucket truck has been budgeted to be replaced in 2020. The factors that have contributed to this decision are, first, it is a leased vehicle and the lease is a 7 year lease. Second, there is an option to buy the truck at the end of the lease, however there have been issues with the truck since day one. Currently the plan is to replace the truck in 2020, however this will be re-evaluated in 2019 based on the truck’s forecasted maintenance costs. A factor that contributes to the cost for maintenance is that the closest service </w:t>
      </w:r>
      <w:proofErr w:type="spellStart"/>
      <w:r w:rsidRPr="0037764D">
        <w:rPr>
          <w:rFonts w:asciiTheme="majorHAnsi" w:hAnsiTheme="majorHAnsi" w:cstheme="majorHAnsi"/>
          <w:color w:val="FF0000"/>
          <w:sz w:val="24"/>
          <w:szCs w:val="24"/>
        </w:rPr>
        <w:t>centre</w:t>
      </w:r>
      <w:proofErr w:type="spellEnd"/>
      <w:r w:rsidRPr="0037764D">
        <w:rPr>
          <w:rFonts w:asciiTheme="majorHAnsi" w:hAnsiTheme="majorHAnsi" w:cstheme="majorHAnsi"/>
          <w:color w:val="FF0000"/>
          <w:sz w:val="24"/>
          <w:szCs w:val="24"/>
        </w:rPr>
        <w:t xml:space="preserve"> for t</w:t>
      </w:r>
      <w:r>
        <w:rPr>
          <w:rFonts w:asciiTheme="majorHAnsi" w:hAnsiTheme="majorHAnsi" w:cstheme="majorHAnsi"/>
          <w:color w:val="FF0000"/>
          <w:sz w:val="24"/>
          <w:szCs w:val="24"/>
        </w:rPr>
        <w:t>he truck is 5 hours away. Therefore, in order to have something repaired we have to pay for the mechanic to travel to Sioux Lookout, or send the truck to Winnipeg, leaving us without a truck in case of emergencies. This risk is offset somewhat since we can use our line truck as a bucket truck if needed.</w:t>
      </w:r>
    </w:p>
    <w:p w:rsidR="000E3EFC" w:rsidRDefault="000E3EFC" w:rsidP="000E3EFC">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A detailed breakdown of costs from 2015 to 2017 is below:</w:t>
      </w:r>
    </w:p>
    <w:p w:rsidR="000E3EFC" w:rsidRDefault="000E3EFC" w:rsidP="000E3EFC">
      <w:pPr>
        <w:spacing w:line="276" w:lineRule="auto"/>
        <w:ind w:left="360"/>
        <w:rPr>
          <w:rFonts w:asciiTheme="majorHAnsi" w:hAnsiTheme="majorHAnsi" w:cstheme="majorHAnsi"/>
          <w:color w:val="FF0000"/>
          <w:sz w:val="24"/>
          <w:szCs w:val="24"/>
        </w:rPr>
      </w:pPr>
      <w:r w:rsidRPr="00EB2554">
        <w:rPr>
          <w:noProof/>
          <w:lang w:val="en-CA" w:eastAsia="en-CA"/>
        </w:rPr>
        <w:drawing>
          <wp:inline distT="0" distB="0" distL="0" distR="0" wp14:anchorId="164A38B5" wp14:editId="386E2922">
            <wp:extent cx="4562475" cy="2105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2475" cy="2105025"/>
                    </a:xfrm>
                    <a:prstGeom prst="rect">
                      <a:avLst/>
                    </a:prstGeom>
                    <a:noFill/>
                    <a:ln>
                      <a:noFill/>
                    </a:ln>
                  </pic:spPr>
                </pic:pic>
              </a:graphicData>
            </a:graphic>
          </wp:inline>
        </w:drawing>
      </w:r>
    </w:p>
    <w:p w:rsidR="000E3EFC" w:rsidRDefault="000E3EFC" w:rsidP="000E3EFC">
      <w:pPr>
        <w:spacing w:line="276" w:lineRule="auto"/>
        <w:ind w:left="360"/>
        <w:rPr>
          <w:rFonts w:asciiTheme="majorHAnsi" w:hAnsiTheme="majorHAnsi" w:cstheme="majorHAnsi"/>
          <w:color w:val="FF0000"/>
          <w:sz w:val="24"/>
          <w:szCs w:val="24"/>
        </w:rPr>
      </w:pPr>
      <w:r w:rsidRPr="00EB2554">
        <w:rPr>
          <w:noProof/>
          <w:lang w:val="en-CA" w:eastAsia="en-CA"/>
        </w:rPr>
        <w:lastRenderedPageBreak/>
        <w:drawing>
          <wp:inline distT="0" distB="0" distL="0" distR="0" wp14:anchorId="752CCBB9" wp14:editId="52907842">
            <wp:extent cx="4562475" cy="3248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2475" cy="3248025"/>
                    </a:xfrm>
                    <a:prstGeom prst="rect">
                      <a:avLst/>
                    </a:prstGeom>
                    <a:noFill/>
                    <a:ln>
                      <a:noFill/>
                    </a:ln>
                  </pic:spPr>
                </pic:pic>
              </a:graphicData>
            </a:graphic>
          </wp:inline>
        </w:drawing>
      </w:r>
    </w:p>
    <w:p w:rsidR="000E3EFC" w:rsidRDefault="000E3EFC" w:rsidP="000E3EFC">
      <w:pPr>
        <w:spacing w:line="276" w:lineRule="auto"/>
        <w:ind w:left="360"/>
        <w:rPr>
          <w:rFonts w:asciiTheme="majorHAnsi" w:hAnsiTheme="majorHAnsi" w:cstheme="majorHAnsi"/>
          <w:color w:val="FF0000"/>
          <w:sz w:val="24"/>
          <w:szCs w:val="24"/>
        </w:rPr>
      </w:pPr>
      <w:r w:rsidRPr="0037764D">
        <w:rPr>
          <w:noProof/>
          <w:lang w:val="en-CA" w:eastAsia="en-CA"/>
        </w:rPr>
        <w:drawing>
          <wp:inline distT="0" distB="0" distL="0" distR="0" wp14:anchorId="0B626627" wp14:editId="58F5A867">
            <wp:extent cx="4562475" cy="2486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2486025"/>
                    </a:xfrm>
                    <a:prstGeom prst="rect">
                      <a:avLst/>
                    </a:prstGeom>
                    <a:noFill/>
                    <a:ln>
                      <a:noFill/>
                    </a:ln>
                  </pic:spPr>
                </pic:pic>
              </a:graphicData>
            </a:graphic>
          </wp:inline>
        </w:drawing>
      </w:r>
    </w:p>
    <w:p w:rsidR="000E3EFC" w:rsidRPr="009613CF" w:rsidRDefault="000E3EFC" w:rsidP="000E3EFC">
      <w:pPr>
        <w:spacing w:line="276" w:lineRule="auto"/>
        <w:rPr>
          <w:rFonts w:asciiTheme="majorHAnsi" w:hAnsiTheme="majorHAnsi" w:cstheme="majorHAnsi"/>
          <w:color w:val="FF0000"/>
          <w:sz w:val="24"/>
          <w:szCs w:val="24"/>
        </w:rPr>
      </w:pPr>
      <w:r w:rsidRPr="009613CF">
        <w:rPr>
          <w:rFonts w:asciiTheme="majorHAnsi" w:hAnsiTheme="majorHAnsi" w:cstheme="majorHAnsi"/>
          <w:color w:val="FF0000"/>
          <w:sz w:val="24"/>
          <w:szCs w:val="24"/>
        </w:rPr>
        <w:t>*The last amount is estimated, the truck had to be sent to Winnipeg this week for repairs and we have not been invoiced for it yet, however the estimate is based on a quote for the work requested.</w:t>
      </w:r>
    </w:p>
    <w:p w:rsidR="000E3EFC" w:rsidRDefault="000E3EFC" w:rsidP="000E3EFC">
      <w:pPr>
        <w:spacing w:line="276" w:lineRule="auto"/>
        <w:rPr>
          <w:rFonts w:asciiTheme="majorHAnsi" w:hAnsiTheme="majorHAnsi" w:cstheme="majorHAnsi"/>
          <w:color w:val="4472C4" w:themeColor="accent5"/>
          <w:sz w:val="24"/>
          <w:szCs w:val="24"/>
        </w:rPr>
      </w:pPr>
      <w:r w:rsidRPr="0036191D">
        <w:rPr>
          <w:rFonts w:asciiTheme="majorHAnsi" w:hAnsiTheme="majorHAnsi" w:cstheme="majorHAnsi"/>
          <w:color w:val="4472C4" w:themeColor="accent5"/>
          <w:sz w:val="24"/>
          <w:szCs w:val="24"/>
        </w:rPr>
        <w:t>Follow-up Question:</w:t>
      </w:r>
    </w:p>
    <w:p w:rsidR="000E3EFC" w:rsidRDefault="000E3EFC" w:rsidP="000E3EFC">
      <w:pPr>
        <w:pStyle w:val="ListParagraph"/>
        <w:numPr>
          <w:ilvl w:val="0"/>
          <w:numId w:val="36"/>
        </w:numPr>
        <w:spacing w:line="276" w:lineRule="auto"/>
        <w:rPr>
          <w:rFonts w:asciiTheme="majorHAnsi" w:hAnsiTheme="majorHAnsi" w:cstheme="majorHAnsi"/>
          <w:color w:val="4472C4" w:themeColor="accent5"/>
          <w:sz w:val="24"/>
          <w:szCs w:val="24"/>
        </w:rPr>
      </w:pPr>
      <w:r w:rsidRPr="000E3EFC">
        <w:rPr>
          <w:rFonts w:asciiTheme="majorHAnsi" w:hAnsiTheme="majorHAnsi" w:cstheme="majorHAnsi"/>
          <w:color w:val="4472C4" w:themeColor="accent5"/>
          <w:sz w:val="24"/>
          <w:szCs w:val="24"/>
        </w:rPr>
        <w:t xml:space="preserve">Please provide the original cost of lease. </w:t>
      </w:r>
    </w:p>
    <w:p w:rsidR="000E3EFC" w:rsidRDefault="000E3EFC" w:rsidP="000E3EFC">
      <w:pPr>
        <w:pStyle w:val="ListParagraph"/>
        <w:numPr>
          <w:ilvl w:val="0"/>
          <w:numId w:val="36"/>
        </w:num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Please explain how the lease was treated from a ratemaking perspective. </w:t>
      </w:r>
    </w:p>
    <w:p w:rsidR="000E3EFC" w:rsidRPr="000E3EFC" w:rsidRDefault="000E3EFC" w:rsidP="000E3EFC">
      <w:pPr>
        <w:pStyle w:val="ListParagraph"/>
        <w:numPr>
          <w:ilvl w:val="0"/>
          <w:numId w:val="36"/>
        </w:num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Please confirm that the proposal is to purchase the 2020 replacement truck (as opposed to lease). </w:t>
      </w:r>
    </w:p>
    <w:p w:rsidR="000E3EFC" w:rsidRPr="00F13FF0" w:rsidRDefault="00EF1DB1" w:rsidP="000E3EFC">
      <w:pPr>
        <w:spacing w:line="276" w:lineRule="auto"/>
        <w:rPr>
          <w:rFonts w:asciiTheme="majorHAnsi" w:hAnsiTheme="majorHAnsi" w:cstheme="majorHAnsi"/>
          <w:b/>
          <w:color w:val="00B050"/>
          <w:sz w:val="24"/>
          <w:szCs w:val="24"/>
          <w:u w:val="single"/>
        </w:rPr>
      </w:pPr>
      <w:r w:rsidRPr="00F13FF0">
        <w:rPr>
          <w:rFonts w:asciiTheme="majorHAnsi" w:hAnsiTheme="majorHAnsi" w:cstheme="majorHAnsi"/>
          <w:b/>
          <w:sz w:val="24"/>
          <w:szCs w:val="24"/>
          <w:u w:val="single"/>
        </w:rPr>
        <w:t xml:space="preserve"> </w:t>
      </w:r>
      <w:r w:rsidRPr="00F13FF0">
        <w:rPr>
          <w:rFonts w:asciiTheme="majorHAnsi" w:hAnsiTheme="majorHAnsi" w:cstheme="majorHAnsi"/>
          <w:b/>
          <w:color w:val="00B050"/>
          <w:sz w:val="24"/>
          <w:szCs w:val="24"/>
          <w:u w:val="single"/>
        </w:rPr>
        <w:t>Response:</w:t>
      </w:r>
    </w:p>
    <w:p w:rsidR="00F410A0" w:rsidRPr="00FA33BE" w:rsidRDefault="00F410A0" w:rsidP="00F410A0">
      <w:pPr>
        <w:pStyle w:val="ListParagraph"/>
        <w:numPr>
          <w:ilvl w:val="0"/>
          <w:numId w:val="39"/>
        </w:numPr>
        <w:spacing w:line="276" w:lineRule="auto"/>
        <w:rPr>
          <w:rFonts w:asciiTheme="majorHAnsi" w:hAnsiTheme="majorHAnsi" w:cstheme="majorHAnsi"/>
          <w:b/>
          <w:color w:val="00B050"/>
          <w:sz w:val="24"/>
          <w:szCs w:val="24"/>
        </w:rPr>
      </w:pPr>
      <w:r w:rsidRPr="00FA33BE">
        <w:rPr>
          <w:rFonts w:asciiTheme="majorHAnsi" w:hAnsiTheme="majorHAnsi" w:cstheme="majorHAnsi"/>
          <w:b/>
          <w:color w:val="00B050"/>
          <w:sz w:val="24"/>
          <w:szCs w:val="24"/>
        </w:rPr>
        <w:lastRenderedPageBreak/>
        <w:t>The original cost of the lease was $275,031.50 with monthly payments of $3,683.37 over 84 months.</w:t>
      </w:r>
    </w:p>
    <w:p w:rsidR="00F410A0" w:rsidRPr="00FA33BE" w:rsidRDefault="00F410A0" w:rsidP="00F410A0">
      <w:pPr>
        <w:pStyle w:val="ListParagraph"/>
        <w:numPr>
          <w:ilvl w:val="0"/>
          <w:numId w:val="39"/>
        </w:numPr>
        <w:spacing w:line="276" w:lineRule="auto"/>
        <w:rPr>
          <w:rFonts w:asciiTheme="majorHAnsi" w:hAnsiTheme="majorHAnsi" w:cstheme="majorHAnsi"/>
          <w:b/>
          <w:color w:val="00B050"/>
          <w:sz w:val="24"/>
          <w:szCs w:val="24"/>
        </w:rPr>
      </w:pPr>
      <w:r w:rsidRPr="00FA33BE">
        <w:rPr>
          <w:rFonts w:asciiTheme="majorHAnsi" w:hAnsiTheme="majorHAnsi" w:cstheme="majorHAnsi"/>
          <w:b/>
          <w:color w:val="00B050"/>
          <w:sz w:val="24"/>
          <w:szCs w:val="24"/>
        </w:rPr>
        <w:t xml:space="preserve">The lease was treated as an operating lease allocated to OM&amp;A with a portion allocated to capital based on the percentage of labour </w:t>
      </w:r>
      <w:r w:rsidR="00FA33BE" w:rsidRPr="00FA33BE">
        <w:rPr>
          <w:rFonts w:asciiTheme="majorHAnsi" w:hAnsiTheme="majorHAnsi" w:cstheme="majorHAnsi"/>
          <w:b/>
          <w:color w:val="00B050"/>
          <w:sz w:val="24"/>
          <w:szCs w:val="24"/>
        </w:rPr>
        <w:t>capitalized.</w:t>
      </w:r>
    </w:p>
    <w:p w:rsidR="00FA33BE" w:rsidRPr="00FA33BE" w:rsidRDefault="00FA33BE" w:rsidP="00F410A0">
      <w:pPr>
        <w:pStyle w:val="ListParagraph"/>
        <w:numPr>
          <w:ilvl w:val="0"/>
          <w:numId w:val="39"/>
        </w:numPr>
        <w:spacing w:line="276" w:lineRule="auto"/>
        <w:rPr>
          <w:rFonts w:asciiTheme="majorHAnsi" w:hAnsiTheme="majorHAnsi" w:cstheme="majorHAnsi"/>
          <w:b/>
          <w:color w:val="00B050"/>
          <w:sz w:val="24"/>
          <w:szCs w:val="24"/>
        </w:rPr>
      </w:pPr>
      <w:r w:rsidRPr="00FA33BE">
        <w:rPr>
          <w:rFonts w:asciiTheme="majorHAnsi" w:hAnsiTheme="majorHAnsi" w:cstheme="majorHAnsi"/>
          <w:b/>
          <w:color w:val="00B050"/>
          <w:sz w:val="24"/>
          <w:szCs w:val="24"/>
        </w:rPr>
        <w:t>I confirm that the proposal is to purchase the 2020 replacement truck.</w:t>
      </w:r>
    </w:p>
    <w:p w:rsidR="00EF1DB1" w:rsidRPr="00EF1DB1" w:rsidRDefault="00EF1DB1" w:rsidP="000E3EFC">
      <w:pPr>
        <w:spacing w:line="276" w:lineRule="auto"/>
        <w:rPr>
          <w:rFonts w:asciiTheme="majorHAnsi" w:hAnsiTheme="majorHAnsi" w:cstheme="majorHAnsi"/>
          <w:color w:val="00B050"/>
          <w:sz w:val="24"/>
          <w:szCs w:val="24"/>
        </w:rPr>
      </w:pPr>
    </w:p>
    <w:p w:rsidR="00035F73" w:rsidRPr="00570D42" w:rsidRDefault="00035F73" w:rsidP="00A47F49">
      <w:pPr>
        <w:spacing w:after="0" w:line="276" w:lineRule="auto"/>
        <w:rPr>
          <w:rFonts w:asciiTheme="majorHAnsi" w:hAnsiTheme="majorHAnsi" w:cstheme="majorHAnsi"/>
          <w:sz w:val="24"/>
          <w:szCs w:val="24"/>
          <w:u w:val="single"/>
        </w:rPr>
      </w:pPr>
      <w:r w:rsidRPr="00570D42">
        <w:rPr>
          <w:rFonts w:asciiTheme="majorHAnsi" w:hAnsiTheme="majorHAnsi" w:cstheme="majorHAnsi"/>
          <w:sz w:val="24"/>
          <w:szCs w:val="24"/>
          <w:u w:val="single"/>
        </w:rPr>
        <w:t xml:space="preserve">OM&amp;A (Exhibit 4) </w:t>
      </w:r>
    </w:p>
    <w:p w:rsidR="007A7482" w:rsidRDefault="007A7482" w:rsidP="00A47F49">
      <w:pPr>
        <w:spacing w:after="0" w:line="276" w:lineRule="auto"/>
        <w:rPr>
          <w:rFonts w:asciiTheme="majorHAnsi" w:hAnsiTheme="majorHAnsi" w:cstheme="majorHAnsi"/>
          <w:sz w:val="24"/>
          <w:szCs w:val="24"/>
        </w:rPr>
      </w:pPr>
    </w:p>
    <w:p w:rsidR="000E3EFC" w:rsidRDefault="000E3EFC" w:rsidP="000E3EFC">
      <w:pPr>
        <w:pStyle w:val="ListParagraph"/>
        <w:numPr>
          <w:ilvl w:val="0"/>
          <w:numId w:val="28"/>
        </w:numPr>
        <w:spacing w:line="276" w:lineRule="auto"/>
        <w:rPr>
          <w:rFonts w:asciiTheme="majorHAnsi" w:hAnsiTheme="majorHAnsi" w:cstheme="majorHAnsi"/>
          <w:sz w:val="24"/>
          <w:szCs w:val="24"/>
        </w:rPr>
      </w:pPr>
      <w:r>
        <w:rPr>
          <w:rFonts w:asciiTheme="majorHAnsi" w:hAnsiTheme="majorHAnsi" w:cstheme="majorHAnsi"/>
          <w:sz w:val="24"/>
          <w:szCs w:val="24"/>
        </w:rPr>
        <w:t xml:space="preserve">Advise in which cost category OEB cost assessments are included. </w:t>
      </w:r>
    </w:p>
    <w:p w:rsidR="000E3EFC" w:rsidRDefault="000E3EFC" w:rsidP="000E3EFC">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0E3EFC" w:rsidRPr="00C40D98" w:rsidRDefault="000E3EFC" w:rsidP="000E3EFC">
      <w:pPr>
        <w:spacing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The OEB Cost Assessments are included in the Regulatory costs, Account 5655.</w:t>
      </w:r>
    </w:p>
    <w:p w:rsidR="000E3EFC" w:rsidRDefault="000E3EFC" w:rsidP="000E3EFC">
      <w:pPr>
        <w:spacing w:line="276" w:lineRule="auto"/>
        <w:rPr>
          <w:rFonts w:asciiTheme="majorHAnsi" w:hAnsiTheme="majorHAnsi" w:cstheme="majorHAnsi"/>
          <w:color w:val="4472C4" w:themeColor="accent5"/>
          <w:sz w:val="24"/>
          <w:szCs w:val="24"/>
        </w:rPr>
      </w:pPr>
      <w:r w:rsidRPr="0036191D">
        <w:rPr>
          <w:rFonts w:asciiTheme="majorHAnsi" w:hAnsiTheme="majorHAnsi" w:cstheme="majorHAnsi"/>
          <w:color w:val="4472C4" w:themeColor="accent5"/>
          <w:sz w:val="24"/>
          <w:szCs w:val="24"/>
        </w:rPr>
        <w:t>Follow-up Question:</w:t>
      </w:r>
    </w:p>
    <w:p w:rsidR="000E3EFC" w:rsidRDefault="000E3EFC" w:rsidP="000E3EFC">
      <w:p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Please provide the OEB cost assessment amount that has been proposed for the 2018 test year and advise whether SLHI will update Appendix 2-M to reflect this. </w:t>
      </w:r>
    </w:p>
    <w:p w:rsidR="00330A65" w:rsidRPr="00330A65" w:rsidRDefault="00330A65" w:rsidP="000E3EFC">
      <w:pPr>
        <w:spacing w:line="276" w:lineRule="auto"/>
        <w:rPr>
          <w:rFonts w:asciiTheme="majorHAnsi" w:hAnsiTheme="majorHAnsi" w:cstheme="majorHAnsi"/>
          <w:b/>
          <w:color w:val="00B050"/>
          <w:sz w:val="24"/>
          <w:szCs w:val="24"/>
          <w:u w:val="single"/>
        </w:rPr>
      </w:pPr>
      <w:r w:rsidRPr="00330A65">
        <w:rPr>
          <w:rFonts w:asciiTheme="majorHAnsi" w:hAnsiTheme="majorHAnsi" w:cstheme="majorHAnsi"/>
          <w:b/>
          <w:color w:val="00B050"/>
          <w:sz w:val="24"/>
          <w:szCs w:val="24"/>
          <w:u w:val="single"/>
        </w:rPr>
        <w:t>Response:</w:t>
      </w:r>
    </w:p>
    <w:p w:rsidR="00330A65" w:rsidRPr="00330A65" w:rsidRDefault="00330A65" w:rsidP="000E3EFC">
      <w:pPr>
        <w:spacing w:line="276" w:lineRule="auto"/>
        <w:rPr>
          <w:rFonts w:asciiTheme="majorHAnsi" w:hAnsiTheme="majorHAnsi" w:cstheme="majorHAnsi"/>
          <w:b/>
          <w:color w:val="00B050"/>
          <w:sz w:val="24"/>
          <w:szCs w:val="24"/>
        </w:rPr>
      </w:pPr>
      <w:r w:rsidRPr="00330A65">
        <w:rPr>
          <w:rFonts w:asciiTheme="majorHAnsi" w:hAnsiTheme="majorHAnsi" w:cstheme="majorHAnsi"/>
          <w:b/>
          <w:color w:val="00B050"/>
          <w:sz w:val="24"/>
          <w:szCs w:val="24"/>
        </w:rPr>
        <w:t>The amount included for the 2018 test year OEB Cost Assessment is $13,474. Yes, SLHI will update Appendix 2-M to reflect this.</w:t>
      </w:r>
    </w:p>
    <w:p w:rsidR="000E3EFC" w:rsidRPr="000E3EFC" w:rsidRDefault="000E3EFC" w:rsidP="000E3EFC">
      <w:pPr>
        <w:pStyle w:val="ListParagraph"/>
        <w:numPr>
          <w:ilvl w:val="0"/>
          <w:numId w:val="28"/>
        </w:numPr>
        <w:spacing w:line="276" w:lineRule="auto"/>
        <w:rPr>
          <w:rFonts w:asciiTheme="majorHAnsi" w:hAnsiTheme="majorHAnsi" w:cstheme="majorHAnsi"/>
          <w:sz w:val="24"/>
          <w:szCs w:val="24"/>
        </w:rPr>
      </w:pPr>
      <w:r w:rsidRPr="000E3EFC">
        <w:rPr>
          <w:rFonts w:asciiTheme="majorHAnsi" w:hAnsiTheme="majorHAnsi" w:cstheme="majorHAnsi"/>
          <w:sz w:val="24"/>
          <w:szCs w:val="24"/>
        </w:rPr>
        <w:t xml:space="preserve">Explain what the $40k in ongoing costs for “operating expenses associated with resources allocated to regulatory matters” is related to. Also, provide the historical year spending on the activities that are included in this cost category. </w:t>
      </w:r>
    </w:p>
    <w:p w:rsidR="000E3EFC" w:rsidRDefault="000E3EFC" w:rsidP="000E3EFC">
      <w:pPr>
        <w:spacing w:line="276" w:lineRule="auto"/>
        <w:ind w:left="360"/>
        <w:rPr>
          <w:rFonts w:asciiTheme="majorHAnsi" w:hAnsiTheme="majorHAnsi" w:cstheme="majorHAnsi"/>
          <w:color w:val="FF0000"/>
          <w:sz w:val="24"/>
          <w:szCs w:val="24"/>
        </w:rPr>
      </w:pPr>
    </w:p>
    <w:p w:rsidR="00B06B6B" w:rsidRDefault="00B06B6B" w:rsidP="000E3EFC">
      <w:pPr>
        <w:spacing w:line="276" w:lineRule="auto"/>
        <w:ind w:left="360"/>
        <w:rPr>
          <w:rFonts w:asciiTheme="majorHAnsi" w:hAnsiTheme="majorHAnsi" w:cstheme="majorHAnsi"/>
          <w:color w:val="FF0000"/>
          <w:sz w:val="24"/>
          <w:szCs w:val="24"/>
        </w:rPr>
      </w:pPr>
    </w:p>
    <w:p w:rsidR="000E3EFC" w:rsidRDefault="000E3EFC" w:rsidP="000E3EFC">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0E3EFC" w:rsidRDefault="000E3EFC" w:rsidP="000E3EFC">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SLHI has estimated that it will cost at least $40,000 in consulting fees in order to meet regulatory policy direction. The small number of employees as SLHI means that most often than not, outside help is needed in order to prepare information or implement new policies related to regulatory direction since we lack the expertise.</w:t>
      </w:r>
    </w:p>
    <w:p w:rsidR="000E3EFC" w:rsidRDefault="000E3EFC" w:rsidP="000E3EFC">
      <w:pPr>
        <w:spacing w:line="276" w:lineRule="auto"/>
        <w:ind w:left="360"/>
        <w:rPr>
          <w:rFonts w:asciiTheme="majorHAnsi" w:hAnsiTheme="majorHAnsi" w:cstheme="majorHAnsi"/>
          <w:color w:val="FF0000"/>
          <w:sz w:val="24"/>
          <w:szCs w:val="24"/>
        </w:rPr>
      </w:pPr>
      <w:r>
        <w:rPr>
          <w:rFonts w:asciiTheme="majorHAnsi" w:hAnsiTheme="majorHAnsi" w:cstheme="majorHAnsi"/>
          <w:color w:val="FF0000"/>
          <w:sz w:val="24"/>
          <w:szCs w:val="24"/>
        </w:rPr>
        <w:t>For example, SLHI does not have internal resources able to respond to the new Cyber Security framework, therefore a third party will be hired initially to aid in the implementation, and then a firm to monitor our IT environment for threats etc. SLHI expects this will be an ongoing expense once implemented.</w:t>
      </w:r>
    </w:p>
    <w:p w:rsidR="000E3EFC" w:rsidRDefault="000E3EFC" w:rsidP="000E3EFC">
      <w:pPr>
        <w:spacing w:line="276" w:lineRule="auto"/>
        <w:ind w:left="360"/>
        <w:rPr>
          <w:rFonts w:asciiTheme="majorHAnsi" w:hAnsiTheme="majorHAnsi" w:cstheme="majorHAnsi"/>
          <w:color w:val="FF0000"/>
          <w:sz w:val="24"/>
          <w:szCs w:val="24"/>
        </w:rPr>
      </w:pPr>
      <w:r w:rsidRPr="00A607C9">
        <w:rPr>
          <w:noProof/>
          <w:lang w:val="en-CA" w:eastAsia="en-CA"/>
        </w:rPr>
        <w:lastRenderedPageBreak/>
        <w:drawing>
          <wp:inline distT="0" distB="0" distL="0" distR="0" wp14:anchorId="362F0B08" wp14:editId="45C715A3">
            <wp:extent cx="4657725" cy="7715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725" cy="771525"/>
                    </a:xfrm>
                    <a:prstGeom prst="rect">
                      <a:avLst/>
                    </a:prstGeom>
                    <a:noFill/>
                    <a:ln>
                      <a:noFill/>
                    </a:ln>
                  </pic:spPr>
                </pic:pic>
              </a:graphicData>
            </a:graphic>
          </wp:inline>
        </w:drawing>
      </w:r>
      <w:r w:rsidRPr="00A607C9">
        <w:rPr>
          <w:noProof/>
          <w:lang w:val="en-CA" w:eastAsia="en-CA"/>
        </w:rPr>
        <w:drawing>
          <wp:inline distT="0" distB="0" distL="0" distR="0" wp14:anchorId="0195DEFE" wp14:editId="6D986267">
            <wp:extent cx="4657725" cy="771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57725" cy="771525"/>
                    </a:xfrm>
                    <a:prstGeom prst="rect">
                      <a:avLst/>
                    </a:prstGeom>
                    <a:noFill/>
                    <a:ln>
                      <a:noFill/>
                    </a:ln>
                  </pic:spPr>
                </pic:pic>
              </a:graphicData>
            </a:graphic>
          </wp:inline>
        </w:drawing>
      </w:r>
      <w:r w:rsidRPr="00A607C9">
        <w:rPr>
          <w:noProof/>
          <w:lang w:val="en-CA" w:eastAsia="en-CA"/>
        </w:rPr>
        <w:drawing>
          <wp:inline distT="0" distB="0" distL="0" distR="0" wp14:anchorId="0A04091A" wp14:editId="57DDD6E0">
            <wp:extent cx="4657725" cy="962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962025"/>
                    </a:xfrm>
                    <a:prstGeom prst="rect">
                      <a:avLst/>
                    </a:prstGeom>
                    <a:noFill/>
                    <a:ln>
                      <a:noFill/>
                    </a:ln>
                  </pic:spPr>
                </pic:pic>
              </a:graphicData>
            </a:graphic>
          </wp:inline>
        </w:drawing>
      </w:r>
    </w:p>
    <w:p w:rsidR="000E3EFC" w:rsidRDefault="000E3EFC" w:rsidP="000E3EFC">
      <w:pPr>
        <w:spacing w:line="276" w:lineRule="auto"/>
        <w:rPr>
          <w:rFonts w:asciiTheme="majorHAnsi" w:hAnsiTheme="majorHAnsi" w:cstheme="majorHAnsi"/>
          <w:color w:val="4472C4" w:themeColor="accent5"/>
          <w:sz w:val="24"/>
          <w:szCs w:val="24"/>
        </w:rPr>
      </w:pPr>
      <w:r w:rsidRPr="0036191D">
        <w:rPr>
          <w:rFonts w:asciiTheme="majorHAnsi" w:hAnsiTheme="majorHAnsi" w:cstheme="majorHAnsi"/>
          <w:color w:val="4472C4" w:themeColor="accent5"/>
          <w:sz w:val="24"/>
          <w:szCs w:val="24"/>
        </w:rPr>
        <w:t>Follow-up Question:</w:t>
      </w:r>
    </w:p>
    <w:p w:rsidR="000E3EFC" w:rsidRDefault="000E3EFC" w:rsidP="000E3EFC">
      <w:p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Please advise whether the DSP and ACA consulting fees are being sought for recovery as part of the current proceeding (as one-time costs related to the COS application). </w:t>
      </w:r>
    </w:p>
    <w:p w:rsidR="00941AB7" w:rsidRPr="00A44459" w:rsidRDefault="00941AB7" w:rsidP="000E3EFC">
      <w:pPr>
        <w:spacing w:line="276" w:lineRule="auto"/>
        <w:rPr>
          <w:rFonts w:asciiTheme="majorHAnsi" w:hAnsiTheme="majorHAnsi" w:cstheme="majorHAnsi"/>
          <w:b/>
          <w:color w:val="00B050"/>
          <w:sz w:val="24"/>
          <w:szCs w:val="24"/>
          <w:u w:val="single"/>
        </w:rPr>
      </w:pPr>
      <w:r w:rsidRPr="00A44459">
        <w:rPr>
          <w:rFonts w:asciiTheme="majorHAnsi" w:hAnsiTheme="majorHAnsi" w:cstheme="majorHAnsi"/>
          <w:b/>
          <w:color w:val="00B050"/>
          <w:sz w:val="24"/>
          <w:szCs w:val="24"/>
          <w:u w:val="single"/>
        </w:rPr>
        <w:t>Response:</w:t>
      </w:r>
    </w:p>
    <w:p w:rsidR="00941AB7" w:rsidRPr="00A44459" w:rsidRDefault="00941AB7" w:rsidP="000E3EFC">
      <w:pPr>
        <w:spacing w:line="276" w:lineRule="auto"/>
        <w:rPr>
          <w:rFonts w:asciiTheme="majorHAnsi" w:hAnsiTheme="majorHAnsi" w:cstheme="majorHAnsi"/>
          <w:b/>
          <w:color w:val="00B050"/>
          <w:sz w:val="24"/>
          <w:szCs w:val="24"/>
        </w:rPr>
      </w:pPr>
      <w:r w:rsidRPr="00A44459">
        <w:rPr>
          <w:rFonts w:asciiTheme="majorHAnsi" w:hAnsiTheme="majorHAnsi" w:cstheme="majorHAnsi"/>
          <w:b/>
          <w:color w:val="00B050"/>
          <w:sz w:val="24"/>
          <w:szCs w:val="24"/>
        </w:rPr>
        <w:t>SLHI confirms that the DSP and ACA consulting fees are being sought for recovery as part of the current proceeding as one-time costs related to the COS application and amortized over 5 years.</w:t>
      </w:r>
    </w:p>
    <w:p w:rsidR="00330A65" w:rsidRPr="00A44459" w:rsidRDefault="00330A65" w:rsidP="000E3EFC">
      <w:pPr>
        <w:spacing w:line="276" w:lineRule="auto"/>
        <w:rPr>
          <w:rFonts w:asciiTheme="majorHAnsi" w:hAnsiTheme="majorHAnsi" w:cstheme="majorHAnsi"/>
          <w:b/>
          <w:color w:val="00B050"/>
          <w:sz w:val="24"/>
          <w:szCs w:val="24"/>
        </w:rPr>
      </w:pPr>
      <w:r w:rsidRPr="00A44459">
        <w:rPr>
          <w:rFonts w:asciiTheme="majorHAnsi" w:hAnsiTheme="majorHAnsi" w:cstheme="majorHAnsi"/>
          <w:b/>
          <w:color w:val="00B050"/>
          <w:sz w:val="24"/>
          <w:szCs w:val="24"/>
        </w:rPr>
        <w:t xml:space="preserve">The $40,000 requested is a forecast of expected on-going funds needed to respond to regulatory policy direction. The example </w:t>
      </w:r>
      <w:r w:rsidR="00A44459" w:rsidRPr="00A44459">
        <w:rPr>
          <w:rFonts w:asciiTheme="majorHAnsi" w:hAnsiTheme="majorHAnsi" w:cstheme="majorHAnsi"/>
          <w:b/>
          <w:color w:val="00B050"/>
          <w:sz w:val="24"/>
          <w:szCs w:val="24"/>
        </w:rPr>
        <w:t>given was for implementing the C</w:t>
      </w:r>
      <w:r w:rsidRPr="00A44459">
        <w:rPr>
          <w:rFonts w:asciiTheme="majorHAnsi" w:hAnsiTheme="majorHAnsi" w:cstheme="majorHAnsi"/>
          <w:b/>
          <w:color w:val="00B050"/>
          <w:sz w:val="24"/>
          <w:szCs w:val="24"/>
        </w:rPr>
        <w:t>yber-Security Framework, which is a known</w:t>
      </w:r>
      <w:r w:rsidR="00A44459" w:rsidRPr="00A44459">
        <w:rPr>
          <w:rFonts w:asciiTheme="majorHAnsi" w:hAnsiTheme="majorHAnsi" w:cstheme="majorHAnsi"/>
          <w:b/>
          <w:color w:val="00B050"/>
          <w:sz w:val="24"/>
          <w:szCs w:val="24"/>
        </w:rPr>
        <w:t xml:space="preserve"> initiative of the OEB at this point. It is expected that SLHI will required additional funds initially as a one-time cost, but expects there to be on-going costs as well. Also, it is very difficult to forecast for the unknown, but based on past experience more initiatives will likely be introduced in the time between Cost of Service applications that will need incremental funding. </w:t>
      </w:r>
      <w:r w:rsidR="00201B63">
        <w:rPr>
          <w:rFonts w:asciiTheme="majorHAnsi" w:hAnsiTheme="majorHAnsi" w:cstheme="majorHAnsi"/>
          <w:b/>
          <w:color w:val="00B050"/>
          <w:sz w:val="24"/>
          <w:szCs w:val="24"/>
        </w:rPr>
        <w:t>T</w:t>
      </w:r>
      <w:r w:rsidR="009E5444">
        <w:rPr>
          <w:rFonts w:asciiTheme="majorHAnsi" w:hAnsiTheme="majorHAnsi" w:cstheme="majorHAnsi"/>
          <w:b/>
          <w:color w:val="00B050"/>
          <w:sz w:val="24"/>
          <w:szCs w:val="24"/>
        </w:rPr>
        <w:t>hree</w:t>
      </w:r>
      <w:r w:rsidR="00201B63">
        <w:rPr>
          <w:rFonts w:asciiTheme="majorHAnsi" w:hAnsiTheme="majorHAnsi" w:cstheme="majorHAnsi"/>
          <w:b/>
          <w:color w:val="00B050"/>
          <w:sz w:val="24"/>
          <w:szCs w:val="24"/>
        </w:rPr>
        <w:t xml:space="preserve"> that come to mind are </w:t>
      </w:r>
      <w:r w:rsidR="009E5444">
        <w:rPr>
          <w:rFonts w:asciiTheme="majorHAnsi" w:hAnsiTheme="majorHAnsi" w:cstheme="majorHAnsi"/>
          <w:b/>
          <w:color w:val="00B050"/>
          <w:sz w:val="24"/>
          <w:szCs w:val="24"/>
        </w:rPr>
        <w:t xml:space="preserve">Bill Redesign, </w:t>
      </w:r>
      <w:r w:rsidR="00201B63">
        <w:rPr>
          <w:rFonts w:asciiTheme="majorHAnsi" w:hAnsiTheme="majorHAnsi" w:cstheme="majorHAnsi"/>
          <w:b/>
          <w:color w:val="00B050"/>
          <w:sz w:val="24"/>
          <w:szCs w:val="24"/>
        </w:rPr>
        <w:t xml:space="preserve">Net Metering and the Green Button initiative. </w:t>
      </w:r>
      <w:r w:rsidR="00A44459" w:rsidRPr="00A44459">
        <w:rPr>
          <w:rFonts w:asciiTheme="majorHAnsi" w:hAnsiTheme="majorHAnsi" w:cstheme="majorHAnsi"/>
          <w:b/>
          <w:color w:val="00B050"/>
          <w:sz w:val="24"/>
          <w:szCs w:val="24"/>
        </w:rPr>
        <w:t>SLHI recognizes that variance accounts could be us</w:t>
      </w:r>
      <w:r w:rsidR="00A6695B">
        <w:rPr>
          <w:rFonts w:asciiTheme="majorHAnsi" w:hAnsiTheme="majorHAnsi" w:cstheme="majorHAnsi"/>
          <w:b/>
          <w:color w:val="00B050"/>
          <w:sz w:val="24"/>
          <w:szCs w:val="24"/>
        </w:rPr>
        <w:t>ed</w:t>
      </w:r>
      <w:r w:rsidR="00A44459" w:rsidRPr="00A44459">
        <w:rPr>
          <w:rFonts w:asciiTheme="majorHAnsi" w:hAnsiTheme="majorHAnsi" w:cstheme="majorHAnsi"/>
          <w:b/>
          <w:color w:val="00B050"/>
          <w:sz w:val="24"/>
          <w:szCs w:val="24"/>
        </w:rPr>
        <w:t xml:space="preserve">, however, does not feel the amount is material enough to warrant the </w:t>
      </w:r>
      <w:r w:rsidR="005E77EE">
        <w:rPr>
          <w:rFonts w:asciiTheme="majorHAnsi" w:hAnsiTheme="majorHAnsi" w:cstheme="majorHAnsi"/>
          <w:b/>
          <w:color w:val="00B050"/>
          <w:sz w:val="24"/>
          <w:szCs w:val="24"/>
        </w:rPr>
        <w:t>effort</w:t>
      </w:r>
      <w:r w:rsidR="00A44459" w:rsidRPr="00A44459">
        <w:rPr>
          <w:rFonts w:asciiTheme="majorHAnsi" w:hAnsiTheme="majorHAnsi" w:cstheme="majorHAnsi"/>
          <w:b/>
          <w:color w:val="00B050"/>
          <w:sz w:val="24"/>
          <w:szCs w:val="24"/>
        </w:rPr>
        <w:t xml:space="preserve"> involved in tracking another variance account.</w:t>
      </w:r>
    </w:p>
    <w:p w:rsidR="00AF48B7" w:rsidRPr="00AF48B7" w:rsidRDefault="00AF48B7" w:rsidP="00A47F49">
      <w:pPr>
        <w:spacing w:after="0" w:line="276" w:lineRule="auto"/>
        <w:rPr>
          <w:rFonts w:asciiTheme="majorHAnsi" w:hAnsiTheme="majorHAnsi" w:cstheme="majorHAnsi"/>
          <w:sz w:val="24"/>
          <w:szCs w:val="24"/>
          <w:u w:val="single"/>
        </w:rPr>
      </w:pPr>
      <w:r w:rsidRPr="00AF48B7">
        <w:rPr>
          <w:rFonts w:asciiTheme="majorHAnsi" w:hAnsiTheme="majorHAnsi" w:cstheme="majorHAnsi"/>
          <w:sz w:val="24"/>
          <w:szCs w:val="24"/>
          <w:u w:val="single"/>
        </w:rPr>
        <w:t xml:space="preserve">Cost of Capital (Exhibit 5) </w:t>
      </w:r>
    </w:p>
    <w:p w:rsidR="002417FB" w:rsidRDefault="002417FB" w:rsidP="00A47F49">
      <w:pPr>
        <w:spacing w:after="0" w:line="276" w:lineRule="auto"/>
        <w:rPr>
          <w:rFonts w:asciiTheme="majorHAnsi" w:hAnsiTheme="majorHAnsi" w:cstheme="majorHAnsi"/>
          <w:sz w:val="24"/>
          <w:szCs w:val="24"/>
        </w:rPr>
      </w:pPr>
    </w:p>
    <w:p w:rsidR="00396CD9" w:rsidRDefault="00396CD9" w:rsidP="00396CD9">
      <w:pPr>
        <w:pStyle w:val="ListParagraph"/>
        <w:numPr>
          <w:ilvl w:val="0"/>
          <w:numId w:val="29"/>
        </w:numPr>
        <w:spacing w:line="276" w:lineRule="auto"/>
        <w:rPr>
          <w:rFonts w:asciiTheme="majorHAnsi" w:hAnsiTheme="majorHAnsi" w:cstheme="majorHAnsi"/>
          <w:sz w:val="24"/>
          <w:szCs w:val="24"/>
        </w:rPr>
      </w:pPr>
      <w:r>
        <w:rPr>
          <w:rFonts w:asciiTheme="majorHAnsi" w:hAnsiTheme="majorHAnsi" w:cstheme="majorHAnsi"/>
          <w:sz w:val="24"/>
          <w:szCs w:val="24"/>
        </w:rPr>
        <w:t>Provide information on attempts to renegotiate interest rate or find alternative lender for the 2018 bucket truck loan.</w:t>
      </w:r>
    </w:p>
    <w:p w:rsidR="00396CD9" w:rsidRDefault="00396CD9" w:rsidP="00396CD9">
      <w:pPr>
        <w:spacing w:after="0"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Response:</w:t>
      </w:r>
    </w:p>
    <w:p w:rsidR="00396CD9" w:rsidRDefault="00396CD9" w:rsidP="00396CD9">
      <w:pPr>
        <w:spacing w:after="0" w:line="276" w:lineRule="auto"/>
        <w:rPr>
          <w:rFonts w:asciiTheme="majorHAnsi" w:hAnsiTheme="majorHAnsi" w:cstheme="majorHAnsi"/>
          <w:color w:val="FF0000"/>
          <w:sz w:val="24"/>
          <w:szCs w:val="24"/>
        </w:rPr>
      </w:pPr>
      <w:r>
        <w:rPr>
          <w:rFonts w:asciiTheme="majorHAnsi" w:hAnsiTheme="majorHAnsi" w:cstheme="majorHAnsi"/>
          <w:color w:val="FF0000"/>
          <w:sz w:val="24"/>
          <w:szCs w:val="24"/>
        </w:rPr>
        <w:t>I am currently negotiating the interest rate for the truck. So do not have any additional information at this time.</w:t>
      </w:r>
    </w:p>
    <w:p w:rsidR="00396CD9" w:rsidRDefault="00396CD9" w:rsidP="000E3EFC">
      <w:pPr>
        <w:spacing w:line="276" w:lineRule="auto"/>
        <w:rPr>
          <w:rFonts w:asciiTheme="majorHAnsi" w:hAnsiTheme="majorHAnsi" w:cstheme="majorHAnsi"/>
          <w:color w:val="4472C4" w:themeColor="accent5"/>
          <w:sz w:val="24"/>
          <w:szCs w:val="24"/>
        </w:rPr>
      </w:pPr>
    </w:p>
    <w:p w:rsidR="000E3EFC" w:rsidRDefault="000E3EFC" w:rsidP="000E3EFC">
      <w:pPr>
        <w:spacing w:line="276" w:lineRule="auto"/>
        <w:rPr>
          <w:rFonts w:asciiTheme="majorHAnsi" w:hAnsiTheme="majorHAnsi" w:cstheme="majorHAnsi"/>
          <w:color w:val="4472C4" w:themeColor="accent5"/>
          <w:sz w:val="24"/>
          <w:szCs w:val="24"/>
        </w:rPr>
      </w:pPr>
      <w:r w:rsidRPr="000E3EFC">
        <w:rPr>
          <w:rFonts w:asciiTheme="majorHAnsi" w:hAnsiTheme="majorHAnsi" w:cstheme="majorHAnsi"/>
          <w:color w:val="4472C4" w:themeColor="accent5"/>
          <w:sz w:val="24"/>
          <w:szCs w:val="24"/>
        </w:rPr>
        <w:lastRenderedPageBreak/>
        <w:t>Follow-up Question:</w:t>
      </w:r>
    </w:p>
    <w:p w:rsidR="000E3EFC" w:rsidRPr="006C741C" w:rsidRDefault="000E3EFC" w:rsidP="006C741C">
      <w:pPr>
        <w:spacing w:line="276" w:lineRule="auto"/>
        <w:rPr>
          <w:rFonts w:asciiTheme="majorHAnsi" w:hAnsiTheme="majorHAnsi" w:cstheme="majorHAnsi"/>
          <w:color w:val="4472C4" w:themeColor="accent5"/>
          <w:sz w:val="24"/>
          <w:szCs w:val="24"/>
        </w:rPr>
      </w:pPr>
      <w:r w:rsidRPr="006C741C">
        <w:rPr>
          <w:rFonts w:asciiTheme="majorHAnsi" w:hAnsiTheme="majorHAnsi" w:cstheme="majorHAnsi"/>
          <w:color w:val="4472C4" w:themeColor="accent5"/>
          <w:sz w:val="24"/>
          <w:szCs w:val="24"/>
        </w:rPr>
        <w:t xml:space="preserve">Please advise whether there are any updates on this </w:t>
      </w:r>
      <w:r w:rsidR="00396CD9" w:rsidRPr="006C741C">
        <w:rPr>
          <w:rFonts w:asciiTheme="majorHAnsi" w:hAnsiTheme="majorHAnsi" w:cstheme="majorHAnsi"/>
          <w:color w:val="4472C4" w:themeColor="accent5"/>
          <w:sz w:val="24"/>
          <w:szCs w:val="24"/>
        </w:rPr>
        <w:t xml:space="preserve">issue. </w:t>
      </w:r>
    </w:p>
    <w:p w:rsidR="00396CD9" w:rsidRPr="00CD0888" w:rsidRDefault="00EA15CD" w:rsidP="000E3EFC">
      <w:pPr>
        <w:spacing w:line="276" w:lineRule="auto"/>
        <w:rPr>
          <w:rFonts w:asciiTheme="majorHAnsi" w:hAnsiTheme="majorHAnsi" w:cstheme="majorHAnsi"/>
          <w:b/>
          <w:color w:val="00B050"/>
          <w:sz w:val="24"/>
          <w:szCs w:val="24"/>
          <w:u w:val="single"/>
        </w:rPr>
      </w:pPr>
      <w:r w:rsidRPr="00CD0888">
        <w:rPr>
          <w:rFonts w:asciiTheme="majorHAnsi" w:hAnsiTheme="majorHAnsi" w:cstheme="majorHAnsi"/>
          <w:b/>
          <w:color w:val="00B050"/>
          <w:sz w:val="24"/>
          <w:szCs w:val="24"/>
          <w:u w:val="single"/>
        </w:rPr>
        <w:t>Response:</w:t>
      </w:r>
    </w:p>
    <w:p w:rsidR="00E706E0" w:rsidRPr="00EB4A43" w:rsidRDefault="00E706E0" w:rsidP="00E706E0">
      <w:pPr>
        <w:spacing w:line="276" w:lineRule="auto"/>
        <w:rPr>
          <w:rFonts w:asciiTheme="majorHAnsi" w:hAnsiTheme="majorHAnsi" w:cstheme="majorHAnsi"/>
          <w:b/>
          <w:color w:val="00B050"/>
          <w:sz w:val="24"/>
          <w:szCs w:val="24"/>
        </w:rPr>
      </w:pPr>
      <w:bookmarkStart w:id="0" w:name="_GoBack"/>
      <w:bookmarkEnd w:id="0"/>
      <w:r w:rsidRPr="00EB4A43">
        <w:rPr>
          <w:rFonts w:asciiTheme="majorHAnsi" w:hAnsiTheme="majorHAnsi" w:cstheme="majorHAnsi"/>
          <w:b/>
          <w:color w:val="00B050"/>
          <w:sz w:val="24"/>
          <w:szCs w:val="24"/>
        </w:rPr>
        <w:t xml:space="preserve">Yes, </w:t>
      </w:r>
      <w:r w:rsidR="00186105" w:rsidRPr="00EB4A43">
        <w:rPr>
          <w:rFonts w:asciiTheme="majorHAnsi" w:hAnsiTheme="majorHAnsi" w:cstheme="majorHAnsi"/>
          <w:b/>
          <w:color w:val="00B050"/>
          <w:sz w:val="24"/>
          <w:szCs w:val="24"/>
        </w:rPr>
        <w:t>the interest rate will be reduced from 5.1%.</w:t>
      </w:r>
      <w:r w:rsidR="00EB4A43" w:rsidRPr="00EB4A43">
        <w:rPr>
          <w:rFonts w:asciiTheme="majorHAnsi" w:hAnsiTheme="majorHAnsi" w:cstheme="majorHAnsi"/>
          <w:b/>
          <w:color w:val="00B050"/>
          <w:sz w:val="24"/>
          <w:szCs w:val="24"/>
        </w:rPr>
        <w:t xml:space="preserve"> After some negotiation with the CIBC and Key Equipment, we will be opting for a seven year </w:t>
      </w:r>
      <w:proofErr w:type="gramStart"/>
      <w:r w:rsidR="00EB4A43" w:rsidRPr="00EB4A43">
        <w:rPr>
          <w:rFonts w:asciiTheme="majorHAnsi" w:hAnsiTheme="majorHAnsi" w:cstheme="majorHAnsi"/>
          <w:b/>
          <w:color w:val="00B050"/>
          <w:sz w:val="24"/>
          <w:szCs w:val="24"/>
        </w:rPr>
        <w:t>fixed  rate</w:t>
      </w:r>
      <w:proofErr w:type="gramEnd"/>
      <w:r w:rsidR="00EB4A43" w:rsidRPr="00EB4A43">
        <w:rPr>
          <w:rFonts w:asciiTheme="majorHAnsi" w:hAnsiTheme="majorHAnsi" w:cstheme="majorHAnsi"/>
          <w:b/>
          <w:color w:val="00B050"/>
          <w:sz w:val="24"/>
          <w:szCs w:val="24"/>
        </w:rPr>
        <w:t xml:space="preserve"> loan from Key Equipment at 4.5%. The bank offered a floating rate loan of prime plus 1.25% (4.45%) for a six year term. SLHI feels that the Key Equipment option is the better option given the fixed rate. SLHI w</w:t>
      </w:r>
      <w:r w:rsidRPr="00EB4A43">
        <w:rPr>
          <w:rFonts w:asciiTheme="majorHAnsi" w:hAnsiTheme="majorHAnsi" w:cstheme="majorHAnsi"/>
          <w:b/>
          <w:color w:val="00B050"/>
          <w:sz w:val="24"/>
          <w:szCs w:val="24"/>
        </w:rPr>
        <w:t>ill update the cost of debt accordingly.</w:t>
      </w:r>
    </w:p>
    <w:p w:rsidR="00396CD9" w:rsidRDefault="00396CD9" w:rsidP="00E706E0">
      <w:p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New Question: Please advise whether there are any other updates that need to be made to the cost of debt. </w:t>
      </w:r>
    </w:p>
    <w:p w:rsidR="003200AD" w:rsidRDefault="003200AD" w:rsidP="003200AD">
      <w:pPr>
        <w:spacing w:line="276" w:lineRule="auto"/>
        <w:ind w:left="360"/>
        <w:rPr>
          <w:rFonts w:asciiTheme="majorHAnsi" w:hAnsiTheme="majorHAnsi" w:cstheme="majorHAnsi"/>
          <w:color w:val="00B050"/>
          <w:sz w:val="24"/>
          <w:szCs w:val="24"/>
        </w:rPr>
      </w:pPr>
      <w:r w:rsidRPr="00EA15CD">
        <w:rPr>
          <w:rFonts w:asciiTheme="majorHAnsi" w:hAnsiTheme="majorHAnsi" w:cstheme="majorHAnsi"/>
          <w:b/>
          <w:color w:val="00B050"/>
          <w:sz w:val="24"/>
          <w:szCs w:val="24"/>
          <w:u w:val="single"/>
        </w:rPr>
        <w:t>Response</w:t>
      </w:r>
      <w:r>
        <w:rPr>
          <w:rFonts w:asciiTheme="majorHAnsi" w:hAnsiTheme="majorHAnsi" w:cstheme="majorHAnsi"/>
          <w:color w:val="00B050"/>
          <w:sz w:val="24"/>
          <w:szCs w:val="24"/>
        </w:rPr>
        <w:t>:</w:t>
      </w:r>
    </w:p>
    <w:p w:rsidR="003200AD" w:rsidRPr="00EA15CD" w:rsidRDefault="003200AD" w:rsidP="003200AD">
      <w:pPr>
        <w:spacing w:line="276" w:lineRule="auto"/>
        <w:ind w:left="360"/>
        <w:rPr>
          <w:rFonts w:asciiTheme="majorHAnsi" w:hAnsiTheme="majorHAnsi" w:cstheme="majorHAnsi"/>
          <w:b/>
          <w:color w:val="00B050"/>
          <w:sz w:val="24"/>
          <w:szCs w:val="24"/>
        </w:rPr>
      </w:pPr>
      <w:r w:rsidRPr="00EA15CD">
        <w:rPr>
          <w:rFonts w:asciiTheme="majorHAnsi" w:hAnsiTheme="majorHAnsi" w:cstheme="majorHAnsi"/>
          <w:b/>
          <w:color w:val="00B050"/>
          <w:sz w:val="24"/>
          <w:szCs w:val="24"/>
        </w:rPr>
        <w:t>Yes there is an update to the CIBC loan interest rate</w:t>
      </w:r>
      <w:r w:rsidR="00EA15CD" w:rsidRPr="00EA15CD">
        <w:rPr>
          <w:rFonts w:asciiTheme="majorHAnsi" w:hAnsiTheme="majorHAnsi" w:cstheme="majorHAnsi"/>
          <w:b/>
          <w:color w:val="00B050"/>
          <w:sz w:val="24"/>
          <w:szCs w:val="24"/>
        </w:rPr>
        <w:t>. SLHI will update the application to reflect this.</w:t>
      </w:r>
    </w:p>
    <w:p w:rsidR="006C741C" w:rsidRDefault="006C741C" w:rsidP="006C741C">
      <w:pPr>
        <w:pStyle w:val="ListParagraph"/>
        <w:spacing w:line="276" w:lineRule="auto"/>
        <w:rPr>
          <w:rFonts w:asciiTheme="majorHAnsi" w:hAnsiTheme="majorHAnsi" w:cstheme="majorHAnsi"/>
          <w:color w:val="4472C4" w:themeColor="accent5"/>
          <w:sz w:val="24"/>
          <w:szCs w:val="24"/>
        </w:rPr>
      </w:pPr>
    </w:p>
    <w:p w:rsidR="006C741C" w:rsidRDefault="006C741C" w:rsidP="00396CD9">
      <w:pPr>
        <w:pStyle w:val="ListParagraph"/>
        <w:numPr>
          <w:ilvl w:val="0"/>
          <w:numId w:val="29"/>
        </w:num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New Question: Please advise whether SLHI will update its proposed ROE to reflect the updated ROE set out in the OEB’s latest cost of capital parameter update for 2018 applications. </w:t>
      </w:r>
    </w:p>
    <w:p w:rsidR="00EA15CD" w:rsidRPr="00D23376" w:rsidRDefault="00EA15CD" w:rsidP="00EA15CD">
      <w:pPr>
        <w:spacing w:line="276" w:lineRule="auto"/>
        <w:ind w:left="360"/>
        <w:rPr>
          <w:rFonts w:asciiTheme="majorHAnsi" w:hAnsiTheme="majorHAnsi" w:cstheme="majorHAnsi"/>
          <w:b/>
          <w:color w:val="00B050"/>
          <w:sz w:val="24"/>
          <w:szCs w:val="24"/>
          <w:u w:val="single"/>
        </w:rPr>
      </w:pPr>
      <w:r w:rsidRPr="00D23376">
        <w:rPr>
          <w:rFonts w:asciiTheme="majorHAnsi" w:hAnsiTheme="majorHAnsi" w:cstheme="majorHAnsi"/>
          <w:b/>
          <w:color w:val="00B050"/>
          <w:sz w:val="24"/>
          <w:szCs w:val="24"/>
          <w:u w:val="single"/>
        </w:rPr>
        <w:t>Response:</w:t>
      </w:r>
    </w:p>
    <w:p w:rsidR="00EA15CD" w:rsidRPr="00D23376" w:rsidRDefault="00D23376" w:rsidP="00EA15CD">
      <w:pPr>
        <w:spacing w:line="276" w:lineRule="auto"/>
        <w:ind w:left="360"/>
        <w:rPr>
          <w:rFonts w:asciiTheme="majorHAnsi" w:hAnsiTheme="majorHAnsi" w:cstheme="majorHAnsi"/>
          <w:b/>
          <w:color w:val="00B050"/>
          <w:sz w:val="24"/>
          <w:szCs w:val="24"/>
        </w:rPr>
      </w:pPr>
      <w:r w:rsidRPr="00D23376">
        <w:rPr>
          <w:rFonts w:asciiTheme="majorHAnsi" w:hAnsiTheme="majorHAnsi" w:cstheme="majorHAnsi"/>
          <w:b/>
          <w:color w:val="00B050"/>
          <w:sz w:val="24"/>
          <w:szCs w:val="24"/>
        </w:rPr>
        <w:t>SLHI confirms that it will update its proposed ROE to reflect the updated ROE set out in the OEB’s lasts cost of capital Parameter update for 2018 applications.</w:t>
      </w:r>
    </w:p>
    <w:p w:rsidR="00B133F9" w:rsidRDefault="00B133F9" w:rsidP="00B133F9">
      <w:pPr>
        <w:spacing w:after="0" w:line="276" w:lineRule="auto"/>
        <w:rPr>
          <w:rFonts w:asciiTheme="majorHAnsi" w:hAnsiTheme="majorHAnsi" w:cstheme="majorHAnsi"/>
          <w:sz w:val="24"/>
          <w:szCs w:val="24"/>
          <w:u w:val="single"/>
        </w:rPr>
      </w:pPr>
    </w:p>
    <w:p w:rsidR="00B133F9" w:rsidRDefault="00B133F9" w:rsidP="00B133F9">
      <w:pPr>
        <w:spacing w:after="0" w:line="276" w:lineRule="auto"/>
        <w:rPr>
          <w:rFonts w:asciiTheme="majorHAnsi" w:hAnsiTheme="majorHAnsi" w:cstheme="majorHAnsi"/>
          <w:sz w:val="24"/>
          <w:szCs w:val="24"/>
          <w:u w:val="single"/>
        </w:rPr>
      </w:pPr>
      <w:r>
        <w:rPr>
          <w:rFonts w:asciiTheme="majorHAnsi" w:hAnsiTheme="majorHAnsi" w:cstheme="majorHAnsi"/>
          <w:sz w:val="24"/>
          <w:szCs w:val="24"/>
          <w:u w:val="single"/>
        </w:rPr>
        <w:t>Rate Design</w:t>
      </w:r>
      <w:r w:rsidRPr="00570D42">
        <w:rPr>
          <w:rFonts w:asciiTheme="majorHAnsi" w:hAnsiTheme="majorHAnsi" w:cstheme="majorHAnsi"/>
          <w:sz w:val="24"/>
          <w:szCs w:val="24"/>
          <w:u w:val="single"/>
        </w:rPr>
        <w:t xml:space="preserve"> </w:t>
      </w:r>
      <w:r>
        <w:rPr>
          <w:rFonts w:asciiTheme="majorHAnsi" w:hAnsiTheme="majorHAnsi" w:cstheme="majorHAnsi"/>
          <w:sz w:val="24"/>
          <w:szCs w:val="24"/>
          <w:u w:val="single"/>
        </w:rPr>
        <w:t xml:space="preserve">and Bill Impacts </w:t>
      </w:r>
      <w:r w:rsidRPr="00570D42">
        <w:rPr>
          <w:rFonts w:asciiTheme="majorHAnsi" w:hAnsiTheme="majorHAnsi" w:cstheme="majorHAnsi"/>
          <w:sz w:val="24"/>
          <w:szCs w:val="24"/>
          <w:u w:val="single"/>
        </w:rPr>
        <w:t xml:space="preserve">(Exhibit </w:t>
      </w:r>
      <w:r>
        <w:rPr>
          <w:rFonts w:asciiTheme="majorHAnsi" w:hAnsiTheme="majorHAnsi" w:cstheme="majorHAnsi"/>
          <w:sz w:val="24"/>
          <w:szCs w:val="24"/>
          <w:u w:val="single"/>
        </w:rPr>
        <w:t>8</w:t>
      </w:r>
      <w:r w:rsidRPr="00570D42">
        <w:rPr>
          <w:rFonts w:asciiTheme="majorHAnsi" w:hAnsiTheme="majorHAnsi" w:cstheme="majorHAnsi"/>
          <w:sz w:val="24"/>
          <w:szCs w:val="24"/>
          <w:u w:val="single"/>
        </w:rPr>
        <w:t xml:space="preserve">) </w:t>
      </w:r>
    </w:p>
    <w:p w:rsidR="00B133F9" w:rsidRDefault="00B133F9" w:rsidP="00B133F9">
      <w:pPr>
        <w:pStyle w:val="ListParagraph"/>
        <w:spacing w:line="276" w:lineRule="auto"/>
        <w:rPr>
          <w:rFonts w:asciiTheme="majorHAnsi" w:hAnsiTheme="majorHAnsi" w:cstheme="majorHAnsi"/>
          <w:color w:val="4472C4" w:themeColor="accent5"/>
          <w:sz w:val="24"/>
          <w:szCs w:val="24"/>
        </w:rPr>
      </w:pPr>
    </w:p>
    <w:p w:rsidR="00B133F9" w:rsidRDefault="00B133F9" w:rsidP="00B133F9">
      <w:pPr>
        <w:pStyle w:val="ListParagraph"/>
        <w:numPr>
          <w:ilvl w:val="0"/>
          <w:numId w:val="38"/>
        </w:numPr>
        <w:spacing w:line="276" w:lineRule="auto"/>
        <w:rPr>
          <w:rFonts w:asciiTheme="majorHAnsi" w:hAnsiTheme="majorHAnsi" w:cstheme="majorHAnsi"/>
          <w:color w:val="4472C4" w:themeColor="accent5"/>
          <w:sz w:val="24"/>
          <w:szCs w:val="24"/>
        </w:rPr>
      </w:pPr>
      <w:r>
        <w:rPr>
          <w:rFonts w:asciiTheme="majorHAnsi" w:hAnsiTheme="majorHAnsi" w:cstheme="majorHAnsi"/>
          <w:color w:val="4472C4" w:themeColor="accent5"/>
          <w:sz w:val="24"/>
          <w:szCs w:val="24"/>
        </w:rPr>
        <w:t xml:space="preserve">New Question: Please advise whether SLHI will update its proposed RTSRs to reflect the updated UTRs. </w:t>
      </w:r>
    </w:p>
    <w:p w:rsidR="003200AD" w:rsidRPr="00942B5A" w:rsidRDefault="003200AD" w:rsidP="003200AD">
      <w:pPr>
        <w:spacing w:line="276" w:lineRule="auto"/>
        <w:ind w:left="360"/>
        <w:rPr>
          <w:rFonts w:asciiTheme="majorHAnsi" w:hAnsiTheme="majorHAnsi" w:cstheme="majorHAnsi"/>
          <w:b/>
          <w:color w:val="00B050"/>
          <w:sz w:val="24"/>
          <w:szCs w:val="24"/>
          <w:u w:val="single"/>
        </w:rPr>
      </w:pPr>
      <w:r w:rsidRPr="00942B5A">
        <w:rPr>
          <w:rFonts w:asciiTheme="majorHAnsi" w:hAnsiTheme="majorHAnsi" w:cstheme="majorHAnsi"/>
          <w:b/>
          <w:color w:val="00B050"/>
          <w:sz w:val="24"/>
          <w:szCs w:val="24"/>
          <w:u w:val="single"/>
        </w:rPr>
        <w:t>Response:</w:t>
      </w:r>
    </w:p>
    <w:p w:rsidR="003200AD" w:rsidRPr="00942B5A" w:rsidRDefault="003200AD" w:rsidP="003200AD">
      <w:pPr>
        <w:spacing w:line="276" w:lineRule="auto"/>
        <w:ind w:left="360"/>
        <w:rPr>
          <w:rFonts w:asciiTheme="majorHAnsi" w:hAnsiTheme="majorHAnsi" w:cstheme="majorHAnsi"/>
          <w:b/>
          <w:color w:val="00B050"/>
          <w:sz w:val="24"/>
          <w:szCs w:val="24"/>
        </w:rPr>
      </w:pPr>
      <w:r w:rsidRPr="00942B5A">
        <w:rPr>
          <w:rFonts w:asciiTheme="majorHAnsi" w:hAnsiTheme="majorHAnsi" w:cstheme="majorHAnsi"/>
          <w:b/>
          <w:color w:val="00B050"/>
          <w:sz w:val="24"/>
          <w:szCs w:val="24"/>
        </w:rPr>
        <w:t>As stated above in the COP update, SLHI is charged by Hydro One under the Sub-Transmission rate class for Transmission and Connection, not the UTRs. Hydro One’s 2018 application process has not been completed. SLHI agrees to update the RTSRs if the values become known before the end of this process.</w:t>
      </w:r>
    </w:p>
    <w:p w:rsidR="000E3EFC" w:rsidRPr="000E3EFC" w:rsidRDefault="000E3EFC" w:rsidP="000E3EFC">
      <w:pPr>
        <w:spacing w:line="276" w:lineRule="auto"/>
        <w:rPr>
          <w:rFonts w:asciiTheme="majorHAnsi" w:hAnsiTheme="majorHAnsi" w:cstheme="majorHAnsi"/>
          <w:sz w:val="24"/>
          <w:szCs w:val="24"/>
        </w:rPr>
      </w:pPr>
    </w:p>
    <w:p w:rsidR="007A7482" w:rsidRPr="007A7482" w:rsidRDefault="007A7482" w:rsidP="007A7482">
      <w:pPr>
        <w:rPr>
          <w:rFonts w:asciiTheme="majorHAnsi" w:hAnsiTheme="majorHAnsi" w:cstheme="majorHAnsi"/>
          <w:sz w:val="24"/>
          <w:szCs w:val="24"/>
        </w:rPr>
      </w:pPr>
    </w:p>
    <w:p w:rsidR="00503BB8" w:rsidRPr="00503BB8" w:rsidRDefault="00503BB8" w:rsidP="00503BB8">
      <w:pPr>
        <w:pStyle w:val="ListParagraph"/>
        <w:rPr>
          <w:rFonts w:asciiTheme="majorHAnsi" w:hAnsiTheme="majorHAnsi" w:cstheme="majorHAnsi"/>
          <w:sz w:val="24"/>
          <w:szCs w:val="24"/>
        </w:rPr>
      </w:pPr>
    </w:p>
    <w:p w:rsidR="00503BB8" w:rsidRPr="00503BB8" w:rsidRDefault="00503BB8" w:rsidP="00503BB8">
      <w:pPr>
        <w:pStyle w:val="ListParagraph"/>
      </w:pPr>
    </w:p>
    <w:sectPr w:rsidR="00503BB8" w:rsidRPr="00503BB8">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86" w:rsidRDefault="00414F86" w:rsidP="00AD3F91">
      <w:pPr>
        <w:spacing w:after="0" w:line="240" w:lineRule="auto"/>
      </w:pPr>
      <w:r>
        <w:separator/>
      </w:r>
    </w:p>
  </w:endnote>
  <w:endnote w:type="continuationSeparator" w:id="0">
    <w:p w:rsidR="00414F86" w:rsidRDefault="00414F86" w:rsidP="00AD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0"/>
        <w:szCs w:val="20"/>
      </w:rPr>
      <w:id w:val="2112463027"/>
      <w:docPartObj>
        <w:docPartGallery w:val="Page Numbers (Bottom of Page)"/>
        <w:docPartUnique/>
      </w:docPartObj>
    </w:sdtPr>
    <w:sdtEndPr>
      <w:rPr>
        <w:noProof/>
      </w:rPr>
    </w:sdtEndPr>
    <w:sdtContent>
      <w:p w:rsidR="00AD3F91" w:rsidRPr="00AD3F91" w:rsidRDefault="00AD3F91">
        <w:pPr>
          <w:pStyle w:val="Footer"/>
          <w:jc w:val="right"/>
          <w:rPr>
            <w:b/>
            <w:sz w:val="20"/>
            <w:szCs w:val="20"/>
          </w:rPr>
        </w:pPr>
        <w:r w:rsidRPr="00AD3F91">
          <w:rPr>
            <w:b/>
            <w:sz w:val="20"/>
            <w:szCs w:val="20"/>
          </w:rPr>
          <w:fldChar w:fldCharType="begin"/>
        </w:r>
        <w:r w:rsidRPr="00AD3F91">
          <w:rPr>
            <w:b/>
            <w:sz w:val="20"/>
            <w:szCs w:val="20"/>
          </w:rPr>
          <w:instrText xml:space="preserve"> PAGE   \* MERGEFORMAT </w:instrText>
        </w:r>
        <w:r w:rsidRPr="00AD3F91">
          <w:rPr>
            <w:b/>
            <w:sz w:val="20"/>
            <w:szCs w:val="20"/>
          </w:rPr>
          <w:fldChar w:fldCharType="separate"/>
        </w:r>
        <w:r w:rsidR="00EB4A43">
          <w:rPr>
            <w:b/>
            <w:noProof/>
            <w:sz w:val="20"/>
            <w:szCs w:val="20"/>
          </w:rPr>
          <w:t>14</w:t>
        </w:r>
        <w:r w:rsidRPr="00AD3F91">
          <w:rPr>
            <w:b/>
            <w:noProof/>
            <w:sz w:val="20"/>
            <w:szCs w:val="20"/>
          </w:rPr>
          <w:fldChar w:fldCharType="end"/>
        </w:r>
      </w:p>
    </w:sdtContent>
  </w:sdt>
  <w:p w:rsidR="00AD3F91" w:rsidRDefault="00AD3F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86" w:rsidRDefault="00414F86" w:rsidP="00AD3F91">
      <w:pPr>
        <w:spacing w:after="0" w:line="240" w:lineRule="auto"/>
      </w:pPr>
      <w:r>
        <w:separator/>
      </w:r>
    </w:p>
  </w:footnote>
  <w:footnote w:type="continuationSeparator" w:id="0">
    <w:p w:rsidR="00414F86" w:rsidRDefault="00414F86" w:rsidP="00AD3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44BB"/>
    <w:multiLevelType w:val="hybridMultilevel"/>
    <w:tmpl w:val="B6544046"/>
    <w:lvl w:ilvl="0" w:tplc="2320D3E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07F30"/>
    <w:multiLevelType w:val="hybridMultilevel"/>
    <w:tmpl w:val="B8448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07CBB"/>
    <w:multiLevelType w:val="hybridMultilevel"/>
    <w:tmpl w:val="BCBE4C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515B7"/>
    <w:multiLevelType w:val="hybridMultilevel"/>
    <w:tmpl w:val="E3D02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648D3"/>
    <w:multiLevelType w:val="hybridMultilevel"/>
    <w:tmpl w:val="7F485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0A64C2"/>
    <w:multiLevelType w:val="hybridMultilevel"/>
    <w:tmpl w:val="C4AA4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27A2B"/>
    <w:multiLevelType w:val="hybridMultilevel"/>
    <w:tmpl w:val="257097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610534"/>
    <w:multiLevelType w:val="hybridMultilevel"/>
    <w:tmpl w:val="98462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25562B"/>
    <w:multiLevelType w:val="hybridMultilevel"/>
    <w:tmpl w:val="B9C8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43150"/>
    <w:multiLevelType w:val="hybridMultilevel"/>
    <w:tmpl w:val="9856B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6409F"/>
    <w:multiLevelType w:val="hybridMultilevel"/>
    <w:tmpl w:val="F9500388"/>
    <w:lvl w:ilvl="0" w:tplc="B358A5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94881"/>
    <w:multiLevelType w:val="hybridMultilevel"/>
    <w:tmpl w:val="CCE85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3242A"/>
    <w:multiLevelType w:val="hybridMultilevel"/>
    <w:tmpl w:val="BE1E05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E954CF"/>
    <w:multiLevelType w:val="hybridMultilevel"/>
    <w:tmpl w:val="51DE0EE2"/>
    <w:lvl w:ilvl="0" w:tplc="42B6A07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983596"/>
    <w:multiLevelType w:val="hybridMultilevel"/>
    <w:tmpl w:val="9C5CE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1160EA"/>
    <w:multiLevelType w:val="hybridMultilevel"/>
    <w:tmpl w:val="36CA4A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292E04"/>
    <w:multiLevelType w:val="hybridMultilevel"/>
    <w:tmpl w:val="38F0D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2D23FD"/>
    <w:multiLevelType w:val="hybridMultilevel"/>
    <w:tmpl w:val="7F94B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FB3694"/>
    <w:multiLevelType w:val="hybridMultilevel"/>
    <w:tmpl w:val="A816FC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EB68B4"/>
    <w:multiLevelType w:val="hybridMultilevel"/>
    <w:tmpl w:val="14B0FB1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4D922048"/>
    <w:multiLevelType w:val="hybridMultilevel"/>
    <w:tmpl w:val="66E26E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33002"/>
    <w:multiLevelType w:val="hybridMultilevel"/>
    <w:tmpl w:val="CE70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96D1A"/>
    <w:multiLevelType w:val="hybridMultilevel"/>
    <w:tmpl w:val="61045D4E"/>
    <w:lvl w:ilvl="0" w:tplc="0E8C8DF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522EC"/>
    <w:multiLevelType w:val="hybridMultilevel"/>
    <w:tmpl w:val="D8945948"/>
    <w:lvl w:ilvl="0" w:tplc="A260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8D2200"/>
    <w:multiLevelType w:val="hybridMultilevel"/>
    <w:tmpl w:val="68CCB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77136B"/>
    <w:multiLevelType w:val="hybridMultilevel"/>
    <w:tmpl w:val="98462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E3C86"/>
    <w:multiLevelType w:val="hybridMultilevel"/>
    <w:tmpl w:val="70667A6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85DAA"/>
    <w:multiLevelType w:val="hybridMultilevel"/>
    <w:tmpl w:val="EE9A1D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173DB"/>
    <w:multiLevelType w:val="hybridMultilevel"/>
    <w:tmpl w:val="C53C3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F552B2"/>
    <w:multiLevelType w:val="hybridMultilevel"/>
    <w:tmpl w:val="792C2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883C83"/>
    <w:multiLevelType w:val="hybridMultilevel"/>
    <w:tmpl w:val="14F42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F8810EE"/>
    <w:multiLevelType w:val="hybridMultilevel"/>
    <w:tmpl w:val="BC626E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2A3D96"/>
    <w:multiLevelType w:val="hybridMultilevel"/>
    <w:tmpl w:val="1A9E9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672235"/>
    <w:multiLevelType w:val="hybridMultilevel"/>
    <w:tmpl w:val="F8EE8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FD19DF"/>
    <w:multiLevelType w:val="hybridMultilevel"/>
    <w:tmpl w:val="D0B2C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BB6CE6"/>
    <w:multiLevelType w:val="hybridMultilevel"/>
    <w:tmpl w:val="BE2AF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15A5B"/>
    <w:multiLevelType w:val="hybridMultilevel"/>
    <w:tmpl w:val="1C6CA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3"/>
  </w:num>
  <w:num w:numId="2">
    <w:abstractNumId w:val="29"/>
  </w:num>
  <w:num w:numId="3">
    <w:abstractNumId w:val="15"/>
  </w:num>
  <w:num w:numId="4">
    <w:abstractNumId w:val="32"/>
  </w:num>
  <w:num w:numId="5">
    <w:abstractNumId w:val="23"/>
  </w:num>
  <w:num w:numId="6">
    <w:abstractNumId w:val="22"/>
  </w:num>
  <w:num w:numId="7">
    <w:abstractNumId w:val="24"/>
  </w:num>
  <w:num w:numId="8">
    <w:abstractNumId w:val="28"/>
  </w:num>
  <w:num w:numId="9">
    <w:abstractNumId w:val="6"/>
  </w:num>
  <w:num w:numId="10">
    <w:abstractNumId w:val="1"/>
  </w:num>
  <w:num w:numId="11">
    <w:abstractNumId w:val="35"/>
  </w:num>
  <w:num w:numId="12">
    <w:abstractNumId w:val="2"/>
  </w:num>
  <w:num w:numId="13">
    <w:abstractNumId w:val="38"/>
  </w:num>
  <w:num w:numId="14">
    <w:abstractNumId w:val="31"/>
  </w:num>
  <w:num w:numId="15">
    <w:abstractNumId w:val="26"/>
  </w:num>
  <w:num w:numId="16">
    <w:abstractNumId w:val="34"/>
  </w:num>
  <w:num w:numId="17">
    <w:abstractNumId w:val="4"/>
  </w:num>
  <w:num w:numId="18">
    <w:abstractNumId w:val="20"/>
  </w:num>
  <w:num w:numId="19">
    <w:abstractNumId w:val="10"/>
  </w:num>
  <w:num w:numId="20">
    <w:abstractNumId w:val="30"/>
  </w:num>
  <w:num w:numId="21">
    <w:abstractNumId w:val="37"/>
  </w:num>
  <w:num w:numId="22">
    <w:abstractNumId w:val="0"/>
  </w:num>
  <w:num w:numId="23">
    <w:abstractNumId w:val="11"/>
  </w:num>
  <w:num w:numId="24">
    <w:abstractNumId w:val="36"/>
  </w:num>
  <w:num w:numId="25">
    <w:abstractNumId w:val="16"/>
  </w:num>
  <w:num w:numId="26">
    <w:abstractNumId w:val="8"/>
  </w:num>
  <w:num w:numId="27">
    <w:abstractNumId w:val="33"/>
  </w:num>
  <w:num w:numId="28">
    <w:abstractNumId w:val="25"/>
  </w:num>
  <w:num w:numId="29">
    <w:abstractNumId w:val="27"/>
  </w:num>
  <w:num w:numId="30">
    <w:abstractNumId w:val="3"/>
  </w:num>
  <w:num w:numId="31">
    <w:abstractNumId w:val="14"/>
  </w:num>
  <w:num w:numId="32">
    <w:abstractNumId w:val="9"/>
  </w:num>
  <w:num w:numId="33">
    <w:abstractNumId w:val="12"/>
  </w:num>
  <w:num w:numId="34">
    <w:abstractNumId w:val="17"/>
  </w:num>
  <w:num w:numId="35">
    <w:abstractNumId w:val="21"/>
  </w:num>
  <w:num w:numId="36">
    <w:abstractNumId w:val="18"/>
  </w:num>
  <w:num w:numId="37">
    <w:abstractNumId w:val="7"/>
  </w:num>
  <w:num w:numId="38">
    <w:abstractNumId w:val="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91"/>
    <w:rsid w:val="00031A8B"/>
    <w:rsid w:val="00035F73"/>
    <w:rsid w:val="0009091A"/>
    <w:rsid w:val="000B0914"/>
    <w:rsid w:val="000B598E"/>
    <w:rsid w:val="000C0095"/>
    <w:rsid w:val="000C0407"/>
    <w:rsid w:val="000C400D"/>
    <w:rsid w:val="000E3EFC"/>
    <w:rsid w:val="0016016B"/>
    <w:rsid w:val="00164760"/>
    <w:rsid w:val="00186105"/>
    <w:rsid w:val="001E0F9F"/>
    <w:rsid w:val="00201B63"/>
    <w:rsid w:val="002417FB"/>
    <w:rsid w:val="002C5F31"/>
    <w:rsid w:val="00306794"/>
    <w:rsid w:val="003200AD"/>
    <w:rsid w:val="00330A65"/>
    <w:rsid w:val="0036191D"/>
    <w:rsid w:val="00396CD9"/>
    <w:rsid w:val="003A3688"/>
    <w:rsid w:val="003D29A7"/>
    <w:rsid w:val="003D58DE"/>
    <w:rsid w:val="004122E0"/>
    <w:rsid w:val="00414F86"/>
    <w:rsid w:val="004322C0"/>
    <w:rsid w:val="0044789D"/>
    <w:rsid w:val="00451025"/>
    <w:rsid w:val="00503BB8"/>
    <w:rsid w:val="00504E7A"/>
    <w:rsid w:val="00513976"/>
    <w:rsid w:val="00570D42"/>
    <w:rsid w:val="005A37E8"/>
    <w:rsid w:val="005C3195"/>
    <w:rsid w:val="005E157E"/>
    <w:rsid w:val="005E77EE"/>
    <w:rsid w:val="00696200"/>
    <w:rsid w:val="006C741C"/>
    <w:rsid w:val="007270D6"/>
    <w:rsid w:val="00731090"/>
    <w:rsid w:val="00747F5B"/>
    <w:rsid w:val="0078207C"/>
    <w:rsid w:val="007A7482"/>
    <w:rsid w:val="007C124F"/>
    <w:rsid w:val="009226D3"/>
    <w:rsid w:val="00941AB7"/>
    <w:rsid w:val="00942B5A"/>
    <w:rsid w:val="009D7D91"/>
    <w:rsid w:val="009E24B0"/>
    <w:rsid w:val="009E27B3"/>
    <w:rsid w:val="009E4EC7"/>
    <w:rsid w:val="009E5444"/>
    <w:rsid w:val="00A44459"/>
    <w:rsid w:val="00A47F49"/>
    <w:rsid w:val="00A6331E"/>
    <w:rsid w:val="00A6695B"/>
    <w:rsid w:val="00A97442"/>
    <w:rsid w:val="00AD3F91"/>
    <w:rsid w:val="00AE19D1"/>
    <w:rsid w:val="00AF48B7"/>
    <w:rsid w:val="00B06B6B"/>
    <w:rsid w:val="00B133F9"/>
    <w:rsid w:val="00BA2A8D"/>
    <w:rsid w:val="00C31C94"/>
    <w:rsid w:val="00C61F21"/>
    <w:rsid w:val="00C729CA"/>
    <w:rsid w:val="00CB132F"/>
    <w:rsid w:val="00CD0449"/>
    <w:rsid w:val="00CD0888"/>
    <w:rsid w:val="00CD0D02"/>
    <w:rsid w:val="00CD4C2A"/>
    <w:rsid w:val="00CE4EA3"/>
    <w:rsid w:val="00D23376"/>
    <w:rsid w:val="00E14915"/>
    <w:rsid w:val="00E166B3"/>
    <w:rsid w:val="00E706E0"/>
    <w:rsid w:val="00E86407"/>
    <w:rsid w:val="00EA15CD"/>
    <w:rsid w:val="00EB4A43"/>
    <w:rsid w:val="00EE0A9B"/>
    <w:rsid w:val="00EF1DB1"/>
    <w:rsid w:val="00EF5638"/>
    <w:rsid w:val="00F04523"/>
    <w:rsid w:val="00F06EE3"/>
    <w:rsid w:val="00F13FF0"/>
    <w:rsid w:val="00F367C6"/>
    <w:rsid w:val="00F410A0"/>
    <w:rsid w:val="00FA3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F91"/>
    <w:pPr>
      <w:autoSpaceDE w:val="0"/>
      <w:autoSpaceDN w:val="0"/>
      <w:adjustRightInd w:val="0"/>
      <w:spacing w:after="0" w:line="240" w:lineRule="auto"/>
      <w:ind w:left="720"/>
      <w:contextualSpacing/>
    </w:pPr>
    <w:rPr>
      <w:rFonts w:ascii="Arial" w:eastAsia="Times New Roman" w:hAnsi="Arial" w:cs="Times New Roman"/>
      <w:szCs w:val="20"/>
      <w:lang w:val="en-CA"/>
    </w:rPr>
  </w:style>
  <w:style w:type="character" w:styleId="CommentReference">
    <w:name w:val="annotation reference"/>
    <w:semiHidden/>
    <w:rsid w:val="00AD3F91"/>
    <w:rPr>
      <w:sz w:val="16"/>
      <w:szCs w:val="16"/>
    </w:rPr>
  </w:style>
  <w:style w:type="paragraph" w:styleId="CommentText">
    <w:name w:val="annotation text"/>
    <w:basedOn w:val="Normal"/>
    <w:link w:val="CommentTextChar"/>
    <w:semiHidden/>
    <w:rsid w:val="00AD3F91"/>
    <w:pPr>
      <w:autoSpaceDE w:val="0"/>
      <w:autoSpaceDN w:val="0"/>
      <w:adjustRightInd w:val="0"/>
      <w:spacing w:after="0" w:line="240" w:lineRule="auto"/>
    </w:pPr>
    <w:rPr>
      <w:rFonts w:ascii="Arial" w:eastAsia="Times New Roman" w:hAnsi="Arial" w:cs="Times New Roman"/>
      <w:sz w:val="20"/>
      <w:szCs w:val="20"/>
      <w:lang w:val="en-CA"/>
    </w:rPr>
  </w:style>
  <w:style w:type="character" w:customStyle="1" w:styleId="CommentTextChar">
    <w:name w:val="Comment Text Char"/>
    <w:basedOn w:val="DefaultParagraphFont"/>
    <w:link w:val="CommentText"/>
    <w:semiHidden/>
    <w:rsid w:val="00AD3F91"/>
    <w:rPr>
      <w:rFonts w:ascii="Arial" w:eastAsia="Times New Roman" w:hAnsi="Arial" w:cs="Times New Roman"/>
      <w:sz w:val="20"/>
      <w:szCs w:val="20"/>
      <w:lang w:val="en-CA"/>
    </w:rPr>
  </w:style>
  <w:style w:type="paragraph" w:styleId="BalloonText">
    <w:name w:val="Balloon Text"/>
    <w:basedOn w:val="Normal"/>
    <w:link w:val="BalloonTextChar"/>
    <w:uiPriority w:val="99"/>
    <w:semiHidden/>
    <w:unhideWhenUsed/>
    <w:rsid w:val="00AD3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91"/>
    <w:rPr>
      <w:rFonts w:ascii="Segoe UI" w:hAnsi="Segoe UI" w:cs="Segoe UI"/>
      <w:sz w:val="18"/>
      <w:szCs w:val="18"/>
    </w:rPr>
  </w:style>
  <w:style w:type="paragraph" w:styleId="Header">
    <w:name w:val="header"/>
    <w:basedOn w:val="Normal"/>
    <w:link w:val="HeaderChar"/>
    <w:uiPriority w:val="99"/>
    <w:unhideWhenUsed/>
    <w:rsid w:val="00A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91"/>
  </w:style>
  <w:style w:type="paragraph" w:styleId="Footer">
    <w:name w:val="footer"/>
    <w:basedOn w:val="Normal"/>
    <w:link w:val="FooterChar"/>
    <w:uiPriority w:val="99"/>
    <w:unhideWhenUsed/>
    <w:rsid w:val="00A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91"/>
  </w:style>
  <w:style w:type="paragraph" w:styleId="CommentSubject">
    <w:name w:val="annotation subject"/>
    <w:basedOn w:val="CommentText"/>
    <w:next w:val="CommentText"/>
    <w:link w:val="CommentSubjectChar"/>
    <w:uiPriority w:val="99"/>
    <w:semiHidden/>
    <w:unhideWhenUsed/>
    <w:rsid w:val="00F367C6"/>
    <w:pPr>
      <w:autoSpaceDE/>
      <w:autoSpaceDN/>
      <w:adjustRightInd/>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367C6"/>
    <w:rPr>
      <w:rFonts w:ascii="Arial" w:eastAsia="Times New Roman" w:hAnsi="Arial" w:cs="Times New Roman"/>
      <w:b/>
      <w:bCs/>
      <w:sz w:val="20"/>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F91"/>
    <w:pPr>
      <w:autoSpaceDE w:val="0"/>
      <w:autoSpaceDN w:val="0"/>
      <w:adjustRightInd w:val="0"/>
      <w:spacing w:after="0" w:line="240" w:lineRule="auto"/>
      <w:ind w:left="720"/>
      <w:contextualSpacing/>
    </w:pPr>
    <w:rPr>
      <w:rFonts w:ascii="Arial" w:eastAsia="Times New Roman" w:hAnsi="Arial" w:cs="Times New Roman"/>
      <w:szCs w:val="20"/>
      <w:lang w:val="en-CA"/>
    </w:rPr>
  </w:style>
  <w:style w:type="character" w:styleId="CommentReference">
    <w:name w:val="annotation reference"/>
    <w:semiHidden/>
    <w:rsid w:val="00AD3F91"/>
    <w:rPr>
      <w:sz w:val="16"/>
      <w:szCs w:val="16"/>
    </w:rPr>
  </w:style>
  <w:style w:type="paragraph" w:styleId="CommentText">
    <w:name w:val="annotation text"/>
    <w:basedOn w:val="Normal"/>
    <w:link w:val="CommentTextChar"/>
    <w:semiHidden/>
    <w:rsid w:val="00AD3F91"/>
    <w:pPr>
      <w:autoSpaceDE w:val="0"/>
      <w:autoSpaceDN w:val="0"/>
      <w:adjustRightInd w:val="0"/>
      <w:spacing w:after="0" w:line="240" w:lineRule="auto"/>
    </w:pPr>
    <w:rPr>
      <w:rFonts w:ascii="Arial" w:eastAsia="Times New Roman" w:hAnsi="Arial" w:cs="Times New Roman"/>
      <w:sz w:val="20"/>
      <w:szCs w:val="20"/>
      <w:lang w:val="en-CA"/>
    </w:rPr>
  </w:style>
  <w:style w:type="character" w:customStyle="1" w:styleId="CommentTextChar">
    <w:name w:val="Comment Text Char"/>
    <w:basedOn w:val="DefaultParagraphFont"/>
    <w:link w:val="CommentText"/>
    <w:semiHidden/>
    <w:rsid w:val="00AD3F91"/>
    <w:rPr>
      <w:rFonts w:ascii="Arial" w:eastAsia="Times New Roman" w:hAnsi="Arial" w:cs="Times New Roman"/>
      <w:sz w:val="20"/>
      <w:szCs w:val="20"/>
      <w:lang w:val="en-CA"/>
    </w:rPr>
  </w:style>
  <w:style w:type="paragraph" w:styleId="BalloonText">
    <w:name w:val="Balloon Text"/>
    <w:basedOn w:val="Normal"/>
    <w:link w:val="BalloonTextChar"/>
    <w:uiPriority w:val="99"/>
    <w:semiHidden/>
    <w:unhideWhenUsed/>
    <w:rsid w:val="00AD3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91"/>
    <w:rPr>
      <w:rFonts w:ascii="Segoe UI" w:hAnsi="Segoe UI" w:cs="Segoe UI"/>
      <w:sz w:val="18"/>
      <w:szCs w:val="18"/>
    </w:rPr>
  </w:style>
  <w:style w:type="paragraph" w:styleId="Header">
    <w:name w:val="header"/>
    <w:basedOn w:val="Normal"/>
    <w:link w:val="HeaderChar"/>
    <w:uiPriority w:val="99"/>
    <w:unhideWhenUsed/>
    <w:rsid w:val="00A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F91"/>
  </w:style>
  <w:style w:type="paragraph" w:styleId="Footer">
    <w:name w:val="footer"/>
    <w:basedOn w:val="Normal"/>
    <w:link w:val="FooterChar"/>
    <w:uiPriority w:val="99"/>
    <w:unhideWhenUsed/>
    <w:rsid w:val="00AD3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F91"/>
  </w:style>
  <w:style w:type="paragraph" w:styleId="CommentSubject">
    <w:name w:val="annotation subject"/>
    <w:basedOn w:val="CommentText"/>
    <w:next w:val="CommentText"/>
    <w:link w:val="CommentSubjectChar"/>
    <w:uiPriority w:val="99"/>
    <w:semiHidden/>
    <w:unhideWhenUsed/>
    <w:rsid w:val="00F367C6"/>
    <w:pPr>
      <w:autoSpaceDE/>
      <w:autoSpaceDN/>
      <w:adjustRightInd/>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F367C6"/>
    <w:rPr>
      <w:rFonts w:ascii="Arial" w:eastAsia="Times New Roman" w:hAnsi="Arial" w:cs="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6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TotalTime>
  <Pages>14</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Lawrie Gluck</dc:creator>
  <cp:lastModifiedBy>SLH-Deanne</cp:lastModifiedBy>
  <cp:revision>31</cp:revision>
  <cp:lastPrinted>2017-12-08T17:35:00Z</cp:lastPrinted>
  <dcterms:created xsi:type="dcterms:W3CDTF">2017-12-05T17:38:00Z</dcterms:created>
  <dcterms:modified xsi:type="dcterms:W3CDTF">2017-12-12T20:13:00Z</dcterms:modified>
</cp:coreProperties>
</file>