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C6" w:rsidRPr="00F06CC6" w:rsidRDefault="00F06CC6" w:rsidP="00F06CC6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F06CC6">
        <w:rPr>
          <w:rFonts w:asciiTheme="majorHAnsi" w:hAnsiTheme="majorHAnsi" w:cstheme="majorHAnsi"/>
          <w:b/>
          <w:sz w:val="24"/>
          <w:szCs w:val="24"/>
        </w:rPr>
        <w:t xml:space="preserve">SLHI – 2018 Rates (EB-2017-0073) </w:t>
      </w:r>
    </w:p>
    <w:p w:rsidR="00C17550" w:rsidRDefault="00F06CC6">
      <w:pPr>
        <w:rPr>
          <w:rFonts w:asciiTheme="majorHAnsi" w:hAnsiTheme="majorHAnsi" w:cstheme="majorHAnsi"/>
          <w:b/>
          <w:sz w:val="24"/>
          <w:szCs w:val="24"/>
        </w:rPr>
      </w:pPr>
      <w:r w:rsidRPr="00F06CC6">
        <w:rPr>
          <w:rFonts w:asciiTheme="majorHAnsi" w:hAnsiTheme="majorHAnsi" w:cstheme="majorHAnsi"/>
          <w:b/>
          <w:sz w:val="24"/>
          <w:szCs w:val="24"/>
        </w:rPr>
        <w:t xml:space="preserve">Updates to Application </w:t>
      </w:r>
      <w:bookmarkStart w:id="0" w:name="_GoBack"/>
      <w:bookmarkEnd w:id="0"/>
    </w:p>
    <w:p w:rsidR="00367B5E" w:rsidRDefault="00367B5E">
      <w:pPr>
        <w:rPr>
          <w:rFonts w:asciiTheme="majorHAnsi" w:hAnsiTheme="majorHAnsi" w:cstheme="majorHAnsi"/>
          <w:b/>
          <w:sz w:val="24"/>
          <w:szCs w:val="24"/>
        </w:rPr>
      </w:pPr>
      <w:r w:rsidRPr="00E71DDF">
        <w:rPr>
          <w:rFonts w:asciiTheme="majorHAnsi" w:hAnsiTheme="majorHAnsi" w:cstheme="majorHAnsi"/>
          <w:b/>
          <w:sz w:val="24"/>
          <w:szCs w:val="24"/>
        </w:rPr>
        <w:t xml:space="preserve">December </w:t>
      </w:r>
      <w:r w:rsidR="00E71DDF" w:rsidRPr="00E71DDF">
        <w:rPr>
          <w:rFonts w:asciiTheme="majorHAnsi" w:hAnsiTheme="majorHAnsi" w:cstheme="majorHAnsi"/>
          <w:b/>
          <w:sz w:val="24"/>
          <w:szCs w:val="24"/>
        </w:rPr>
        <w:t>19</w:t>
      </w:r>
      <w:r w:rsidRPr="00E71DDF">
        <w:rPr>
          <w:rFonts w:asciiTheme="majorHAnsi" w:hAnsiTheme="majorHAnsi" w:cstheme="majorHAnsi"/>
          <w:b/>
          <w:sz w:val="24"/>
          <w:szCs w:val="24"/>
        </w:rPr>
        <w:t>, 2017</w:t>
      </w:r>
    </w:p>
    <w:p w:rsidR="00F06CC6" w:rsidRDefault="00F06CC6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Please confirm that SLHI will make the following updates to the application in accordance with SLHI’s responses to OEB staff’s questions. </w:t>
      </w:r>
      <w:r w:rsidR="00887A69">
        <w:rPr>
          <w:rFonts w:asciiTheme="majorHAnsi" w:hAnsiTheme="majorHAnsi" w:cstheme="majorHAnsi"/>
          <w:sz w:val="24"/>
          <w:szCs w:val="24"/>
        </w:rPr>
        <w:t>Please also ensure that the resulting impact of all of these c</w:t>
      </w:r>
      <w:r w:rsidR="005849B2">
        <w:rPr>
          <w:rFonts w:asciiTheme="majorHAnsi" w:hAnsiTheme="majorHAnsi" w:cstheme="majorHAnsi"/>
          <w:sz w:val="24"/>
          <w:szCs w:val="24"/>
        </w:rPr>
        <w:t xml:space="preserve">hanges </w:t>
      </w:r>
      <w:proofErr w:type="gramStart"/>
      <w:r w:rsidR="005849B2">
        <w:rPr>
          <w:rFonts w:asciiTheme="majorHAnsi" w:hAnsiTheme="majorHAnsi" w:cstheme="majorHAnsi"/>
          <w:sz w:val="24"/>
          <w:szCs w:val="24"/>
        </w:rPr>
        <w:t>are properly reflected</w:t>
      </w:r>
      <w:proofErr w:type="gramEnd"/>
      <w:r w:rsidR="005849B2">
        <w:rPr>
          <w:rFonts w:asciiTheme="majorHAnsi" w:hAnsiTheme="majorHAnsi" w:cstheme="majorHAnsi"/>
          <w:sz w:val="24"/>
          <w:szCs w:val="24"/>
        </w:rPr>
        <w:t xml:space="preserve"> throughout</w:t>
      </w:r>
      <w:r w:rsidR="00887A69">
        <w:rPr>
          <w:rFonts w:asciiTheme="majorHAnsi" w:hAnsiTheme="majorHAnsi" w:cstheme="majorHAnsi"/>
          <w:sz w:val="24"/>
          <w:szCs w:val="24"/>
        </w:rPr>
        <w:t xml:space="preserve"> the application. </w:t>
      </w:r>
      <w:r w:rsidR="00C91BAF">
        <w:rPr>
          <w:rFonts w:asciiTheme="majorHAnsi" w:hAnsiTheme="majorHAnsi" w:cstheme="majorHAnsi"/>
          <w:sz w:val="24"/>
          <w:szCs w:val="24"/>
        </w:rPr>
        <w:t xml:space="preserve"> Please advise whether there are any other updates to the application that SLHI </w:t>
      </w:r>
      <w:r w:rsidR="005849B2">
        <w:rPr>
          <w:rFonts w:asciiTheme="majorHAnsi" w:hAnsiTheme="majorHAnsi" w:cstheme="majorHAnsi"/>
          <w:sz w:val="24"/>
          <w:szCs w:val="24"/>
        </w:rPr>
        <w:t>intends to</w:t>
      </w:r>
      <w:r w:rsidR="00C91BAF">
        <w:rPr>
          <w:rFonts w:asciiTheme="majorHAnsi" w:hAnsiTheme="majorHAnsi" w:cstheme="majorHAnsi"/>
          <w:sz w:val="24"/>
          <w:szCs w:val="24"/>
        </w:rPr>
        <w:t xml:space="preserve"> make (with </w:t>
      </w:r>
      <w:r w:rsidR="005849B2">
        <w:rPr>
          <w:rFonts w:asciiTheme="majorHAnsi" w:hAnsiTheme="majorHAnsi" w:cstheme="majorHAnsi"/>
          <w:sz w:val="24"/>
          <w:szCs w:val="24"/>
        </w:rPr>
        <w:t xml:space="preserve">supporting </w:t>
      </w:r>
      <w:r w:rsidR="00C91BAF">
        <w:rPr>
          <w:rFonts w:asciiTheme="majorHAnsi" w:hAnsiTheme="majorHAnsi" w:cstheme="majorHAnsi"/>
          <w:sz w:val="24"/>
          <w:szCs w:val="24"/>
        </w:rPr>
        <w:t xml:space="preserve">rationale). </w:t>
      </w:r>
    </w:p>
    <w:p w:rsidR="00367B5E" w:rsidRDefault="00367B5E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F06CC6" w:rsidRPr="00503BB8" w:rsidRDefault="00F06CC6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Administration (Exhibit 1</w:t>
      </w:r>
      <w:r w:rsidRPr="00503BB8">
        <w:rPr>
          <w:rFonts w:asciiTheme="majorHAnsi" w:hAnsiTheme="majorHAnsi" w:cstheme="majorHAnsi"/>
          <w:sz w:val="24"/>
          <w:szCs w:val="24"/>
          <w:u w:val="single"/>
        </w:rPr>
        <w:t>)</w:t>
      </w:r>
    </w:p>
    <w:p w:rsidR="00F06CC6" w:rsidRDefault="00F06CC6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F06CC6" w:rsidRDefault="00F06CC6" w:rsidP="001B5E10">
      <w:pPr>
        <w:pStyle w:val="ListParagraph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Updated Benchmarking Model </w:t>
      </w:r>
    </w:p>
    <w:p w:rsidR="001B5E10" w:rsidRDefault="001B5E10" w:rsidP="001B5E10">
      <w:pPr>
        <w:pStyle w:val="ListParagraph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1B5E10" w:rsidRDefault="001B5E10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570D42">
        <w:rPr>
          <w:rFonts w:asciiTheme="majorHAnsi" w:hAnsiTheme="majorHAnsi" w:cstheme="majorHAnsi"/>
          <w:sz w:val="24"/>
          <w:szCs w:val="24"/>
          <w:u w:val="single"/>
        </w:rPr>
        <w:t>Rate Base (Exhibit 2)</w:t>
      </w:r>
    </w:p>
    <w:p w:rsidR="001B5E10" w:rsidRDefault="001B5E10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1B5E10" w:rsidRDefault="001B5E10" w:rsidP="001B5E10">
      <w:pPr>
        <w:pStyle w:val="ListParagraph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Cost of Power calculation update</w:t>
      </w:r>
    </w:p>
    <w:p w:rsidR="001B5E10" w:rsidRPr="001B5E10" w:rsidRDefault="001B5E10" w:rsidP="001B5E10">
      <w:pPr>
        <w:pStyle w:val="ListParagraph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F06CC6" w:rsidRPr="00570D42" w:rsidRDefault="00F06CC6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570D42">
        <w:rPr>
          <w:rFonts w:asciiTheme="majorHAnsi" w:hAnsiTheme="majorHAnsi" w:cstheme="majorHAnsi"/>
          <w:sz w:val="24"/>
          <w:szCs w:val="24"/>
          <w:u w:val="single"/>
        </w:rPr>
        <w:t xml:space="preserve">Load Forecast (Exhibit 3) </w:t>
      </w:r>
    </w:p>
    <w:p w:rsidR="001B5E10" w:rsidRDefault="001B5E10" w:rsidP="001B5E10">
      <w:pPr>
        <w:pStyle w:val="ListParagraph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1B5E10" w:rsidRPr="001B5E10" w:rsidRDefault="00F06CC6" w:rsidP="001B5E10">
      <w:pPr>
        <w:pStyle w:val="ListParagraph"/>
        <w:numPr>
          <w:ilvl w:val="0"/>
          <w:numId w:val="2"/>
        </w:num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1B5E10">
        <w:rPr>
          <w:rFonts w:asciiTheme="majorHAnsi" w:hAnsiTheme="majorHAnsi" w:cstheme="majorHAnsi"/>
          <w:sz w:val="24"/>
          <w:szCs w:val="24"/>
        </w:rPr>
        <w:t xml:space="preserve">Appendix 2-IB errors </w:t>
      </w:r>
      <w:r w:rsidR="00FB4EFD" w:rsidRPr="001B5E10">
        <w:rPr>
          <w:rFonts w:asciiTheme="majorHAnsi" w:hAnsiTheme="majorHAnsi" w:cstheme="majorHAnsi"/>
          <w:sz w:val="24"/>
          <w:szCs w:val="24"/>
        </w:rPr>
        <w:t xml:space="preserve">for the </w:t>
      </w:r>
      <w:r w:rsidRPr="001B5E10">
        <w:rPr>
          <w:rFonts w:asciiTheme="majorHAnsi" w:hAnsiTheme="majorHAnsi" w:cstheme="majorHAnsi"/>
          <w:sz w:val="24"/>
          <w:szCs w:val="24"/>
        </w:rPr>
        <w:t>GS &gt; 50 kW</w:t>
      </w:r>
      <w:r w:rsidR="00FB4EFD" w:rsidRPr="001B5E10">
        <w:rPr>
          <w:rFonts w:asciiTheme="majorHAnsi" w:hAnsiTheme="majorHAnsi" w:cstheme="majorHAnsi"/>
          <w:sz w:val="24"/>
          <w:szCs w:val="24"/>
        </w:rPr>
        <w:t xml:space="preserve"> rate class</w:t>
      </w:r>
    </w:p>
    <w:p w:rsidR="001B5E10" w:rsidRPr="001B5E10" w:rsidRDefault="001B5E10" w:rsidP="001B5E10">
      <w:pPr>
        <w:spacing w:after="0" w:line="276" w:lineRule="auto"/>
        <w:ind w:left="360"/>
        <w:rPr>
          <w:rFonts w:asciiTheme="majorHAnsi" w:hAnsiTheme="majorHAnsi" w:cstheme="majorHAnsi"/>
          <w:sz w:val="24"/>
          <w:szCs w:val="24"/>
          <w:u w:val="single"/>
        </w:rPr>
      </w:pPr>
    </w:p>
    <w:p w:rsidR="00F06CC6" w:rsidRPr="001B5E10" w:rsidRDefault="00F06CC6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1B5E10">
        <w:rPr>
          <w:rFonts w:asciiTheme="majorHAnsi" w:hAnsiTheme="majorHAnsi" w:cstheme="majorHAnsi"/>
          <w:sz w:val="24"/>
          <w:szCs w:val="24"/>
          <w:u w:val="single"/>
        </w:rPr>
        <w:t xml:space="preserve">OM&amp;A (Exhibit 4) </w:t>
      </w:r>
    </w:p>
    <w:p w:rsidR="00F06CC6" w:rsidRDefault="00F06CC6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F06CC6" w:rsidRDefault="00F06CC6" w:rsidP="001B5E10">
      <w:pPr>
        <w:pStyle w:val="ListParagraph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Table 4-4 (Ex</w:t>
      </w:r>
      <w:r w:rsidR="00FB4EFD">
        <w:rPr>
          <w:rFonts w:asciiTheme="majorHAnsi" w:hAnsiTheme="majorHAnsi" w:cstheme="majorHAnsi"/>
          <w:sz w:val="24"/>
          <w:szCs w:val="24"/>
        </w:rPr>
        <w:t>hibit</w:t>
      </w:r>
      <w:r>
        <w:rPr>
          <w:rFonts w:asciiTheme="majorHAnsi" w:hAnsiTheme="majorHAnsi" w:cstheme="majorHAnsi"/>
          <w:sz w:val="24"/>
          <w:szCs w:val="24"/>
        </w:rPr>
        <w:t xml:space="preserve"> 4 / p. 7) </w:t>
      </w:r>
      <w:r w:rsidR="00887A69">
        <w:rPr>
          <w:rFonts w:asciiTheme="majorHAnsi" w:hAnsiTheme="majorHAnsi" w:cstheme="majorHAnsi"/>
          <w:sz w:val="24"/>
          <w:szCs w:val="24"/>
        </w:rPr>
        <w:t xml:space="preserve">replacement </w:t>
      </w:r>
    </w:p>
    <w:p w:rsidR="00887A69" w:rsidRDefault="00887A69" w:rsidP="001B5E10">
      <w:pPr>
        <w:pStyle w:val="ListParagraph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Appendix 2-H, 4-E and PILs model </w:t>
      </w:r>
      <w:r w:rsidR="00FB4EFD">
        <w:rPr>
          <w:rFonts w:asciiTheme="majorHAnsi" w:hAnsiTheme="majorHAnsi" w:cstheme="majorHAnsi"/>
          <w:sz w:val="24"/>
          <w:szCs w:val="24"/>
        </w:rPr>
        <w:t>to reflect</w:t>
      </w:r>
      <w:r>
        <w:rPr>
          <w:rFonts w:asciiTheme="majorHAnsi" w:hAnsiTheme="majorHAnsi" w:cstheme="majorHAnsi"/>
          <w:sz w:val="24"/>
          <w:szCs w:val="24"/>
        </w:rPr>
        <w:t xml:space="preserve"> $16k net loss</w:t>
      </w:r>
    </w:p>
    <w:p w:rsidR="00887A69" w:rsidRDefault="00887A69" w:rsidP="001B5E10">
      <w:pPr>
        <w:pStyle w:val="ListParagraph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PILs model for removal of sentinel light assets from CCA calculation for historical year </w:t>
      </w:r>
    </w:p>
    <w:p w:rsidR="005761CA" w:rsidRDefault="005761CA" w:rsidP="001B5E10">
      <w:pPr>
        <w:pStyle w:val="ListParagraph"/>
        <w:numPr>
          <w:ilvl w:val="0"/>
          <w:numId w:val="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Appendix 2-M to reflect proposed OEB cost assessments </w:t>
      </w:r>
    </w:p>
    <w:p w:rsidR="00C91BAF" w:rsidRDefault="00C91BAF" w:rsidP="00C91BAF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C91BAF" w:rsidRDefault="00C91BAF" w:rsidP="00C91BAF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C91BAF">
        <w:rPr>
          <w:rFonts w:asciiTheme="majorHAnsi" w:hAnsiTheme="majorHAnsi" w:cstheme="majorHAnsi"/>
          <w:sz w:val="24"/>
          <w:szCs w:val="24"/>
          <w:u w:val="single"/>
        </w:rPr>
        <w:t xml:space="preserve">Cost of Capital (Exhibit 5) </w:t>
      </w:r>
    </w:p>
    <w:p w:rsidR="00C91BAF" w:rsidRDefault="00C91BAF" w:rsidP="00C91BAF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C91BAF" w:rsidRDefault="00C91BAF" w:rsidP="00C91BAF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Interest Rate for Truck Loan</w:t>
      </w:r>
    </w:p>
    <w:p w:rsidR="00C91BAF" w:rsidRDefault="00C91BAF" w:rsidP="00C91BAF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Interest Rate for CIBC Loan</w:t>
      </w:r>
    </w:p>
    <w:p w:rsidR="00C91BAF" w:rsidRPr="00C91BAF" w:rsidRDefault="00C91BAF" w:rsidP="00C91BAF">
      <w:pPr>
        <w:pStyle w:val="ListParagraph"/>
        <w:numPr>
          <w:ilvl w:val="0"/>
          <w:numId w:val="11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Return on Equity </w:t>
      </w:r>
    </w:p>
    <w:p w:rsidR="00887A69" w:rsidRDefault="00887A69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887A69" w:rsidRPr="00570D42" w:rsidRDefault="00887A69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570D42">
        <w:rPr>
          <w:rFonts w:asciiTheme="majorHAnsi" w:hAnsiTheme="majorHAnsi" w:cstheme="majorHAnsi"/>
          <w:sz w:val="24"/>
          <w:szCs w:val="24"/>
          <w:u w:val="single"/>
        </w:rPr>
        <w:t xml:space="preserve">Cost Allocation (Exhibit 7) </w:t>
      </w:r>
    </w:p>
    <w:p w:rsidR="00887A69" w:rsidRDefault="00887A69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887A69" w:rsidRDefault="00887A69" w:rsidP="001B5E10">
      <w:pPr>
        <w:pStyle w:val="ListParagraph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Sheet I4 </w:t>
      </w:r>
      <w:r w:rsidR="00BD19E0">
        <w:rPr>
          <w:rFonts w:asciiTheme="majorHAnsi" w:hAnsiTheme="majorHAnsi" w:cstheme="majorHAnsi"/>
          <w:sz w:val="24"/>
          <w:szCs w:val="24"/>
        </w:rPr>
        <w:t xml:space="preserve">of the cost allocation model </w:t>
      </w:r>
      <w:r>
        <w:rPr>
          <w:rFonts w:asciiTheme="majorHAnsi" w:hAnsiTheme="majorHAnsi" w:cstheme="majorHAnsi"/>
          <w:sz w:val="24"/>
          <w:szCs w:val="24"/>
        </w:rPr>
        <w:t>to separate the depreciation allocated to Account 1855 for cost allocation purposes</w:t>
      </w:r>
    </w:p>
    <w:p w:rsidR="00887A69" w:rsidRDefault="00887A69" w:rsidP="001B5E10">
      <w:pPr>
        <w:pStyle w:val="ListParagraph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Sheet</w:t>
      </w:r>
      <w:r w:rsidR="00BD19E0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I6.2 and I8 </w:t>
      </w:r>
      <w:r w:rsidR="00BD19E0">
        <w:rPr>
          <w:rFonts w:asciiTheme="majorHAnsi" w:hAnsiTheme="majorHAnsi" w:cstheme="majorHAnsi"/>
          <w:sz w:val="24"/>
          <w:szCs w:val="24"/>
        </w:rPr>
        <w:t xml:space="preserve">of the cost allocation model to include only the portion of the GS &gt; 50 kW customers that receive the transformer credit </w:t>
      </w:r>
    </w:p>
    <w:p w:rsidR="00550F34" w:rsidRDefault="00550F34" w:rsidP="00550F34">
      <w:pPr>
        <w:pStyle w:val="ListParagraph"/>
        <w:numPr>
          <w:ilvl w:val="0"/>
          <w:numId w:val="4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Revenue Requirement </w:t>
      </w:r>
      <w:proofErr w:type="spellStart"/>
      <w:r>
        <w:rPr>
          <w:rFonts w:asciiTheme="majorHAnsi" w:hAnsiTheme="majorHAnsi" w:cstheme="majorHAnsi"/>
          <w:sz w:val="24"/>
          <w:szCs w:val="24"/>
        </w:rPr>
        <w:t>workform</w:t>
      </w:r>
      <w:proofErr w:type="spellEnd"/>
      <w:r>
        <w:rPr>
          <w:rFonts w:asciiTheme="majorHAnsi" w:hAnsiTheme="majorHAnsi" w:cstheme="majorHAnsi"/>
          <w:sz w:val="24"/>
          <w:szCs w:val="24"/>
        </w:rPr>
        <w:t>, bill impact model and other related evidence to adjust the GS &lt; 50 kW rate class revenue to cost ratio to stop at unity</w:t>
      </w:r>
    </w:p>
    <w:p w:rsidR="001B5E10" w:rsidRDefault="001B5E10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1B5E10" w:rsidRPr="00570D42" w:rsidRDefault="001B5E10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Rate Design</w:t>
      </w:r>
      <w:r w:rsidRPr="00570D42">
        <w:rPr>
          <w:rFonts w:asciiTheme="majorHAnsi" w:hAnsiTheme="majorHAnsi" w:cstheme="majorHAnsi"/>
          <w:sz w:val="24"/>
          <w:szCs w:val="24"/>
          <w:u w:val="single"/>
        </w:rPr>
        <w:t xml:space="preserve"> (Exhibit </w:t>
      </w:r>
      <w:r>
        <w:rPr>
          <w:rFonts w:asciiTheme="majorHAnsi" w:hAnsiTheme="majorHAnsi" w:cstheme="majorHAnsi"/>
          <w:sz w:val="24"/>
          <w:szCs w:val="24"/>
          <w:u w:val="single"/>
        </w:rPr>
        <w:t>8</w:t>
      </w:r>
      <w:r w:rsidRPr="00570D42">
        <w:rPr>
          <w:rFonts w:asciiTheme="majorHAnsi" w:hAnsiTheme="majorHAnsi" w:cstheme="majorHAnsi"/>
          <w:sz w:val="24"/>
          <w:szCs w:val="24"/>
          <w:u w:val="single"/>
        </w:rPr>
        <w:t xml:space="preserve">) </w:t>
      </w:r>
    </w:p>
    <w:p w:rsidR="001B5E10" w:rsidRDefault="001B5E10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550F34" w:rsidRDefault="00550F34" w:rsidP="00550F34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Bill impact model to add GS &gt; 50 kW line losses and the removal of the USL class</w:t>
      </w:r>
    </w:p>
    <w:p w:rsidR="001B5E10" w:rsidRPr="001B5E10" w:rsidRDefault="001B5E10" w:rsidP="001B5E10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Revenue Requirement </w:t>
      </w:r>
      <w:proofErr w:type="spellStart"/>
      <w:r>
        <w:rPr>
          <w:rFonts w:asciiTheme="majorHAnsi" w:hAnsiTheme="majorHAnsi" w:cstheme="majorHAnsi"/>
          <w:sz w:val="24"/>
          <w:szCs w:val="24"/>
        </w:rPr>
        <w:t>workform</w:t>
      </w:r>
      <w:proofErr w:type="spellEnd"/>
      <w:r>
        <w:rPr>
          <w:rFonts w:asciiTheme="majorHAnsi" w:hAnsiTheme="majorHAnsi" w:cstheme="majorHAnsi"/>
          <w:sz w:val="24"/>
          <w:szCs w:val="24"/>
        </w:rPr>
        <w:t>, bill impact model and other related evidence to revise the GS &lt; 50 kW fixed charge to $46 (the ceiling from the cost allocation model)</w:t>
      </w:r>
    </w:p>
    <w:p w:rsidR="00FB4EFD" w:rsidRDefault="00FB4EFD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FB4EFD" w:rsidRPr="00FB4EFD" w:rsidRDefault="00FB4EFD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570D42">
        <w:rPr>
          <w:rFonts w:asciiTheme="majorHAnsi" w:hAnsiTheme="majorHAnsi" w:cstheme="majorHAnsi"/>
          <w:sz w:val="24"/>
          <w:szCs w:val="24"/>
          <w:u w:val="single"/>
          <w:lang w:eastAsia="en-CA"/>
        </w:rPr>
        <w:t>Deferral and Variance Accounts (Exhibit 9)</w:t>
      </w:r>
    </w:p>
    <w:p w:rsidR="00F06CC6" w:rsidRDefault="00F06CC6" w:rsidP="001B5E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:rsidR="00B724C8" w:rsidRDefault="00B724C8" w:rsidP="001B5E10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Appendix 2-EA for CGAAP to MIFRS input error </w:t>
      </w:r>
    </w:p>
    <w:p w:rsidR="00FB4EFD" w:rsidRPr="00FB4EFD" w:rsidRDefault="00FB4EFD" w:rsidP="001B5E10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FB4EFD">
        <w:rPr>
          <w:rFonts w:asciiTheme="majorHAnsi" w:hAnsiTheme="majorHAnsi" w:cstheme="majorHAnsi"/>
          <w:sz w:val="24"/>
          <w:szCs w:val="24"/>
        </w:rPr>
        <w:t>DVA continuity schedule and Exhibit 9 evidence for the inclusion of the retur</w:t>
      </w:r>
      <w:r w:rsidR="005849B2">
        <w:rPr>
          <w:rFonts w:asciiTheme="majorHAnsi" w:hAnsiTheme="majorHAnsi" w:cstheme="majorHAnsi"/>
          <w:sz w:val="24"/>
          <w:szCs w:val="24"/>
        </w:rPr>
        <w:t>n on rate base for Account 1575</w:t>
      </w:r>
      <w:r w:rsidRPr="00FB4EF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B4EFD" w:rsidRPr="001B5E10" w:rsidRDefault="00FB4EFD" w:rsidP="001B5E10">
      <w:pPr>
        <w:spacing w:after="0" w:line="276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F06CC6" w:rsidRPr="00F06CC6" w:rsidRDefault="00F06CC6">
      <w:pPr>
        <w:rPr>
          <w:rFonts w:asciiTheme="majorHAnsi" w:hAnsiTheme="majorHAnsi" w:cstheme="majorHAnsi"/>
          <w:sz w:val="24"/>
          <w:szCs w:val="24"/>
        </w:rPr>
      </w:pPr>
    </w:p>
    <w:p w:rsidR="00F06CC6" w:rsidRPr="00F06CC6" w:rsidRDefault="00F06CC6">
      <w:pPr>
        <w:rPr>
          <w:rFonts w:asciiTheme="majorHAnsi" w:hAnsiTheme="majorHAnsi" w:cstheme="majorHAnsi"/>
          <w:b/>
          <w:sz w:val="24"/>
          <w:szCs w:val="24"/>
        </w:rPr>
      </w:pPr>
    </w:p>
    <w:sectPr w:rsidR="00F06CC6" w:rsidRPr="00F06C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FD" w:rsidRDefault="00FB4EFD" w:rsidP="00FB4EFD">
      <w:pPr>
        <w:spacing w:after="0" w:line="240" w:lineRule="auto"/>
      </w:pPr>
      <w:r>
        <w:separator/>
      </w:r>
    </w:p>
  </w:endnote>
  <w:endnote w:type="continuationSeparator" w:id="0">
    <w:p w:rsidR="00FB4EFD" w:rsidRDefault="00FB4EFD" w:rsidP="00FB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598782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EFD" w:rsidRPr="00FB4EFD" w:rsidRDefault="00FB4EFD">
        <w:pPr>
          <w:pStyle w:val="Footer"/>
          <w:jc w:val="right"/>
          <w:rPr>
            <w:b/>
          </w:rPr>
        </w:pPr>
        <w:r w:rsidRPr="00FB4EFD">
          <w:rPr>
            <w:b/>
          </w:rPr>
          <w:fldChar w:fldCharType="begin"/>
        </w:r>
        <w:r w:rsidRPr="00FB4EFD">
          <w:rPr>
            <w:b/>
          </w:rPr>
          <w:instrText xml:space="preserve"> PAGE   \* MERGEFORMAT </w:instrText>
        </w:r>
        <w:r w:rsidRPr="00FB4EFD">
          <w:rPr>
            <w:b/>
          </w:rPr>
          <w:fldChar w:fldCharType="separate"/>
        </w:r>
        <w:r w:rsidR="00E71DDF">
          <w:rPr>
            <w:b/>
            <w:noProof/>
          </w:rPr>
          <w:t>2</w:t>
        </w:r>
        <w:r w:rsidRPr="00FB4EFD">
          <w:rPr>
            <w:b/>
            <w:noProof/>
          </w:rPr>
          <w:fldChar w:fldCharType="end"/>
        </w:r>
      </w:p>
    </w:sdtContent>
  </w:sdt>
  <w:p w:rsidR="00FB4EFD" w:rsidRPr="00FB4EFD" w:rsidRDefault="00FB4EF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FD" w:rsidRDefault="00FB4EFD" w:rsidP="00FB4EFD">
      <w:pPr>
        <w:spacing w:after="0" w:line="240" w:lineRule="auto"/>
      </w:pPr>
      <w:r>
        <w:separator/>
      </w:r>
    </w:p>
  </w:footnote>
  <w:footnote w:type="continuationSeparator" w:id="0">
    <w:p w:rsidR="00FB4EFD" w:rsidRDefault="00FB4EFD" w:rsidP="00FB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467"/>
    <w:multiLevelType w:val="hybridMultilevel"/>
    <w:tmpl w:val="9356D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12F23"/>
    <w:multiLevelType w:val="hybridMultilevel"/>
    <w:tmpl w:val="12ACC732"/>
    <w:lvl w:ilvl="0" w:tplc="8E54BD3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2D11"/>
    <w:multiLevelType w:val="hybridMultilevel"/>
    <w:tmpl w:val="F4AAB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05C5B"/>
    <w:multiLevelType w:val="hybridMultilevel"/>
    <w:tmpl w:val="D9F8A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25E89"/>
    <w:multiLevelType w:val="hybridMultilevel"/>
    <w:tmpl w:val="318C4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26BF4"/>
    <w:multiLevelType w:val="hybridMultilevel"/>
    <w:tmpl w:val="3BD83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DDD"/>
    <w:multiLevelType w:val="hybridMultilevel"/>
    <w:tmpl w:val="5ABA2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12637"/>
    <w:multiLevelType w:val="hybridMultilevel"/>
    <w:tmpl w:val="821C1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45EA8"/>
    <w:multiLevelType w:val="hybridMultilevel"/>
    <w:tmpl w:val="85BAD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F1CB8"/>
    <w:multiLevelType w:val="hybridMultilevel"/>
    <w:tmpl w:val="DF881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13DEA"/>
    <w:multiLevelType w:val="hybridMultilevel"/>
    <w:tmpl w:val="3F109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C6"/>
    <w:rsid w:val="000C400D"/>
    <w:rsid w:val="001B5E10"/>
    <w:rsid w:val="00362BA5"/>
    <w:rsid w:val="00367B5E"/>
    <w:rsid w:val="003A3688"/>
    <w:rsid w:val="00450720"/>
    <w:rsid w:val="004B085C"/>
    <w:rsid w:val="00550F34"/>
    <w:rsid w:val="005761CA"/>
    <w:rsid w:val="005849B2"/>
    <w:rsid w:val="00887A69"/>
    <w:rsid w:val="00B724C8"/>
    <w:rsid w:val="00BD19E0"/>
    <w:rsid w:val="00C91BAF"/>
    <w:rsid w:val="00E71DDF"/>
    <w:rsid w:val="00F06CC6"/>
    <w:rsid w:val="00F53CAC"/>
    <w:rsid w:val="00F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E030"/>
  <w15:chartTrackingRefBased/>
  <w15:docId w15:val="{8122B0CD-D822-4C10-9DBD-50DDE7C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FD"/>
  </w:style>
  <w:style w:type="paragraph" w:styleId="Footer">
    <w:name w:val="footer"/>
    <w:basedOn w:val="Normal"/>
    <w:link w:val="FooterChar"/>
    <w:uiPriority w:val="99"/>
    <w:unhideWhenUsed/>
    <w:rsid w:val="00FB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FD"/>
  </w:style>
  <w:style w:type="paragraph" w:styleId="BalloonText">
    <w:name w:val="Balloon Text"/>
    <w:basedOn w:val="Normal"/>
    <w:link w:val="BalloonTextChar"/>
    <w:uiPriority w:val="99"/>
    <w:semiHidden/>
    <w:unhideWhenUsed/>
    <w:rsid w:val="0036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Lawrie Gluck</dc:creator>
  <cp:keywords/>
  <dc:description/>
  <cp:lastModifiedBy>Lawrie Gluck</cp:lastModifiedBy>
  <cp:revision>3</cp:revision>
  <cp:lastPrinted>2017-12-18T18:54:00Z</cp:lastPrinted>
  <dcterms:created xsi:type="dcterms:W3CDTF">2017-12-19T16:18:00Z</dcterms:created>
  <dcterms:modified xsi:type="dcterms:W3CDTF">2017-12-19T16:18:00Z</dcterms:modified>
</cp:coreProperties>
</file>