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1E93" w:rsidRPr="00F1030E" w:rsidRDefault="00701E93" w:rsidP="00701E93">
      <w:pPr>
        <w:rPr>
          <w:rFonts w:ascii="Arial" w:hAnsi="Arial" w:cs="Arial"/>
          <w:sz w:val="24"/>
          <w:szCs w:val="24"/>
        </w:rPr>
      </w:pPr>
      <w:r>
        <w:rPr>
          <w:rFonts w:ascii="Arial" w:hAnsi="Arial" w:cs="Arial"/>
          <w:b/>
          <w:sz w:val="24"/>
          <w:szCs w:val="24"/>
        </w:rPr>
        <w:t>Staff Question-1</w:t>
      </w:r>
    </w:p>
    <w:p w:rsidR="00701E93" w:rsidRPr="000A68A3" w:rsidRDefault="00701E93" w:rsidP="00701E93">
      <w:pPr>
        <w:ind w:left="1440" w:hanging="1440"/>
        <w:rPr>
          <w:rFonts w:ascii="Arial" w:hAnsi="Arial" w:cs="Arial"/>
          <w:b/>
          <w:bCs/>
          <w:sz w:val="24"/>
          <w:szCs w:val="24"/>
        </w:rPr>
      </w:pPr>
      <w:r w:rsidRPr="000A68A3">
        <w:rPr>
          <w:rFonts w:ascii="Arial" w:hAnsi="Arial" w:cs="Arial"/>
          <w:b/>
          <w:bCs/>
          <w:sz w:val="24"/>
          <w:szCs w:val="24"/>
        </w:rPr>
        <w:t>References:</w:t>
      </w:r>
      <w:r w:rsidRPr="000A68A3">
        <w:rPr>
          <w:rFonts w:ascii="Arial" w:hAnsi="Arial" w:cs="Arial"/>
          <w:b/>
          <w:bCs/>
          <w:sz w:val="24"/>
          <w:szCs w:val="24"/>
        </w:rPr>
        <w:tab/>
        <w:t>GA Analysis Workform – Reconciliation items 1a and 1b</w:t>
      </w:r>
      <w:r w:rsidRPr="000A68A3">
        <w:rPr>
          <w:rFonts w:ascii="Arial" w:hAnsi="Arial" w:cs="Arial"/>
          <w:b/>
          <w:bCs/>
          <w:sz w:val="24"/>
          <w:szCs w:val="24"/>
        </w:rPr>
        <w:br/>
        <w:t>2018 Rate Generator Model – Tab 3 Continuity Schedule</w:t>
      </w:r>
    </w:p>
    <w:p w:rsidR="00701E93" w:rsidRPr="000A68A3" w:rsidRDefault="00701E93" w:rsidP="00701E93">
      <w:pPr>
        <w:rPr>
          <w:rFonts w:ascii="Arial" w:hAnsi="Arial" w:cs="Arial"/>
          <w:sz w:val="24"/>
          <w:szCs w:val="24"/>
        </w:rPr>
      </w:pPr>
      <w:r w:rsidRPr="000A68A3">
        <w:rPr>
          <w:rFonts w:ascii="Arial" w:hAnsi="Arial" w:cs="Arial"/>
          <w:sz w:val="24"/>
          <w:szCs w:val="24"/>
        </w:rPr>
        <w:t>In booking expense journal entries for Charge Type 1142 (formerly 142), and Charge Type 148 from the IESO invoice, please confirm which of the following approaches is used:</w:t>
      </w:r>
    </w:p>
    <w:p w:rsidR="00701E93" w:rsidRPr="000A68A3" w:rsidRDefault="00701E93" w:rsidP="00701E93">
      <w:pPr>
        <w:numPr>
          <w:ilvl w:val="0"/>
          <w:numId w:val="2"/>
        </w:numPr>
        <w:contextualSpacing/>
        <w:rPr>
          <w:rFonts w:ascii="Arial" w:hAnsi="Arial" w:cs="Arial"/>
          <w:sz w:val="24"/>
          <w:szCs w:val="24"/>
        </w:rPr>
      </w:pPr>
      <w:r w:rsidRPr="000A68A3">
        <w:rPr>
          <w:rFonts w:ascii="Arial" w:hAnsi="Arial" w:cs="Arial"/>
          <w:sz w:val="24"/>
          <w:szCs w:val="24"/>
        </w:rPr>
        <w:t>Charge Type 1142 is booked into Account 1588. Charge Type 148 is pro-rated based on RPP/non-RPP consumption and then booked into Account 1588 and 1589, respectively</w:t>
      </w:r>
      <w:r w:rsidRPr="000A68A3">
        <w:rPr>
          <w:rFonts w:ascii="Arial" w:hAnsi="Arial" w:cs="Arial"/>
          <w:sz w:val="24"/>
          <w:szCs w:val="24"/>
          <w:vertAlign w:val="superscript"/>
        </w:rPr>
        <w:footnoteReference w:id="1"/>
      </w:r>
      <w:r w:rsidRPr="000A68A3">
        <w:rPr>
          <w:rFonts w:ascii="Arial" w:hAnsi="Arial" w:cs="Arial"/>
          <w:sz w:val="24"/>
          <w:szCs w:val="24"/>
        </w:rPr>
        <w:t>.</w:t>
      </w:r>
    </w:p>
    <w:p w:rsidR="00701E93" w:rsidRPr="000A68A3" w:rsidRDefault="00701E93" w:rsidP="00701E93">
      <w:pPr>
        <w:numPr>
          <w:ilvl w:val="0"/>
          <w:numId w:val="2"/>
        </w:numPr>
        <w:contextualSpacing/>
        <w:rPr>
          <w:rFonts w:ascii="Arial" w:hAnsi="Arial" w:cs="Arial"/>
          <w:sz w:val="24"/>
          <w:szCs w:val="24"/>
        </w:rPr>
      </w:pPr>
      <w:r w:rsidRPr="000A68A3">
        <w:rPr>
          <w:rFonts w:ascii="Arial" w:hAnsi="Arial" w:cs="Arial"/>
          <w:sz w:val="24"/>
          <w:szCs w:val="24"/>
        </w:rPr>
        <w:t>Charge Type 1142 is booked into Account 1588. In relation to Charge Type 148, the non-RPP quantities multiplied by the GA rate is booked to account 1589 and the remainder of Charge Type 148 is booked to account 1588.</w:t>
      </w:r>
    </w:p>
    <w:p w:rsidR="00701E93" w:rsidRPr="000A68A3" w:rsidRDefault="00701E93" w:rsidP="00701E93">
      <w:pPr>
        <w:numPr>
          <w:ilvl w:val="0"/>
          <w:numId w:val="2"/>
        </w:numPr>
        <w:contextualSpacing/>
        <w:rPr>
          <w:rFonts w:ascii="Arial" w:hAnsi="Arial" w:cs="Arial"/>
          <w:sz w:val="24"/>
          <w:szCs w:val="24"/>
        </w:rPr>
      </w:pPr>
      <w:r w:rsidRPr="000A68A3">
        <w:rPr>
          <w:rFonts w:ascii="Arial" w:hAnsi="Arial" w:cs="Arial"/>
          <w:sz w:val="24"/>
          <w:szCs w:val="24"/>
        </w:rPr>
        <w:t>Charge Type 148 is booked into Account 1589. The portion of Charge Type 1142 equalling RPP-HOEP for RPP consumption is booked into Account 1588. The portion of Charge Type 1142 equalling GA RPP is credited into Account 1589.</w:t>
      </w:r>
    </w:p>
    <w:p w:rsidR="00701E93" w:rsidRPr="000A68A3" w:rsidRDefault="00701E93" w:rsidP="00701E93">
      <w:pPr>
        <w:numPr>
          <w:ilvl w:val="0"/>
          <w:numId w:val="2"/>
        </w:numPr>
        <w:contextualSpacing/>
        <w:rPr>
          <w:rFonts w:ascii="Arial" w:hAnsi="Arial" w:cs="Arial"/>
          <w:sz w:val="24"/>
          <w:szCs w:val="24"/>
        </w:rPr>
      </w:pPr>
      <w:r w:rsidRPr="000A68A3">
        <w:rPr>
          <w:rFonts w:ascii="Arial" w:hAnsi="Arial" w:cs="Arial"/>
          <w:sz w:val="24"/>
          <w:szCs w:val="24"/>
        </w:rPr>
        <w:t>If another approach is used, please explain in detail.</w:t>
      </w:r>
    </w:p>
    <w:p w:rsidR="00701E93" w:rsidRDefault="00701E93" w:rsidP="00701E93">
      <w:pPr>
        <w:rPr>
          <w:rFonts w:ascii="Arial" w:hAnsi="Arial" w:cs="Arial"/>
          <w:b/>
          <w:bCs/>
          <w:sz w:val="24"/>
          <w:szCs w:val="24"/>
        </w:rPr>
      </w:pPr>
    </w:p>
    <w:p w:rsidR="00701E93" w:rsidRPr="000A68A3" w:rsidRDefault="00701E93" w:rsidP="00701E93">
      <w:pPr>
        <w:rPr>
          <w:rFonts w:ascii="Arial" w:hAnsi="Arial" w:cs="Arial"/>
          <w:b/>
          <w:bCs/>
          <w:sz w:val="24"/>
          <w:szCs w:val="24"/>
        </w:rPr>
      </w:pPr>
      <w:r>
        <w:rPr>
          <w:rFonts w:ascii="Arial" w:hAnsi="Arial" w:cs="Arial"/>
          <w:b/>
          <w:bCs/>
          <w:sz w:val="24"/>
          <w:szCs w:val="24"/>
        </w:rPr>
        <w:t>Staff Question-2</w:t>
      </w:r>
    </w:p>
    <w:p w:rsidR="00701E93" w:rsidRPr="000A68A3" w:rsidRDefault="00701E93" w:rsidP="00701E93">
      <w:pPr>
        <w:ind w:left="1440" w:hanging="1440"/>
        <w:rPr>
          <w:rFonts w:ascii="Arial" w:hAnsi="Arial" w:cs="Arial"/>
          <w:b/>
          <w:bCs/>
          <w:sz w:val="24"/>
          <w:szCs w:val="24"/>
        </w:rPr>
      </w:pPr>
      <w:r w:rsidRPr="000A68A3">
        <w:rPr>
          <w:rFonts w:ascii="Arial" w:hAnsi="Arial" w:cs="Arial"/>
          <w:b/>
          <w:bCs/>
          <w:sz w:val="24"/>
          <w:szCs w:val="24"/>
        </w:rPr>
        <w:t>References:</w:t>
      </w:r>
      <w:r w:rsidRPr="000A68A3">
        <w:rPr>
          <w:rFonts w:ascii="Arial" w:hAnsi="Arial" w:cs="Arial"/>
          <w:b/>
          <w:bCs/>
          <w:sz w:val="24"/>
          <w:szCs w:val="24"/>
        </w:rPr>
        <w:tab/>
        <w:t xml:space="preserve">GA Analysis Workform – Reconciliation items 1a and 1b </w:t>
      </w:r>
      <w:r w:rsidRPr="000A68A3">
        <w:rPr>
          <w:rFonts w:ascii="Arial" w:hAnsi="Arial" w:cs="Arial"/>
          <w:b/>
          <w:bCs/>
          <w:sz w:val="24"/>
          <w:szCs w:val="24"/>
        </w:rPr>
        <w:br/>
        <w:t>2018 Rate Generator Model – Tab 3 Continuity Schedule</w:t>
      </w:r>
    </w:p>
    <w:p w:rsidR="00701E93" w:rsidRPr="000A68A3" w:rsidRDefault="00701E93" w:rsidP="00701E93">
      <w:pPr>
        <w:rPr>
          <w:rFonts w:ascii="Arial" w:hAnsi="Arial" w:cs="Arial"/>
          <w:sz w:val="24"/>
          <w:szCs w:val="24"/>
        </w:rPr>
      </w:pPr>
      <w:r w:rsidRPr="000A68A3">
        <w:rPr>
          <w:rFonts w:ascii="Arial" w:hAnsi="Arial" w:cs="Arial"/>
          <w:sz w:val="24"/>
          <w:szCs w:val="24"/>
        </w:rPr>
        <w:t>With regards to the amount being requested for disposition of USoA 1589 account balance as at Dec. 31, 201</w:t>
      </w:r>
      <w:r w:rsidR="008B4E18">
        <w:rPr>
          <w:rFonts w:ascii="Arial" w:hAnsi="Arial" w:cs="Arial"/>
          <w:sz w:val="24"/>
          <w:szCs w:val="24"/>
        </w:rPr>
        <w:t>4</w:t>
      </w:r>
      <w:r w:rsidRPr="000A68A3">
        <w:rPr>
          <w:rFonts w:ascii="Arial" w:hAnsi="Arial" w:cs="Arial"/>
          <w:sz w:val="24"/>
          <w:szCs w:val="24"/>
        </w:rPr>
        <w:t>,</w:t>
      </w:r>
      <w:r w:rsidR="008B4E18">
        <w:rPr>
          <w:rFonts w:ascii="Arial" w:hAnsi="Arial" w:cs="Arial"/>
          <w:sz w:val="24"/>
          <w:szCs w:val="24"/>
        </w:rPr>
        <w:t xml:space="preserve"> Dec. 31, 2015, and Dec. 31, 2016,</w:t>
      </w:r>
      <w:r w:rsidRPr="000A68A3">
        <w:rPr>
          <w:rFonts w:ascii="Arial" w:hAnsi="Arial" w:cs="Arial"/>
          <w:sz w:val="24"/>
          <w:szCs w:val="24"/>
        </w:rPr>
        <w:t xml:space="preserve"> all components that flow into Account 1589 (</w:t>
      </w:r>
      <w:proofErr w:type="spellStart"/>
      <w:r w:rsidRPr="000A68A3">
        <w:rPr>
          <w:rFonts w:ascii="Arial" w:hAnsi="Arial" w:cs="Arial"/>
          <w:sz w:val="24"/>
          <w:szCs w:val="24"/>
        </w:rPr>
        <w:t>i</w:t>
      </w:r>
      <w:proofErr w:type="spellEnd"/>
      <w:r w:rsidRPr="000A68A3">
        <w:rPr>
          <w:rFonts w:ascii="Arial" w:hAnsi="Arial" w:cs="Arial"/>
          <w:sz w:val="24"/>
          <w:szCs w:val="24"/>
        </w:rPr>
        <w:t xml:space="preserve"> to iv in table below) should be based on actuals in the 2018 Rate Generator Model – Tab 3 Continuity. Please complete the following table to:</w:t>
      </w:r>
    </w:p>
    <w:p w:rsidR="00701E93" w:rsidRPr="000A68A3" w:rsidRDefault="00701E93" w:rsidP="00701E93">
      <w:pPr>
        <w:numPr>
          <w:ilvl w:val="1"/>
          <w:numId w:val="1"/>
        </w:numPr>
        <w:contextualSpacing/>
        <w:rPr>
          <w:rFonts w:ascii="Arial" w:hAnsi="Arial" w:cs="Arial"/>
          <w:sz w:val="24"/>
          <w:szCs w:val="24"/>
        </w:rPr>
      </w:pPr>
      <w:r w:rsidRPr="000A68A3">
        <w:rPr>
          <w:rFonts w:ascii="Arial" w:hAnsi="Arial" w:cs="Arial"/>
          <w:sz w:val="24"/>
          <w:szCs w:val="24"/>
        </w:rPr>
        <w:t xml:space="preserve">Indicate whether each of the components are based on estimates or actuals at year end, and </w:t>
      </w:r>
    </w:p>
    <w:p w:rsidR="00701E93" w:rsidRPr="000A68A3" w:rsidRDefault="00701E93" w:rsidP="00701E93">
      <w:pPr>
        <w:numPr>
          <w:ilvl w:val="1"/>
          <w:numId w:val="1"/>
        </w:numPr>
        <w:contextualSpacing/>
        <w:rPr>
          <w:rFonts w:ascii="Arial" w:hAnsi="Arial" w:cs="Arial"/>
          <w:sz w:val="24"/>
          <w:szCs w:val="24"/>
        </w:rPr>
      </w:pPr>
      <w:r w:rsidRPr="000A68A3">
        <w:rPr>
          <w:rFonts w:ascii="Arial" w:hAnsi="Arial" w:cs="Arial"/>
          <w:sz w:val="24"/>
          <w:szCs w:val="24"/>
        </w:rPr>
        <w:t>Quantify the adjustment amount pertaining to each component that is trued-up from estimate to actual.</w:t>
      </w:r>
    </w:p>
    <w:tbl>
      <w:tblPr>
        <w:tblStyle w:val="TableGrid1"/>
        <w:tblW w:w="10435" w:type="dxa"/>
        <w:tblLook w:val="04A0" w:firstRow="1" w:lastRow="0" w:firstColumn="1" w:lastColumn="0" w:noHBand="0" w:noVBand="1"/>
      </w:tblPr>
      <w:tblGrid>
        <w:gridCol w:w="381"/>
        <w:gridCol w:w="2119"/>
        <w:gridCol w:w="1084"/>
        <w:gridCol w:w="4781"/>
        <w:gridCol w:w="2070"/>
      </w:tblGrid>
      <w:tr w:rsidR="00701E93" w:rsidRPr="000A68A3" w:rsidTr="00552C20">
        <w:tc>
          <w:tcPr>
            <w:tcW w:w="381" w:type="dxa"/>
          </w:tcPr>
          <w:p w:rsidR="00701E93" w:rsidRPr="000A68A3" w:rsidRDefault="00701E93" w:rsidP="00552C20">
            <w:pPr>
              <w:rPr>
                <w:rFonts w:ascii="Arial" w:hAnsi="Arial" w:cs="Arial"/>
                <w:sz w:val="20"/>
                <w:szCs w:val="20"/>
              </w:rPr>
            </w:pPr>
          </w:p>
        </w:tc>
        <w:tc>
          <w:tcPr>
            <w:tcW w:w="2119" w:type="dxa"/>
          </w:tcPr>
          <w:p w:rsidR="00701E93" w:rsidRPr="000A68A3" w:rsidRDefault="00701E93" w:rsidP="00552C20">
            <w:pPr>
              <w:rPr>
                <w:rFonts w:ascii="Arial" w:hAnsi="Arial" w:cs="Arial"/>
                <w:b/>
                <w:sz w:val="20"/>
                <w:szCs w:val="20"/>
              </w:rPr>
            </w:pPr>
            <w:r w:rsidRPr="000A68A3">
              <w:rPr>
                <w:rFonts w:ascii="Arial" w:hAnsi="Arial" w:cs="Arial"/>
                <w:b/>
                <w:sz w:val="20"/>
                <w:szCs w:val="20"/>
              </w:rPr>
              <w:t>Component</w:t>
            </w:r>
          </w:p>
        </w:tc>
        <w:tc>
          <w:tcPr>
            <w:tcW w:w="1084" w:type="dxa"/>
          </w:tcPr>
          <w:p w:rsidR="00701E93" w:rsidRPr="000A68A3" w:rsidRDefault="00701E93" w:rsidP="00552C20">
            <w:pPr>
              <w:rPr>
                <w:rFonts w:ascii="Arial" w:hAnsi="Arial" w:cs="Arial"/>
                <w:b/>
                <w:sz w:val="20"/>
                <w:szCs w:val="20"/>
              </w:rPr>
            </w:pPr>
            <w:r w:rsidRPr="000A68A3">
              <w:rPr>
                <w:rFonts w:ascii="Arial" w:hAnsi="Arial" w:cs="Arial"/>
                <w:b/>
                <w:sz w:val="20"/>
                <w:szCs w:val="20"/>
              </w:rPr>
              <w:t>Estimate or Actual</w:t>
            </w:r>
          </w:p>
        </w:tc>
        <w:tc>
          <w:tcPr>
            <w:tcW w:w="4781" w:type="dxa"/>
          </w:tcPr>
          <w:p w:rsidR="00701E93" w:rsidRPr="000A68A3" w:rsidRDefault="00701E93" w:rsidP="00552C20">
            <w:pPr>
              <w:rPr>
                <w:rFonts w:ascii="Arial" w:hAnsi="Arial" w:cs="Arial"/>
                <w:b/>
                <w:sz w:val="20"/>
                <w:szCs w:val="20"/>
              </w:rPr>
            </w:pPr>
            <w:r w:rsidRPr="000A68A3">
              <w:rPr>
                <w:rFonts w:ascii="Arial" w:hAnsi="Arial" w:cs="Arial"/>
                <w:b/>
                <w:sz w:val="20"/>
                <w:szCs w:val="20"/>
              </w:rPr>
              <w:t>Notes/Comments</w:t>
            </w:r>
          </w:p>
        </w:tc>
        <w:tc>
          <w:tcPr>
            <w:tcW w:w="2070" w:type="dxa"/>
          </w:tcPr>
          <w:p w:rsidR="00701E93" w:rsidRPr="000A68A3" w:rsidRDefault="00701E93" w:rsidP="00552C20">
            <w:pPr>
              <w:rPr>
                <w:rFonts w:ascii="Arial" w:hAnsi="Arial" w:cs="Arial"/>
                <w:b/>
                <w:sz w:val="20"/>
                <w:szCs w:val="20"/>
              </w:rPr>
            </w:pPr>
            <w:r w:rsidRPr="000A68A3">
              <w:rPr>
                <w:rFonts w:ascii="Arial" w:hAnsi="Arial" w:cs="Arial"/>
                <w:b/>
                <w:sz w:val="20"/>
                <w:szCs w:val="20"/>
              </w:rPr>
              <w:t>Quantify True Up  Adjustment $ Amount</w:t>
            </w:r>
          </w:p>
        </w:tc>
      </w:tr>
      <w:tr w:rsidR="00701E93" w:rsidRPr="000A68A3" w:rsidTr="00552C20">
        <w:tc>
          <w:tcPr>
            <w:tcW w:w="381" w:type="dxa"/>
          </w:tcPr>
          <w:p w:rsidR="00701E93" w:rsidRPr="000A68A3" w:rsidRDefault="00701E93" w:rsidP="00552C20">
            <w:pPr>
              <w:rPr>
                <w:rFonts w:ascii="Arial" w:hAnsi="Arial" w:cs="Arial"/>
                <w:sz w:val="20"/>
                <w:szCs w:val="20"/>
              </w:rPr>
            </w:pPr>
            <w:proofErr w:type="spellStart"/>
            <w:r w:rsidRPr="000A68A3">
              <w:rPr>
                <w:rFonts w:ascii="Arial" w:hAnsi="Arial" w:cs="Arial"/>
                <w:sz w:val="20"/>
                <w:szCs w:val="20"/>
              </w:rPr>
              <w:t>i</w:t>
            </w:r>
            <w:proofErr w:type="spellEnd"/>
          </w:p>
        </w:tc>
        <w:tc>
          <w:tcPr>
            <w:tcW w:w="2119" w:type="dxa"/>
          </w:tcPr>
          <w:p w:rsidR="00701E93" w:rsidRPr="000A68A3" w:rsidRDefault="00701E93" w:rsidP="00552C20">
            <w:pPr>
              <w:rPr>
                <w:rFonts w:ascii="Arial" w:hAnsi="Arial" w:cs="Arial"/>
                <w:sz w:val="20"/>
                <w:szCs w:val="20"/>
              </w:rPr>
            </w:pPr>
            <w:r w:rsidRPr="000A68A3">
              <w:rPr>
                <w:rFonts w:ascii="Arial" w:hAnsi="Arial" w:cs="Arial"/>
                <w:sz w:val="20"/>
                <w:szCs w:val="20"/>
              </w:rPr>
              <w:t xml:space="preserve">Revenue (i.e. is an unbilled revenue true-up adjustment reflected in the balances being requested for disposition?) </w:t>
            </w:r>
          </w:p>
          <w:p w:rsidR="00701E93" w:rsidRPr="000A68A3" w:rsidRDefault="00701E93" w:rsidP="00552C20">
            <w:pPr>
              <w:rPr>
                <w:rFonts w:ascii="Arial" w:hAnsi="Arial" w:cs="Arial"/>
                <w:sz w:val="20"/>
                <w:szCs w:val="20"/>
              </w:rPr>
            </w:pPr>
          </w:p>
        </w:tc>
        <w:tc>
          <w:tcPr>
            <w:tcW w:w="1084" w:type="dxa"/>
          </w:tcPr>
          <w:p w:rsidR="00701E93" w:rsidRPr="000A68A3" w:rsidRDefault="00701E93" w:rsidP="00552C20">
            <w:pPr>
              <w:rPr>
                <w:rFonts w:ascii="Arial" w:hAnsi="Arial" w:cs="Arial"/>
                <w:sz w:val="20"/>
                <w:szCs w:val="20"/>
              </w:rPr>
            </w:pPr>
          </w:p>
        </w:tc>
        <w:tc>
          <w:tcPr>
            <w:tcW w:w="4781" w:type="dxa"/>
          </w:tcPr>
          <w:p w:rsidR="00701E93" w:rsidRPr="000A68A3" w:rsidRDefault="00701E93" w:rsidP="00552C20">
            <w:pPr>
              <w:rPr>
                <w:rFonts w:ascii="Arial" w:hAnsi="Arial" w:cs="Arial"/>
                <w:sz w:val="20"/>
                <w:szCs w:val="20"/>
              </w:rPr>
            </w:pPr>
          </w:p>
        </w:tc>
        <w:tc>
          <w:tcPr>
            <w:tcW w:w="2070" w:type="dxa"/>
          </w:tcPr>
          <w:p w:rsidR="00701E93" w:rsidRPr="000A68A3" w:rsidRDefault="00701E93" w:rsidP="00552C20">
            <w:pPr>
              <w:jc w:val="center"/>
              <w:rPr>
                <w:rFonts w:ascii="Arial" w:hAnsi="Arial" w:cs="Arial"/>
                <w:sz w:val="20"/>
                <w:szCs w:val="20"/>
              </w:rPr>
            </w:pPr>
          </w:p>
        </w:tc>
      </w:tr>
      <w:tr w:rsidR="00701E93" w:rsidRPr="000A68A3" w:rsidTr="00552C20">
        <w:tc>
          <w:tcPr>
            <w:tcW w:w="381" w:type="dxa"/>
          </w:tcPr>
          <w:p w:rsidR="00701E93" w:rsidRPr="000A68A3" w:rsidRDefault="00701E93" w:rsidP="00552C20">
            <w:pPr>
              <w:rPr>
                <w:rFonts w:ascii="Arial" w:hAnsi="Arial" w:cs="Arial"/>
                <w:sz w:val="20"/>
                <w:szCs w:val="20"/>
              </w:rPr>
            </w:pPr>
            <w:r w:rsidRPr="000A68A3">
              <w:rPr>
                <w:rFonts w:ascii="Arial" w:hAnsi="Arial" w:cs="Arial"/>
                <w:sz w:val="20"/>
                <w:szCs w:val="20"/>
              </w:rPr>
              <w:t>ii</w:t>
            </w:r>
          </w:p>
        </w:tc>
        <w:tc>
          <w:tcPr>
            <w:tcW w:w="2119" w:type="dxa"/>
          </w:tcPr>
          <w:p w:rsidR="00701E93" w:rsidRPr="000A68A3" w:rsidRDefault="00701E93" w:rsidP="00552C20">
            <w:pPr>
              <w:rPr>
                <w:rFonts w:ascii="Arial" w:hAnsi="Arial" w:cs="Arial"/>
                <w:sz w:val="20"/>
                <w:szCs w:val="20"/>
              </w:rPr>
            </w:pPr>
            <w:r w:rsidRPr="000A68A3">
              <w:rPr>
                <w:rFonts w:ascii="Arial" w:hAnsi="Arial" w:cs="Arial"/>
                <w:sz w:val="20"/>
                <w:szCs w:val="20"/>
              </w:rPr>
              <w:t>Expenses - GA non-RPP: Charge Type 148 with respect to the quantum dollar amount (i.e. is expense based on IESO invoice at year end)</w:t>
            </w:r>
          </w:p>
          <w:p w:rsidR="00701E93" w:rsidRPr="000A68A3" w:rsidRDefault="00701E93" w:rsidP="00552C20">
            <w:pPr>
              <w:rPr>
                <w:rFonts w:ascii="Arial" w:hAnsi="Arial" w:cs="Arial"/>
                <w:sz w:val="20"/>
                <w:szCs w:val="20"/>
              </w:rPr>
            </w:pPr>
          </w:p>
        </w:tc>
        <w:tc>
          <w:tcPr>
            <w:tcW w:w="1084" w:type="dxa"/>
          </w:tcPr>
          <w:p w:rsidR="00701E93" w:rsidRPr="000A68A3" w:rsidRDefault="00701E93" w:rsidP="00552C20">
            <w:pPr>
              <w:rPr>
                <w:rFonts w:ascii="Arial" w:hAnsi="Arial" w:cs="Arial"/>
                <w:sz w:val="20"/>
                <w:szCs w:val="20"/>
              </w:rPr>
            </w:pPr>
          </w:p>
        </w:tc>
        <w:tc>
          <w:tcPr>
            <w:tcW w:w="4781" w:type="dxa"/>
          </w:tcPr>
          <w:p w:rsidR="00701E93" w:rsidRPr="000A68A3" w:rsidRDefault="00701E93" w:rsidP="00552C20">
            <w:pPr>
              <w:rPr>
                <w:rFonts w:ascii="Arial" w:hAnsi="Arial" w:cs="Arial"/>
                <w:sz w:val="20"/>
                <w:szCs w:val="20"/>
              </w:rPr>
            </w:pPr>
          </w:p>
        </w:tc>
        <w:tc>
          <w:tcPr>
            <w:tcW w:w="2070" w:type="dxa"/>
          </w:tcPr>
          <w:p w:rsidR="00701E93" w:rsidRPr="000A68A3" w:rsidRDefault="00701E93" w:rsidP="00552C20">
            <w:pPr>
              <w:rPr>
                <w:rFonts w:ascii="Arial" w:hAnsi="Arial" w:cs="Arial"/>
                <w:sz w:val="20"/>
                <w:szCs w:val="20"/>
              </w:rPr>
            </w:pPr>
          </w:p>
        </w:tc>
      </w:tr>
      <w:tr w:rsidR="00701E93" w:rsidRPr="000A68A3" w:rsidTr="00552C20">
        <w:tc>
          <w:tcPr>
            <w:tcW w:w="381" w:type="dxa"/>
          </w:tcPr>
          <w:p w:rsidR="00701E93" w:rsidRPr="000A68A3" w:rsidRDefault="00701E93" w:rsidP="00552C20">
            <w:pPr>
              <w:rPr>
                <w:rFonts w:ascii="Arial" w:hAnsi="Arial" w:cs="Arial"/>
                <w:sz w:val="20"/>
                <w:szCs w:val="20"/>
              </w:rPr>
            </w:pPr>
            <w:r w:rsidRPr="000A68A3">
              <w:rPr>
                <w:rFonts w:ascii="Arial" w:hAnsi="Arial" w:cs="Arial"/>
                <w:sz w:val="20"/>
                <w:szCs w:val="20"/>
              </w:rPr>
              <w:t>iii</w:t>
            </w:r>
          </w:p>
        </w:tc>
        <w:tc>
          <w:tcPr>
            <w:tcW w:w="2119" w:type="dxa"/>
          </w:tcPr>
          <w:p w:rsidR="00701E93" w:rsidRPr="000A68A3" w:rsidRDefault="00701E93" w:rsidP="00552C20">
            <w:pPr>
              <w:rPr>
                <w:rFonts w:ascii="Arial" w:hAnsi="Arial" w:cs="Arial"/>
                <w:sz w:val="20"/>
                <w:szCs w:val="20"/>
              </w:rPr>
            </w:pPr>
            <w:r w:rsidRPr="000A68A3">
              <w:rPr>
                <w:rFonts w:ascii="Arial" w:hAnsi="Arial" w:cs="Arial"/>
                <w:sz w:val="20"/>
                <w:szCs w:val="20"/>
              </w:rPr>
              <w:t>Expenses - GA non-RPP: Charge Type 148 with respect to the RPP/non-RPP kWh volume proportions.</w:t>
            </w:r>
          </w:p>
          <w:p w:rsidR="00701E93" w:rsidRPr="000A68A3" w:rsidRDefault="00701E93" w:rsidP="00552C20">
            <w:pPr>
              <w:rPr>
                <w:rFonts w:ascii="Arial" w:hAnsi="Arial" w:cs="Arial"/>
                <w:sz w:val="20"/>
                <w:szCs w:val="20"/>
              </w:rPr>
            </w:pPr>
          </w:p>
        </w:tc>
        <w:tc>
          <w:tcPr>
            <w:tcW w:w="1084" w:type="dxa"/>
          </w:tcPr>
          <w:p w:rsidR="00701E93" w:rsidRPr="000A68A3" w:rsidRDefault="00701E93" w:rsidP="00552C20">
            <w:pPr>
              <w:rPr>
                <w:rFonts w:ascii="Arial" w:hAnsi="Arial" w:cs="Arial"/>
                <w:sz w:val="20"/>
                <w:szCs w:val="20"/>
              </w:rPr>
            </w:pPr>
          </w:p>
        </w:tc>
        <w:tc>
          <w:tcPr>
            <w:tcW w:w="4781" w:type="dxa"/>
          </w:tcPr>
          <w:p w:rsidR="00701E93" w:rsidRPr="000A68A3" w:rsidRDefault="00701E93" w:rsidP="00552C20">
            <w:pPr>
              <w:rPr>
                <w:rFonts w:ascii="Arial" w:hAnsi="Arial" w:cs="Arial"/>
                <w:sz w:val="20"/>
                <w:szCs w:val="20"/>
              </w:rPr>
            </w:pPr>
          </w:p>
        </w:tc>
        <w:tc>
          <w:tcPr>
            <w:tcW w:w="2070" w:type="dxa"/>
          </w:tcPr>
          <w:p w:rsidR="00701E93" w:rsidRPr="000A68A3" w:rsidRDefault="00701E93" w:rsidP="00552C20">
            <w:pPr>
              <w:rPr>
                <w:rFonts w:ascii="Arial" w:hAnsi="Arial" w:cs="Arial"/>
                <w:sz w:val="20"/>
                <w:szCs w:val="20"/>
              </w:rPr>
            </w:pPr>
          </w:p>
        </w:tc>
      </w:tr>
      <w:tr w:rsidR="00701E93" w:rsidRPr="000A68A3" w:rsidTr="00552C20">
        <w:trPr>
          <w:trHeight w:val="1070"/>
        </w:trPr>
        <w:tc>
          <w:tcPr>
            <w:tcW w:w="381" w:type="dxa"/>
          </w:tcPr>
          <w:p w:rsidR="00701E93" w:rsidRPr="000A68A3" w:rsidRDefault="00701E93" w:rsidP="00552C20">
            <w:pPr>
              <w:rPr>
                <w:rFonts w:ascii="Arial" w:hAnsi="Arial" w:cs="Arial"/>
                <w:sz w:val="20"/>
                <w:szCs w:val="20"/>
              </w:rPr>
            </w:pPr>
            <w:r w:rsidRPr="000A68A3">
              <w:rPr>
                <w:rFonts w:ascii="Arial" w:hAnsi="Arial" w:cs="Arial"/>
                <w:sz w:val="20"/>
                <w:szCs w:val="20"/>
              </w:rPr>
              <w:t>iv</w:t>
            </w:r>
          </w:p>
        </w:tc>
        <w:tc>
          <w:tcPr>
            <w:tcW w:w="2119" w:type="dxa"/>
          </w:tcPr>
          <w:p w:rsidR="00701E93" w:rsidRPr="000A68A3" w:rsidRDefault="00701E93" w:rsidP="00552C20">
            <w:pPr>
              <w:rPr>
                <w:rFonts w:ascii="Arial" w:hAnsi="Arial" w:cs="Arial"/>
                <w:sz w:val="20"/>
                <w:szCs w:val="20"/>
              </w:rPr>
            </w:pPr>
            <w:r w:rsidRPr="000A68A3">
              <w:rPr>
                <w:rFonts w:ascii="Arial" w:hAnsi="Arial" w:cs="Arial"/>
                <w:sz w:val="20"/>
                <w:szCs w:val="20"/>
              </w:rPr>
              <w:t>Credit of GA RPP: Charge Type 142 if the approach under Staff Question 1c is used</w:t>
            </w:r>
          </w:p>
        </w:tc>
        <w:tc>
          <w:tcPr>
            <w:tcW w:w="1084" w:type="dxa"/>
          </w:tcPr>
          <w:p w:rsidR="00701E93" w:rsidRPr="000A68A3" w:rsidRDefault="00701E93" w:rsidP="00552C20">
            <w:pPr>
              <w:rPr>
                <w:rFonts w:ascii="Arial" w:hAnsi="Arial" w:cs="Arial"/>
                <w:sz w:val="20"/>
                <w:szCs w:val="20"/>
              </w:rPr>
            </w:pPr>
          </w:p>
        </w:tc>
        <w:tc>
          <w:tcPr>
            <w:tcW w:w="4781" w:type="dxa"/>
          </w:tcPr>
          <w:p w:rsidR="00701E93" w:rsidRPr="000A68A3" w:rsidRDefault="00701E93" w:rsidP="00552C20">
            <w:pPr>
              <w:rPr>
                <w:rFonts w:ascii="Arial" w:hAnsi="Arial" w:cs="Arial"/>
                <w:sz w:val="20"/>
                <w:szCs w:val="20"/>
              </w:rPr>
            </w:pPr>
          </w:p>
        </w:tc>
        <w:tc>
          <w:tcPr>
            <w:tcW w:w="2070" w:type="dxa"/>
          </w:tcPr>
          <w:p w:rsidR="00701E93" w:rsidRPr="000A68A3" w:rsidRDefault="00701E93" w:rsidP="00552C20">
            <w:pPr>
              <w:rPr>
                <w:rFonts w:ascii="Arial" w:hAnsi="Arial" w:cs="Arial"/>
                <w:sz w:val="20"/>
                <w:szCs w:val="20"/>
              </w:rPr>
            </w:pPr>
          </w:p>
        </w:tc>
      </w:tr>
    </w:tbl>
    <w:p w:rsidR="00701E93" w:rsidRPr="000A68A3" w:rsidRDefault="00701E93" w:rsidP="00701E93">
      <w:pPr>
        <w:rPr>
          <w:rFonts w:ascii="Arial" w:hAnsi="Arial" w:cs="Arial"/>
          <w:b/>
          <w:sz w:val="24"/>
          <w:szCs w:val="24"/>
        </w:rPr>
      </w:pPr>
    </w:p>
    <w:p w:rsidR="00701E93" w:rsidRPr="000A68A3" w:rsidRDefault="00701E93" w:rsidP="00701E93">
      <w:pPr>
        <w:numPr>
          <w:ilvl w:val="1"/>
          <w:numId w:val="1"/>
        </w:numPr>
        <w:contextualSpacing/>
        <w:rPr>
          <w:rFonts w:ascii="Arial" w:hAnsi="Arial" w:cs="Arial"/>
          <w:sz w:val="24"/>
          <w:szCs w:val="24"/>
        </w:rPr>
      </w:pPr>
      <w:r w:rsidRPr="000A68A3">
        <w:rPr>
          <w:rFonts w:ascii="Arial" w:hAnsi="Arial" w:cs="Arial"/>
          <w:sz w:val="24"/>
          <w:szCs w:val="24"/>
        </w:rPr>
        <w:t>For each item in the table above, please confirm that the GA Analysis Workform for</w:t>
      </w:r>
      <w:r w:rsidR="008B4E18">
        <w:rPr>
          <w:rFonts w:ascii="Arial" w:hAnsi="Arial" w:cs="Arial"/>
          <w:sz w:val="24"/>
          <w:szCs w:val="24"/>
        </w:rPr>
        <w:t xml:space="preserve"> </w:t>
      </w:r>
      <w:r w:rsidRPr="000A68A3">
        <w:rPr>
          <w:rFonts w:ascii="Arial" w:hAnsi="Arial" w:cs="Arial"/>
          <w:sz w:val="24"/>
          <w:szCs w:val="24"/>
        </w:rPr>
        <w:t xml:space="preserve">2016 and the 2018 Rate Generator Model Tab 3 Continuity Schedule for 2016 have been adjusted for settlement true-ups where settlement was originally based on estimate and trued up to actuals subsequent to </w:t>
      </w:r>
      <w:r w:rsidR="00B52104">
        <w:rPr>
          <w:rFonts w:ascii="Arial" w:hAnsi="Arial" w:cs="Arial"/>
          <w:sz w:val="24"/>
          <w:szCs w:val="24"/>
        </w:rPr>
        <w:t>2016.</w:t>
      </w:r>
      <w:r w:rsidRPr="000A68A3">
        <w:rPr>
          <w:rFonts w:ascii="Arial" w:hAnsi="Arial" w:cs="Arial"/>
          <w:sz w:val="24"/>
          <w:szCs w:val="24"/>
        </w:rPr>
        <w:t xml:space="preserve"> </w:t>
      </w:r>
    </w:p>
    <w:p w:rsidR="00701E93" w:rsidRDefault="00701E93" w:rsidP="00701E93">
      <w:pPr>
        <w:rPr>
          <w:rFonts w:ascii="Arial" w:hAnsi="Arial" w:cs="Arial"/>
          <w:b/>
          <w:sz w:val="24"/>
          <w:szCs w:val="24"/>
        </w:rPr>
      </w:pPr>
    </w:p>
    <w:p w:rsidR="00701E93" w:rsidRPr="000A68A3" w:rsidRDefault="00701E93" w:rsidP="00701E93">
      <w:pPr>
        <w:rPr>
          <w:rFonts w:ascii="Arial" w:hAnsi="Arial" w:cs="Arial"/>
          <w:b/>
          <w:sz w:val="24"/>
          <w:szCs w:val="24"/>
        </w:rPr>
      </w:pPr>
      <w:r>
        <w:rPr>
          <w:rFonts w:ascii="Arial" w:hAnsi="Arial" w:cs="Arial"/>
          <w:b/>
          <w:sz w:val="24"/>
          <w:szCs w:val="24"/>
        </w:rPr>
        <w:t>Staff Question-3</w:t>
      </w:r>
    </w:p>
    <w:p w:rsidR="00701E93" w:rsidRPr="000A68A3" w:rsidRDefault="00701E93" w:rsidP="00701E93">
      <w:pPr>
        <w:ind w:left="1440" w:hanging="1440"/>
        <w:rPr>
          <w:rFonts w:ascii="Arial" w:hAnsi="Arial" w:cs="Arial"/>
          <w:b/>
          <w:bCs/>
          <w:sz w:val="24"/>
          <w:szCs w:val="24"/>
        </w:rPr>
      </w:pPr>
      <w:r w:rsidRPr="000A68A3">
        <w:rPr>
          <w:rFonts w:ascii="Arial" w:hAnsi="Arial" w:cs="Arial"/>
          <w:b/>
          <w:bCs/>
          <w:sz w:val="24"/>
          <w:szCs w:val="24"/>
        </w:rPr>
        <w:t>References:</w:t>
      </w:r>
      <w:r w:rsidRPr="000A68A3">
        <w:rPr>
          <w:rFonts w:ascii="Arial" w:hAnsi="Arial" w:cs="Arial"/>
          <w:b/>
          <w:bCs/>
          <w:sz w:val="24"/>
          <w:szCs w:val="24"/>
        </w:rPr>
        <w:tab/>
        <w:t>2018 Rate Generator Model – Tab 3 Continuity Schedule</w:t>
      </w:r>
    </w:p>
    <w:p w:rsidR="00701E93" w:rsidRPr="000A68A3" w:rsidRDefault="00701E93" w:rsidP="00701E93">
      <w:pPr>
        <w:rPr>
          <w:rFonts w:ascii="Arial" w:hAnsi="Arial" w:cs="Arial"/>
          <w:sz w:val="24"/>
          <w:szCs w:val="24"/>
        </w:rPr>
      </w:pPr>
      <w:r w:rsidRPr="000A68A3">
        <w:rPr>
          <w:rFonts w:ascii="Arial" w:hAnsi="Arial" w:cs="Arial"/>
          <w:sz w:val="24"/>
          <w:szCs w:val="24"/>
        </w:rPr>
        <w:t xml:space="preserve">With regards to the amount being requested for disposition of USoA 1588 account balance as at </w:t>
      </w:r>
      <w:r w:rsidR="008B4E18">
        <w:rPr>
          <w:rFonts w:ascii="Arial" w:hAnsi="Arial" w:cs="Arial"/>
          <w:sz w:val="24"/>
          <w:szCs w:val="24"/>
        </w:rPr>
        <w:t>Dec. 31, 2016,</w:t>
      </w:r>
      <w:r w:rsidRPr="000A68A3">
        <w:rPr>
          <w:rFonts w:ascii="Arial" w:hAnsi="Arial" w:cs="Arial"/>
          <w:sz w:val="24"/>
          <w:szCs w:val="24"/>
        </w:rPr>
        <w:t xml:space="preserve"> all components that flow into Account 1588  (</w:t>
      </w:r>
      <w:proofErr w:type="spellStart"/>
      <w:r w:rsidRPr="000A68A3">
        <w:rPr>
          <w:rFonts w:ascii="Arial" w:hAnsi="Arial" w:cs="Arial"/>
          <w:sz w:val="24"/>
          <w:szCs w:val="24"/>
        </w:rPr>
        <w:t>i</w:t>
      </w:r>
      <w:proofErr w:type="spellEnd"/>
      <w:r w:rsidRPr="000A68A3">
        <w:rPr>
          <w:rFonts w:ascii="Arial" w:hAnsi="Arial" w:cs="Arial"/>
          <w:sz w:val="24"/>
          <w:szCs w:val="24"/>
        </w:rPr>
        <w:t xml:space="preserve"> to iv in table below) should be all based on actuals at year end. Please complete the following table to:</w:t>
      </w:r>
    </w:p>
    <w:p w:rsidR="00701E93" w:rsidRPr="000A68A3" w:rsidRDefault="00701E93" w:rsidP="00701E93">
      <w:pPr>
        <w:numPr>
          <w:ilvl w:val="0"/>
          <w:numId w:val="3"/>
        </w:numPr>
        <w:contextualSpacing/>
        <w:rPr>
          <w:rFonts w:ascii="Arial" w:hAnsi="Arial" w:cs="Arial"/>
          <w:sz w:val="24"/>
          <w:szCs w:val="24"/>
        </w:rPr>
      </w:pPr>
      <w:r w:rsidRPr="000A68A3">
        <w:rPr>
          <w:rFonts w:ascii="Arial" w:hAnsi="Arial" w:cs="Arial"/>
          <w:sz w:val="24"/>
          <w:szCs w:val="24"/>
        </w:rPr>
        <w:t xml:space="preserve">Indicate whether the component is based on estimates or actuals at year end, and </w:t>
      </w:r>
    </w:p>
    <w:p w:rsidR="00701E93" w:rsidRPr="000A68A3" w:rsidRDefault="00701E93" w:rsidP="00701E93">
      <w:pPr>
        <w:numPr>
          <w:ilvl w:val="0"/>
          <w:numId w:val="3"/>
        </w:numPr>
        <w:contextualSpacing/>
        <w:rPr>
          <w:rFonts w:ascii="Arial" w:hAnsi="Arial" w:cs="Arial"/>
          <w:sz w:val="24"/>
          <w:szCs w:val="24"/>
        </w:rPr>
      </w:pPr>
      <w:r w:rsidRPr="000A68A3">
        <w:rPr>
          <w:rFonts w:ascii="Arial" w:hAnsi="Arial" w:cs="Arial"/>
          <w:sz w:val="24"/>
          <w:szCs w:val="24"/>
        </w:rPr>
        <w:t>Quantify the adjustment pertaining to each component that is trued-up from estimate to actual</w:t>
      </w:r>
    </w:p>
    <w:tbl>
      <w:tblPr>
        <w:tblStyle w:val="TableGrid1"/>
        <w:tblW w:w="10435" w:type="dxa"/>
        <w:tblLook w:val="04A0" w:firstRow="1" w:lastRow="0" w:firstColumn="1" w:lastColumn="0" w:noHBand="0" w:noVBand="1"/>
      </w:tblPr>
      <w:tblGrid>
        <w:gridCol w:w="389"/>
        <w:gridCol w:w="2486"/>
        <w:gridCol w:w="1350"/>
        <w:gridCol w:w="4230"/>
        <w:gridCol w:w="1980"/>
      </w:tblGrid>
      <w:tr w:rsidR="00701E93" w:rsidRPr="000A68A3" w:rsidTr="00552C20">
        <w:tc>
          <w:tcPr>
            <w:tcW w:w="389" w:type="dxa"/>
          </w:tcPr>
          <w:p w:rsidR="00701E93" w:rsidRPr="000A68A3" w:rsidRDefault="00701E93" w:rsidP="00552C20">
            <w:pPr>
              <w:rPr>
                <w:rFonts w:ascii="Arial" w:hAnsi="Arial" w:cs="Arial"/>
                <w:sz w:val="20"/>
                <w:szCs w:val="20"/>
              </w:rPr>
            </w:pPr>
          </w:p>
        </w:tc>
        <w:tc>
          <w:tcPr>
            <w:tcW w:w="2486" w:type="dxa"/>
          </w:tcPr>
          <w:p w:rsidR="00701E93" w:rsidRPr="000A68A3" w:rsidRDefault="00701E93" w:rsidP="00552C20">
            <w:pPr>
              <w:rPr>
                <w:rFonts w:ascii="Arial" w:hAnsi="Arial" w:cs="Arial"/>
                <w:b/>
                <w:sz w:val="20"/>
                <w:szCs w:val="20"/>
              </w:rPr>
            </w:pPr>
            <w:r w:rsidRPr="000A68A3">
              <w:rPr>
                <w:rFonts w:ascii="Arial" w:hAnsi="Arial" w:cs="Arial"/>
                <w:b/>
                <w:sz w:val="20"/>
                <w:szCs w:val="20"/>
              </w:rPr>
              <w:t>Component</w:t>
            </w:r>
          </w:p>
        </w:tc>
        <w:tc>
          <w:tcPr>
            <w:tcW w:w="1350" w:type="dxa"/>
          </w:tcPr>
          <w:p w:rsidR="00701E93" w:rsidRPr="000A68A3" w:rsidRDefault="00701E93" w:rsidP="00552C20">
            <w:pPr>
              <w:rPr>
                <w:rFonts w:ascii="Arial" w:hAnsi="Arial" w:cs="Arial"/>
                <w:b/>
                <w:sz w:val="20"/>
                <w:szCs w:val="20"/>
              </w:rPr>
            </w:pPr>
            <w:r w:rsidRPr="000A68A3">
              <w:rPr>
                <w:rFonts w:ascii="Arial" w:hAnsi="Arial" w:cs="Arial"/>
                <w:b/>
                <w:sz w:val="20"/>
                <w:szCs w:val="20"/>
              </w:rPr>
              <w:t>Estimate or Actual?</w:t>
            </w:r>
          </w:p>
        </w:tc>
        <w:tc>
          <w:tcPr>
            <w:tcW w:w="4230" w:type="dxa"/>
          </w:tcPr>
          <w:p w:rsidR="00701E93" w:rsidRPr="000A68A3" w:rsidRDefault="00701E93" w:rsidP="00552C20">
            <w:pPr>
              <w:rPr>
                <w:rFonts w:ascii="Arial" w:hAnsi="Arial" w:cs="Arial"/>
                <w:b/>
                <w:sz w:val="20"/>
                <w:szCs w:val="20"/>
              </w:rPr>
            </w:pPr>
            <w:r w:rsidRPr="000A68A3">
              <w:rPr>
                <w:rFonts w:ascii="Arial" w:hAnsi="Arial" w:cs="Arial"/>
                <w:b/>
                <w:sz w:val="20"/>
                <w:szCs w:val="20"/>
              </w:rPr>
              <w:t>Notes/Comments</w:t>
            </w:r>
          </w:p>
        </w:tc>
        <w:tc>
          <w:tcPr>
            <w:tcW w:w="1980" w:type="dxa"/>
          </w:tcPr>
          <w:p w:rsidR="00701E93" w:rsidRPr="000A68A3" w:rsidRDefault="00701E93" w:rsidP="00552C20">
            <w:pPr>
              <w:rPr>
                <w:rFonts w:ascii="Arial" w:hAnsi="Arial" w:cs="Arial"/>
                <w:b/>
                <w:sz w:val="20"/>
                <w:szCs w:val="20"/>
              </w:rPr>
            </w:pPr>
            <w:r w:rsidRPr="000A68A3">
              <w:rPr>
                <w:rFonts w:ascii="Arial" w:hAnsi="Arial" w:cs="Arial"/>
                <w:b/>
                <w:sz w:val="20"/>
                <w:szCs w:val="20"/>
              </w:rPr>
              <w:t>Quantify True Up  Adjustment $ Amount</w:t>
            </w:r>
          </w:p>
        </w:tc>
      </w:tr>
      <w:tr w:rsidR="00701E93" w:rsidRPr="000A68A3" w:rsidTr="00552C20">
        <w:trPr>
          <w:trHeight w:val="1385"/>
        </w:trPr>
        <w:tc>
          <w:tcPr>
            <w:tcW w:w="389" w:type="dxa"/>
          </w:tcPr>
          <w:p w:rsidR="00701E93" w:rsidRPr="000A68A3" w:rsidRDefault="00701E93" w:rsidP="00552C20">
            <w:pPr>
              <w:rPr>
                <w:rFonts w:ascii="Arial" w:hAnsi="Arial" w:cs="Arial"/>
                <w:sz w:val="20"/>
                <w:szCs w:val="20"/>
              </w:rPr>
            </w:pPr>
            <w:proofErr w:type="spellStart"/>
            <w:r w:rsidRPr="000A68A3">
              <w:rPr>
                <w:rFonts w:ascii="Arial" w:hAnsi="Arial" w:cs="Arial"/>
                <w:sz w:val="20"/>
                <w:szCs w:val="20"/>
              </w:rPr>
              <w:t>i</w:t>
            </w:r>
            <w:proofErr w:type="spellEnd"/>
          </w:p>
        </w:tc>
        <w:tc>
          <w:tcPr>
            <w:tcW w:w="2486" w:type="dxa"/>
          </w:tcPr>
          <w:p w:rsidR="00701E93" w:rsidRPr="000A68A3" w:rsidRDefault="00701E93" w:rsidP="00552C20">
            <w:pPr>
              <w:rPr>
                <w:rFonts w:ascii="Arial" w:hAnsi="Arial" w:cs="Arial"/>
                <w:sz w:val="20"/>
                <w:szCs w:val="20"/>
              </w:rPr>
            </w:pPr>
            <w:r w:rsidRPr="000A68A3">
              <w:rPr>
                <w:rFonts w:ascii="Arial" w:hAnsi="Arial" w:cs="Arial"/>
                <w:sz w:val="20"/>
                <w:szCs w:val="20"/>
              </w:rPr>
              <w:t xml:space="preserve">Revenues (i.e. is an unbilled revenue true-up adjustment reflected in the balances being requested for disposition?) </w:t>
            </w:r>
          </w:p>
        </w:tc>
        <w:tc>
          <w:tcPr>
            <w:tcW w:w="1350" w:type="dxa"/>
          </w:tcPr>
          <w:p w:rsidR="00701E93" w:rsidRPr="000A68A3" w:rsidRDefault="00701E93" w:rsidP="00552C20">
            <w:pPr>
              <w:rPr>
                <w:rFonts w:ascii="Arial" w:hAnsi="Arial" w:cs="Arial"/>
                <w:sz w:val="20"/>
                <w:szCs w:val="20"/>
              </w:rPr>
            </w:pPr>
          </w:p>
        </w:tc>
        <w:tc>
          <w:tcPr>
            <w:tcW w:w="4230" w:type="dxa"/>
          </w:tcPr>
          <w:p w:rsidR="00701E93" w:rsidRPr="000A68A3" w:rsidRDefault="00701E93" w:rsidP="00552C20">
            <w:pPr>
              <w:rPr>
                <w:rFonts w:ascii="Arial" w:hAnsi="Arial" w:cs="Arial"/>
                <w:sz w:val="20"/>
                <w:szCs w:val="20"/>
              </w:rPr>
            </w:pPr>
          </w:p>
        </w:tc>
        <w:tc>
          <w:tcPr>
            <w:tcW w:w="1980" w:type="dxa"/>
          </w:tcPr>
          <w:p w:rsidR="00701E93" w:rsidRPr="000A68A3" w:rsidRDefault="00701E93" w:rsidP="00552C20">
            <w:pPr>
              <w:rPr>
                <w:rFonts w:ascii="Arial" w:hAnsi="Arial" w:cs="Arial"/>
                <w:sz w:val="20"/>
                <w:szCs w:val="20"/>
              </w:rPr>
            </w:pPr>
          </w:p>
        </w:tc>
      </w:tr>
      <w:tr w:rsidR="00701E93" w:rsidRPr="000A68A3" w:rsidTr="00552C20">
        <w:tc>
          <w:tcPr>
            <w:tcW w:w="389" w:type="dxa"/>
          </w:tcPr>
          <w:p w:rsidR="00701E93" w:rsidRPr="000A68A3" w:rsidRDefault="00701E93" w:rsidP="00552C20">
            <w:pPr>
              <w:rPr>
                <w:rFonts w:ascii="Arial" w:hAnsi="Arial" w:cs="Arial"/>
                <w:sz w:val="20"/>
                <w:szCs w:val="20"/>
              </w:rPr>
            </w:pPr>
            <w:r w:rsidRPr="000A68A3">
              <w:rPr>
                <w:rFonts w:ascii="Arial" w:hAnsi="Arial" w:cs="Arial"/>
                <w:sz w:val="20"/>
                <w:szCs w:val="20"/>
              </w:rPr>
              <w:t>ii</w:t>
            </w:r>
          </w:p>
        </w:tc>
        <w:tc>
          <w:tcPr>
            <w:tcW w:w="2486" w:type="dxa"/>
          </w:tcPr>
          <w:p w:rsidR="00701E93" w:rsidRPr="000A68A3" w:rsidRDefault="00701E93" w:rsidP="00552C20">
            <w:pPr>
              <w:rPr>
                <w:rFonts w:ascii="Arial" w:hAnsi="Arial" w:cs="Arial"/>
                <w:sz w:val="20"/>
                <w:szCs w:val="20"/>
              </w:rPr>
            </w:pPr>
            <w:r w:rsidRPr="000A68A3">
              <w:rPr>
                <w:rFonts w:ascii="Arial" w:hAnsi="Arial" w:cs="Arial"/>
                <w:sz w:val="20"/>
                <w:szCs w:val="20"/>
              </w:rPr>
              <w:t>Expenses – Commodity: Charge Type 101 (i.e. is expense based on IESO invoice at year end)</w:t>
            </w:r>
          </w:p>
        </w:tc>
        <w:tc>
          <w:tcPr>
            <w:tcW w:w="1350" w:type="dxa"/>
          </w:tcPr>
          <w:p w:rsidR="00701E93" w:rsidRPr="000A68A3" w:rsidRDefault="00701E93" w:rsidP="00552C20">
            <w:pPr>
              <w:rPr>
                <w:rFonts w:ascii="Arial" w:hAnsi="Arial" w:cs="Arial"/>
                <w:sz w:val="20"/>
                <w:szCs w:val="20"/>
              </w:rPr>
            </w:pPr>
          </w:p>
        </w:tc>
        <w:tc>
          <w:tcPr>
            <w:tcW w:w="4230" w:type="dxa"/>
          </w:tcPr>
          <w:p w:rsidR="00701E93" w:rsidRPr="000A68A3" w:rsidRDefault="00701E93" w:rsidP="00552C20">
            <w:pPr>
              <w:rPr>
                <w:rFonts w:ascii="Arial" w:hAnsi="Arial" w:cs="Arial"/>
                <w:sz w:val="20"/>
                <w:szCs w:val="20"/>
              </w:rPr>
            </w:pPr>
          </w:p>
        </w:tc>
        <w:tc>
          <w:tcPr>
            <w:tcW w:w="1980" w:type="dxa"/>
          </w:tcPr>
          <w:p w:rsidR="00701E93" w:rsidRPr="000A68A3" w:rsidRDefault="00701E93" w:rsidP="00552C20">
            <w:pPr>
              <w:rPr>
                <w:rFonts w:ascii="Arial" w:hAnsi="Arial" w:cs="Arial"/>
                <w:sz w:val="20"/>
                <w:szCs w:val="20"/>
              </w:rPr>
            </w:pPr>
          </w:p>
        </w:tc>
      </w:tr>
      <w:tr w:rsidR="00701E93" w:rsidRPr="000A68A3" w:rsidTr="00552C20">
        <w:trPr>
          <w:trHeight w:val="1628"/>
        </w:trPr>
        <w:tc>
          <w:tcPr>
            <w:tcW w:w="389" w:type="dxa"/>
          </w:tcPr>
          <w:p w:rsidR="00701E93" w:rsidRPr="000A68A3" w:rsidRDefault="00701E93" w:rsidP="00552C20">
            <w:pPr>
              <w:rPr>
                <w:rFonts w:ascii="Arial" w:hAnsi="Arial" w:cs="Arial"/>
                <w:sz w:val="20"/>
                <w:szCs w:val="20"/>
              </w:rPr>
            </w:pPr>
            <w:proofErr w:type="spellStart"/>
            <w:r w:rsidRPr="000A68A3">
              <w:rPr>
                <w:rFonts w:ascii="Arial" w:hAnsi="Arial" w:cs="Arial"/>
                <w:sz w:val="20"/>
                <w:szCs w:val="20"/>
              </w:rPr>
              <w:t>ijj</w:t>
            </w:r>
            <w:proofErr w:type="spellEnd"/>
          </w:p>
        </w:tc>
        <w:tc>
          <w:tcPr>
            <w:tcW w:w="2486" w:type="dxa"/>
          </w:tcPr>
          <w:p w:rsidR="00701E93" w:rsidRPr="000A68A3" w:rsidRDefault="00701E93" w:rsidP="00552C20">
            <w:pPr>
              <w:rPr>
                <w:rFonts w:ascii="Arial" w:hAnsi="Arial" w:cs="Arial"/>
                <w:sz w:val="20"/>
                <w:szCs w:val="20"/>
              </w:rPr>
            </w:pPr>
            <w:r w:rsidRPr="000A68A3">
              <w:rPr>
                <w:rFonts w:ascii="Arial" w:hAnsi="Arial" w:cs="Arial"/>
                <w:sz w:val="20"/>
                <w:szCs w:val="20"/>
              </w:rPr>
              <w:t>Expenses - GA RPP: Charge Type 148 with respect to the quantum dollar amount (i.e. is expense based on IESO invoice at year end)</w:t>
            </w:r>
          </w:p>
        </w:tc>
        <w:tc>
          <w:tcPr>
            <w:tcW w:w="1350" w:type="dxa"/>
          </w:tcPr>
          <w:p w:rsidR="00701E93" w:rsidRPr="000A68A3" w:rsidRDefault="00701E93" w:rsidP="00552C20">
            <w:pPr>
              <w:rPr>
                <w:rFonts w:ascii="Arial" w:hAnsi="Arial" w:cs="Arial"/>
                <w:sz w:val="20"/>
                <w:szCs w:val="20"/>
              </w:rPr>
            </w:pPr>
          </w:p>
        </w:tc>
        <w:tc>
          <w:tcPr>
            <w:tcW w:w="4230" w:type="dxa"/>
          </w:tcPr>
          <w:p w:rsidR="00701E93" w:rsidRPr="000A68A3" w:rsidRDefault="00701E93" w:rsidP="00552C20">
            <w:pPr>
              <w:rPr>
                <w:rFonts w:ascii="Arial" w:hAnsi="Arial" w:cs="Arial"/>
                <w:sz w:val="20"/>
                <w:szCs w:val="20"/>
              </w:rPr>
            </w:pPr>
          </w:p>
        </w:tc>
        <w:tc>
          <w:tcPr>
            <w:tcW w:w="1980" w:type="dxa"/>
          </w:tcPr>
          <w:p w:rsidR="00701E93" w:rsidRPr="000A68A3" w:rsidRDefault="00701E93" w:rsidP="00552C20">
            <w:pPr>
              <w:rPr>
                <w:rFonts w:ascii="Arial" w:hAnsi="Arial" w:cs="Arial"/>
                <w:sz w:val="20"/>
                <w:szCs w:val="20"/>
              </w:rPr>
            </w:pPr>
          </w:p>
        </w:tc>
      </w:tr>
      <w:tr w:rsidR="00701E93" w:rsidRPr="000A68A3" w:rsidTr="00552C20">
        <w:tc>
          <w:tcPr>
            <w:tcW w:w="389" w:type="dxa"/>
          </w:tcPr>
          <w:p w:rsidR="00701E93" w:rsidRPr="000A68A3" w:rsidRDefault="00701E93" w:rsidP="00552C20">
            <w:pPr>
              <w:rPr>
                <w:rFonts w:ascii="Arial" w:hAnsi="Arial" w:cs="Arial"/>
                <w:sz w:val="20"/>
                <w:szCs w:val="20"/>
              </w:rPr>
            </w:pPr>
            <w:r w:rsidRPr="000A68A3">
              <w:rPr>
                <w:rFonts w:ascii="Arial" w:hAnsi="Arial" w:cs="Arial"/>
                <w:sz w:val="20"/>
                <w:szCs w:val="20"/>
              </w:rPr>
              <w:t>iv</w:t>
            </w:r>
          </w:p>
        </w:tc>
        <w:tc>
          <w:tcPr>
            <w:tcW w:w="2486" w:type="dxa"/>
          </w:tcPr>
          <w:p w:rsidR="00701E93" w:rsidRPr="000A68A3" w:rsidRDefault="00701E93" w:rsidP="00552C20">
            <w:pPr>
              <w:rPr>
                <w:rFonts w:ascii="Arial" w:hAnsi="Arial" w:cs="Arial"/>
                <w:sz w:val="20"/>
                <w:szCs w:val="20"/>
              </w:rPr>
            </w:pPr>
            <w:r w:rsidRPr="000A68A3">
              <w:rPr>
                <w:rFonts w:ascii="Arial" w:hAnsi="Arial" w:cs="Arial"/>
                <w:sz w:val="20"/>
                <w:szCs w:val="20"/>
              </w:rPr>
              <w:t>Expenses - GA RPP: Charge Type 148 with respect to the RPP/non-RPP kWh volume proportions.</w:t>
            </w:r>
          </w:p>
        </w:tc>
        <w:tc>
          <w:tcPr>
            <w:tcW w:w="1350" w:type="dxa"/>
          </w:tcPr>
          <w:p w:rsidR="00701E93" w:rsidRPr="000A68A3" w:rsidRDefault="00701E93" w:rsidP="00552C20">
            <w:pPr>
              <w:rPr>
                <w:rFonts w:ascii="Arial" w:hAnsi="Arial" w:cs="Arial"/>
                <w:sz w:val="20"/>
                <w:szCs w:val="20"/>
              </w:rPr>
            </w:pPr>
          </w:p>
        </w:tc>
        <w:tc>
          <w:tcPr>
            <w:tcW w:w="4230" w:type="dxa"/>
          </w:tcPr>
          <w:p w:rsidR="00701E93" w:rsidRPr="000A68A3" w:rsidRDefault="00701E93" w:rsidP="00552C20">
            <w:pPr>
              <w:rPr>
                <w:rFonts w:ascii="Arial" w:hAnsi="Arial" w:cs="Arial"/>
                <w:sz w:val="20"/>
                <w:szCs w:val="20"/>
              </w:rPr>
            </w:pPr>
          </w:p>
        </w:tc>
        <w:tc>
          <w:tcPr>
            <w:tcW w:w="1980" w:type="dxa"/>
          </w:tcPr>
          <w:p w:rsidR="00701E93" w:rsidRPr="000A68A3" w:rsidRDefault="00701E93" w:rsidP="00552C20">
            <w:pPr>
              <w:rPr>
                <w:rFonts w:ascii="Arial" w:hAnsi="Arial" w:cs="Arial"/>
                <w:sz w:val="20"/>
                <w:szCs w:val="20"/>
              </w:rPr>
            </w:pPr>
          </w:p>
        </w:tc>
      </w:tr>
      <w:tr w:rsidR="00701E93" w:rsidRPr="000A68A3" w:rsidTr="00552C20">
        <w:tc>
          <w:tcPr>
            <w:tcW w:w="389" w:type="dxa"/>
          </w:tcPr>
          <w:p w:rsidR="00701E93" w:rsidRPr="000A68A3" w:rsidRDefault="00701E93" w:rsidP="00552C20">
            <w:pPr>
              <w:rPr>
                <w:rFonts w:ascii="Arial" w:hAnsi="Arial" w:cs="Arial"/>
                <w:sz w:val="20"/>
                <w:szCs w:val="20"/>
              </w:rPr>
            </w:pPr>
            <w:r w:rsidRPr="000A68A3">
              <w:rPr>
                <w:rFonts w:ascii="Arial" w:hAnsi="Arial" w:cs="Arial"/>
                <w:sz w:val="20"/>
                <w:szCs w:val="20"/>
              </w:rPr>
              <w:t>v</w:t>
            </w:r>
          </w:p>
        </w:tc>
        <w:tc>
          <w:tcPr>
            <w:tcW w:w="2486" w:type="dxa"/>
          </w:tcPr>
          <w:p w:rsidR="00701E93" w:rsidRPr="000A68A3" w:rsidRDefault="00701E93" w:rsidP="00552C20">
            <w:pPr>
              <w:rPr>
                <w:rFonts w:ascii="Arial" w:hAnsi="Arial" w:cs="Arial"/>
                <w:sz w:val="20"/>
                <w:szCs w:val="20"/>
              </w:rPr>
            </w:pPr>
            <w:r w:rsidRPr="000A68A3">
              <w:rPr>
                <w:rFonts w:ascii="Arial" w:hAnsi="Arial" w:cs="Arial"/>
                <w:sz w:val="20"/>
                <w:szCs w:val="20"/>
              </w:rPr>
              <w:t>RPP Settlement: Charge Type 142 including any data used for determining the RPP/HOEP/RPP GA components of  the charge type</w:t>
            </w:r>
          </w:p>
        </w:tc>
        <w:tc>
          <w:tcPr>
            <w:tcW w:w="1350" w:type="dxa"/>
          </w:tcPr>
          <w:p w:rsidR="00701E93" w:rsidRPr="000A68A3" w:rsidRDefault="00701E93" w:rsidP="00552C20">
            <w:pPr>
              <w:rPr>
                <w:rFonts w:ascii="Arial" w:hAnsi="Arial" w:cs="Arial"/>
                <w:sz w:val="20"/>
                <w:szCs w:val="20"/>
              </w:rPr>
            </w:pPr>
          </w:p>
        </w:tc>
        <w:tc>
          <w:tcPr>
            <w:tcW w:w="4230" w:type="dxa"/>
          </w:tcPr>
          <w:p w:rsidR="00701E93" w:rsidRPr="000A68A3" w:rsidRDefault="00701E93" w:rsidP="00552C20">
            <w:pPr>
              <w:rPr>
                <w:rFonts w:ascii="Arial" w:hAnsi="Arial" w:cs="Arial"/>
                <w:sz w:val="20"/>
                <w:szCs w:val="20"/>
              </w:rPr>
            </w:pPr>
          </w:p>
        </w:tc>
        <w:tc>
          <w:tcPr>
            <w:tcW w:w="1980" w:type="dxa"/>
          </w:tcPr>
          <w:p w:rsidR="00701E93" w:rsidRPr="000A68A3" w:rsidRDefault="00701E93" w:rsidP="00552C20">
            <w:pPr>
              <w:rPr>
                <w:rFonts w:ascii="Arial" w:hAnsi="Arial" w:cs="Arial"/>
                <w:sz w:val="20"/>
                <w:szCs w:val="20"/>
              </w:rPr>
            </w:pPr>
          </w:p>
        </w:tc>
      </w:tr>
    </w:tbl>
    <w:p w:rsidR="00701E93" w:rsidRPr="000A68A3" w:rsidRDefault="00701E93" w:rsidP="00701E93">
      <w:pPr>
        <w:rPr>
          <w:rFonts w:ascii="Arial" w:hAnsi="Arial" w:cs="Arial"/>
          <w:b/>
          <w:bCs/>
          <w:i/>
          <w:sz w:val="24"/>
          <w:szCs w:val="24"/>
        </w:rPr>
      </w:pPr>
    </w:p>
    <w:p w:rsidR="00701E93" w:rsidRPr="000A68A3" w:rsidRDefault="00701E93" w:rsidP="00701E93">
      <w:pPr>
        <w:numPr>
          <w:ilvl w:val="0"/>
          <w:numId w:val="3"/>
        </w:numPr>
        <w:contextualSpacing/>
        <w:rPr>
          <w:rFonts w:ascii="Arial" w:hAnsi="Arial" w:cs="Arial"/>
          <w:b/>
          <w:sz w:val="24"/>
          <w:szCs w:val="24"/>
        </w:rPr>
      </w:pPr>
      <w:r w:rsidRPr="000A68A3">
        <w:rPr>
          <w:rFonts w:ascii="Arial" w:hAnsi="Arial" w:cs="Arial"/>
          <w:sz w:val="24"/>
          <w:szCs w:val="24"/>
        </w:rPr>
        <w:t>For each item in the table above, please confirm that the 2018 Rate Generator Model Tab 3 Continuity Schedule for 2016 ha</w:t>
      </w:r>
      <w:r w:rsidR="00924DB7">
        <w:rPr>
          <w:rFonts w:ascii="Arial" w:hAnsi="Arial" w:cs="Arial"/>
          <w:sz w:val="24"/>
          <w:szCs w:val="24"/>
        </w:rPr>
        <w:t>s</w:t>
      </w:r>
      <w:r w:rsidRPr="000A68A3">
        <w:rPr>
          <w:rFonts w:ascii="Arial" w:hAnsi="Arial" w:cs="Arial"/>
          <w:sz w:val="24"/>
          <w:szCs w:val="24"/>
        </w:rPr>
        <w:t xml:space="preserve"> been adjusted for settlement true-ups where settlement was originally based on estimate and trued up to actuals subsequent to </w:t>
      </w:r>
      <w:r w:rsidR="00924DB7">
        <w:rPr>
          <w:rFonts w:ascii="Arial" w:hAnsi="Arial" w:cs="Arial"/>
          <w:sz w:val="24"/>
          <w:szCs w:val="24"/>
        </w:rPr>
        <w:t>2016</w:t>
      </w:r>
      <w:r w:rsidRPr="000A68A3">
        <w:rPr>
          <w:rFonts w:ascii="Arial" w:hAnsi="Arial" w:cs="Arial"/>
          <w:sz w:val="24"/>
          <w:szCs w:val="24"/>
        </w:rPr>
        <w:t>.</w:t>
      </w:r>
    </w:p>
    <w:p w:rsidR="00701E93" w:rsidRDefault="00701E93" w:rsidP="00701E93">
      <w:pPr>
        <w:rPr>
          <w:rFonts w:ascii="Arial" w:hAnsi="Arial" w:cs="Arial"/>
          <w:b/>
          <w:sz w:val="24"/>
          <w:szCs w:val="24"/>
        </w:rPr>
      </w:pPr>
    </w:p>
    <w:p w:rsidR="00701E93" w:rsidRPr="00B80B90" w:rsidRDefault="00701E93" w:rsidP="00701E93">
      <w:pPr>
        <w:rPr>
          <w:rFonts w:ascii="Arial" w:hAnsi="Arial" w:cs="Arial"/>
          <w:b/>
          <w:sz w:val="24"/>
          <w:szCs w:val="24"/>
        </w:rPr>
      </w:pPr>
      <w:r>
        <w:rPr>
          <w:rFonts w:ascii="Arial" w:hAnsi="Arial" w:cs="Arial"/>
          <w:b/>
          <w:sz w:val="24"/>
          <w:szCs w:val="24"/>
        </w:rPr>
        <w:t>Staff Question-4</w:t>
      </w:r>
    </w:p>
    <w:p w:rsidR="00701E93" w:rsidRPr="00B80B90" w:rsidRDefault="00701E93" w:rsidP="00701E93">
      <w:pPr>
        <w:rPr>
          <w:rFonts w:ascii="Arial" w:hAnsi="Arial" w:cs="Arial"/>
          <w:b/>
          <w:sz w:val="24"/>
          <w:szCs w:val="24"/>
        </w:rPr>
      </w:pPr>
      <w:r w:rsidRPr="00B80B90">
        <w:rPr>
          <w:rFonts w:ascii="Arial" w:hAnsi="Arial" w:cs="Arial"/>
          <w:b/>
          <w:sz w:val="24"/>
          <w:szCs w:val="24"/>
        </w:rPr>
        <w:t xml:space="preserve">Reference: GA Analysis Workform – Analysis of expected GA Amount </w:t>
      </w:r>
    </w:p>
    <w:p w:rsidR="00701E93" w:rsidRPr="00B80B90" w:rsidRDefault="00701E93" w:rsidP="00701E93">
      <w:pPr>
        <w:numPr>
          <w:ilvl w:val="0"/>
          <w:numId w:val="4"/>
        </w:numPr>
        <w:contextualSpacing/>
        <w:rPr>
          <w:rFonts w:ascii="Arial" w:hAnsi="Arial" w:cs="Arial"/>
          <w:sz w:val="24"/>
          <w:szCs w:val="24"/>
        </w:rPr>
      </w:pPr>
      <w:r w:rsidRPr="00B80B90">
        <w:rPr>
          <w:rFonts w:ascii="Arial" w:hAnsi="Arial" w:cs="Arial"/>
          <w:sz w:val="24"/>
          <w:szCs w:val="24"/>
        </w:rPr>
        <w:t>Please confirm whether customers are billed on a calendar month basis. If not, on what basis are non-RPP Class B customers billed?</w:t>
      </w:r>
    </w:p>
    <w:p w:rsidR="00701E93" w:rsidRPr="00B80B90" w:rsidRDefault="00701E93" w:rsidP="00701E93">
      <w:pPr>
        <w:numPr>
          <w:ilvl w:val="0"/>
          <w:numId w:val="4"/>
        </w:numPr>
        <w:contextualSpacing/>
        <w:rPr>
          <w:rFonts w:ascii="Arial" w:hAnsi="Arial" w:cs="Arial"/>
          <w:sz w:val="24"/>
          <w:szCs w:val="24"/>
        </w:rPr>
      </w:pPr>
      <w:r w:rsidRPr="00B80B90">
        <w:rPr>
          <w:rFonts w:ascii="Arial" w:hAnsi="Arial" w:cs="Arial"/>
          <w:sz w:val="24"/>
          <w:szCs w:val="24"/>
        </w:rPr>
        <w:t>Please confirm that the Non-RPP Class B kWh amounts entered in column F below represent the actual kWh that was consumed by non-RPP Class B customers for each month.</w:t>
      </w:r>
    </w:p>
    <w:p w:rsidR="004C4E9B" w:rsidRDefault="004C4E9B"/>
    <w:p w:rsidR="000B758D" w:rsidRPr="00CF7C95" w:rsidRDefault="00926F8F" w:rsidP="000B758D">
      <w:pPr>
        <w:rPr>
          <w:rFonts w:ascii="Arial" w:hAnsi="Arial" w:cs="Arial"/>
          <w:b/>
          <w:sz w:val="24"/>
          <w:szCs w:val="24"/>
        </w:rPr>
      </w:pPr>
      <w:r>
        <w:rPr>
          <w:rFonts w:ascii="Arial" w:hAnsi="Arial" w:cs="Arial"/>
          <w:b/>
          <w:sz w:val="24"/>
          <w:szCs w:val="24"/>
        </w:rPr>
        <w:t>S</w:t>
      </w:r>
      <w:r w:rsidR="006A4669">
        <w:rPr>
          <w:rFonts w:ascii="Arial" w:hAnsi="Arial" w:cs="Arial"/>
          <w:b/>
          <w:sz w:val="24"/>
          <w:szCs w:val="24"/>
        </w:rPr>
        <w:t>taff Question-5</w:t>
      </w:r>
    </w:p>
    <w:p w:rsidR="000B758D" w:rsidRPr="00CF7C95" w:rsidRDefault="000B758D" w:rsidP="000B758D">
      <w:pPr>
        <w:ind w:left="1440" w:hanging="1440"/>
        <w:rPr>
          <w:rFonts w:ascii="Arial" w:hAnsi="Arial" w:cs="Arial"/>
          <w:b/>
          <w:sz w:val="24"/>
          <w:szCs w:val="24"/>
        </w:rPr>
      </w:pPr>
      <w:r w:rsidRPr="00CF7C95">
        <w:rPr>
          <w:rFonts w:ascii="Arial" w:hAnsi="Arial" w:cs="Arial"/>
          <w:b/>
          <w:sz w:val="24"/>
          <w:szCs w:val="24"/>
        </w:rPr>
        <w:t>Reference:</w:t>
      </w:r>
      <w:r w:rsidRPr="00CF7C95">
        <w:rPr>
          <w:rFonts w:ascii="Arial" w:hAnsi="Arial" w:cs="Arial"/>
          <w:b/>
          <w:sz w:val="24"/>
          <w:szCs w:val="24"/>
        </w:rPr>
        <w:tab/>
        <w:t>GA Analysis Workform – Consumption Data Excluding for Loss Factor</w:t>
      </w:r>
      <w:r>
        <w:rPr>
          <w:rFonts w:ascii="Arial" w:hAnsi="Arial" w:cs="Arial"/>
          <w:b/>
          <w:sz w:val="24"/>
          <w:szCs w:val="24"/>
        </w:rPr>
        <w:t xml:space="preserve"> – Box E</w:t>
      </w:r>
      <w:r>
        <w:rPr>
          <w:rFonts w:ascii="Arial" w:hAnsi="Arial" w:cs="Arial"/>
          <w:b/>
          <w:sz w:val="24"/>
          <w:szCs w:val="24"/>
        </w:rPr>
        <w:br/>
      </w:r>
      <w:r w:rsidRPr="00CF7C95">
        <w:rPr>
          <w:rFonts w:ascii="Arial" w:hAnsi="Arial" w:cs="Arial"/>
          <w:b/>
          <w:sz w:val="24"/>
          <w:szCs w:val="24"/>
        </w:rPr>
        <w:t>GA Analysis Workform – Analysis of Expected GA Amount</w:t>
      </w:r>
    </w:p>
    <w:p w:rsidR="000B758D" w:rsidRDefault="000B758D" w:rsidP="000B758D">
      <w:pPr>
        <w:pStyle w:val="ListParagraph"/>
        <w:numPr>
          <w:ilvl w:val="0"/>
          <w:numId w:val="5"/>
        </w:numPr>
        <w:rPr>
          <w:rFonts w:ascii="Arial" w:hAnsi="Arial" w:cs="Arial"/>
          <w:sz w:val="24"/>
          <w:szCs w:val="24"/>
        </w:rPr>
      </w:pPr>
      <w:r>
        <w:rPr>
          <w:rFonts w:ascii="Arial" w:hAnsi="Arial" w:cs="Arial"/>
          <w:sz w:val="24"/>
          <w:szCs w:val="24"/>
        </w:rPr>
        <w:t>In 2016, t</w:t>
      </w:r>
      <w:r w:rsidRPr="00F04344">
        <w:rPr>
          <w:rFonts w:ascii="Arial" w:hAnsi="Arial" w:cs="Arial"/>
          <w:sz w:val="24"/>
          <w:szCs w:val="24"/>
        </w:rPr>
        <w:t>he calculated value from the GA Ana</w:t>
      </w:r>
      <w:r>
        <w:rPr>
          <w:rFonts w:ascii="Arial" w:hAnsi="Arial" w:cs="Arial"/>
          <w:sz w:val="24"/>
          <w:szCs w:val="24"/>
        </w:rPr>
        <w:t>lysis Tab for “F59/D26” = 1.05822</w:t>
      </w:r>
      <w:r w:rsidRPr="00F04344">
        <w:rPr>
          <w:rFonts w:ascii="Arial" w:hAnsi="Arial" w:cs="Arial"/>
          <w:sz w:val="24"/>
          <w:szCs w:val="24"/>
        </w:rPr>
        <w:t xml:space="preserve"> and </w:t>
      </w:r>
      <w:proofErr w:type="spellStart"/>
      <w:r>
        <w:rPr>
          <w:rFonts w:ascii="Arial" w:hAnsi="Arial" w:cs="Arial"/>
          <w:sz w:val="24"/>
          <w:szCs w:val="24"/>
        </w:rPr>
        <w:t>Collus</w:t>
      </w:r>
      <w:proofErr w:type="spellEnd"/>
      <w:r>
        <w:rPr>
          <w:rFonts w:ascii="Arial" w:hAnsi="Arial" w:cs="Arial"/>
          <w:sz w:val="24"/>
          <w:szCs w:val="24"/>
        </w:rPr>
        <w:t xml:space="preserve"> </w:t>
      </w:r>
      <w:proofErr w:type="spellStart"/>
      <w:r>
        <w:rPr>
          <w:rFonts w:ascii="Arial" w:hAnsi="Arial" w:cs="Arial"/>
          <w:sz w:val="24"/>
          <w:szCs w:val="24"/>
        </w:rPr>
        <w:t>Powerstream’s</w:t>
      </w:r>
      <w:proofErr w:type="spellEnd"/>
      <w:r w:rsidRPr="00F04344">
        <w:rPr>
          <w:rFonts w:ascii="Arial" w:hAnsi="Arial" w:cs="Arial"/>
          <w:sz w:val="24"/>
          <w:szCs w:val="24"/>
        </w:rPr>
        <w:t xml:space="preserve"> OEB appr</w:t>
      </w:r>
      <w:r>
        <w:rPr>
          <w:rFonts w:ascii="Arial" w:hAnsi="Arial" w:cs="Arial"/>
          <w:sz w:val="24"/>
          <w:szCs w:val="24"/>
        </w:rPr>
        <w:t>oved total loss factor is 1.0710</w:t>
      </w:r>
      <w:r w:rsidRPr="00F04344">
        <w:rPr>
          <w:rFonts w:ascii="Arial" w:hAnsi="Arial" w:cs="Arial"/>
          <w:sz w:val="24"/>
          <w:szCs w:val="24"/>
        </w:rPr>
        <w:t>. Please reconcile this difference</w:t>
      </w:r>
      <w:r w:rsidR="00926F8F">
        <w:rPr>
          <w:rFonts w:ascii="Arial" w:hAnsi="Arial" w:cs="Arial"/>
          <w:sz w:val="24"/>
          <w:szCs w:val="24"/>
        </w:rPr>
        <w:t xml:space="preserve"> and provide an explanation for why the calculated loss factor differs from the OEB approved total loss factor</w:t>
      </w:r>
      <w:r w:rsidRPr="00F04344">
        <w:rPr>
          <w:rFonts w:ascii="Arial" w:hAnsi="Arial" w:cs="Arial"/>
          <w:sz w:val="24"/>
          <w:szCs w:val="24"/>
        </w:rPr>
        <w:t>.</w:t>
      </w:r>
    </w:p>
    <w:p w:rsidR="002D5CB5" w:rsidRPr="00CF7C95" w:rsidRDefault="006A4669" w:rsidP="002D5CB5">
      <w:pPr>
        <w:rPr>
          <w:rFonts w:ascii="Arial" w:hAnsi="Arial" w:cs="Arial"/>
          <w:b/>
          <w:sz w:val="24"/>
          <w:szCs w:val="24"/>
        </w:rPr>
      </w:pPr>
      <w:r>
        <w:rPr>
          <w:rFonts w:ascii="Arial" w:hAnsi="Arial" w:cs="Arial"/>
          <w:b/>
          <w:sz w:val="24"/>
          <w:szCs w:val="24"/>
        </w:rPr>
        <w:t>Staff Question-6</w:t>
      </w:r>
    </w:p>
    <w:p w:rsidR="002D5CB5" w:rsidRDefault="002D5CB5" w:rsidP="002D5CB5">
      <w:pPr>
        <w:ind w:left="1440" w:hanging="1440"/>
        <w:rPr>
          <w:rFonts w:ascii="Arial" w:hAnsi="Arial" w:cs="Arial"/>
          <w:b/>
          <w:sz w:val="24"/>
          <w:szCs w:val="24"/>
        </w:rPr>
      </w:pPr>
      <w:r w:rsidRPr="00CF7C95">
        <w:rPr>
          <w:rFonts w:ascii="Arial" w:hAnsi="Arial" w:cs="Arial"/>
          <w:b/>
          <w:sz w:val="24"/>
          <w:szCs w:val="24"/>
        </w:rPr>
        <w:t>Reference:</w:t>
      </w:r>
      <w:r w:rsidRPr="00CF7C95">
        <w:rPr>
          <w:rFonts w:ascii="Arial" w:hAnsi="Arial" w:cs="Arial"/>
          <w:b/>
          <w:sz w:val="24"/>
          <w:szCs w:val="24"/>
        </w:rPr>
        <w:tab/>
        <w:t xml:space="preserve">GA Analysis </w:t>
      </w:r>
      <w:proofErr w:type="spellStart"/>
      <w:r w:rsidRPr="00CF7C95">
        <w:rPr>
          <w:rFonts w:ascii="Arial" w:hAnsi="Arial" w:cs="Arial"/>
          <w:b/>
          <w:sz w:val="24"/>
          <w:szCs w:val="24"/>
        </w:rPr>
        <w:t>Workform</w:t>
      </w:r>
      <w:r w:rsidR="00F3480F">
        <w:rPr>
          <w:rFonts w:ascii="Arial" w:hAnsi="Arial" w:cs="Arial"/>
          <w:b/>
          <w:sz w:val="24"/>
          <w:szCs w:val="24"/>
        </w:rPr>
        <w:t>s</w:t>
      </w:r>
      <w:proofErr w:type="spellEnd"/>
      <w:r w:rsidR="00F3480F">
        <w:rPr>
          <w:rFonts w:ascii="Arial" w:hAnsi="Arial" w:cs="Arial"/>
          <w:b/>
          <w:sz w:val="24"/>
          <w:szCs w:val="24"/>
        </w:rPr>
        <w:t xml:space="preserve"> 2014-2016</w:t>
      </w:r>
      <w:r w:rsidRPr="00CF7C95">
        <w:rPr>
          <w:rFonts w:ascii="Arial" w:hAnsi="Arial" w:cs="Arial"/>
          <w:b/>
          <w:sz w:val="24"/>
          <w:szCs w:val="24"/>
        </w:rPr>
        <w:t xml:space="preserve"> –</w:t>
      </w:r>
      <w:r>
        <w:rPr>
          <w:rFonts w:ascii="Arial" w:hAnsi="Arial" w:cs="Arial"/>
          <w:b/>
          <w:sz w:val="24"/>
          <w:szCs w:val="24"/>
        </w:rPr>
        <w:t xml:space="preserve"> Reconciling Items 2a/2b:</w:t>
      </w:r>
    </w:p>
    <w:p w:rsidR="006A4669" w:rsidRDefault="006A4669" w:rsidP="006A4669">
      <w:pPr>
        <w:rPr>
          <w:rFonts w:ascii="Arial" w:hAnsi="Arial" w:cs="Arial"/>
          <w:sz w:val="24"/>
          <w:szCs w:val="24"/>
        </w:rPr>
      </w:pPr>
      <w:r>
        <w:rPr>
          <w:rFonts w:ascii="Arial" w:hAnsi="Arial" w:cs="Arial"/>
          <w:sz w:val="24"/>
          <w:szCs w:val="24"/>
        </w:rPr>
        <w:t>a) Is there a true up adjustment for the 2013 year-end for the difference between estimated unbilled revenue and actual unbilled revenue in 1589, recorded in the 2014 general ledger? If so, please provide the dollar amount of the 2013 year-end estimated unbilled revenue and the actual unbilled revenue</w:t>
      </w:r>
      <w:r w:rsidR="005D1698">
        <w:rPr>
          <w:rFonts w:ascii="Arial" w:hAnsi="Arial" w:cs="Arial"/>
          <w:sz w:val="24"/>
          <w:szCs w:val="24"/>
        </w:rPr>
        <w:t>.</w:t>
      </w:r>
    </w:p>
    <w:p w:rsidR="005D1698" w:rsidRDefault="006A4669" w:rsidP="002D5CB5">
      <w:pPr>
        <w:rPr>
          <w:rFonts w:ascii="Arial" w:hAnsi="Arial" w:cs="Arial"/>
          <w:sz w:val="24"/>
          <w:szCs w:val="24"/>
        </w:rPr>
      </w:pPr>
      <w:r>
        <w:rPr>
          <w:rFonts w:ascii="Arial" w:hAnsi="Arial" w:cs="Arial"/>
          <w:sz w:val="24"/>
          <w:szCs w:val="24"/>
        </w:rPr>
        <w:t>b</w:t>
      </w:r>
      <w:r w:rsidR="00F3480F">
        <w:rPr>
          <w:rFonts w:ascii="Arial" w:hAnsi="Arial" w:cs="Arial"/>
          <w:sz w:val="24"/>
          <w:szCs w:val="24"/>
        </w:rPr>
        <w:t xml:space="preserve">) </w:t>
      </w:r>
      <w:r>
        <w:rPr>
          <w:rFonts w:ascii="Arial" w:hAnsi="Arial" w:cs="Arial"/>
          <w:sz w:val="24"/>
          <w:szCs w:val="24"/>
        </w:rPr>
        <w:t>The 2014 GA Analysis Workform</w:t>
      </w:r>
      <w:r w:rsidR="00023588">
        <w:rPr>
          <w:rFonts w:ascii="Arial" w:hAnsi="Arial" w:cs="Arial"/>
          <w:sz w:val="24"/>
          <w:szCs w:val="24"/>
        </w:rPr>
        <w:t xml:space="preserve"> has an entry of $430,336</w:t>
      </w:r>
      <w:r>
        <w:rPr>
          <w:rFonts w:ascii="Arial" w:hAnsi="Arial" w:cs="Arial"/>
          <w:sz w:val="24"/>
          <w:szCs w:val="24"/>
        </w:rPr>
        <w:t xml:space="preserve"> under reconciling item 2b</w:t>
      </w:r>
      <w:r w:rsidR="00023588">
        <w:rPr>
          <w:rFonts w:ascii="Arial" w:hAnsi="Arial" w:cs="Arial"/>
          <w:sz w:val="24"/>
          <w:szCs w:val="24"/>
        </w:rPr>
        <w:t xml:space="preserve">. </w:t>
      </w:r>
      <w:r w:rsidR="005D1698">
        <w:rPr>
          <w:rFonts w:ascii="Arial" w:hAnsi="Arial" w:cs="Arial"/>
          <w:sz w:val="24"/>
          <w:szCs w:val="24"/>
        </w:rPr>
        <w:t>P</w:t>
      </w:r>
      <w:r w:rsidR="00F3480F">
        <w:rPr>
          <w:rFonts w:ascii="Arial" w:hAnsi="Arial" w:cs="Arial"/>
          <w:sz w:val="24"/>
          <w:szCs w:val="24"/>
        </w:rPr>
        <w:t xml:space="preserve">lease </w:t>
      </w:r>
      <w:r w:rsidR="00023588">
        <w:rPr>
          <w:rFonts w:ascii="Arial" w:hAnsi="Arial" w:cs="Arial"/>
          <w:sz w:val="24"/>
          <w:szCs w:val="24"/>
        </w:rPr>
        <w:t>provide the amount of the estimated un</w:t>
      </w:r>
      <w:r>
        <w:rPr>
          <w:rFonts w:ascii="Arial" w:hAnsi="Arial" w:cs="Arial"/>
          <w:sz w:val="24"/>
          <w:szCs w:val="24"/>
        </w:rPr>
        <w:t xml:space="preserve">billed revenue in 1589 for the </w:t>
      </w:r>
      <w:r w:rsidR="00023588">
        <w:rPr>
          <w:rFonts w:ascii="Arial" w:hAnsi="Arial" w:cs="Arial"/>
          <w:sz w:val="24"/>
          <w:szCs w:val="24"/>
        </w:rPr>
        <w:t xml:space="preserve">2014 </w:t>
      </w:r>
      <w:r>
        <w:rPr>
          <w:rFonts w:ascii="Arial" w:hAnsi="Arial" w:cs="Arial"/>
          <w:sz w:val="24"/>
          <w:szCs w:val="24"/>
        </w:rPr>
        <w:t>year-end</w:t>
      </w:r>
      <w:r w:rsidR="00810E28">
        <w:rPr>
          <w:rFonts w:ascii="Arial" w:hAnsi="Arial" w:cs="Arial"/>
          <w:sz w:val="24"/>
          <w:szCs w:val="24"/>
        </w:rPr>
        <w:t xml:space="preserve"> </w:t>
      </w:r>
      <w:r w:rsidR="00023588">
        <w:rPr>
          <w:rFonts w:ascii="Arial" w:hAnsi="Arial" w:cs="Arial"/>
          <w:sz w:val="24"/>
          <w:szCs w:val="24"/>
        </w:rPr>
        <w:t>and the actual amount of unbilled revenue</w:t>
      </w:r>
      <w:r w:rsidR="005D1698">
        <w:rPr>
          <w:rFonts w:ascii="Arial" w:hAnsi="Arial" w:cs="Arial"/>
          <w:sz w:val="24"/>
          <w:szCs w:val="24"/>
        </w:rPr>
        <w:t xml:space="preserve"> billed in 2015. </w:t>
      </w:r>
    </w:p>
    <w:p w:rsidR="00957248" w:rsidRDefault="00F3480F" w:rsidP="002D5CB5">
      <w:pPr>
        <w:rPr>
          <w:rFonts w:ascii="Arial" w:hAnsi="Arial" w:cs="Arial"/>
          <w:sz w:val="24"/>
          <w:szCs w:val="24"/>
        </w:rPr>
      </w:pPr>
      <w:r>
        <w:rPr>
          <w:rFonts w:ascii="Arial" w:hAnsi="Arial" w:cs="Arial"/>
          <w:sz w:val="24"/>
          <w:szCs w:val="24"/>
        </w:rPr>
        <w:t xml:space="preserve">c) </w:t>
      </w:r>
      <w:r w:rsidR="006A4669">
        <w:rPr>
          <w:rFonts w:ascii="Arial" w:hAnsi="Arial" w:cs="Arial"/>
          <w:sz w:val="24"/>
          <w:szCs w:val="24"/>
        </w:rPr>
        <w:t xml:space="preserve">The </w:t>
      </w:r>
      <w:r>
        <w:rPr>
          <w:rFonts w:ascii="Arial" w:hAnsi="Arial" w:cs="Arial"/>
          <w:sz w:val="24"/>
          <w:szCs w:val="24"/>
        </w:rPr>
        <w:t>2015</w:t>
      </w:r>
      <w:r w:rsidR="006A4669">
        <w:rPr>
          <w:rFonts w:ascii="Arial" w:hAnsi="Arial" w:cs="Arial"/>
          <w:sz w:val="24"/>
          <w:szCs w:val="24"/>
        </w:rPr>
        <w:t xml:space="preserve"> GA Analysis Workform</w:t>
      </w:r>
      <w:r>
        <w:rPr>
          <w:rFonts w:ascii="Arial" w:hAnsi="Arial" w:cs="Arial"/>
          <w:sz w:val="24"/>
          <w:szCs w:val="24"/>
        </w:rPr>
        <w:t xml:space="preserve"> </w:t>
      </w:r>
      <w:r w:rsidR="006A4669">
        <w:rPr>
          <w:rFonts w:ascii="Arial" w:hAnsi="Arial" w:cs="Arial"/>
          <w:sz w:val="24"/>
          <w:szCs w:val="24"/>
        </w:rPr>
        <w:t xml:space="preserve">has an entry of ($148,515) under </w:t>
      </w:r>
      <w:r>
        <w:rPr>
          <w:rFonts w:ascii="Arial" w:hAnsi="Arial" w:cs="Arial"/>
          <w:sz w:val="24"/>
          <w:szCs w:val="24"/>
        </w:rPr>
        <w:t>reconciliation item 2a to remove the impact of the estimated versus actual unbilled amounts from the prior year</w:t>
      </w:r>
      <w:r w:rsidR="006A4669">
        <w:rPr>
          <w:rFonts w:ascii="Arial" w:hAnsi="Arial" w:cs="Arial"/>
          <w:sz w:val="24"/>
          <w:szCs w:val="24"/>
        </w:rPr>
        <w:t xml:space="preserve">, however, </w:t>
      </w:r>
      <w:r w:rsidR="003B2C1B">
        <w:rPr>
          <w:rFonts w:ascii="Arial" w:hAnsi="Arial" w:cs="Arial"/>
          <w:sz w:val="24"/>
          <w:szCs w:val="24"/>
        </w:rPr>
        <w:t xml:space="preserve">the amount entered </w:t>
      </w:r>
      <w:r w:rsidR="006A4669">
        <w:rPr>
          <w:rFonts w:ascii="Arial" w:hAnsi="Arial" w:cs="Arial"/>
          <w:sz w:val="24"/>
          <w:szCs w:val="24"/>
        </w:rPr>
        <w:t>under reconciliation item</w:t>
      </w:r>
      <w:r>
        <w:rPr>
          <w:rFonts w:ascii="Arial" w:hAnsi="Arial" w:cs="Arial"/>
          <w:sz w:val="24"/>
          <w:szCs w:val="24"/>
        </w:rPr>
        <w:t xml:space="preserve"> 2b in</w:t>
      </w:r>
      <w:r w:rsidR="006A4669">
        <w:rPr>
          <w:rFonts w:ascii="Arial" w:hAnsi="Arial" w:cs="Arial"/>
          <w:sz w:val="24"/>
          <w:szCs w:val="24"/>
        </w:rPr>
        <w:t xml:space="preserve"> the</w:t>
      </w:r>
      <w:r>
        <w:rPr>
          <w:rFonts w:ascii="Arial" w:hAnsi="Arial" w:cs="Arial"/>
          <w:sz w:val="24"/>
          <w:szCs w:val="24"/>
        </w:rPr>
        <w:t xml:space="preserve"> 2014</w:t>
      </w:r>
      <w:r w:rsidR="006A4669">
        <w:rPr>
          <w:rFonts w:ascii="Arial" w:hAnsi="Arial" w:cs="Arial"/>
          <w:sz w:val="24"/>
          <w:szCs w:val="24"/>
        </w:rPr>
        <w:t xml:space="preserve"> GA Analysis Workform is reported as $430,33</w:t>
      </w:r>
      <w:r w:rsidR="00957248">
        <w:rPr>
          <w:rFonts w:ascii="Arial" w:hAnsi="Arial" w:cs="Arial"/>
          <w:sz w:val="24"/>
          <w:szCs w:val="24"/>
        </w:rPr>
        <w:t>6</w:t>
      </w:r>
      <w:r>
        <w:rPr>
          <w:rFonts w:ascii="Arial" w:hAnsi="Arial" w:cs="Arial"/>
          <w:sz w:val="24"/>
          <w:szCs w:val="24"/>
        </w:rPr>
        <w:t>.</w:t>
      </w:r>
      <w:r w:rsidR="006A4669">
        <w:rPr>
          <w:rFonts w:ascii="Arial" w:hAnsi="Arial" w:cs="Arial"/>
          <w:sz w:val="24"/>
          <w:szCs w:val="24"/>
        </w:rPr>
        <w:t xml:space="preserve"> </w:t>
      </w:r>
      <w:r w:rsidR="00957248">
        <w:rPr>
          <w:rFonts w:ascii="Arial" w:hAnsi="Arial" w:cs="Arial"/>
          <w:sz w:val="24"/>
          <w:szCs w:val="24"/>
        </w:rPr>
        <w:t>P</w:t>
      </w:r>
      <w:r>
        <w:rPr>
          <w:rFonts w:ascii="Arial" w:hAnsi="Arial" w:cs="Arial"/>
          <w:sz w:val="24"/>
          <w:szCs w:val="24"/>
        </w:rPr>
        <w:t xml:space="preserve">lease explain this </w:t>
      </w:r>
      <w:r w:rsidR="00957248">
        <w:rPr>
          <w:rFonts w:ascii="Arial" w:hAnsi="Arial" w:cs="Arial"/>
          <w:sz w:val="24"/>
          <w:szCs w:val="24"/>
        </w:rPr>
        <w:t>discrepancy.</w:t>
      </w:r>
    </w:p>
    <w:p w:rsidR="00F3480F" w:rsidRDefault="00957248" w:rsidP="002D5CB5">
      <w:pPr>
        <w:rPr>
          <w:rFonts w:ascii="Arial" w:hAnsi="Arial" w:cs="Arial"/>
          <w:sz w:val="24"/>
          <w:szCs w:val="24"/>
        </w:rPr>
      </w:pPr>
      <w:r>
        <w:rPr>
          <w:rFonts w:ascii="Arial" w:hAnsi="Arial" w:cs="Arial"/>
          <w:sz w:val="24"/>
          <w:szCs w:val="24"/>
        </w:rPr>
        <w:t xml:space="preserve">d) Please explain what </w:t>
      </w:r>
      <w:r w:rsidR="00023588">
        <w:rPr>
          <w:rFonts w:ascii="Arial" w:hAnsi="Arial" w:cs="Arial"/>
          <w:sz w:val="24"/>
          <w:szCs w:val="24"/>
        </w:rPr>
        <w:t xml:space="preserve">the </w:t>
      </w:r>
      <w:r w:rsidR="003B2C1B">
        <w:rPr>
          <w:rFonts w:ascii="Arial" w:hAnsi="Arial" w:cs="Arial"/>
          <w:sz w:val="24"/>
          <w:szCs w:val="24"/>
        </w:rPr>
        <w:t>(</w:t>
      </w:r>
      <w:r w:rsidR="00023588">
        <w:rPr>
          <w:rFonts w:ascii="Arial" w:hAnsi="Arial" w:cs="Arial"/>
          <w:sz w:val="24"/>
          <w:szCs w:val="24"/>
        </w:rPr>
        <w:t>$148,515</w:t>
      </w:r>
      <w:r w:rsidR="003B2C1B">
        <w:rPr>
          <w:rFonts w:ascii="Arial" w:hAnsi="Arial" w:cs="Arial"/>
          <w:sz w:val="24"/>
          <w:szCs w:val="24"/>
        </w:rPr>
        <w:t>)</w:t>
      </w:r>
      <w:r>
        <w:rPr>
          <w:rFonts w:ascii="Arial" w:hAnsi="Arial" w:cs="Arial"/>
          <w:sz w:val="24"/>
          <w:szCs w:val="24"/>
        </w:rPr>
        <w:t xml:space="preserve"> entry under reconciliation item 2a in the 2015 GA Analysis Workform is</w:t>
      </w:r>
      <w:r w:rsidR="00023588">
        <w:rPr>
          <w:rFonts w:ascii="Arial" w:hAnsi="Arial" w:cs="Arial"/>
          <w:sz w:val="24"/>
          <w:szCs w:val="24"/>
        </w:rPr>
        <w:t xml:space="preserve"> comprise</w:t>
      </w:r>
      <w:r w:rsidR="00810E28">
        <w:rPr>
          <w:rFonts w:ascii="Arial" w:hAnsi="Arial" w:cs="Arial"/>
          <w:sz w:val="24"/>
          <w:szCs w:val="24"/>
        </w:rPr>
        <w:t>d</w:t>
      </w:r>
      <w:r w:rsidR="00023588">
        <w:rPr>
          <w:rFonts w:ascii="Arial" w:hAnsi="Arial" w:cs="Arial"/>
          <w:sz w:val="24"/>
          <w:szCs w:val="24"/>
        </w:rPr>
        <w:t xml:space="preserve"> of and which </w:t>
      </w:r>
      <w:r>
        <w:rPr>
          <w:rFonts w:ascii="Arial" w:hAnsi="Arial" w:cs="Arial"/>
          <w:sz w:val="24"/>
          <w:szCs w:val="24"/>
        </w:rPr>
        <w:t>period</w:t>
      </w:r>
      <w:r w:rsidR="00023588">
        <w:rPr>
          <w:rFonts w:ascii="Arial" w:hAnsi="Arial" w:cs="Arial"/>
          <w:sz w:val="24"/>
          <w:szCs w:val="24"/>
        </w:rPr>
        <w:t xml:space="preserve"> it pertain</w:t>
      </w:r>
      <w:r>
        <w:rPr>
          <w:rFonts w:ascii="Arial" w:hAnsi="Arial" w:cs="Arial"/>
          <w:sz w:val="24"/>
          <w:szCs w:val="24"/>
        </w:rPr>
        <w:t>s</w:t>
      </w:r>
      <w:r w:rsidR="00023588">
        <w:rPr>
          <w:rFonts w:ascii="Arial" w:hAnsi="Arial" w:cs="Arial"/>
          <w:sz w:val="24"/>
          <w:szCs w:val="24"/>
        </w:rPr>
        <w:t xml:space="preserve"> to?</w:t>
      </w:r>
    </w:p>
    <w:p w:rsidR="00ED67A1" w:rsidRDefault="00ED67A1" w:rsidP="002D5CB5">
      <w:pPr>
        <w:rPr>
          <w:rFonts w:ascii="Arial" w:hAnsi="Arial" w:cs="Arial"/>
          <w:sz w:val="24"/>
          <w:szCs w:val="24"/>
        </w:rPr>
      </w:pPr>
      <w:r>
        <w:rPr>
          <w:rFonts w:ascii="Arial" w:hAnsi="Arial" w:cs="Arial"/>
          <w:sz w:val="24"/>
          <w:szCs w:val="24"/>
        </w:rPr>
        <w:t xml:space="preserve">e) The 2016 GA Analysis Workform has no entries for reconciliation items 2a and 2b, whereas 2014 and 2015 had reconciliation items 2b or 2a, respectively. Please confirm whether or not all of the years should have both reconciliation items 2a and 2b. </w:t>
      </w:r>
    </w:p>
    <w:p w:rsidR="00F3480F" w:rsidRPr="00CF7C95" w:rsidRDefault="00DC2290" w:rsidP="00F3480F">
      <w:pPr>
        <w:rPr>
          <w:rFonts w:ascii="Arial" w:hAnsi="Arial" w:cs="Arial"/>
          <w:b/>
          <w:sz w:val="24"/>
          <w:szCs w:val="24"/>
        </w:rPr>
      </w:pPr>
      <w:r>
        <w:rPr>
          <w:rFonts w:ascii="Arial" w:hAnsi="Arial" w:cs="Arial"/>
          <w:b/>
          <w:sz w:val="24"/>
          <w:szCs w:val="24"/>
        </w:rPr>
        <w:t>Staff Question-7</w:t>
      </w:r>
    </w:p>
    <w:p w:rsidR="00F3480F" w:rsidRDefault="00F3480F" w:rsidP="00F3480F">
      <w:pPr>
        <w:ind w:left="1440" w:hanging="1440"/>
        <w:rPr>
          <w:rFonts w:ascii="Arial" w:hAnsi="Arial" w:cs="Arial"/>
          <w:b/>
          <w:sz w:val="24"/>
          <w:szCs w:val="24"/>
        </w:rPr>
      </w:pPr>
      <w:r w:rsidRPr="00CF7C95">
        <w:rPr>
          <w:rFonts w:ascii="Arial" w:hAnsi="Arial" w:cs="Arial"/>
          <w:b/>
          <w:sz w:val="24"/>
          <w:szCs w:val="24"/>
        </w:rPr>
        <w:t>Reference:</w:t>
      </w:r>
      <w:r w:rsidRPr="00CF7C95">
        <w:rPr>
          <w:rFonts w:ascii="Arial" w:hAnsi="Arial" w:cs="Arial"/>
          <w:b/>
          <w:sz w:val="24"/>
          <w:szCs w:val="24"/>
        </w:rPr>
        <w:tab/>
        <w:t xml:space="preserve">GA Analysis </w:t>
      </w:r>
      <w:proofErr w:type="spellStart"/>
      <w:r w:rsidRPr="00CF7C95">
        <w:rPr>
          <w:rFonts w:ascii="Arial" w:hAnsi="Arial" w:cs="Arial"/>
          <w:b/>
          <w:sz w:val="24"/>
          <w:szCs w:val="24"/>
        </w:rPr>
        <w:t>Workform</w:t>
      </w:r>
      <w:r w:rsidR="00023588">
        <w:rPr>
          <w:rFonts w:ascii="Arial" w:hAnsi="Arial" w:cs="Arial"/>
          <w:b/>
          <w:sz w:val="24"/>
          <w:szCs w:val="24"/>
        </w:rPr>
        <w:t>s</w:t>
      </w:r>
      <w:proofErr w:type="spellEnd"/>
      <w:r w:rsidR="00023588">
        <w:rPr>
          <w:rFonts w:ascii="Arial" w:hAnsi="Arial" w:cs="Arial"/>
          <w:b/>
          <w:sz w:val="24"/>
          <w:szCs w:val="24"/>
        </w:rPr>
        <w:t xml:space="preserve"> 2014-</w:t>
      </w:r>
      <w:r>
        <w:rPr>
          <w:rFonts w:ascii="Arial" w:hAnsi="Arial" w:cs="Arial"/>
          <w:b/>
          <w:sz w:val="24"/>
          <w:szCs w:val="24"/>
        </w:rPr>
        <w:t>2016</w:t>
      </w:r>
      <w:r w:rsidRPr="00CF7C95">
        <w:rPr>
          <w:rFonts w:ascii="Arial" w:hAnsi="Arial" w:cs="Arial"/>
          <w:b/>
          <w:sz w:val="24"/>
          <w:szCs w:val="24"/>
        </w:rPr>
        <w:t xml:space="preserve"> –</w:t>
      </w:r>
      <w:r>
        <w:rPr>
          <w:rFonts w:ascii="Arial" w:hAnsi="Arial" w:cs="Arial"/>
          <w:b/>
          <w:sz w:val="24"/>
          <w:szCs w:val="24"/>
        </w:rPr>
        <w:t xml:space="preserve"> Reconciling Item</w:t>
      </w:r>
      <w:r w:rsidR="00023588">
        <w:rPr>
          <w:rFonts w:ascii="Arial" w:hAnsi="Arial" w:cs="Arial"/>
          <w:b/>
          <w:sz w:val="24"/>
          <w:szCs w:val="24"/>
        </w:rPr>
        <w:t xml:space="preserve"> 7</w:t>
      </w:r>
    </w:p>
    <w:p w:rsidR="00023588" w:rsidRDefault="00810E28" w:rsidP="00957248">
      <w:pPr>
        <w:rPr>
          <w:rFonts w:ascii="Arial" w:hAnsi="Arial" w:cs="Arial"/>
          <w:sz w:val="24"/>
          <w:szCs w:val="24"/>
        </w:rPr>
      </w:pPr>
      <w:r>
        <w:rPr>
          <w:rFonts w:ascii="Arial" w:hAnsi="Arial" w:cs="Arial"/>
          <w:sz w:val="24"/>
          <w:szCs w:val="24"/>
        </w:rPr>
        <w:t xml:space="preserve">Table 7.1 in </w:t>
      </w:r>
      <w:proofErr w:type="spellStart"/>
      <w:r>
        <w:rPr>
          <w:rFonts w:ascii="Arial" w:hAnsi="Arial" w:cs="Arial"/>
          <w:sz w:val="24"/>
          <w:szCs w:val="24"/>
        </w:rPr>
        <w:t>Collus</w:t>
      </w:r>
      <w:proofErr w:type="spellEnd"/>
      <w:r w:rsidR="00954151">
        <w:rPr>
          <w:rFonts w:ascii="Arial" w:hAnsi="Arial" w:cs="Arial"/>
          <w:sz w:val="24"/>
          <w:szCs w:val="24"/>
        </w:rPr>
        <w:t xml:space="preserve"> </w:t>
      </w:r>
      <w:proofErr w:type="spellStart"/>
      <w:r w:rsidR="00954151">
        <w:rPr>
          <w:rFonts w:ascii="Arial" w:hAnsi="Arial" w:cs="Arial"/>
          <w:sz w:val="24"/>
          <w:szCs w:val="24"/>
        </w:rPr>
        <w:t>PowerStream</w:t>
      </w:r>
      <w:r>
        <w:rPr>
          <w:rFonts w:ascii="Arial" w:hAnsi="Arial" w:cs="Arial"/>
          <w:sz w:val="24"/>
          <w:szCs w:val="24"/>
        </w:rPr>
        <w:t>’</w:t>
      </w:r>
      <w:r w:rsidR="00954151">
        <w:rPr>
          <w:rFonts w:ascii="Arial" w:hAnsi="Arial" w:cs="Arial"/>
          <w:sz w:val="24"/>
          <w:szCs w:val="24"/>
        </w:rPr>
        <w:t>s</w:t>
      </w:r>
      <w:proofErr w:type="spellEnd"/>
      <w:r>
        <w:rPr>
          <w:rFonts w:ascii="Arial" w:hAnsi="Arial" w:cs="Arial"/>
          <w:sz w:val="24"/>
          <w:szCs w:val="24"/>
        </w:rPr>
        <w:t xml:space="preserve"> Application </w:t>
      </w:r>
      <w:r w:rsidR="00ED67A1">
        <w:rPr>
          <w:rFonts w:ascii="Arial" w:hAnsi="Arial" w:cs="Arial"/>
          <w:sz w:val="24"/>
          <w:szCs w:val="24"/>
        </w:rPr>
        <w:t>appears to have been populated with cumulative adjustments f</w:t>
      </w:r>
      <w:r w:rsidR="003972D5">
        <w:rPr>
          <w:rFonts w:ascii="Arial" w:hAnsi="Arial" w:cs="Arial"/>
          <w:sz w:val="24"/>
          <w:szCs w:val="24"/>
        </w:rPr>
        <w:t>r</w:t>
      </w:r>
      <w:r w:rsidR="00ED67A1">
        <w:rPr>
          <w:rFonts w:ascii="Arial" w:hAnsi="Arial" w:cs="Arial"/>
          <w:sz w:val="24"/>
          <w:szCs w:val="24"/>
        </w:rPr>
        <w:t>o</w:t>
      </w:r>
      <w:r w:rsidR="003972D5">
        <w:rPr>
          <w:rFonts w:ascii="Arial" w:hAnsi="Arial" w:cs="Arial"/>
          <w:sz w:val="24"/>
          <w:szCs w:val="24"/>
        </w:rPr>
        <w:t>m</w:t>
      </w:r>
      <w:r w:rsidR="00ED67A1">
        <w:rPr>
          <w:rFonts w:ascii="Arial" w:hAnsi="Arial" w:cs="Arial"/>
          <w:sz w:val="24"/>
          <w:szCs w:val="24"/>
        </w:rPr>
        <w:t xml:space="preserve"> 2014 to 2016</w:t>
      </w:r>
      <w:r w:rsidR="003972D5">
        <w:rPr>
          <w:rFonts w:ascii="Arial" w:hAnsi="Arial" w:cs="Arial"/>
          <w:sz w:val="24"/>
          <w:szCs w:val="24"/>
        </w:rPr>
        <w:t>;</w:t>
      </w:r>
      <w:r>
        <w:rPr>
          <w:rFonts w:ascii="Arial" w:hAnsi="Arial" w:cs="Arial"/>
          <w:sz w:val="24"/>
          <w:szCs w:val="24"/>
        </w:rPr>
        <w:t xml:space="preserve"> however, </w:t>
      </w:r>
      <w:r w:rsidR="00716954">
        <w:rPr>
          <w:rFonts w:ascii="Arial" w:hAnsi="Arial" w:cs="Arial"/>
          <w:sz w:val="24"/>
          <w:szCs w:val="24"/>
        </w:rPr>
        <w:t>the GA Analysis Workform</w:t>
      </w:r>
      <w:r w:rsidR="00716954" w:rsidDel="003972D5">
        <w:rPr>
          <w:rFonts w:ascii="Arial" w:hAnsi="Arial" w:cs="Arial"/>
          <w:sz w:val="24"/>
          <w:szCs w:val="24"/>
        </w:rPr>
        <w:t xml:space="preserve"> </w:t>
      </w:r>
      <w:r w:rsidR="00716954">
        <w:rPr>
          <w:rFonts w:ascii="Arial" w:hAnsi="Arial" w:cs="Arial"/>
          <w:sz w:val="24"/>
          <w:szCs w:val="24"/>
        </w:rPr>
        <w:t xml:space="preserve">has been populated with </w:t>
      </w:r>
      <w:r w:rsidR="003972D5">
        <w:rPr>
          <w:rFonts w:ascii="Arial" w:hAnsi="Arial" w:cs="Arial"/>
          <w:sz w:val="24"/>
          <w:szCs w:val="24"/>
        </w:rPr>
        <w:t xml:space="preserve">reconciliation item 7 </w:t>
      </w:r>
      <w:r w:rsidR="00716954">
        <w:rPr>
          <w:rFonts w:ascii="Arial" w:hAnsi="Arial" w:cs="Arial"/>
          <w:sz w:val="24"/>
          <w:szCs w:val="24"/>
        </w:rPr>
        <w:t xml:space="preserve">for </w:t>
      </w:r>
      <w:r>
        <w:rPr>
          <w:rFonts w:ascii="Arial" w:hAnsi="Arial" w:cs="Arial"/>
          <w:sz w:val="24"/>
          <w:szCs w:val="24"/>
        </w:rPr>
        <w:t>each year</w:t>
      </w:r>
      <w:r w:rsidR="00716954">
        <w:rPr>
          <w:rFonts w:ascii="Arial" w:hAnsi="Arial" w:cs="Arial"/>
          <w:sz w:val="24"/>
          <w:szCs w:val="24"/>
        </w:rPr>
        <w:t xml:space="preserve"> from 2014 to 2016 separately</w:t>
      </w:r>
      <w:r w:rsidR="005B13E8">
        <w:rPr>
          <w:rFonts w:ascii="Arial" w:hAnsi="Arial" w:cs="Arial"/>
          <w:sz w:val="24"/>
          <w:szCs w:val="24"/>
        </w:rPr>
        <w:t xml:space="preserve">. Please provide </w:t>
      </w:r>
      <w:r>
        <w:rPr>
          <w:rFonts w:ascii="Arial" w:hAnsi="Arial" w:cs="Arial"/>
          <w:sz w:val="24"/>
          <w:szCs w:val="24"/>
        </w:rPr>
        <w:t xml:space="preserve">a detailed </w:t>
      </w:r>
      <w:r w:rsidR="009C799E">
        <w:rPr>
          <w:rFonts w:ascii="Arial" w:hAnsi="Arial" w:cs="Arial"/>
          <w:sz w:val="24"/>
          <w:szCs w:val="24"/>
        </w:rPr>
        <w:t>analysis</w:t>
      </w:r>
      <w:r>
        <w:rPr>
          <w:rFonts w:ascii="Arial" w:hAnsi="Arial" w:cs="Arial"/>
          <w:sz w:val="24"/>
          <w:szCs w:val="24"/>
        </w:rPr>
        <w:t xml:space="preserve"> for each column in table 7.1 of the </w:t>
      </w:r>
      <w:r w:rsidR="00716954">
        <w:rPr>
          <w:rFonts w:ascii="Arial" w:hAnsi="Arial" w:cs="Arial"/>
          <w:sz w:val="24"/>
          <w:szCs w:val="24"/>
        </w:rPr>
        <w:t>A</w:t>
      </w:r>
      <w:r>
        <w:rPr>
          <w:rFonts w:ascii="Arial" w:hAnsi="Arial" w:cs="Arial"/>
          <w:sz w:val="24"/>
          <w:szCs w:val="24"/>
        </w:rPr>
        <w:t xml:space="preserve">pplication by year </w:t>
      </w:r>
      <w:r w:rsidR="00FB0C65">
        <w:rPr>
          <w:rFonts w:ascii="Arial" w:hAnsi="Arial" w:cs="Arial"/>
          <w:sz w:val="24"/>
          <w:szCs w:val="24"/>
        </w:rPr>
        <w:t xml:space="preserve">and by component </w:t>
      </w:r>
      <w:r>
        <w:rPr>
          <w:rFonts w:ascii="Arial" w:hAnsi="Arial" w:cs="Arial"/>
          <w:sz w:val="24"/>
          <w:szCs w:val="24"/>
        </w:rPr>
        <w:t xml:space="preserve">and provide an explanation </w:t>
      </w:r>
      <w:r w:rsidR="00ED67A1">
        <w:rPr>
          <w:rFonts w:ascii="Arial" w:hAnsi="Arial" w:cs="Arial"/>
          <w:sz w:val="24"/>
          <w:szCs w:val="24"/>
        </w:rPr>
        <w:t xml:space="preserve">for each </w:t>
      </w:r>
      <w:r w:rsidR="00FB0C65">
        <w:rPr>
          <w:rFonts w:ascii="Arial" w:hAnsi="Arial" w:cs="Arial"/>
          <w:sz w:val="24"/>
          <w:szCs w:val="24"/>
        </w:rPr>
        <w:t>component for each year</w:t>
      </w:r>
      <w:r>
        <w:rPr>
          <w:rFonts w:ascii="Arial" w:hAnsi="Arial" w:cs="Arial"/>
          <w:sz w:val="24"/>
          <w:szCs w:val="24"/>
        </w:rPr>
        <w:t>.</w:t>
      </w:r>
    </w:p>
    <w:p w:rsidR="00DC2290" w:rsidRPr="00CF7C95" w:rsidRDefault="00A24DD7" w:rsidP="00DC2290">
      <w:pPr>
        <w:rPr>
          <w:rFonts w:ascii="Arial" w:hAnsi="Arial" w:cs="Arial"/>
          <w:b/>
          <w:sz w:val="24"/>
          <w:szCs w:val="24"/>
        </w:rPr>
      </w:pPr>
      <w:r>
        <w:rPr>
          <w:rFonts w:ascii="Arial" w:hAnsi="Arial" w:cs="Arial"/>
          <w:b/>
          <w:sz w:val="24"/>
          <w:szCs w:val="24"/>
        </w:rPr>
        <w:t>Staff Question-8</w:t>
      </w:r>
    </w:p>
    <w:p w:rsidR="00B15441" w:rsidRPr="00B15441" w:rsidRDefault="00DC2290" w:rsidP="00B15441">
      <w:pPr>
        <w:ind w:left="1440" w:hanging="1440"/>
        <w:rPr>
          <w:rFonts w:ascii="Arial" w:hAnsi="Arial" w:cs="Arial"/>
          <w:b/>
          <w:sz w:val="24"/>
          <w:szCs w:val="24"/>
        </w:rPr>
      </w:pPr>
      <w:r>
        <w:rPr>
          <w:rFonts w:ascii="Arial" w:hAnsi="Arial" w:cs="Arial"/>
          <w:b/>
          <w:sz w:val="24"/>
          <w:szCs w:val="24"/>
        </w:rPr>
        <w:t xml:space="preserve">Reference: </w:t>
      </w:r>
      <w:proofErr w:type="spellStart"/>
      <w:r w:rsidR="00436C94">
        <w:rPr>
          <w:rFonts w:ascii="Arial" w:hAnsi="Arial" w:cs="Arial"/>
          <w:b/>
          <w:sz w:val="24"/>
          <w:szCs w:val="24"/>
        </w:rPr>
        <w:t>Collus</w:t>
      </w:r>
      <w:proofErr w:type="spellEnd"/>
      <w:r w:rsidR="00954151">
        <w:rPr>
          <w:rFonts w:ascii="Arial" w:hAnsi="Arial" w:cs="Arial"/>
          <w:b/>
          <w:sz w:val="24"/>
          <w:szCs w:val="24"/>
        </w:rPr>
        <w:t xml:space="preserve"> </w:t>
      </w:r>
      <w:proofErr w:type="spellStart"/>
      <w:r w:rsidR="00954151">
        <w:rPr>
          <w:rFonts w:ascii="Arial" w:hAnsi="Arial" w:cs="Arial"/>
          <w:b/>
          <w:sz w:val="24"/>
          <w:szCs w:val="24"/>
        </w:rPr>
        <w:t>PowerStream</w:t>
      </w:r>
      <w:r w:rsidR="00436C94">
        <w:rPr>
          <w:rFonts w:ascii="Arial" w:hAnsi="Arial" w:cs="Arial"/>
          <w:b/>
          <w:sz w:val="24"/>
          <w:szCs w:val="24"/>
        </w:rPr>
        <w:t>’</w:t>
      </w:r>
      <w:r w:rsidR="00954151">
        <w:rPr>
          <w:rFonts w:ascii="Arial" w:hAnsi="Arial" w:cs="Arial"/>
          <w:b/>
          <w:sz w:val="24"/>
          <w:szCs w:val="24"/>
        </w:rPr>
        <w:t>s</w:t>
      </w:r>
      <w:proofErr w:type="spellEnd"/>
      <w:r w:rsidR="00436C94">
        <w:rPr>
          <w:rFonts w:ascii="Arial" w:hAnsi="Arial" w:cs="Arial"/>
          <w:b/>
          <w:sz w:val="24"/>
          <w:szCs w:val="24"/>
        </w:rPr>
        <w:t xml:space="preserve"> response to OEB Staff Question 8 from January 30, 2018</w:t>
      </w:r>
    </w:p>
    <w:p w:rsidR="00B15441" w:rsidRDefault="00B15441" w:rsidP="00653B74">
      <w:pPr>
        <w:rPr>
          <w:rFonts w:ascii="Arial" w:hAnsi="Arial" w:cs="Arial"/>
          <w:sz w:val="24"/>
          <w:szCs w:val="24"/>
        </w:rPr>
      </w:pPr>
      <w:r>
        <w:rPr>
          <w:rFonts w:ascii="Arial" w:hAnsi="Arial" w:cs="Arial"/>
          <w:sz w:val="24"/>
          <w:szCs w:val="24"/>
        </w:rPr>
        <w:t xml:space="preserve">The below is an excerpt from </w:t>
      </w:r>
      <w:proofErr w:type="spellStart"/>
      <w:r>
        <w:rPr>
          <w:rFonts w:ascii="Arial" w:hAnsi="Arial" w:cs="Arial"/>
          <w:sz w:val="24"/>
          <w:szCs w:val="24"/>
        </w:rPr>
        <w:t>Collus</w:t>
      </w:r>
      <w:proofErr w:type="spellEnd"/>
      <w:r>
        <w:rPr>
          <w:rFonts w:ascii="Arial" w:hAnsi="Arial" w:cs="Arial"/>
          <w:sz w:val="24"/>
          <w:szCs w:val="24"/>
        </w:rPr>
        <w:t xml:space="preserve"> </w:t>
      </w:r>
      <w:proofErr w:type="spellStart"/>
      <w:r>
        <w:rPr>
          <w:rFonts w:ascii="Arial" w:hAnsi="Arial" w:cs="Arial"/>
          <w:sz w:val="24"/>
          <w:szCs w:val="24"/>
        </w:rPr>
        <w:t>PowerStream’s</w:t>
      </w:r>
      <w:proofErr w:type="spellEnd"/>
      <w:r>
        <w:rPr>
          <w:rFonts w:ascii="Arial" w:hAnsi="Arial" w:cs="Arial"/>
          <w:sz w:val="24"/>
          <w:szCs w:val="24"/>
        </w:rPr>
        <w:t xml:space="preserve"> response to OEB Staff Question 8 sent on January 30, 2018:</w:t>
      </w:r>
    </w:p>
    <w:p w:rsidR="00B15441" w:rsidRPr="005E16DF" w:rsidRDefault="00B15441" w:rsidP="00B15441">
      <w:pPr>
        <w:rPr>
          <w:rFonts w:ascii="Arial" w:hAnsi="Arial" w:cs="Arial"/>
          <w:caps/>
          <w:sz w:val="24"/>
          <w:szCs w:val="24"/>
        </w:rPr>
      </w:pPr>
      <w:r>
        <w:rPr>
          <w:noProof/>
          <w:lang w:val="en-US"/>
        </w:rPr>
        <w:drawing>
          <wp:inline distT="0" distB="0" distL="0" distR="0" wp14:anchorId="5806AEBD" wp14:editId="136A7ED3">
            <wp:extent cx="5943600" cy="44983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43600" cy="4498340"/>
                    </a:xfrm>
                    <a:prstGeom prst="rect">
                      <a:avLst/>
                    </a:prstGeom>
                  </pic:spPr>
                </pic:pic>
              </a:graphicData>
            </a:graphic>
          </wp:inline>
        </w:drawing>
      </w:r>
    </w:p>
    <w:p w:rsidR="00B15441" w:rsidRDefault="00B15441" w:rsidP="00B15441">
      <w:pPr>
        <w:rPr>
          <w:rFonts w:ascii="Arial" w:hAnsi="Arial" w:cs="Arial"/>
          <w:sz w:val="24"/>
          <w:szCs w:val="24"/>
        </w:rPr>
      </w:pPr>
      <w:r w:rsidRPr="00A16798">
        <w:rPr>
          <w:rFonts w:ascii="Arial" w:hAnsi="Arial" w:cs="Arial"/>
          <w:sz w:val="24"/>
          <w:szCs w:val="24"/>
        </w:rPr>
        <w:t>Ple</w:t>
      </w:r>
      <w:r w:rsidRPr="00E7163F">
        <w:rPr>
          <w:rFonts w:ascii="Arial" w:hAnsi="Arial" w:cs="Arial"/>
          <w:sz w:val="24"/>
          <w:szCs w:val="24"/>
        </w:rPr>
        <w:t>ase explain the adjustments to accounts 1550</w:t>
      </w:r>
      <w:r>
        <w:rPr>
          <w:rFonts w:ascii="Arial" w:hAnsi="Arial" w:cs="Arial"/>
          <w:sz w:val="24"/>
          <w:szCs w:val="24"/>
        </w:rPr>
        <w:t>, 1580, 1584, 1586 and 1595.</w:t>
      </w:r>
    </w:p>
    <w:p w:rsidR="00B15441" w:rsidRPr="003E2306" w:rsidRDefault="00B15441" w:rsidP="00B15441">
      <w:pPr>
        <w:rPr>
          <w:rFonts w:ascii="Arial" w:hAnsi="Arial" w:cs="Arial"/>
          <w:i/>
          <w:color w:val="44546A" w:themeColor="text2"/>
          <w:sz w:val="24"/>
          <w:szCs w:val="24"/>
        </w:rPr>
      </w:pPr>
      <w:r w:rsidRPr="003E2306">
        <w:rPr>
          <w:rFonts w:ascii="Arial" w:hAnsi="Arial" w:cs="Arial"/>
          <w:i/>
          <w:color w:val="44546A" w:themeColor="text2"/>
          <w:sz w:val="24"/>
          <w:szCs w:val="24"/>
        </w:rPr>
        <w:t xml:space="preserve">CPS Response: The changes in accounts are due to the special purpose global adjustment audit (audit report included in original submission) as well as a newly identified billing error. Please refer to attachment: “OEB Letter Re Billing Error - </w:t>
      </w:r>
      <w:proofErr w:type="spellStart"/>
      <w:r w:rsidRPr="003E2306">
        <w:rPr>
          <w:rFonts w:ascii="Arial" w:hAnsi="Arial" w:cs="Arial"/>
          <w:i/>
          <w:color w:val="44546A" w:themeColor="text2"/>
          <w:sz w:val="24"/>
          <w:szCs w:val="24"/>
        </w:rPr>
        <w:t>Collus</w:t>
      </w:r>
      <w:proofErr w:type="spellEnd"/>
      <w:r w:rsidRPr="003E2306">
        <w:rPr>
          <w:rFonts w:ascii="Arial" w:hAnsi="Arial" w:cs="Arial"/>
          <w:i/>
          <w:color w:val="44546A" w:themeColor="text2"/>
          <w:sz w:val="24"/>
          <w:szCs w:val="24"/>
        </w:rPr>
        <w:t xml:space="preserve"> </w:t>
      </w:r>
      <w:proofErr w:type="spellStart"/>
      <w:r w:rsidRPr="003E2306">
        <w:rPr>
          <w:rFonts w:ascii="Arial" w:hAnsi="Arial" w:cs="Arial"/>
          <w:i/>
          <w:color w:val="44546A" w:themeColor="text2"/>
          <w:sz w:val="24"/>
          <w:szCs w:val="24"/>
        </w:rPr>
        <w:t>Powerstream</w:t>
      </w:r>
      <w:proofErr w:type="spellEnd"/>
      <w:r w:rsidRPr="003E2306">
        <w:rPr>
          <w:rFonts w:ascii="Arial" w:hAnsi="Arial" w:cs="Arial"/>
          <w:i/>
          <w:color w:val="44546A" w:themeColor="text2"/>
          <w:sz w:val="24"/>
          <w:szCs w:val="24"/>
        </w:rPr>
        <w:t>” for a detailed explanation of the billing issue.</w:t>
      </w:r>
    </w:p>
    <w:tbl>
      <w:tblPr>
        <w:tblW w:w="5660" w:type="dxa"/>
        <w:jc w:val="center"/>
        <w:tblLook w:val="04A0" w:firstRow="1" w:lastRow="0" w:firstColumn="1" w:lastColumn="0" w:noHBand="0" w:noVBand="1"/>
      </w:tblPr>
      <w:tblGrid>
        <w:gridCol w:w="840"/>
        <w:gridCol w:w="1320"/>
        <w:gridCol w:w="1020"/>
        <w:gridCol w:w="1200"/>
        <w:gridCol w:w="1280"/>
      </w:tblGrid>
      <w:tr w:rsidR="00B15441" w:rsidRPr="00547497" w:rsidTr="002C0BC3">
        <w:trPr>
          <w:trHeight w:val="210"/>
          <w:jc w:val="center"/>
        </w:trPr>
        <w:tc>
          <w:tcPr>
            <w:tcW w:w="840" w:type="dxa"/>
            <w:tcBorders>
              <w:top w:val="single" w:sz="4" w:space="0" w:color="auto"/>
              <w:left w:val="single" w:sz="4" w:space="0" w:color="auto"/>
              <w:bottom w:val="single" w:sz="4" w:space="0" w:color="auto"/>
              <w:right w:val="single" w:sz="4" w:space="0" w:color="auto"/>
            </w:tcBorders>
            <w:shd w:val="clear" w:color="000000" w:fill="DDEBF7"/>
            <w:noWrap/>
            <w:vAlign w:val="bottom"/>
            <w:hideMark/>
          </w:tcPr>
          <w:p w:rsidR="00B15441" w:rsidRPr="00547497" w:rsidRDefault="00B15441" w:rsidP="002C0BC3">
            <w:pPr>
              <w:spacing w:after="0" w:line="240" w:lineRule="auto"/>
              <w:jc w:val="center"/>
              <w:rPr>
                <w:rFonts w:ascii="Microsoft Sans Serif" w:eastAsia="Times New Roman" w:hAnsi="Microsoft Sans Serif" w:cs="Microsoft Sans Serif"/>
                <w:color w:val="000000"/>
                <w:sz w:val="17"/>
                <w:szCs w:val="17"/>
                <w:lang w:val="en-US"/>
              </w:rPr>
            </w:pPr>
            <w:r w:rsidRPr="00547497">
              <w:rPr>
                <w:rFonts w:ascii="Microsoft Sans Serif" w:eastAsia="Times New Roman" w:hAnsi="Microsoft Sans Serif" w:cs="Microsoft Sans Serif"/>
                <w:color w:val="000000"/>
                <w:sz w:val="17"/>
                <w:szCs w:val="17"/>
                <w:lang w:val="en-US"/>
              </w:rPr>
              <w:t>Account</w:t>
            </w:r>
          </w:p>
        </w:tc>
        <w:tc>
          <w:tcPr>
            <w:tcW w:w="1320" w:type="dxa"/>
            <w:tcBorders>
              <w:top w:val="single" w:sz="4" w:space="0" w:color="auto"/>
              <w:left w:val="nil"/>
              <w:bottom w:val="single" w:sz="4" w:space="0" w:color="auto"/>
              <w:right w:val="single" w:sz="4" w:space="0" w:color="auto"/>
            </w:tcBorders>
            <w:shd w:val="clear" w:color="000000" w:fill="DDEBF7"/>
            <w:noWrap/>
            <w:vAlign w:val="bottom"/>
            <w:hideMark/>
          </w:tcPr>
          <w:p w:rsidR="00B15441" w:rsidRPr="00547497" w:rsidRDefault="00B15441" w:rsidP="002C0BC3">
            <w:pPr>
              <w:spacing w:after="0" w:line="240" w:lineRule="auto"/>
              <w:jc w:val="center"/>
              <w:rPr>
                <w:rFonts w:ascii="Microsoft Sans Serif" w:eastAsia="Times New Roman" w:hAnsi="Microsoft Sans Serif" w:cs="Microsoft Sans Serif"/>
                <w:color w:val="000000"/>
                <w:sz w:val="17"/>
                <w:szCs w:val="17"/>
                <w:lang w:val="en-US"/>
              </w:rPr>
            </w:pPr>
            <w:r w:rsidRPr="00547497">
              <w:rPr>
                <w:rFonts w:ascii="Microsoft Sans Serif" w:eastAsia="Times New Roman" w:hAnsi="Microsoft Sans Serif" w:cs="Microsoft Sans Serif"/>
                <w:color w:val="000000"/>
                <w:sz w:val="17"/>
                <w:szCs w:val="17"/>
                <w:lang w:val="en-US"/>
              </w:rPr>
              <w:t>Global A</w:t>
            </w:r>
            <w:r>
              <w:rPr>
                <w:rFonts w:ascii="Microsoft Sans Serif" w:eastAsia="Times New Roman" w:hAnsi="Microsoft Sans Serif" w:cs="Microsoft Sans Serif"/>
                <w:color w:val="000000"/>
                <w:sz w:val="17"/>
                <w:szCs w:val="17"/>
                <w:lang w:val="en-US"/>
              </w:rPr>
              <w:t>d</w:t>
            </w:r>
            <w:r w:rsidRPr="00547497">
              <w:rPr>
                <w:rFonts w:ascii="Microsoft Sans Serif" w:eastAsia="Times New Roman" w:hAnsi="Microsoft Sans Serif" w:cs="Microsoft Sans Serif"/>
                <w:color w:val="000000"/>
                <w:sz w:val="17"/>
                <w:szCs w:val="17"/>
                <w:lang w:val="en-US"/>
              </w:rPr>
              <w:t>justment</w:t>
            </w:r>
          </w:p>
        </w:tc>
        <w:tc>
          <w:tcPr>
            <w:tcW w:w="1020" w:type="dxa"/>
            <w:tcBorders>
              <w:top w:val="single" w:sz="4" w:space="0" w:color="auto"/>
              <w:left w:val="nil"/>
              <w:bottom w:val="single" w:sz="4" w:space="0" w:color="auto"/>
              <w:right w:val="single" w:sz="4" w:space="0" w:color="auto"/>
            </w:tcBorders>
            <w:shd w:val="clear" w:color="000000" w:fill="DDEBF7"/>
            <w:noWrap/>
            <w:vAlign w:val="bottom"/>
            <w:hideMark/>
          </w:tcPr>
          <w:p w:rsidR="00B15441" w:rsidRPr="00547497" w:rsidRDefault="00B15441" w:rsidP="002C0BC3">
            <w:pPr>
              <w:spacing w:after="0" w:line="240" w:lineRule="auto"/>
              <w:jc w:val="center"/>
              <w:rPr>
                <w:rFonts w:ascii="Microsoft Sans Serif" w:eastAsia="Times New Roman" w:hAnsi="Microsoft Sans Serif" w:cs="Microsoft Sans Serif"/>
                <w:color w:val="000000"/>
                <w:sz w:val="17"/>
                <w:szCs w:val="17"/>
                <w:lang w:val="en-US"/>
              </w:rPr>
            </w:pPr>
            <w:r w:rsidRPr="00547497">
              <w:rPr>
                <w:rFonts w:ascii="Microsoft Sans Serif" w:eastAsia="Times New Roman" w:hAnsi="Microsoft Sans Serif" w:cs="Microsoft Sans Serif"/>
                <w:color w:val="000000"/>
                <w:sz w:val="17"/>
                <w:szCs w:val="17"/>
                <w:lang w:val="en-US"/>
              </w:rPr>
              <w:t>Billing Error</w:t>
            </w:r>
          </w:p>
        </w:tc>
        <w:tc>
          <w:tcPr>
            <w:tcW w:w="1200" w:type="dxa"/>
            <w:tcBorders>
              <w:top w:val="single" w:sz="4" w:space="0" w:color="auto"/>
              <w:left w:val="nil"/>
              <w:bottom w:val="single" w:sz="4" w:space="0" w:color="auto"/>
              <w:right w:val="single" w:sz="4" w:space="0" w:color="auto"/>
            </w:tcBorders>
            <w:shd w:val="clear" w:color="000000" w:fill="DDEBF7"/>
            <w:noWrap/>
            <w:vAlign w:val="bottom"/>
            <w:hideMark/>
          </w:tcPr>
          <w:p w:rsidR="00B15441" w:rsidRPr="00547497" w:rsidRDefault="00B15441" w:rsidP="002C0BC3">
            <w:pPr>
              <w:spacing w:after="0" w:line="240" w:lineRule="auto"/>
              <w:jc w:val="center"/>
              <w:rPr>
                <w:rFonts w:ascii="Microsoft Sans Serif" w:eastAsia="Times New Roman" w:hAnsi="Microsoft Sans Serif" w:cs="Microsoft Sans Serif"/>
                <w:color w:val="000000"/>
                <w:sz w:val="17"/>
                <w:szCs w:val="17"/>
                <w:lang w:val="en-US"/>
              </w:rPr>
            </w:pPr>
            <w:r w:rsidRPr="00547497">
              <w:rPr>
                <w:rFonts w:ascii="Microsoft Sans Serif" w:eastAsia="Times New Roman" w:hAnsi="Microsoft Sans Serif" w:cs="Microsoft Sans Serif"/>
                <w:color w:val="000000"/>
                <w:sz w:val="17"/>
                <w:szCs w:val="17"/>
                <w:lang w:val="en-US"/>
              </w:rPr>
              <w:t>Total</w:t>
            </w:r>
          </w:p>
        </w:tc>
        <w:tc>
          <w:tcPr>
            <w:tcW w:w="1280" w:type="dxa"/>
            <w:tcBorders>
              <w:top w:val="single" w:sz="4" w:space="0" w:color="auto"/>
              <w:left w:val="nil"/>
              <w:bottom w:val="single" w:sz="4" w:space="0" w:color="auto"/>
              <w:right w:val="single" w:sz="4" w:space="0" w:color="auto"/>
            </w:tcBorders>
            <w:shd w:val="clear" w:color="000000" w:fill="DDEBF7"/>
            <w:noWrap/>
            <w:vAlign w:val="bottom"/>
            <w:hideMark/>
          </w:tcPr>
          <w:p w:rsidR="00B15441" w:rsidRPr="00547497" w:rsidRDefault="00B15441" w:rsidP="002C0BC3">
            <w:pPr>
              <w:spacing w:after="0" w:line="240" w:lineRule="auto"/>
              <w:jc w:val="center"/>
              <w:rPr>
                <w:rFonts w:ascii="Microsoft Sans Serif" w:eastAsia="Times New Roman" w:hAnsi="Microsoft Sans Serif" w:cs="Microsoft Sans Serif"/>
                <w:color w:val="000000"/>
                <w:sz w:val="17"/>
                <w:szCs w:val="17"/>
                <w:lang w:val="en-US"/>
              </w:rPr>
            </w:pPr>
            <w:r w:rsidRPr="00547497">
              <w:rPr>
                <w:rFonts w:ascii="Microsoft Sans Serif" w:eastAsia="Times New Roman" w:hAnsi="Microsoft Sans Serif" w:cs="Microsoft Sans Serif"/>
                <w:color w:val="000000"/>
                <w:sz w:val="17"/>
                <w:szCs w:val="17"/>
                <w:lang w:val="en-US"/>
              </w:rPr>
              <w:t>Interest Charges</w:t>
            </w:r>
          </w:p>
        </w:tc>
      </w:tr>
      <w:tr w:rsidR="00B15441" w:rsidRPr="00547497" w:rsidTr="002C0BC3">
        <w:trPr>
          <w:trHeight w:val="210"/>
          <w:jc w:val="center"/>
        </w:trPr>
        <w:tc>
          <w:tcPr>
            <w:tcW w:w="840" w:type="dxa"/>
            <w:tcBorders>
              <w:top w:val="nil"/>
              <w:left w:val="single" w:sz="4" w:space="0" w:color="auto"/>
              <w:bottom w:val="nil"/>
              <w:right w:val="single" w:sz="4" w:space="0" w:color="auto"/>
            </w:tcBorders>
            <w:shd w:val="clear" w:color="auto" w:fill="auto"/>
            <w:noWrap/>
            <w:vAlign w:val="bottom"/>
            <w:hideMark/>
          </w:tcPr>
          <w:p w:rsidR="00B15441" w:rsidRPr="00547497" w:rsidRDefault="00B15441" w:rsidP="002C0BC3">
            <w:pPr>
              <w:spacing w:after="0" w:line="240" w:lineRule="auto"/>
              <w:jc w:val="center"/>
              <w:rPr>
                <w:rFonts w:ascii="Microsoft Sans Serif" w:eastAsia="Times New Roman" w:hAnsi="Microsoft Sans Serif" w:cs="Microsoft Sans Serif"/>
                <w:color w:val="000000"/>
                <w:sz w:val="17"/>
                <w:szCs w:val="17"/>
                <w:lang w:val="en-US"/>
              </w:rPr>
            </w:pPr>
            <w:r w:rsidRPr="00547497">
              <w:rPr>
                <w:rFonts w:ascii="Microsoft Sans Serif" w:eastAsia="Times New Roman" w:hAnsi="Microsoft Sans Serif" w:cs="Microsoft Sans Serif"/>
                <w:color w:val="000000"/>
                <w:sz w:val="17"/>
                <w:szCs w:val="17"/>
                <w:lang w:val="en-US"/>
              </w:rPr>
              <w:t>1550</w:t>
            </w:r>
          </w:p>
        </w:tc>
        <w:tc>
          <w:tcPr>
            <w:tcW w:w="1320" w:type="dxa"/>
            <w:tcBorders>
              <w:top w:val="nil"/>
              <w:left w:val="nil"/>
              <w:bottom w:val="nil"/>
              <w:right w:val="single" w:sz="4" w:space="0" w:color="auto"/>
            </w:tcBorders>
            <w:shd w:val="clear" w:color="auto" w:fill="auto"/>
            <w:noWrap/>
            <w:vAlign w:val="bottom"/>
            <w:hideMark/>
          </w:tcPr>
          <w:p w:rsidR="00B15441" w:rsidRPr="00547497" w:rsidRDefault="00B15441" w:rsidP="002C0BC3">
            <w:pPr>
              <w:spacing w:after="0" w:line="240" w:lineRule="auto"/>
              <w:jc w:val="center"/>
              <w:rPr>
                <w:rFonts w:ascii="Microsoft Sans Serif" w:eastAsia="Times New Roman" w:hAnsi="Microsoft Sans Serif" w:cs="Microsoft Sans Serif"/>
                <w:color w:val="000000"/>
                <w:sz w:val="17"/>
                <w:szCs w:val="17"/>
                <w:lang w:val="en-US"/>
              </w:rPr>
            </w:pPr>
          </w:p>
        </w:tc>
        <w:tc>
          <w:tcPr>
            <w:tcW w:w="1020" w:type="dxa"/>
            <w:tcBorders>
              <w:top w:val="nil"/>
              <w:left w:val="nil"/>
              <w:bottom w:val="nil"/>
              <w:right w:val="single" w:sz="4" w:space="0" w:color="auto"/>
            </w:tcBorders>
            <w:shd w:val="clear" w:color="auto" w:fill="auto"/>
            <w:noWrap/>
            <w:vAlign w:val="bottom"/>
            <w:hideMark/>
          </w:tcPr>
          <w:p w:rsidR="00B15441" w:rsidRPr="00547497" w:rsidRDefault="00B15441" w:rsidP="002C0BC3">
            <w:pPr>
              <w:spacing w:after="0" w:line="240" w:lineRule="auto"/>
              <w:jc w:val="center"/>
              <w:rPr>
                <w:rFonts w:ascii="Microsoft Sans Serif" w:eastAsia="Times New Roman" w:hAnsi="Microsoft Sans Serif" w:cs="Microsoft Sans Serif"/>
                <w:color w:val="000000"/>
                <w:sz w:val="17"/>
                <w:szCs w:val="17"/>
                <w:lang w:val="en-US"/>
              </w:rPr>
            </w:pPr>
            <w:r w:rsidRPr="00547497">
              <w:rPr>
                <w:rFonts w:ascii="Microsoft Sans Serif" w:eastAsia="Times New Roman" w:hAnsi="Microsoft Sans Serif" w:cs="Microsoft Sans Serif"/>
                <w:color w:val="000000"/>
                <w:sz w:val="17"/>
                <w:szCs w:val="17"/>
                <w:lang w:val="en-US"/>
              </w:rPr>
              <w:t>1,209</w:t>
            </w:r>
          </w:p>
        </w:tc>
        <w:tc>
          <w:tcPr>
            <w:tcW w:w="1200" w:type="dxa"/>
            <w:tcBorders>
              <w:top w:val="nil"/>
              <w:left w:val="nil"/>
              <w:bottom w:val="nil"/>
              <w:right w:val="single" w:sz="4" w:space="0" w:color="auto"/>
            </w:tcBorders>
            <w:shd w:val="clear" w:color="auto" w:fill="auto"/>
            <w:noWrap/>
            <w:vAlign w:val="bottom"/>
            <w:hideMark/>
          </w:tcPr>
          <w:p w:rsidR="00B15441" w:rsidRPr="00547497" w:rsidRDefault="00B15441" w:rsidP="002C0BC3">
            <w:pPr>
              <w:spacing w:after="0" w:line="240" w:lineRule="auto"/>
              <w:jc w:val="center"/>
              <w:rPr>
                <w:rFonts w:ascii="Microsoft Sans Serif" w:eastAsia="Times New Roman" w:hAnsi="Microsoft Sans Serif" w:cs="Microsoft Sans Serif"/>
                <w:b/>
                <w:bCs/>
                <w:color w:val="000000"/>
                <w:sz w:val="17"/>
                <w:szCs w:val="17"/>
                <w:lang w:val="en-US"/>
              </w:rPr>
            </w:pPr>
            <w:r w:rsidRPr="00547497">
              <w:rPr>
                <w:rFonts w:ascii="Microsoft Sans Serif" w:eastAsia="Times New Roman" w:hAnsi="Microsoft Sans Serif" w:cs="Microsoft Sans Serif"/>
                <w:b/>
                <w:bCs/>
                <w:color w:val="000000"/>
                <w:sz w:val="17"/>
                <w:szCs w:val="17"/>
                <w:lang w:val="en-US"/>
              </w:rPr>
              <w:t>1,209</w:t>
            </w:r>
          </w:p>
        </w:tc>
        <w:tc>
          <w:tcPr>
            <w:tcW w:w="1280" w:type="dxa"/>
            <w:tcBorders>
              <w:top w:val="nil"/>
              <w:left w:val="nil"/>
              <w:bottom w:val="nil"/>
              <w:right w:val="single" w:sz="4" w:space="0" w:color="auto"/>
            </w:tcBorders>
            <w:shd w:val="clear" w:color="auto" w:fill="auto"/>
            <w:noWrap/>
            <w:vAlign w:val="bottom"/>
            <w:hideMark/>
          </w:tcPr>
          <w:p w:rsidR="00B15441" w:rsidRPr="00547497" w:rsidRDefault="00B15441" w:rsidP="002C0BC3">
            <w:pPr>
              <w:spacing w:after="0" w:line="240" w:lineRule="auto"/>
              <w:jc w:val="center"/>
              <w:rPr>
                <w:rFonts w:ascii="Microsoft Sans Serif" w:eastAsia="Times New Roman" w:hAnsi="Microsoft Sans Serif" w:cs="Microsoft Sans Serif"/>
                <w:color w:val="000000"/>
                <w:sz w:val="17"/>
                <w:szCs w:val="17"/>
                <w:lang w:val="en-US"/>
              </w:rPr>
            </w:pPr>
          </w:p>
        </w:tc>
      </w:tr>
      <w:tr w:rsidR="00B15441" w:rsidRPr="00547497" w:rsidTr="002C0BC3">
        <w:trPr>
          <w:trHeight w:val="210"/>
          <w:jc w:val="center"/>
        </w:trPr>
        <w:tc>
          <w:tcPr>
            <w:tcW w:w="840" w:type="dxa"/>
            <w:tcBorders>
              <w:top w:val="nil"/>
              <w:left w:val="single" w:sz="4" w:space="0" w:color="auto"/>
              <w:bottom w:val="nil"/>
              <w:right w:val="single" w:sz="4" w:space="0" w:color="auto"/>
            </w:tcBorders>
            <w:shd w:val="clear" w:color="auto" w:fill="auto"/>
            <w:noWrap/>
            <w:vAlign w:val="bottom"/>
            <w:hideMark/>
          </w:tcPr>
          <w:p w:rsidR="00B15441" w:rsidRPr="00547497" w:rsidRDefault="00B15441" w:rsidP="002C0BC3">
            <w:pPr>
              <w:spacing w:after="0" w:line="240" w:lineRule="auto"/>
              <w:jc w:val="center"/>
              <w:rPr>
                <w:rFonts w:ascii="Microsoft Sans Serif" w:eastAsia="Times New Roman" w:hAnsi="Microsoft Sans Serif" w:cs="Microsoft Sans Serif"/>
                <w:color w:val="000000"/>
                <w:sz w:val="17"/>
                <w:szCs w:val="17"/>
                <w:lang w:val="en-US"/>
              </w:rPr>
            </w:pPr>
            <w:r w:rsidRPr="00547497">
              <w:rPr>
                <w:rFonts w:ascii="Microsoft Sans Serif" w:eastAsia="Times New Roman" w:hAnsi="Microsoft Sans Serif" w:cs="Microsoft Sans Serif"/>
                <w:color w:val="000000"/>
                <w:sz w:val="17"/>
                <w:szCs w:val="17"/>
                <w:lang w:val="en-US"/>
              </w:rPr>
              <w:t>1580</w:t>
            </w:r>
          </w:p>
        </w:tc>
        <w:tc>
          <w:tcPr>
            <w:tcW w:w="1320" w:type="dxa"/>
            <w:tcBorders>
              <w:top w:val="nil"/>
              <w:left w:val="nil"/>
              <w:bottom w:val="nil"/>
              <w:right w:val="single" w:sz="4" w:space="0" w:color="auto"/>
            </w:tcBorders>
            <w:shd w:val="clear" w:color="auto" w:fill="auto"/>
            <w:noWrap/>
            <w:vAlign w:val="bottom"/>
            <w:hideMark/>
          </w:tcPr>
          <w:p w:rsidR="00B15441" w:rsidRPr="00547497" w:rsidRDefault="00B15441" w:rsidP="002C0BC3">
            <w:pPr>
              <w:spacing w:after="0" w:line="240" w:lineRule="auto"/>
              <w:jc w:val="center"/>
              <w:rPr>
                <w:rFonts w:ascii="Microsoft Sans Serif" w:eastAsia="Times New Roman" w:hAnsi="Microsoft Sans Serif" w:cs="Microsoft Sans Serif"/>
                <w:color w:val="000000"/>
                <w:sz w:val="17"/>
                <w:szCs w:val="17"/>
                <w:lang w:val="en-US"/>
              </w:rPr>
            </w:pPr>
            <w:r w:rsidRPr="00547497">
              <w:rPr>
                <w:rFonts w:ascii="Microsoft Sans Serif" w:eastAsia="Times New Roman" w:hAnsi="Microsoft Sans Serif" w:cs="Microsoft Sans Serif"/>
                <w:color w:val="000000"/>
                <w:sz w:val="17"/>
                <w:szCs w:val="17"/>
                <w:lang w:val="en-US"/>
              </w:rPr>
              <w:t>(316,005)</w:t>
            </w:r>
          </w:p>
        </w:tc>
        <w:tc>
          <w:tcPr>
            <w:tcW w:w="1020" w:type="dxa"/>
            <w:tcBorders>
              <w:top w:val="nil"/>
              <w:left w:val="nil"/>
              <w:bottom w:val="nil"/>
              <w:right w:val="single" w:sz="4" w:space="0" w:color="auto"/>
            </w:tcBorders>
            <w:shd w:val="clear" w:color="auto" w:fill="auto"/>
            <w:noWrap/>
            <w:vAlign w:val="bottom"/>
            <w:hideMark/>
          </w:tcPr>
          <w:p w:rsidR="00B15441" w:rsidRPr="00547497" w:rsidRDefault="00B15441" w:rsidP="002C0BC3">
            <w:pPr>
              <w:spacing w:after="0" w:line="240" w:lineRule="auto"/>
              <w:jc w:val="center"/>
              <w:rPr>
                <w:rFonts w:ascii="Microsoft Sans Serif" w:eastAsia="Times New Roman" w:hAnsi="Microsoft Sans Serif" w:cs="Microsoft Sans Serif"/>
                <w:color w:val="000000"/>
                <w:sz w:val="17"/>
                <w:szCs w:val="17"/>
                <w:lang w:val="en-US"/>
              </w:rPr>
            </w:pPr>
            <w:r w:rsidRPr="00547497">
              <w:rPr>
                <w:rFonts w:ascii="Microsoft Sans Serif" w:eastAsia="Times New Roman" w:hAnsi="Microsoft Sans Serif" w:cs="Microsoft Sans Serif"/>
                <w:color w:val="000000"/>
                <w:sz w:val="17"/>
                <w:szCs w:val="17"/>
                <w:lang w:val="en-US"/>
              </w:rPr>
              <w:t>8,236</w:t>
            </w:r>
          </w:p>
        </w:tc>
        <w:tc>
          <w:tcPr>
            <w:tcW w:w="1200" w:type="dxa"/>
            <w:tcBorders>
              <w:top w:val="nil"/>
              <w:left w:val="nil"/>
              <w:bottom w:val="nil"/>
              <w:right w:val="single" w:sz="4" w:space="0" w:color="auto"/>
            </w:tcBorders>
            <w:shd w:val="clear" w:color="auto" w:fill="auto"/>
            <w:noWrap/>
            <w:vAlign w:val="bottom"/>
            <w:hideMark/>
          </w:tcPr>
          <w:p w:rsidR="00B15441" w:rsidRPr="00547497" w:rsidRDefault="00B15441" w:rsidP="002C0BC3">
            <w:pPr>
              <w:spacing w:after="0" w:line="240" w:lineRule="auto"/>
              <w:jc w:val="center"/>
              <w:rPr>
                <w:rFonts w:ascii="Microsoft Sans Serif" w:eastAsia="Times New Roman" w:hAnsi="Microsoft Sans Serif" w:cs="Microsoft Sans Serif"/>
                <w:b/>
                <w:bCs/>
                <w:color w:val="000000"/>
                <w:sz w:val="17"/>
                <w:szCs w:val="17"/>
                <w:lang w:val="en-US"/>
              </w:rPr>
            </w:pPr>
            <w:r w:rsidRPr="00547497">
              <w:rPr>
                <w:rFonts w:ascii="Microsoft Sans Serif" w:eastAsia="Times New Roman" w:hAnsi="Microsoft Sans Serif" w:cs="Microsoft Sans Serif"/>
                <w:b/>
                <w:bCs/>
                <w:color w:val="000000"/>
                <w:sz w:val="17"/>
                <w:szCs w:val="17"/>
                <w:lang w:val="en-US"/>
              </w:rPr>
              <w:t>(307,769)</w:t>
            </w:r>
          </w:p>
        </w:tc>
        <w:tc>
          <w:tcPr>
            <w:tcW w:w="1280" w:type="dxa"/>
            <w:tcBorders>
              <w:top w:val="nil"/>
              <w:left w:val="nil"/>
              <w:bottom w:val="nil"/>
              <w:right w:val="single" w:sz="4" w:space="0" w:color="auto"/>
            </w:tcBorders>
            <w:shd w:val="clear" w:color="auto" w:fill="auto"/>
            <w:noWrap/>
            <w:vAlign w:val="bottom"/>
            <w:hideMark/>
          </w:tcPr>
          <w:p w:rsidR="00B15441" w:rsidRPr="00547497" w:rsidRDefault="00B15441" w:rsidP="002C0BC3">
            <w:pPr>
              <w:spacing w:after="0" w:line="240" w:lineRule="auto"/>
              <w:jc w:val="center"/>
              <w:rPr>
                <w:rFonts w:ascii="Microsoft Sans Serif" w:eastAsia="Times New Roman" w:hAnsi="Microsoft Sans Serif" w:cs="Microsoft Sans Serif"/>
                <w:color w:val="000000"/>
                <w:sz w:val="17"/>
                <w:szCs w:val="17"/>
                <w:lang w:val="en-US"/>
              </w:rPr>
            </w:pPr>
            <w:r w:rsidRPr="00547497">
              <w:rPr>
                <w:rFonts w:ascii="Microsoft Sans Serif" w:eastAsia="Times New Roman" w:hAnsi="Microsoft Sans Serif" w:cs="Microsoft Sans Serif"/>
                <w:color w:val="000000"/>
                <w:sz w:val="17"/>
                <w:szCs w:val="17"/>
                <w:lang w:val="en-US"/>
              </w:rPr>
              <w:t>(4,067)</w:t>
            </w:r>
          </w:p>
        </w:tc>
      </w:tr>
      <w:tr w:rsidR="00B15441" w:rsidRPr="00547497" w:rsidTr="002C0BC3">
        <w:trPr>
          <w:trHeight w:val="210"/>
          <w:jc w:val="center"/>
        </w:trPr>
        <w:tc>
          <w:tcPr>
            <w:tcW w:w="840" w:type="dxa"/>
            <w:tcBorders>
              <w:top w:val="nil"/>
              <w:left w:val="single" w:sz="4" w:space="0" w:color="auto"/>
              <w:bottom w:val="nil"/>
              <w:right w:val="single" w:sz="4" w:space="0" w:color="auto"/>
            </w:tcBorders>
            <w:shd w:val="clear" w:color="auto" w:fill="auto"/>
            <w:noWrap/>
            <w:vAlign w:val="bottom"/>
            <w:hideMark/>
          </w:tcPr>
          <w:p w:rsidR="00B15441" w:rsidRPr="00547497" w:rsidRDefault="00B15441" w:rsidP="002C0BC3">
            <w:pPr>
              <w:spacing w:after="0" w:line="240" w:lineRule="auto"/>
              <w:jc w:val="center"/>
              <w:rPr>
                <w:rFonts w:ascii="Microsoft Sans Serif" w:eastAsia="Times New Roman" w:hAnsi="Microsoft Sans Serif" w:cs="Microsoft Sans Serif"/>
                <w:color w:val="000000"/>
                <w:sz w:val="17"/>
                <w:szCs w:val="17"/>
                <w:lang w:val="en-US"/>
              </w:rPr>
            </w:pPr>
            <w:r w:rsidRPr="00547497">
              <w:rPr>
                <w:rFonts w:ascii="Microsoft Sans Serif" w:eastAsia="Times New Roman" w:hAnsi="Microsoft Sans Serif" w:cs="Microsoft Sans Serif"/>
                <w:color w:val="000000"/>
                <w:sz w:val="17"/>
                <w:szCs w:val="17"/>
                <w:lang w:val="en-US"/>
              </w:rPr>
              <w:t>1580</w:t>
            </w:r>
          </w:p>
        </w:tc>
        <w:tc>
          <w:tcPr>
            <w:tcW w:w="1320" w:type="dxa"/>
            <w:tcBorders>
              <w:top w:val="nil"/>
              <w:left w:val="nil"/>
              <w:bottom w:val="nil"/>
              <w:right w:val="single" w:sz="4" w:space="0" w:color="auto"/>
            </w:tcBorders>
            <w:shd w:val="clear" w:color="auto" w:fill="auto"/>
            <w:noWrap/>
            <w:vAlign w:val="bottom"/>
            <w:hideMark/>
          </w:tcPr>
          <w:p w:rsidR="00B15441" w:rsidRPr="00547497" w:rsidRDefault="00B15441" w:rsidP="002C0BC3">
            <w:pPr>
              <w:spacing w:after="0" w:line="240" w:lineRule="auto"/>
              <w:jc w:val="center"/>
              <w:rPr>
                <w:rFonts w:ascii="Microsoft Sans Serif" w:eastAsia="Times New Roman" w:hAnsi="Microsoft Sans Serif" w:cs="Microsoft Sans Serif"/>
                <w:color w:val="000000"/>
                <w:sz w:val="17"/>
                <w:szCs w:val="17"/>
                <w:lang w:val="en-US"/>
              </w:rPr>
            </w:pPr>
          </w:p>
        </w:tc>
        <w:tc>
          <w:tcPr>
            <w:tcW w:w="1020" w:type="dxa"/>
            <w:tcBorders>
              <w:top w:val="nil"/>
              <w:left w:val="nil"/>
              <w:bottom w:val="nil"/>
              <w:right w:val="single" w:sz="4" w:space="0" w:color="auto"/>
            </w:tcBorders>
            <w:shd w:val="clear" w:color="auto" w:fill="auto"/>
            <w:noWrap/>
            <w:vAlign w:val="bottom"/>
            <w:hideMark/>
          </w:tcPr>
          <w:p w:rsidR="00B15441" w:rsidRPr="00547497" w:rsidRDefault="00B15441" w:rsidP="002C0BC3">
            <w:pPr>
              <w:spacing w:after="0" w:line="240" w:lineRule="auto"/>
              <w:jc w:val="center"/>
              <w:rPr>
                <w:rFonts w:ascii="Microsoft Sans Serif" w:eastAsia="Times New Roman" w:hAnsi="Microsoft Sans Serif" w:cs="Microsoft Sans Serif"/>
                <w:color w:val="000000"/>
                <w:sz w:val="17"/>
                <w:szCs w:val="17"/>
                <w:lang w:val="en-US"/>
              </w:rPr>
            </w:pPr>
            <w:r w:rsidRPr="00547497">
              <w:rPr>
                <w:rFonts w:ascii="Microsoft Sans Serif" w:eastAsia="Times New Roman" w:hAnsi="Microsoft Sans Serif" w:cs="Microsoft Sans Serif"/>
                <w:color w:val="000000"/>
                <w:sz w:val="17"/>
                <w:szCs w:val="17"/>
                <w:lang w:val="en-US"/>
              </w:rPr>
              <w:t>359</w:t>
            </w:r>
          </w:p>
        </w:tc>
        <w:tc>
          <w:tcPr>
            <w:tcW w:w="1200" w:type="dxa"/>
            <w:tcBorders>
              <w:top w:val="nil"/>
              <w:left w:val="nil"/>
              <w:bottom w:val="nil"/>
              <w:right w:val="single" w:sz="4" w:space="0" w:color="auto"/>
            </w:tcBorders>
            <w:shd w:val="clear" w:color="auto" w:fill="auto"/>
            <w:noWrap/>
            <w:vAlign w:val="bottom"/>
            <w:hideMark/>
          </w:tcPr>
          <w:p w:rsidR="00B15441" w:rsidRPr="00547497" w:rsidRDefault="00B15441" w:rsidP="002C0BC3">
            <w:pPr>
              <w:spacing w:after="0" w:line="240" w:lineRule="auto"/>
              <w:jc w:val="center"/>
              <w:rPr>
                <w:rFonts w:ascii="Microsoft Sans Serif" w:eastAsia="Times New Roman" w:hAnsi="Microsoft Sans Serif" w:cs="Microsoft Sans Serif"/>
                <w:b/>
                <w:bCs/>
                <w:color w:val="000000"/>
                <w:sz w:val="17"/>
                <w:szCs w:val="17"/>
                <w:lang w:val="en-US"/>
              </w:rPr>
            </w:pPr>
            <w:r w:rsidRPr="00547497">
              <w:rPr>
                <w:rFonts w:ascii="Microsoft Sans Serif" w:eastAsia="Times New Roman" w:hAnsi="Microsoft Sans Serif" w:cs="Microsoft Sans Serif"/>
                <w:b/>
                <w:bCs/>
                <w:color w:val="000000"/>
                <w:sz w:val="17"/>
                <w:szCs w:val="17"/>
                <w:lang w:val="en-US"/>
              </w:rPr>
              <w:t>359</w:t>
            </w:r>
          </w:p>
        </w:tc>
        <w:tc>
          <w:tcPr>
            <w:tcW w:w="1280" w:type="dxa"/>
            <w:tcBorders>
              <w:top w:val="nil"/>
              <w:left w:val="nil"/>
              <w:bottom w:val="nil"/>
              <w:right w:val="single" w:sz="4" w:space="0" w:color="auto"/>
            </w:tcBorders>
            <w:shd w:val="clear" w:color="auto" w:fill="auto"/>
            <w:noWrap/>
            <w:vAlign w:val="bottom"/>
            <w:hideMark/>
          </w:tcPr>
          <w:p w:rsidR="00B15441" w:rsidRPr="00547497" w:rsidRDefault="00B15441" w:rsidP="002C0BC3">
            <w:pPr>
              <w:spacing w:after="0" w:line="240" w:lineRule="auto"/>
              <w:jc w:val="center"/>
              <w:rPr>
                <w:rFonts w:ascii="Microsoft Sans Serif" w:eastAsia="Times New Roman" w:hAnsi="Microsoft Sans Serif" w:cs="Microsoft Sans Serif"/>
                <w:color w:val="000000"/>
                <w:sz w:val="17"/>
                <w:szCs w:val="17"/>
                <w:lang w:val="en-US"/>
              </w:rPr>
            </w:pPr>
          </w:p>
        </w:tc>
      </w:tr>
      <w:tr w:rsidR="00B15441" w:rsidRPr="00547497" w:rsidTr="002C0BC3">
        <w:trPr>
          <w:trHeight w:val="210"/>
          <w:jc w:val="center"/>
        </w:trPr>
        <w:tc>
          <w:tcPr>
            <w:tcW w:w="840" w:type="dxa"/>
            <w:tcBorders>
              <w:top w:val="nil"/>
              <w:left w:val="single" w:sz="4" w:space="0" w:color="auto"/>
              <w:bottom w:val="nil"/>
              <w:right w:val="single" w:sz="4" w:space="0" w:color="auto"/>
            </w:tcBorders>
            <w:shd w:val="clear" w:color="auto" w:fill="auto"/>
            <w:noWrap/>
            <w:vAlign w:val="bottom"/>
            <w:hideMark/>
          </w:tcPr>
          <w:p w:rsidR="00B15441" w:rsidRPr="00547497" w:rsidRDefault="00B15441" w:rsidP="002C0BC3">
            <w:pPr>
              <w:spacing w:after="0" w:line="240" w:lineRule="auto"/>
              <w:jc w:val="center"/>
              <w:rPr>
                <w:rFonts w:ascii="Microsoft Sans Serif" w:eastAsia="Times New Roman" w:hAnsi="Microsoft Sans Serif" w:cs="Microsoft Sans Serif"/>
                <w:color w:val="000000"/>
                <w:sz w:val="17"/>
                <w:szCs w:val="17"/>
                <w:lang w:val="en-US"/>
              </w:rPr>
            </w:pPr>
            <w:r w:rsidRPr="00547497">
              <w:rPr>
                <w:rFonts w:ascii="Microsoft Sans Serif" w:eastAsia="Times New Roman" w:hAnsi="Microsoft Sans Serif" w:cs="Microsoft Sans Serif"/>
                <w:color w:val="000000"/>
                <w:sz w:val="17"/>
                <w:szCs w:val="17"/>
                <w:lang w:val="en-US"/>
              </w:rPr>
              <w:t>1584</w:t>
            </w:r>
          </w:p>
        </w:tc>
        <w:tc>
          <w:tcPr>
            <w:tcW w:w="1320" w:type="dxa"/>
            <w:tcBorders>
              <w:top w:val="nil"/>
              <w:left w:val="nil"/>
              <w:bottom w:val="nil"/>
              <w:right w:val="single" w:sz="4" w:space="0" w:color="auto"/>
            </w:tcBorders>
            <w:shd w:val="clear" w:color="auto" w:fill="auto"/>
            <w:noWrap/>
            <w:vAlign w:val="bottom"/>
            <w:hideMark/>
          </w:tcPr>
          <w:p w:rsidR="00B15441" w:rsidRPr="00547497" w:rsidRDefault="00B15441" w:rsidP="002C0BC3">
            <w:pPr>
              <w:spacing w:after="0" w:line="240" w:lineRule="auto"/>
              <w:jc w:val="center"/>
              <w:rPr>
                <w:rFonts w:ascii="Microsoft Sans Serif" w:eastAsia="Times New Roman" w:hAnsi="Microsoft Sans Serif" w:cs="Microsoft Sans Serif"/>
                <w:color w:val="000000"/>
                <w:sz w:val="17"/>
                <w:szCs w:val="17"/>
                <w:lang w:val="en-US"/>
              </w:rPr>
            </w:pPr>
          </w:p>
        </w:tc>
        <w:tc>
          <w:tcPr>
            <w:tcW w:w="1020" w:type="dxa"/>
            <w:tcBorders>
              <w:top w:val="nil"/>
              <w:left w:val="nil"/>
              <w:bottom w:val="nil"/>
              <w:right w:val="single" w:sz="4" w:space="0" w:color="auto"/>
            </w:tcBorders>
            <w:shd w:val="clear" w:color="auto" w:fill="auto"/>
            <w:noWrap/>
            <w:vAlign w:val="bottom"/>
            <w:hideMark/>
          </w:tcPr>
          <w:p w:rsidR="00B15441" w:rsidRPr="00547497" w:rsidRDefault="00B15441" w:rsidP="002C0BC3">
            <w:pPr>
              <w:spacing w:after="0" w:line="240" w:lineRule="auto"/>
              <w:jc w:val="center"/>
              <w:rPr>
                <w:rFonts w:ascii="Microsoft Sans Serif" w:eastAsia="Times New Roman" w:hAnsi="Microsoft Sans Serif" w:cs="Microsoft Sans Serif"/>
                <w:color w:val="000000"/>
                <w:sz w:val="17"/>
                <w:szCs w:val="17"/>
                <w:lang w:val="en-US"/>
              </w:rPr>
            </w:pPr>
            <w:r w:rsidRPr="00547497">
              <w:rPr>
                <w:rFonts w:ascii="Microsoft Sans Serif" w:eastAsia="Times New Roman" w:hAnsi="Microsoft Sans Serif" w:cs="Microsoft Sans Serif"/>
                <w:color w:val="000000"/>
                <w:sz w:val="17"/>
                <w:szCs w:val="17"/>
                <w:lang w:val="en-US"/>
              </w:rPr>
              <w:t>5,636</w:t>
            </w:r>
          </w:p>
        </w:tc>
        <w:tc>
          <w:tcPr>
            <w:tcW w:w="1200" w:type="dxa"/>
            <w:tcBorders>
              <w:top w:val="nil"/>
              <w:left w:val="nil"/>
              <w:bottom w:val="nil"/>
              <w:right w:val="single" w:sz="4" w:space="0" w:color="auto"/>
            </w:tcBorders>
            <w:shd w:val="clear" w:color="auto" w:fill="auto"/>
            <w:noWrap/>
            <w:vAlign w:val="bottom"/>
            <w:hideMark/>
          </w:tcPr>
          <w:p w:rsidR="00B15441" w:rsidRPr="00547497" w:rsidRDefault="00B15441" w:rsidP="002C0BC3">
            <w:pPr>
              <w:spacing w:after="0" w:line="240" w:lineRule="auto"/>
              <w:jc w:val="center"/>
              <w:rPr>
                <w:rFonts w:ascii="Microsoft Sans Serif" w:eastAsia="Times New Roman" w:hAnsi="Microsoft Sans Serif" w:cs="Microsoft Sans Serif"/>
                <w:b/>
                <w:bCs/>
                <w:color w:val="000000"/>
                <w:sz w:val="17"/>
                <w:szCs w:val="17"/>
                <w:lang w:val="en-US"/>
              </w:rPr>
            </w:pPr>
            <w:r w:rsidRPr="00547497">
              <w:rPr>
                <w:rFonts w:ascii="Microsoft Sans Serif" w:eastAsia="Times New Roman" w:hAnsi="Microsoft Sans Serif" w:cs="Microsoft Sans Serif"/>
                <w:b/>
                <w:bCs/>
                <w:color w:val="000000"/>
                <w:sz w:val="17"/>
                <w:szCs w:val="17"/>
                <w:lang w:val="en-US"/>
              </w:rPr>
              <w:t>5,636</w:t>
            </w:r>
          </w:p>
        </w:tc>
        <w:tc>
          <w:tcPr>
            <w:tcW w:w="1280" w:type="dxa"/>
            <w:tcBorders>
              <w:top w:val="nil"/>
              <w:left w:val="nil"/>
              <w:bottom w:val="nil"/>
              <w:right w:val="single" w:sz="4" w:space="0" w:color="auto"/>
            </w:tcBorders>
            <w:shd w:val="clear" w:color="auto" w:fill="auto"/>
            <w:noWrap/>
            <w:vAlign w:val="bottom"/>
            <w:hideMark/>
          </w:tcPr>
          <w:p w:rsidR="00B15441" w:rsidRPr="00547497" w:rsidRDefault="00B15441" w:rsidP="002C0BC3">
            <w:pPr>
              <w:spacing w:after="0" w:line="240" w:lineRule="auto"/>
              <w:jc w:val="center"/>
              <w:rPr>
                <w:rFonts w:ascii="Microsoft Sans Serif" w:eastAsia="Times New Roman" w:hAnsi="Microsoft Sans Serif" w:cs="Microsoft Sans Serif"/>
                <w:color w:val="000000"/>
                <w:sz w:val="17"/>
                <w:szCs w:val="17"/>
                <w:lang w:val="en-US"/>
              </w:rPr>
            </w:pPr>
          </w:p>
        </w:tc>
      </w:tr>
      <w:tr w:rsidR="00B15441" w:rsidRPr="00547497" w:rsidTr="002C0BC3">
        <w:trPr>
          <w:trHeight w:val="210"/>
          <w:jc w:val="center"/>
        </w:trPr>
        <w:tc>
          <w:tcPr>
            <w:tcW w:w="840" w:type="dxa"/>
            <w:tcBorders>
              <w:top w:val="nil"/>
              <w:left w:val="single" w:sz="4" w:space="0" w:color="auto"/>
              <w:bottom w:val="nil"/>
              <w:right w:val="single" w:sz="4" w:space="0" w:color="auto"/>
            </w:tcBorders>
            <w:shd w:val="clear" w:color="auto" w:fill="auto"/>
            <w:noWrap/>
            <w:vAlign w:val="bottom"/>
            <w:hideMark/>
          </w:tcPr>
          <w:p w:rsidR="00B15441" w:rsidRPr="00547497" w:rsidRDefault="00B15441" w:rsidP="002C0BC3">
            <w:pPr>
              <w:spacing w:after="0" w:line="240" w:lineRule="auto"/>
              <w:jc w:val="center"/>
              <w:rPr>
                <w:rFonts w:ascii="Microsoft Sans Serif" w:eastAsia="Times New Roman" w:hAnsi="Microsoft Sans Serif" w:cs="Microsoft Sans Serif"/>
                <w:color w:val="000000"/>
                <w:sz w:val="17"/>
                <w:szCs w:val="17"/>
                <w:lang w:val="en-US"/>
              </w:rPr>
            </w:pPr>
            <w:r w:rsidRPr="00547497">
              <w:rPr>
                <w:rFonts w:ascii="Microsoft Sans Serif" w:eastAsia="Times New Roman" w:hAnsi="Microsoft Sans Serif" w:cs="Microsoft Sans Serif"/>
                <w:color w:val="000000"/>
                <w:sz w:val="17"/>
                <w:szCs w:val="17"/>
                <w:lang w:val="en-US"/>
              </w:rPr>
              <w:t>1586</w:t>
            </w:r>
          </w:p>
        </w:tc>
        <w:tc>
          <w:tcPr>
            <w:tcW w:w="1320" w:type="dxa"/>
            <w:tcBorders>
              <w:top w:val="nil"/>
              <w:left w:val="nil"/>
              <w:bottom w:val="nil"/>
              <w:right w:val="single" w:sz="4" w:space="0" w:color="auto"/>
            </w:tcBorders>
            <w:shd w:val="clear" w:color="auto" w:fill="auto"/>
            <w:noWrap/>
            <w:vAlign w:val="bottom"/>
            <w:hideMark/>
          </w:tcPr>
          <w:p w:rsidR="00B15441" w:rsidRPr="00547497" w:rsidRDefault="00B15441" w:rsidP="002C0BC3">
            <w:pPr>
              <w:spacing w:after="0" w:line="240" w:lineRule="auto"/>
              <w:jc w:val="center"/>
              <w:rPr>
                <w:rFonts w:ascii="Microsoft Sans Serif" w:eastAsia="Times New Roman" w:hAnsi="Microsoft Sans Serif" w:cs="Microsoft Sans Serif"/>
                <w:color w:val="000000"/>
                <w:sz w:val="17"/>
                <w:szCs w:val="17"/>
                <w:lang w:val="en-US"/>
              </w:rPr>
            </w:pPr>
          </w:p>
        </w:tc>
        <w:tc>
          <w:tcPr>
            <w:tcW w:w="1020" w:type="dxa"/>
            <w:tcBorders>
              <w:top w:val="nil"/>
              <w:left w:val="nil"/>
              <w:bottom w:val="nil"/>
              <w:right w:val="single" w:sz="4" w:space="0" w:color="auto"/>
            </w:tcBorders>
            <w:shd w:val="clear" w:color="auto" w:fill="auto"/>
            <w:noWrap/>
            <w:vAlign w:val="bottom"/>
            <w:hideMark/>
          </w:tcPr>
          <w:p w:rsidR="00B15441" w:rsidRPr="00547497" w:rsidRDefault="00B15441" w:rsidP="002C0BC3">
            <w:pPr>
              <w:spacing w:after="0" w:line="240" w:lineRule="auto"/>
              <w:jc w:val="center"/>
              <w:rPr>
                <w:rFonts w:ascii="Microsoft Sans Serif" w:eastAsia="Times New Roman" w:hAnsi="Microsoft Sans Serif" w:cs="Microsoft Sans Serif"/>
                <w:color w:val="000000"/>
                <w:sz w:val="17"/>
                <w:szCs w:val="17"/>
                <w:lang w:val="en-US"/>
              </w:rPr>
            </w:pPr>
            <w:r w:rsidRPr="00547497">
              <w:rPr>
                <w:rFonts w:ascii="Microsoft Sans Serif" w:eastAsia="Times New Roman" w:hAnsi="Microsoft Sans Serif" w:cs="Microsoft Sans Serif"/>
                <w:color w:val="000000"/>
                <w:sz w:val="17"/>
                <w:szCs w:val="17"/>
                <w:lang w:val="en-US"/>
              </w:rPr>
              <w:t>2,964</w:t>
            </w:r>
          </w:p>
        </w:tc>
        <w:tc>
          <w:tcPr>
            <w:tcW w:w="1200" w:type="dxa"/>
            <w:tcBorders>
              <w:top w:val="nil"/>
              <w:left w:val="nil"/>
              <w:bottom w:val="nil"/>
              <w:right w:val="single" w:sz="4" w:space="0" w:color="auto"/>
            </w:tcBorders>
            <w:shd w:val="clear" w:color="auto" w:fill="auto"/>
            <w:noWrap/>
            <w:vAlign w:val="bottom"/>
            <w:hideMark/>
          </w:tcPr>
          <w:p w:rsidR="00B15441" w:rsidRPr="00547497" w:rsidRDefault="00B15441" w:rsidP="002C0BC3">
            <w:pPr>
              <w:spacing w:after="0" w:line="240" w:lineRule="auto"/>
              <w:jc w:val="center"/>
              <w:rPr>
                <w:rFonts w:ascii="Microsoft Sans Serif" w:eastAsia="Times New Roman" w:hAnsi="Microsoft Sans Serif" w:cs="Microsoft Sans Serif"/>
                <w:b/>
                <w:bCs/>
                <w:color w:val="000000"/>
                <w:sz w:val="17"/>
                <w:szCs w:val="17"/>
                <w:lang w:val="en-US"/>
              </w:rPr>
            </w:pPr>
            <w:r w:rsidRPr="00547497">
              <w:rPr>
                <w:rFonts w:ascii="Microsoft Sans Serif" w:eastAsia="Times New Roman" w:hAnsi="Microsoft Sans Serif" w:cs="Microsoft Sans Serif"/>
                <w:b/>
                <w:bCs/>
                <w:color w:val="000000"/>
                <w:sz w:val="17"/>
                <w:szCs w:val="17"/>
                <w:lang w:val="en-US"/>
              </w:rPr>
              <w:t>2,964</w:t>
            </w:r>
          </w:p>
        </w:tc>
        <w:tc>
          <w:tcPr>
            <w:tcW w:w="1280" w:type="dxa"/>
            <w:tcBorders>
              <w:top w:val="nil"/>
              <w:left w:val="nil"/>
              <w:bottom w:val="nil"/>
              <w:right w:val="single" w:sz="4" w:space="0" w:color="auto"/>
            </w:tcBorders>
            <w:shd w:val="clear" w:color="auto" w:fill="auto"/>
            <w:noWrap/>
            <w:vAlign w:val="bottom"/>
            <w:hideMark/>
          </w:tcPr>
          <w:p w:rsidR="00B15441" w:rsidRPr="00547497" w:rsidRDefault="00B15441" w:rsidP="002C0BC3">
            <w:pPr>
              <w:spacing w:after="0" w:line="240" w:lineRule="auto"/>
              <w:jc w:val="center"/>
              <w:rPr>
                <w:rFonts w:ascii="Microsoft Sans Serif" w:eastAsia="Times New Roman" w:hAnsi="Microsoft Sans Serif" w:cs="Microsoft Sans Serif"/>
                <w:color w:val="000000"/>
                <w:sz w:val="17"/>
                <w:szCs w:val="17"/>
                <w:lang w:val="en-US"/>
              </w:rPr>
            </w:pPr>
          </w:p>
        </w:tc>
      </w:tr>
      <w:tr w:rsidR="00B15441" w:rsidRPr="00547497" w:rsidTr="002C0BC3">
        <w:trPr>
          <w:trHeight w:val="210"/>
          <w:jc w:val="center"/>
        </w:trPr>
        <w:tc>
          <w:tcPr>
            <w:tcW w:w="840" w:type="dxa"/>
            <w:tcBorders>
              <w:top w:val="nil"/>
              <w:left w:val="single" w:sz="4" w:space="0" w:color="auto"/>
              <w:bottom w:val="nil"/>
              <w:right w:val="single" w:sz="4" w:space="0" w:color="auto"/>
            </w:tcBorders>
            <w:shd w:val="clear" w:color="auto" w:fill="auto"/>
            <w:noWrap/>
            <w:vAlign w:val="bottom"/>
            <w:hideMark/>
          </w:tcPr>
          <w:p w:rsidR="00B15441" w:rsidRPr="00547497" w:rsidRDefault="00B15441" w:rsidP="002C0BC3">
            <w:pPr>
              <w:spacing w:after="0" w:line="240" w:lineRule="auto"/>
              <w:jc w:val="center"/>
              <w:rPr>
                <w:rFonts w:ascii="Microsoft Sans Serif" w:eastAsia="Times New Roman" w:hAnsi="Microsoft Sans Serif" w:cs="Microsoft Sans Serif"/>
                <w:color w:val="000000"/>
                <w:sz w:val="17"/>
                <w:szCs w:val="17"/>
                <w:lang w:val="en-US"/>
              </w:rPr>
            </w:pPr>
            <w:r w:rsidRPr="00547497">
              <w:rPr>
                <w:rFonts w:ascii="Microsoft Sans Serif" w:eastAsia="Times New Roman" w:hAnsi="Microsoft Sans Serif" w:cs="Microsoft Sans Serif"/>
                <w:color w:val="000000"/>
                <w:sz w:val="17"/>
                <w:szCs w:val="17"/>
                <w:lang w:val="en-US"/>
              </w:rPr>
              <w:t>1588</w:t>
            </w:r>
          </w:p>
        </w:tc>
        <w:tc>
          <w:tcPr>
            <w:tcW w:w="1320" w:type="dxa"/>
            <w:tcBorders>
              <w:top w:val="nil"/>
              <w:left w:val="nil"/>
              <w:bottom w:val="nil"/>
              <w:right w:val="single" w:sz="4" w:space="0" w:color="auto"/>
            </w:tcBorders>
            <w:shd w:val="clear" w:color="auto" w:fill="auto"/>
            <w:noWrap/>
            <w:vAlign w:val="bottom"/>
            <w:hideMark/>
          </w:tcPr>
          <w:p w:rsidR="00B15441" w:rsidRPr="00547497" w:rsidRDefault="00B15441" w:rsidP="002C0BC3">
            <w:pPr>
              <w:spacing w:after="0" w:line="240" w:lineRule="auto"/>
              <w:jc w:val="center"/>
              <w:rPr>
                <w:rFonts w:ascii="Microsoft Sans Serif" w:eastAsia="Times New Roman" w:hAnsi="Microsoft Sans Serif" w:cs="Microsoft Sans Serif"/>
                <w:color w:val="000000"/>
                <w:sz w:val="17"/>
                <w:szCs w:val="17"/>
                <w:lang w:val="en-US"/>
              </w:rPr>
            </w:pPr>
            <w:r w:rsidRPr="00547497">
              <w:rPr>
                <w:rFonts w:ascii="Microsoft Sans Serif" w:eastAsia="Times New Roman" w:hAnsi="Microsoft Sans Serif" w:cs="Microsoft Sans Serif"/>
                <w:color w:val="000000"/>
                <w:sz w:val="17"/>
                <w:szCs w:val="17"/>
                <w:lang w:val="en-US"/>
              </w:rPr>
              <w:t>6,676,336</w:t>
            </w:r>
          </w:p>
        </w:tc>
        <w:tc>
          <w:tcPr>
            <w:tcW w:w="1020" w:type="dxa"/>
            <w:tcBorders>
              <w:top w:val="nil"/>
              <w:left w:val="nil"/>
              <w:bottom w:val="nil"/>
              <w:right w:val="single" w:sz="4" w:space="0" w:color="auto"/>
            </w:tcBorders>
            <w:shd w:val="clear" w:color="auto" w:fill="auto"/>
            <w:noWrap/>
            <w:vAlign w:val="bottom"/>
            <w:hideMark/>
          </w:tcPr>
          <w:p w:rsidR="00B15441" w:rsidRPr="00547497" w:rsidRDefault="00B15441" w:rsidP="002C0BC3">
            <w:pPr>
              <w:spacing w:after="0" w:line="240" w:lineRule="auto"/>
              <w:jc w:val="center"/>
              <w:rPr>
                <w:rFonts w:ascii="Microsoft Sans Serif" w:eastAsia="Times New Roman" w:hAnsi="Microsoft Sans Serif" w:cs="Microsoft Sans Serif"/>
                <w:color w:val="000000"/>
                <w:sz w:val="17"/>
                <w:szCs w:val="17"/>
                <w:lang w:val="en-US"/>
              </w:rPr>
            </w:pPr>
            <w:r w:rsidRPr="00547497">
              <w:rPr>
                <w:rFonts w:ascii="Microsoft Sans Serif" w:eastAsia="Times New Roman" w:hAnsi="Microsoft Sans Serif" w:cs="Microsoft Sans Serif"/>
                <w:color w:val="000000"/>
                <w:sz w:val="17"/>
                <w:szCs w:val="17"/>
                <w:lang w:val="en-US"/>
              </w:rPr>
              <w:t>144,373</w:t>
            </w:r>
          </w:p>
        </w:tc>
        <w:tc>
          <w:tcPr>
            <w:tcW w:w="1200" w:type="dxa"/>
            <w:tcBorders>
              <w:top w:val="nil"/>
              <w:left w:val="nil"/>
              <w:bottom w:val="nil"/>
              <w:right w:val="single" w:sz="4" w:space="0" w:color="auto"/>
            </w:tcBorders>
            <w:shd w:val="clear" w:color="auto" w:fill="auto"/>
            <w:noWrap/>
            <w:vAlign w:val="bottom"/>
            <w:hideMark/>
          </w:tcPr>
          <w:p w:rsidR="00B15441" w:rsidRPr="00547497" w:rsidRDefault="00B15441" w:rsidP="002C0BC3">
            <w:pPr>
              <w:spacing w:after="0" w:line="240" w:lineRule="auto"/>
              <w:jc w:val="center"/>
              <w:rPr>
                <w:rFonts w:ascii="Microsoft Sans Serif" w:eastAsia="Times New Roman" w:hAnsi="Microsoft Sans Serif" w:cs="Microsoft Sans Serif"/>
                <w:b/>
                <w:bCs/>
                <w:color w:val="000000"/>
                <w:sz w:val="17"/>
                <w:szCs w:val="17"/>
                <w:lang w:val="en-US"/>
              </w:rPr>
            </w:pPr>
            <w:r w:rsidRPr="00547497">
              <w:rPr>
                <w:rFonts w:ascii="Microsoft Sans Serif" w:eastAsia="Times New Roman" w:hAnsi="Microsoft Sans Serif" w:cs="Microsoft Sans Serif"/>
                <w:b/>
                <w:bCs/>
                <w:color w:val="000000"/>
                <w:sz w:val="17"/>
                <w:szCs w:val="17"/>
                <w:lang w:val="en-US"/>
              </w:rPr>
              <w:t>6,820,710</w:t>
            </w:r>
          </w:p>
        </w:tc>
        <w:tc>
          <w:tcPr>
            <w:tcW w:w="1280" w:type="dxa"/>
            <w:tcBorders>
              <w:top w:val="nil"/>
              <w:left w:val="nil"/>
              <w:bottom w:val="nil"/>
              <w:right w:val="single" w:sz="4" w:space="0" w:color="auto"/>
            </w:tcBorders>
            <w:shd w:val="clear" w:color="auto" w:fill="auto"/>
            <w:noWrap/>
            <w:vAlign w:val="bottom"/>
            <w:hideMark/>
          </w:tcPr>
          <w:p w:rsidR="00B15441" w:rsidRPr="00547497" w:rsidRDefault="00B15441" w:rsidP="002C0BC3">
            <w:pPr>
              <w:spacing w:after="0" w:line="240" w:lineRule="auto"/>
              <w:jc w:val="center"/>
              <w:rPr>
                <w:rFonts w:ascii="Microsoft Sans Serif" w:eastAsia="Times New Roman" w:hAnsi="Microsoft Sans Serif" w:cs="Microsoft Sans Serif"/>
                <w:color w:val="000000"/>
                <w:sz w:val="17"/>
                <w:szCs w:val="17"/>
                <w:lang w:val="en-US"/>
              </w:rPr>
            </w:pPr>
            <w:r w:rsidRPr="00547497">
              <w:rPr>
                <w:rFonts w:ascii="Microsoft Sans Serif" w:eastAsia="Times New Roman" w:hAnsi="Microsoft Sans Serif" w:cs="Microsoft Sans Serif"/>
                <w:color w:val="000000"/>
                <w:sz w:val="17"/>
                <w:szCs w:val="17"/>
                <w:lang w:val="en-US"/>
              </w:rPr>
              <w:t>10,594</w:t>
            </w:r>
          </w:p>
        </w:tc>
      </w:tr>
      <w:tr w:rsidR="00B15441" w:rsidRPr="00547497" w:rsidTr="002C0BC3">
        <w:trPr>
          <w:trHeight w:val="210"/>
          <w:jc w:val="center"/>
        </w:trPr>
        <w:tc>
          <w:tcPr>
            <w:tcW w:w="840" w:type="dxa"/>
            <w:tcBorders>
              <w:top w:val="nil"/>
              <w:left w:val="single" w:sz="4" w:space="0" w:color="auto"/>
              <w:bottom w:val="nil"/>
              <w:right w:val="single" w:sz="4" w:space="0" w:color="auto"/>
            </w:tcBorders>
            <w:shd w:val="clear" w:color="auto" w:fill="auto"/>
            <w:noWrap/>
            <w:vAlign w:val="bottom"/>
            <w:hideMark/>
          </w:tcPr>
          <w:p w:rsidR="00B15441" w:rsidRPr="00547497" w:rsidRDefault="00B15441" w:rsidP="002C0BC3">
            <w:pPr>
              <w:spacing w:after="0" w:line="240" w:lineRule="auto"/>
              <w:jc w:val="center"/>
              <w:rPr>
                <w:rFonts w:ascii="Microsoft Sans Serif" w:eastAsia="Times New Roman" w:hAnsi="Microsoft Sans Serif" w:cs="Microsoft Sans Serif"/>
                <w:color w:val="000000"/>
                <w:sz w:val="17"/>
                <w:szCs w:val="17"/>
                <w:lang w:val="en-US"/>
              </w:rPr>
            </w:pPr>
            <w:r w:rsidRPr="00547497">
              <w:rPr>
                <w:rFonts w:ascii="Microsoft Sans Serif" w:eastAsia="Times New Roman" w:hAnsi="Microsoft Sans Serif" w:cs="Microsoft Sans Serif"/>
                <w:color w:val="000000"/>
                <w:sz w:val="17"/>
                <w:szCs w:val="17"/>
                <w:lang w:val="en-US"/>
              </w:rPr>
              <w:t>1589</w:t>
            </w:r>
          </w:p>
        </w:tc>
        <w:tc>
          <w:tcPr>
            <w:tcW w:w="1320" w:type="dxa"/>
            <w:tcBorders>
              <w:top w:val="nil"/>
              <w:left w:val="nil"/>
              <w:bottom w:val="nil"/>
              <w:right w:val="single" w:sz="4" w:space="0" w:color="auto"/>
            </w:tcBorders>
            <w:shd w:val="clear" w:color="auto" w:fill="auto"/>
            <w:noWrap/>
            <w:vAlign w:val="bottom"/>
            <w:hideMark/>
          </w:tcPr>
          <w:p w:rsidR="00B15441" w:rsidRPr="00547497" w:rsidRDefault="00B15441" w:rsidP="002C0BC3">
            <w:pPr>
              <w:spacing w:after="0" w:line="240" w:lineRule="auto"/>
              <w:jc w:val="center"/>
              <w:rPr>
                <w:rFonts w:ascii="Microsoft Sans Serif" w:eastAsia="Times New Roman" w:hAnsi="Microsoft Sans Serif" w:cs="Microsoft Sans Serif"/>
                <w:color w:val="000000"/>
                <w:sz w:val="17"/>
                <w:szCs w:val="17"/>
                <w:lang w:val="en-US"/>
              </w:rPr>
            </w:pPr>
            <w:r w:rsidRPr="00547497">
              <w:rPr>
                <w:rFonts w:ascii="Microsoft Sans Serif" w:eastAsia="Times New Roman" w:hAnsi="Microsoft Sans Serif" w:cs="Microsoft Sans Serif"/>
                <w:color w:val="000000"/>
                <w:sz w:val="17"/>
                <w:szCs w:val="17"/>
                <w:lang w:val="en-US"/>
              </w:rPr>
              <w:t>(5,459,541)</w:t>
            </w:r>
          </w:p>
        </w:tc>
        <w:tc>
          <w:tcPr>
            <w:tcW w:w="1020" w:type="dxa"/>
            <w:tcBorders>
              <w:top w:val="nil"/>
              <w:left w:val="nil"/>
              <w:bottom w:val="nil"/>
              <w:right w:val="single" w:sz="4" w:space="0" w:color="auto"/>
            </w:tcBorders>
            <w:shd w:val="clear" w:color="auto" w:fill="auto"/>
            <w:noWrap/>
            <w:vAlign w:val="bottom"/>
            <w:hideMark/>
          </w:tcPr>
          <w:p w:rsidR="00B15441" w:rsidRPr="00547497" w:rsidRDefault="00B15441" w:rsidP="002C0BC3">
            <w:pPr>
              <w:spacing w:after="0" w:line="240" w:lineRule="auto"/>
              <w:jc w:val="center"/>
              <w:rPr>
                <w:rFonts w:ascii="Microsoft Sans Serif" w:eastAsia="Times New Roman" w:hAnsi="Microsoft Sans Serif" w:cs="Microsoft Sans Serif"/>
                <w:color w:val="000000"/>
                <w:sz w:val="17"/>
                <w:szCs w:val="17"/>
                <w:lang w:val="en-US"/>
              </w:rPr>
            </w:pPr>
            <w:r w:rsidRPr="00547497">
              <w:rPr>
                <w:rFonts w:ascii="Microsoft Sans Serif" w:eastAsia="Times New Roman" w:hAnsi="Microsoft Sans Serif" w:cs="Microsoft Sans Serif"/>
                <w:color w:val="000000"/>
                <w:sz w:val="17"/>
                <w:szCs w:val="17"/>
                <w:lang w:val="en-US"/>
              </w:rPr>
              <w:t>3,998</w:t>
            </w:r>
          </w:p>
        </w:tc>
        <w:tc>
          <w:tcPr>
            <w:tcW w:w="1200" w:type="dxa"/>
            <w:tcBorders>
              <w:top w:val="nil"/>
              <w:left w:val="nil"/>
              <w:bottom w:val="nil"/>
              <w:right w:val="single" w:sz="4" w:space="0" w:color="auto"/>
            </w:tcBorders>
            <w:shd w:val="clear" w:color="auto" w:fill="auto"/>
            <w:noWrap/>
            <w:vAlign w:val="bottom"/>
            <w:hideMark/>
          </w:tcPr>
          <w:p w:rsidR="00B15441" w:rsidRPr="00547497" w:rsidRDefault="00B15441" w:rsidP="002C0BC3">
            <w:pPr>
              <w:spacing w:after="0" w:line="240" w:lineRule="auto"/>
              <w:jc w:val="center"/>
              <w:rPr>
                <w:rFonts w:ascii="Microsoft Sans Serif" w:eastAsia="Times New Roman" w:hAnsi="Microsoft Sans Serif" w:cs="Microsoft Sans Serif"/>
                <w:b/>
                <w:bCs/>
                <w:color w:val="000000"/>
                <w:sz w:val="17"/>
                <w:szCs w:val="17"/>
                <w:lang w:val="en-US"/>
              </w:rPr>
            </w:pPr>
            <w:r w:rsidRPr="00547497">
              <w:rPr>
                <w:rFonts w:ascii="Microsoft Sans Serif" w:eastAsia="Times New Roman" w:hAnsi="Microsoft Sans Serif" w:cs="Microsoft Sans Serif"/>
                <w:b/>
                <w:bCs/>
                <w:color w:val="000000"/>
                <w:sz w:val="17"/>
                <w:szCs w:val="17"/>
                <w:lang w:val="en-US"/>
              </w:rPr>
              <w:t>(5,455,543)</w:t>
            </w:r>
          </w:p>
        </w:tc>
        <w:tc>
          <w:tcPr>
            <w:tcW w:w="1280" w:type="dxa"/>
            <w:tcBorders>
              <w:top w:val="nil"/>
              <w:left w:val="nil"/>
              <w:bottom w:val="nil"/>
              <w:right w:val="single" w:sz="4" w:space="0" w:color="auto"/>
            </w:tcBorders>
            <w:shd w:val="clear" w:color="auto" w:fill="auto"/>
            <w:noWrap/>
            <w:vAlign w:val="bottom"/>
            <w:hideMark/>
          </w:tcPr>
          <w:p w:rsidR="00B15441" w:rsidRPr="00547497" w:rsidRDefault="00B15441" w:rsidP="002C0BC3">
            <w:pPr>
              <w:spacing w:after="0" w:line="240" w:lineRule="auto"/>
              <w:jc w:val="center"/>
              <w:rPr>
                <w:rFonts w:ascii="Microsoft Sans Serif" w:eastAsia="Times New Roman" w:hAnsi="Microsoft Sans Serif" w:cs="Microsoft Sans Serif"/>
                <w:color w:val="000000"/>
                <w:sz w:val="17"/>
                <w:szCs w:val="17"/>
                <w:lang w:val="en-US"/>
              </w:rPr>
            </w:pPr>
            <w:r w:rsidRPr="00547497">
              <w:rPr>
                <w:rFonts w:ascii="Microsoft Sans Serif" w:eastAsia="Times New Roman" w:hAnsi="Microsoft Sans Serif" w:cs="Microsoft Sans Serif"/>
                <w:color w:val="000000"/>
                <w:sz w:val="17"/>
                <w:szCs w:val="17"/>
                <w:lang w:val="en-US"/>
              </w:rPr>
              <w:t>(5,807)</w:t>
            </w:r>
          </w:p>
        </w:tc>
      </w:tr>
      <w:tr w:rsidR="00B15441" w:rsidRPr="00547497" w:rsidTr="002C0BC3">
        <w:trPr>
          <w:trHeight w:val="210"/>
          <w:jc w:val="center"/>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rsidR="00B15441" w:rsidRPr="00547497" w:rsidRDefault="00B15441" w:rsidP="002C0BC3">
            <w:pPr>
              <w:spacing w:after="0" w:line="240" w:lineRule="auto"/>
              <w:jc w:val="center"/>
              <w:rPr>
                <w:rFonts w:ascii="Microsoft Sans Serif" w:eastAsia="Times New Roman" w:hAnsi="Microsoft Sans Serif" w:cs="Microsoft Sans Serif"/>
                <w:color w:val="000000"/>
                <w:sz w:val="17"/>
                <w:szCs w:val="17"/>
                <w:lang w:val="en-US"/>
              </w:rPr>
            </w:pPr>
            <w:r w:rsidRPr="00547497">
              <w:rPr>
                <w:rFonts w:ascii="Microsoft Sans Serif" w:eastAsia="Times New Roman" w:hAnsi="Microsoft Sans Serif" w:cs="Microsoft Sans Serif"/>
                <w:color w:val="000000"/>
                <w:sz w:val="17"/>
                <w:szCs w:val="17"/>
                <w:lang w:val="en-US"/>
              </w:rPr>
              <w:t>1595</w:t>
            </w:r>
          </w:p>
        </w:tc>
        <w:tc>
          <w:tcPr>
            <w:tcW w:w="1320" w:type="dxa"/>
            <w:tcBorders>
              <w:top w:val="nil"/>
              <w:left w:val="nil"/>
              <w:bottom w:val="single" w:sz="4" w:space="0" w:color="auto"/>
              <w:right w:val="single" w:sz="4" w:space="0" w:color="auto"/>
            </w:tcBorders>
            <w:shd w:val="clear" w:color="auto" w:fill="auto"/>
            <w:noWrap/>
            <w:vAlign w:val="bottom"/>
            <w:hideMark/>
          </w:tcPr>
          <w:p w:rsidR="00B15441" w:rsidRPr="00547497" w:rsidRDefault="00B15441" w:rsidP="002C0BC3">
            <w:pPr>
              <w:spacing w:after="0" w:line="240" w:lineRule="auto"/>
              <w:jc w:val="center"/>
              <w:rPr>
                <w:rFonts w:ascii="Microsoft Sans Serif" w:eastAsia="Times New Roman" w:hAnsi="Microsoft Sans Serif" w:cs="Microsoft Sans Serif"/>
                <w:color w:val="000000"/>
                <w:sz w:val="17"/>
                <w:szCs w:val="17"/>
                <w:lang w:val="en-US"/>
              </w:rPr>
            </w:pPr>
          </w:p>
        </w:tc>
        <w:tc>
          <w:tcPr>
            <w:tcW w:w="1020" w:type="dxa"/>
            <w:tcBorders>
              <w:top w:val="nil"/>
              <w:left w:val="nil"/>
              <w:bottom w:val="single" w:sz="4" w:space="0" w:color="auto"/>
              <w:right w:val="single" w:sz="4" w:space="0" w:color="auto"/>
            </w:tcBorders>
            <w:shd w:val="clear" w:color="auto" w:fill="auto"/>
            <w:noWrap/>
            <w:vAlign w:val="bottom"/>
            <w:hideMark/>
          </w:tcPr>
          <w:p w:rsidR="00B15441" w:rsidRPr="00547497" w:rsidRDefault="00B15441" w:rsidP="002C0BC3">
            <w:pPr>
              <w:spacing w:after="0" w:line="240" w:lineRule="auto"/>
              <w:jc w:val="center"/>
              <w:rPr>
                <w:rFonts w:ascii="Microsoft Sans Serif" w:eastAsia="Times New Roman" w:hAnsi="Microsoft Sans Serif" w:cs="Microsoft Sans Serif"/>
                <w:color w:val="000000"/>
                <w:sz w:val="17"/>
                <w:szCs w:val="17"/>
                <w:lang w:val="en-US"/>
              </w:rPr>
            </w:pPr>
            <w:r w:rsidRPr="00547497">
              <w:rPr>
                <w:rFonts w:ascii="Microsoft Sans Serif" w:eastAsia="Times New Roman" w:hAnsi="Microsoft Sans Serif" w:cs="Microsoft Sans Serif"/>
                <w:color w:val="000000"/>
                <w:sz w:val="17"/>
                <w:szCs w:val="17"/>
                <w:lang w:val="en-US"/>
              </w:rPr>
              <w:t>2,218</w:t>
            </w:r>
          </w:p>
        </w:tc>
        <w:tc>
          <w:tcPr>
            <w:tcW w:w="1200" w:type="dxa"/>
            <w:tcBorders>
              <w:top w:val="nil"/>
              <w:left w:val="nil"/>
              <w:bottom w:val="single" w:sz="4" w:space="0" w:color="auto"/>
              <w:right w:val="single" w:sz="4" w:space="0" w:color="auto"/>
            </w:tcBorders>
            <w:shd w:val="clear" w:color="auto" w:fill="auto"/>
            <w:noWrap/>
            <w:vAlign w:val="bottom"/>
            <w:hideMark/>
          </w:tcPr>
          <w:p w:rsidR="00B15441" w:rsidRPr="00547497" w:rsidRDefault="00B15441" w:rsidP="002C0BC3">
            <w:pPr>
              <w:spacing w:after="0" w:line="240" w:lineRule="auto"/>
              <w:jc w:val="center"/>
              <w:rPr>
                <w:rFonts w:ascii="Microsoft Sans Serif" w:eastAsia="Times New Roman" w:hAnsi="Microsoft Sans Serif" w:cs="Microsoft Sans Serif"/>
                <w:b/>
                <w:bCs/>
                <w:color w:val="000000"/>
                <w:sz w:val="17"/>
                <w:szCs w:val="17"/>
                <w:lang w:val="en-US"/>
              </w:rPr>
            </w:pPr>
            <w:r w:rsidRPr="00547497">
              <w:rPr>
                <w:rFonts w:ascii="Microsoft Sans Serif" w:eastAsia="Times New Roman" w:hAnsi="Microsoft Sans Serif" w:cs="Microsoft Sans Serif"/>
                <w:b/>
                <w:bCs/>
                <w:color w:val="000000"/>
                <w:sz w:val="17"/>
                <w:szCs w:val="17"/>
                <w:lang w:val="en-US"/>
              </w:rPr>
              <w:t>2,218</w:t>
            </w:r>
          </w:p>
        </w:tc>
        <w:tc>
          <w:tcPr>
            <w:tcW w:w="1280" w:type="dxa"/>
            <w:tcBorders>
              <w:top w:val="nil"/>
              <w:left w:val="nil"/>
              <w:bottom w:val="single" w:sz="4" w:space="0" w:color="auto"/>
              <w:right w:val="single" w:sz="4" w:space="0" w:color="auto"/>
            </w:tcBorders>
            <w:shd w:val="clear" w:color="auto" w:fill="auto"/>
            <w:noWrap/>
            <w:vAlign w:val="bottom"/>
            <w:hideMark/>
          </w:tcPr>
          <w:p w:rsidR="00B15441" w:rsidRPr="00547497" w:rsidRDefault="00B15441" w:rsidP="002C0BC3">
            <w:pPr>
              <w:spacing w:after="0" w:line="240" w:lineRule="auto"/>
              <w:jc w:val="center"/>
              <w:rPr>
                <w:rFonts w:ascii="Microsoft Sans Serif" w:eastAsia="Times New Roman" w:hAnsi="Microsoft Sans Serif" w:cs="Microsoft Sans Serif"/>
                <w:color w:val="000000"/>
                <w:sz w:val="17"/>
                <w:szCs w:val="17"/>
                <w:lang w:val="en-US"/>
              </w:rPr>
            </w:pPr>
          </w:p>
        </w:tc>
      </w:tr>
    </w:tbl>
    <w:p w:rsidR="00B15441" w:rsidRDefault="00B15441" w:rsidP="00653B74">
      <w:pPr>
        <w:rPr>
          <w:rFonts w:ascii="Arial" w:hAnsi="Arial" w:cs="Arial"/>
          <w:color w:val="44546A" w:themeColor="text2"/>
          <w:sz w:val="24"/>
          <w:szCs w:val="24"/>
        </w:rPr>
      </w:pPr>
    </w:p>
    <w:p w:rsidR="003E2306" w:rsidRDefault="003E2306" w:rsidP="00653B74">
      <w:pPr>
        <w:rPr>
          <w:rFonts w:ascii="Arial" w:hAnsi="Arial" w:cs="Arial"/>
          <w:sz w:val="24"/>
          <w:szCs w:val="24"/>
        </w:rPr>
      </w:pPr>
    </w:p>
    <w:p w:rsidR="003E2306" w:rsidRDefault="003E2306" w:rsidP="00653B74">
      <w:pPr>
        <w:rPr>
          <w:rFonts w:ascii="Arial" w:hAnsi="Arial" w:cs="Arial"/>
          <w:sz w:val="24"/>
          <w:szCs w:val="24"/>
        </w:rPr>
      </w:pPr>
    </w:p>
    <w:p w:rsidR="00DF166A" w:rsidRPr="00653B74" w:rsidRDefault="00B15441" w:rsidP="00653B74">
      <w:pPr>
        <w:rPr>
          <w:rFonts w:ascii="Arial" w:hAnsi="Arial" w:cs="Arial"/>
          <w:sz w:val="24"/>
          <w:szCs w:val="24"/>
        </w:rPr>
      </w:pPr>
      <w:r>
        <w:rPr>
          <w:rFonts w:ascii="Arial" w:hAnsi="Arial" w:cs="Arial"/>
          <w:sz w:val="24"/>
          <w:szCs w:val="24"/>
        </w:rPr>
        <w:t xml:space="preserve">The table below (“Schedule B”) is an excerpt from the </w:t>
      </w:r>
      <w:proofErr w:type="spellStart"/>
      <w:r w:rsidR="003E2306">
        <w:rPr>
          <w:rFonts w:ascii="Arial" w:hAnsi="Arial" w:cs="Arial"/>
          <w:sz w:val="24"/>
          <w:szCs w:val="24"/>
        </w:rPr>
        <w:t>Collus</w:t>
      </w:r>
      <w:proofErr w:type="spellEnd"/>
      <w:r w:rsidR="003E2306">
        <w:rPr>
          <w:rFonts w:ascii="Arial" w:hAnsi="Arial" w:cs="Arial"/>
          <w:sz w:val="24"/>
          <w:szCs w:val="24"/>
        </w:rPr>
        <w:t xml:space="preserve"> </w:t>
      </w:r>
      <w:proofErr w:type="spellStart"/>
      <w:r w:rsidR="003E2306">
        <w:rPr>
          <w:rFonts w:ascii="Arial" w:hAnsi="Arial" w:cs="Arial"/>
          <w:sz w:val="24"/>
          <w:szCs w:val="24"/>
        </w:rPr>
        <w:t>PowerStream’s</w:t>
      </w:r>
      <w:proofErr w:type="spellEnd"/>
      <w:r w:rsidR="003E2306">
        <w:rPr>
          <w:rFonts w:ascii="Arial" w:hAnsi="Arial" w:cs="Arial"/>
          <w:sz w:val="24"/>
          <w:szCs w:val="24"/>
        </w:rPr>
        <w:t xml:space="preserve"> January 19</w:t>
      </w:r>
      <w:r w:rsidR="003E2306" w:rsidRPr="003E2306">
        <w:rPr>
          <w:rFonts w:ascii="Arial" w:hAnsi="Arial" w:cs="Arial"/>
          <w:sz w:val="24"/>
          <w:szCs w:val="24"/>
          <w:vertAlign w:val="superscript"/>
        </w:rPr>
        <w:t>th</w:t>
      </w:r>
      <w:r w:rsidR="003E2306">
        <w:rPr>
          <w:rFonts w:ascii="Arial" w:hAnsi="Arial" w:cs="Arial"/>
          <w:sz w:val="24"/>
          <w:szCs w:val="24"/>
        </w:rPr>
        <w:t xml:space="preserve">, 2018 letter to the OEB (“OEB Letter Re Billing Error – </w:t>
      </w:r>
      <w:proofErr w:type="spellStart"/>
      <w:r w:rsidR="003E2306">
        <w:rPr>
          <w:rFonts w:ascii="Arial" w:hAnsi="Arial" w:cs="Arial"/>
          <w:sz w:val="24"/>
          <w:szCs w:val="24"/>
        </w:rPr>
        <w:t>Collus</w:t>
      </w:r>
      <w:proofErr w:type="spellEnd"/>
      <w:r w:rsidR="003E2306">
        <w:rPr>
          <w:rFonts w:ascii="Arial" w:hAnsi="Arial" w:cs="Arial"/>
          <w:sz w:val="24"/>
          <w:szCs w:val="24"/>
        </w:rPr>
        <w:t xml:space="preserve"> </w:t>
      </w:r>
      <w:proofErr w:type="spellStart"/>
      <w:r w:rsidR="003E2306">
        <w:rPr>
          <w:rFonts w:ascii="Arial" w:hAnsi="Arial" w:cs="Arial"/>
          <w:sz w:val="24"/>
          <w:szCs w:val="24"/>
        </w:rPr>
        <w:t>Powerstream</w:t>
      </w:r>
      <w:proofErr w:type="spellEnd"/>
      <w:r w:rsidR="003E2306">
        <w:rPr>
          <w:rFonts w:ascii="Arial" w:hAnsi="Arial" w:cs="Arial"/>
          <w:sz w:val="24"/>
          <w:szCs w:val="24"/>
        </w:rPr>
        <w:t>”):</w:t>
      </w:r>
      <w:r>
        <w:rPr>
          <w:rFonts w:ascii="Arial" w:hAnsi="Arial" w:cs="Arial"/>
          <w:sz w:val="24"/>
          <w:szCs w:val="24"/>
        </w:rPr>
        <w:t xml:space="preserve"> </w:t>
      </w:r>
    </w:p>
    <w:p w:rsidR="00436C94" w:rsidRDefault="003E2306" w:rsidP="00DC2290">
      <w:pPr>
        <w:ind w:left="1440" w:hanging="1440"/>
        <w:rPr>
          <w:rFonts w:ascii="Arial" w:hAnsi="Arial" w:cs="Arial"/>
          <w:b/>
          <w:sz w:val="24"/>
          <w:szCs w:val="24"/>
        </w:rPr>
      </w:pPr>
      <w:r>
        <w:rPr>
          <w:noProof/>
          <w:lang w:val="en-US"/>
        </w:rPr>
        <w:drawing>
          <wp:inline distT="0" distB="0" distL="0" distR="0" wp14:anchorId="53F1177A" wp14:editId="6D63913C">
            <wp:extent cx="5943600" cy="25539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54182" cy="2558517"/>
                    </a:xfrm>
                    <a:prstGeom prst="rect">
                      <a:avLst/>
                    </a:prstGeom>
                  </pic:spPr>
                </pic:pic>
              </a:graphicData>
            </a:graphic>
          </wp:inline>
        </w:drawing>
      </w:r>
    </w:p>
    <w:p w:rsidR="003E2306" w:rsidRDefault="003E2306" w:rsidP="00653B74">
      <w:pPr>
        <w:rPr>
          <w:rFonts w:ascii="Arial" w:hAnsi="Arial" w:cs="Arial"/>
          <w:sz w:val="24"/>
          <w:szCs w:val="24"/>
        </w:rPr>
      </w:pPr>
      <w:r>
        <w:rPr>
          <w:rFonts w:ascii="Arial" w:hAnsi="Arial" w:cs="Arial"/>
          <w:sz w:val="24"/>
          <w:szCs w:val="24"/>
        </w:rPr>
        <w:t xml:space="preserve">OEB Staff notes that the total impact </w:t>
      </w:r>
      <w:r w:rsidR="007D49E0">
        <w:rPr>
          <w:rFonts w:ascii="Arial" w:hAnsi="Arial" w:cs="Arial"/>
          <w:sz w:val="24"/>
          <w:szCs w:val="24"/>
        </w:rPr>
        <w:t xml:space="preserve">as of December 31, 2016 </w:t>
      </w:r>
      <w:r>
        <w:rPr>
          <w:rFonts w:ascii="Arial" w:hAnsi="Arial" w:cs="Arial"/>
          <w:sz w:val="24"/>
          <w:szCs w:val="24"/>
        </w:rPr>
        <w:t xml:space="preserve">of the billing error to accounts 1588-Cost of Power and 1589-Global Adjustment is </w:t>
      </w:r>
      <w:r w:rsidR="007D49E0">
        <w:rPr>
          <w:rFonts w:ascii="Arial" w:hAnsi="Arial" w:cs="Arial"/>
          <w:sz w:val="24"/>
          <w:szCs w:val="24"/>
        </w:rPr>
        <w:t>$21,641.06 ($1,294.83 + $20,346.23) and $141,790.70 ($13,811.42 + $127,979.28)</w:t>
      </w:r>
      <w:r>
        <w:rPr>
          <w:rFonts w:ascii="Arial" w:hAnsi="Arial" w:cs="Arial"/>
          <w:sz w:val="24"/>
          <w:szCs w:val="24"/>
        </w:rPr>
        <w:t xml:space="preserve">, respectively, according to Schedule B in the OEB Letter Re Billing Error – </w:t>
      </w:r>
      <w:proofErr w:type="spellStart"/>
      <w:r>
        <w:rPr>
          <w:rFonts w:ascii="Arial" w:hAnsi="Arial" w:cs="Arial"/>
          <w:sz w:val="24"/>
          <w:szCs w:val="24"/>
        </w:rPr>
        <w:t>Collus</w:t>
      </w:r>
      <w:proofErr w:type="spellEnd"/>
      <w:r>
        <w:rPr>
          <w:rFonts w:ascii="Arial" w:hAnsi="Arial" w:cs="Arial"/>
          <w:sz w:val="24"/>
          <w:szCs w:val="24"/>
        </w:rPr>
        <w:t xml:space="preserve"> </w:t>
      </w:r>
      <w:proofErr w:type="spellStart"/>
      <w:r>
        <w:rPr>
          <w:rFonts w:ascii="Arial" w:hAnsi="Arial" w:cs="Arial"/>
          <w:sz w:val="24"/>
          <w:szCs w:val="24"/>
        </w:rPr>
        <w:t>Powerstream</w:t>
      </w:r>
      <w:proofErr w:type="spellEnd"/>
      <w:r>
        <w:rPr>
          <w:rFonts w:ascii="Arial" w:hAnsi="Arial" w:cs="Arial"/>
          <w:sz w:val="24"/>
          <w:szCs w:val="24"/>
        </w:rPr>
        <w:t xml:space="preserve">. However, the table provided in </w:t>
      </w:r>
      <w:proofErr w:type="spellStart"/>
      <w:r>
        <w:rPr>
          <w:rFonts w:ascii="Arial" w:hAnsi="Arial" w:cs="Arial"/>
          <w:sz w:val="24"/>
          <w:szCs w:val="24"/>
        </w:rPr>
        <w:t>Collus</w:t>
      </w:r>
      <w:proofErr w:type="spellEnd"/>
      <w:r>
        <w:rPr>
          <w:rFonts w:ascii="Arial" w:hAnsi="Arial" w:cs="Arial"/>
          <w:sz w:val="24"/>
          <w:szCs w:val="24"/>
        </w:rPr>
        <w:t xml:space="preserve"> </w:t>
      </w:r>
      <w:proofErr w:type="spellStart"/>
      <w:r>
        <w:rPr>
          <w:rFonts w:ascii="Arial" w:hAnsi="Arial" w:cs="Arial"/>
          <w:sz w:val="24"/>
          <w:szCs w:val="24"/>
        </w:rPr>
        <w:t>PowerStream’s</w:t>
      </w:r>
      <w:proofErr w:type="spellEnd"/>
      <w:r>
        <w:rPr>
          <w:rFonts w:ascii="Arial" w:hAnsi="Arial" w:cs="Arial"/>
          <w:sz w:val="24"/>
          <w:szCs w:val="24"/>
        </w:rPr>
        <w:t xml:space="preserve"> response to OEB Staff Question 8 from January 30</w:t>
      </w:r>
      <w:r w:rsidRPr="003E2306">
        <w:rPr>
          <w:rFonts w:ascii="Arial" w:hAnsi="Arial" w:cs="Arial"/>
          <w:sz w:val="24"/>
          <w:szCs w:val="24"/>
          <w:vertAlign w:val="superscript"/>
        </w:rPr>
        <w:t>th</w:t>
      </w:r>
      <w:r>
        <w:rPr>
          <w:rFonts w:ascii="Arial" w:hAnsi="Arial" w:cs="Arial"/>
          <w:sz w:val="24"/>
          <w:szCs w:val="24"/>
        </w:rPr>
        <w:t>, 2018 shows the total impact from the billing error to accounts 1588-Cost of Pow</w:t>
      </w:r>
      <w:r w:rsidR="007D49E0">
        <w:rPr>
          <w:rFonts w:ascii="Arial" w:hAnsi="Arial" w:cs="Arial"/>
          <w:sz w:val="24"/>
          <w:szCs w:val="24"/>
        </w:rPr>
        <w:t>er and 1589-Global Adjustment as</w:t>
      </w:r>
      <w:r>
        <w:rPr>
          <w:rFonts w:ascii="Arial" w:hAnsi="Arial" w:cs="Arial"/>
          <w:sz w:val="24"/>
          <w:szCs w:val="24"/>
        </w:rPr>
        <w:t xml:space="preserve"> $144,373 and $3,998, respectively.</w:t>
      </w:r>
    </w:p>
    <w:p w:rsidR="00DF166A" w:rsidRDefault="00DF166A" w:rsidP="00653B74">
      <w:pPr>
        <w:rPr>
          <w:rFonts w:ascii="Arial" w:hAnsi="Arial" w:cs="Arial"/>
          <w:sz w:val="24"/>
          <w:szCs w:val="24"/>
        </w:rPr>
      </w:pPr>
      <w:r>
        <w:rPr>
          <w:rFonts w:ascii="Arial" w:hAnsi="Arial" w:cs="Arial"/>
          <w:sz w:val="24"/>
          <w:szCs w:val="24"/>
        </w:rPr>
        <w:t xml:space="preserve">Please explain the discrepancy between the figures reported in “Schedule B” and the figures reported in </w:t>
      </w:r>
      <w:proofErr w:type="spellStart"/>
      <w:r>
        <w:rPr>
          <w:rFonts w:ascii="Arial" w:hAnsi="Arial" w:cs="Arial"/>
          <w:sz w:val="24"/>
          <w:szCs w:val="24"/>
        </w:rPr>
        <w:t>Collus</w:t>
      </w:r>
      <w:proofErr w:type="spellEnd"/>
      <w:r w:rsidR="00BE7C13">
        <w:rPr>
          <w:rFonts w:ascii="Arial" w:hAnsi="Arial" w:cs="Arial"/>
          <w:sz w:val="24"/>
          <w:szCs w:val="24"/>
        </w:rPr>
        <w:t xml:space="preserve"> </w:t>
      </w:r>
      <w:proofErr w:type="spellStart"/>
      <w:r w:rsidR="00BE7C13">
        <w:rPr>
          <w:rFonts w:ascii="Arial" w:hAnsi="Arial" w:cs="Arial"/>
          <w:sz w:val="24"/>
          <w:szCs w:val="24"/>
        </w:rPr>
        <w:t>PowerS</w:t>
      </w:r>
      <w:r w:rsidR="00954151">
        <w:rPr>
          <w:rFonts w:ascii="Arial" w:hAnsi="Arial" w:cs="Arial"/>
          <w:sz w:val="24"/>
          <w:szCs w:val="24"/>
        </w:rPr>
        <w:t>tream</w:t>
      </w:r>
      <w:r>
        <w:rPr>
          <w:rFonts w:ascii="Arial" w:hAnsi="Arial" w:cs="Arial"/>
          <w:sz w:val="24"/>
          <w:szCs w:val="24"/>
        </w:rPr>
        <w:t>’</w:t>
      </w:r>
      <w:r w:rsidR="00954151">
        <w:rPr>
          <w:rFonts w:ascii="Arial" w:hAnsi="Arial" w:cs="Arial"/>
          <w:sz w:val="24"/>
          <w:szCs w:val="24"/>
        </w:rPr>
        <w:t>s</w:t>
      </w:r>
      <w:proofErr w:type="spellEnd"/>
      <w:r>
        <w:rPr>
          <w:rFonts w:ascii="Arial" w:hAnsi="Arial" w:cs="Arial"/>
          <w:sz w:val="24"/>
          <w:szCs w:val="24"/>
        </w:rPr>
        <w:t xml:space="preserve"> response to the OEB’s Question 8 from January 30, 2018.</w:t>
      </w:r>
    </w:p>
    <w:p w:rsidR="005B13E8" w:rsidRPr="00CF7C95" w:rsidRDefault="005B13E8" w:rsidP="005B13E8">
      <w:pPr>
        <w:rPr>
          <w:rFonts w:ascii="Arial" w:hAnsi="Arial" w:cs="Arial"/>
          <w:b/>
          <w:sz w:val="24"/>
          <w:szCs w:val="24"/>
        </w:rPr>
      </w:pPr>
      <w:r>
        <w:rPr>
          <w:rFonts w:ascii="Arial" w:hAnsi="Arial" w:cs="Arial"/>
          <w:b/>
          <w:sz w:val="24"/>
          <w:szCs w:val="24"/>
        </w:rPr>
        <w:t>Staff Question-9</w:t>
      </w:r>
    </w:p>
    <w:p w:rsidR="005B13E8" w:rsidRPr="00B15441" w:rsidRDefault="005B13E8" w:rsidP="005B13E8">
      <w:pPr>
        <w:ind w:left="1440" w:hanging="1440"/>
        <w:rPr>
          <w:rFonts w:ascii="Arial" w:hAnsi="Arial" w:cs="Arial"/>
          <w:b/>
          <w:sz w:val="24"/>
          <w:szCs w:val="24"/>
        </w:rPr>
      </w:pPr>
      <w:r>
        <w:rPr>
          <w:rFonts w:ascii="Arial" w:hAnsi="Arial" w:cs="Arial"/>
          <w:b/>
          <w:sz w:val="24"/>
          <w:szCs w:val="24"/>
        </w:rPr>
        <w:t>Reference: Principal adjustments in 2016 continuity schedule in the 2018 Rate Generator Model</w:t>
      </w:r>
    </w:p>
    <w:p w:rsidR="008C4900" w:rsidRDefault="008C4900" w:rsidP="00653B74">
      <w:pPr>
        <w:rPr>
          <w:rFonts w:ascii="Arial" w:hAnsi="Arial" w:cs="Arial"/>
          <w:sz w:val="24"/>
          <w:szCs w:val="24"/>
        </w:rPr>
      </w:pPr>
      <w:r>
        <w:rPr>
          <w:rFonts w:ascii="Arial" w:hAnsi="Arial" w:cs="Arial"/>
          <w:sz w:val="24"/>
          <w:szCs w:val="24"/>
        </w:rPr>
        <w:t>The dollar amount in the 2016 principal adjustments column in the 2018 Rate Generator Model for account 1588 – RSVA Power, totals $6,820,710, comprised of the following formula:</w:t>
      </w:r>
    </w:p>
    <w:p w:rsidR="008C4900" w:rsidRDefault="008C4900" w:rsidP="00653B74">
      <w:pPr>
        <w:rPr>
          <w:rFonts w:ascii="Arial" w:hAnsi="Arial" w:cs="Arial"/>
          <w:sz w:val="24"/>
          <w:szCs w:val="24"/>
        </w:rPr>
      </w:pPr>
      <w:r w:rsidRPr="008C4900">
        <w:rPr>
          <w:rFonts w:ascii="Arial" w:hAnsi="Arial" w:cs="Arial"/>
          <w:sz w:val="24"/>
          <w:szCs w:val="24"/>
        </w:rPr>
        <w:t>=6676336.44+20346.23+1294.83+124791.18+13001.39-15527.66+467.38</w:t>
      </w:r>
    </w:p>
    <w:p w:rsidR="008C4900" w:rsidRDefault="008C4900" w:rsidP="008C4900">
      <w:pPr>
        <w:rPr>
          <w:rFonts w:ascii="Arial" w:hAnsi="Arial" w:cs="Arial"/>
          <w:sz w:val="24"/>
          <w:szCs w:val="24"/>
        </w:rPr>
      </w:pPr>
      <w:r>
        <w:rPr>
          <w:rFonts w:ascii="Arial" w:hAnsi="Arial" w:cs="Arial"/>
          <w:sz w:val="24"/>
          <w:szCs w:val="24"/>
        </w:rPr>
        <w:t>The dollar amount in the 2016 principal adjustments column in the 2018 Rate Generator Model for account 1589 – RSVA Global Adjustment, totals ($5,455,543), comprised of the following formula:</w:t>
      </w:r>
    </w:p>
    <w:p w:rsidR="008C4900" w:rsidRDefault="008C4900" w:rsidP="00653B74">
      <w:pPr>
        <w:rPr>
          <w:rFonts w:ascii="Arial" w:hAnsi="Arial" w:cs="Arial"/>
          <w:sz w:val="24"/>
          <w:szCs w:val="24"/>
        </w:rPr>
      </w:pPr>
      <w:r w:rsidRPr="008C4900">
        <w:rPr>
          <w:rFonts w:ascii="Arial" w:hAnsi="Arial" w:cs="Arial"/>
          <w:sz w:val="24"/>
          <w:szCs w:val="24"/>
        </w:rPr>
        <w:t>=-5459540.71+127979.28+13811.42-124791.18-13001.39</w:t>
      </w:r>
    </w:p>
    <w:p w:rsidR="007D49E0" w:rsidRDefault="007D49E0" w:rsidP="00653B74">
      <w:pPr>
        <w:rPr>
          <w:rFonts w:ascii="Arial" w:hAnsi="Arial" w:cs="Arial"/>
          <w:sz w:val="24"/>
          <w:szCs w:val="24"/>
        </w:rPr>
      </w:pPr>
      <w:r>
        <w:rPr>
          <w:rFonts w:ascii="Arial" w:hAnsi="Arial" w:cs="Arial"/>
          <w:sz w:val="24"/>
          <w:szCs w:val="24"/>
        </w:rPr>
        <w:t>Please prepare:</w:t>
      </w:r>
    </w:p>
    <w:p w:rsidR="00EA644F" w:rsidRDefault="007D49E0" w:rsidP="00EA644F">
      <w:pPr>
        <w:rPr>
          <w:rFonts w:ascii="Arial" w:hAnsi="Arial" w:cs="Arial"/>
          <w:sz w:val="24"/>
          <w:szCs w:val="24"/>
        </w:rPr>
      </w:pPr>
      <w:r>
        <w:rPr>
          <w:rFonts w:ascii="Arial" w:hAnsi="Arial" w:cs="Arial"/>
          <w:sz w:val="24"/>
          <w:szCs w:val="24"/>
        </w:rPr>
        <w:t>a) A</w:t>
      </w:r>
      <w:r w:rsidR="009C799E">
        <w:rPr>
          <w:rFonts w:ascii="Arial" w:hAnsi="Arial" w:cs="Arial"/>
          <w:sz w:val="24"/>
          <w:szCs w:val="24"/>
        </w:rPr>
        <w:t xml:space="preserve">n analysis of each of the </w:t>
      </w:r>
      <w:r w:rsidR="008C4900">
        <w:rPr>
          <w:rFonts w:ascii="Arial" w:hAnsi="Arial" w:cs="Arial"/>
          <w:sz w:val="24"/>
          <w:szCs w:val="24"/>
        </w:rPr>
        <w:t>amounts</w:t>
      </w:r>
      <w:r w:rsidR="00EA644F">
        <w:rPr>
          <w:rFonts w:ascii="Arial" w:hAnsi="Arial" w:cs="Arial"/>
          <w:sz w:val="24"/>
          <w:szCs w:val="24"/>
        </w:rPr>
        <w:t xml:space="preserve"> for accounts 1588 and 1589, by year,</w:t>
      </w:r>
      <w:r w:rsidR="008C4900">
        <w:rPr>
          <w:rFonts w:ascii="Arial" w:hAnsi="Arial" w:cs="Arial"/>
          <w:sz w:val="24"/>
          <w:szCs w:val="24"/>
        </w:rPr>
        <w:t xml:space="preserve"> in the </w:t>
      </w:r>
      <w:r w:rsidR="00EA644F">
        <w:rPr>
          <w:rFonts w:ascii="Arial" w:hAnsi="Arial" w:cs="Arial"/>
          <w:sz w:val="24"/>
          <w:szCs w:val="24"/>
        </w:rPr>
        <w:t>principal adjustments column for 2016 from the Tab 3. Continuity Schedule in the 2018 Rate Generator Model.</w:t>
      </w:r>
    </w:p>
    <w:p w:rsidR="009C799E" w:rsidRDefault="007D49E0" w:rsidP="00653B74">
      <w:pPr>
        <w:rPr>
          <w:rFonts w:ascii="Arial" w:hAnsi="Arial" w:cs="Arial"/>
          <w:sz w:val="24"/>
          <w:szCs w:val="24"/>
        </w:rPr>
      </w:pPr>
      <w:r>
        <w:rPr>
          <w:rFonts w:ascii="Arial" w:hAnsi="Arial" w:cs="Arial"/>
          <w:sz w:val="24"/>
          <w:szCs w:val="24"/>
        </w:rPr>
        <w:t>b) A</w:t>
      </w:r>
      <w:r w:rsidR="009C799E">
        <w:rPr>
          <w:rFonts w:ascii="Arial" w:hAnsi="Arial" w:cs="Arial"/>
          <w:sz w:val="24"/>
          <w:szCs w:val="24"/>
        </w:rPr>
        <w:t xml:space="preserve"> detailed re</w:t>
      </w:r>
      <w:r w:rsidR="00EA644F">
        <w:rPr>
          <w:rFonts w:ascii="Arial" w:hAnsi="Arial" w:cs="Arial"/>
          <w:sz w:val="24"/>
          <w:szCs w:val="24"/>
        </w:rPr>
        <w:t>conciliation by component of the analysis in part a) of this question</w:t>
      </w:r>
      <w:r w:rsidR="009C799E">
        <w:rPr>
          <w:rFonts w:ascii="Arial" w:hAnsi="Arial" w:cs="Arial"/>
          <w:sz w:val="24"/>
          <w:szCs w:val="24"/>
        </w:rPr>
        <w:t xml:space="preserve"> to the analysis requested in Staff Question-7.</w:t>
      </w:r>
    </w:p>
    <w:p w:rsidR="00EA644F" w:rsidRPr="00DC2290" w:rsidRDefault="00EA644F" w:rsidP="00653B74">
      <w:pPr>
        <w:rPr>
          <w:rFonts w:ascii="Arial" w:hAnsi="Arial" w:cs="Arial"/>
          <w:sz w:val="24"/>
          <w:szCs w:val="24"/>
        </w:rPr>
      </w:pPr>
      <w:r>
        <w:rPr>
          <w:rFonts w:ascii="Arial" w:hAnsi="Arial" w:cs="Arial"/>
          <w:sz w:val="24"/>
          <w:szCs w:val="24"/>
        </w:rPr>
        <w:t xml:space="preserve">c) Please explain why </w:t>
      </w:r>
      <w:proofErr w:type="spellStart"/>
      <w:r>
        <w:rPr>
          <w:rFonts w:ascii="Arial" w:hAnsi="Arial" w:cs="Arial"/>
          <w:sz w:val="24"/>
          <w:szCs w:val="24"/>
        </w:rPr>
        <w:t>Collus</w:t>
      </w:r>
      <w:proofErr w:type="spellEnd"/>
      <w:r>
        <w:rPr>
          <w:rFonts w:ascii="Arial" w:hAnsi="Arial" w:cs="Arial"/>
          <w:sz w:val="24"/>
          <w:szCs w:val="24"/>
        </w:rPr>
        <w:t xml:space="preserve"> </w:t>
      </w:r>
      <w:proofErr w:type="spellStart"/>
      <w:r>
        <w:rPr>
          <w:rFonts w:ascii="Arial" w:hAnsi="Arial" w:cs="Arial"/>
          <w:sz w:val="24"/>
          <w:szCs w:val="24"/>
        </w:rPr>
        <w:t>PowerStream</w:t>
      </w:r>
      <w:proofErr w:type="spellEnd"/>
      <w:r>
        <w:rPr>
          <w:rFonts w:ascii="Arial" w:hAnsi="Arial" w:cs="Arial"/>
          <w:sz w:val="24"/>
          <w:szCs w:val="24"/>
        </w:rPr>
        <w:t xml:space="preserve"> finds it necessary to include the impact of the billing error in the 2016 principal adjustments column, rather than including it as part of its principal transactions during the year that the error is recorded in the general ledger.</w:t>
      </w:r>
    </w:p>
    <w:p w:rsidR="00DC2290" w:rsidRPr="00957248" w:rsidRDefault="00DC2290" w:rsidP="00957248">
      <w:pPr>
        <w:rPr>
          <w:rFonts w:ascii="Arial" w:hAnsi="Arial" w:cs="Arial"/>
          <w:sz w:val="24"/>
          <w:szCs w:val="24"/>
        </w:rPr>
      </w:pPr>
    </w:p>
    <w:p w:rsidR="000B758D" w:rsidRPr="00BF5C32" w:rsidRDefault="000B758D"/>
    <w:sectPr w:rsidR="000B758D" w:rsidRPr="00BF5C3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2A59" w:rsidRDefault="00A32A59" w:rsidP="00701E93">
      <w:pPr>
        <w:spacing w:after="0" w:line="240" w:lineRule="auto"/>
      </w:pPr>
      <w:r>
        <w:separator/>
      </w:r>
    </w:p>
  </w:endnote>
  <w:endnote w:type="continuationSeparator" w:id="0">
    <w:p w:rsidR="00A32A59" w:rsidRDefault="00A32A59" w:rsidP="00701E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2A59" w:rsidRDefault="00A32A59" w:rsidP="00701E93">
      <w:pPr>
        <w:spacing w:after="0" w:line="240" w:lineRule="auto"/>
      </w:pPr>
      <w:r>
        <w:separator/>
      </w:r>
    </w:p>
  </w:footnote>
  <w:footnote w:type="continuationSeparator" w:id="0">
    <w:p w:rsidR="00A32A59" w:rsidRDefault="00A32A59" w:rsidP="00701E93">
      <w:pPr>
        <w:spacing w:after="0" w:line="240" w:lineRule="auto"/>
      </w:pPr>
      <w:r>
        <w:continuationSeparator/>
      </w:r>
    </w:p>
  </w:footnote>
  <w:footnote w:id="1">
    <w:p w:rsidR="00701E93" w:rsidRPr="00AD18B6" w:rsidRDefault="00701E93" w:rsidP="00701E93">
      <w:pPr>
        <w:pStyle w:val="FootnoteText"/>
        <w:rPr>
          <w:lang w:val="en-US"/>
        </w:rPr>
      </w:pPr>
      <w:r>
        <w:rPr>
          <w:rStyle w:val="FootnoteReference"/>
        </w:rPr>
        <w:footnoteRef/>
      </w:r>
      <w:r>
        <w:t xml:space="preserve"> </w:t>
      </w:r>
      <w:r>
        <w:rPr>
          <w:lang w:val="en-US"/>
        </w:rPr>
        <w:t xml:space="preserve">Note, the following in all references in OEB Staff questions relating to amounts booked to accounts 1588 and 1589. Amounts are not booked directly to accounts USoA 1588 and 1589 relating to power purchase and sale transactions, but are rather booked to the cost of power USoA </w:t>
      </w:r>
      <w:r w:rsidRPr="00AD18B6">
        <w:rPr>
          <w:lang w:val="en-US"/>
        </w:rPr>
        <w:t>4705 Power Purchased</w:t>
      </w:r>
      <w:r>
        <w:rPr>
          <w:lang w:val="en-US"/>
        </w:rPr>
        <w:t xml:space="preserve">/4707 </w:t>
      </w:r>
      <w:r w:rsidRPr="00AD18B6">
        <w:rPr>
          <w:lang w:val="en-US"/>
        </w:rPr>
        <w:t>Charges - Global Adjustment</w:t>
      </w:r>
      <w:r>
        <w:rPr>
          <w:lang w:val="en-US"/>
        </w:rPr>
        <w:t xml:space="preserve"> and the respective Energy Sales USoA accounts, respectively. However, accounts 1588 and 1589 are impacted the same way as accounts 4705/4707 are for cost of power transactions, and the same way as the Energy Sales accounts are for revenue transactions.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DF31A7"/>
    <w:multiLevelType w:val="hybridMultilevel"/>
    <w:tmpl w:val="E9806C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97761A3"/>
    <w:multiLevelType w:val="hybridMultilevel"/>
    <w:tmpl w:val="5B50891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C0F626A"/>
    <w:multiLevelType w:val="hybridMultilevel"/>
    <w:tmpl w:val="4A643D9A"/>
    <w:lvl w:ilvl="0" w:tplc="B770D626">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EDE0327"/>
    <w:multiLevelType w:val="hybridMultilevel"/>
    <w:tmpl w:val="44E095B6"/>
    <w:lvl w:ilvl="0" w:tplc="10090017">
      <w:start w:val="1"/>
      <w:numFmt w:val="low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7E956CEF"/>
    <w:multiLevelType w:val="hybridMultilevel"/>
    <w:tmpl w:val="DB34011E"/>
    <w:lvl w:ilvl="0" w:tplc="10090011">
      <w:start w:val="1"/>
      <w:numFmt w:val="decimal"/>
      <w:lvlText w:val="%1)"/>
      <w:lvlJc w:val="left"/>
      <w:pPr>
        <w:ind w:left="360" w:hanging="360"/>
      </w:pPr>
      <w:rPr>
        <w:rFonts w:hint="default"/>
      </w:rPr>
    </w:lvl>
    <w:lvl w:ilvl="1" w:tplc="A2B6BE60">
      <w:start w:val="1"/>
      <w:numFmt w:val="lowerLetter"/>
      <w:lvlText w:val="%2)"/>
      <w:lvlJc w:val="left"/>
      <w:pPr>
        <w:ind w:left="1080" w:hanging="360"/>
      </w:pPr>
      <w:rPr>
        <w:rFonts w:hint="default"/>
      </w:rPr>
    </w:lvl>
    <w:lvl w:ilvl="2" w:tplc="1009001B">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1E93"/>
    <w:rsid w:val="00000D76"/>
    <w:rsid w:val="00023588"/>
    <w:rsid w:val="000B758D"/>
    <w:rsid w:val="002D5CB5"/>
    <w:rsid w:val="002E0101"/>
    <w:rsid w:val="00300395"/>
    <w:rsid w:val="00382AEE"/>
    <w:rsid w:val="003972D5"/>
    <w:rsid w:val="003B2C1B"/>
    <w:rsid w:val="003E2306"/>
    <w:rsid w:val="00434867"/>
    <w:rsid w:val="00436C94"/>
    <w:rsid w:val="004C4E9B"/>
    <w:rsid w:val="005B13E8"/>
    <w:rsid w:val="005B2A5F"/>
    <w:rsid w:val="005D1698"/>
    <w:rsid w:val="00653B74"/>
    <w:rsid w:val="00694FFA"/>
    <w:rsid w:val="006A4669"/>
    <w:rsid w:val="00701E93"/>
    <w:rsid w:val="00716954"/>
    <w:rsid w:val="00780C5D"/>
    <w:rsid w:val="007D49E0"/>
    <w:rsid w:val="00810E28"/>
    <w:rsid w:val="008B4E18"/>
    <w:rsid w:val="008C4900"/>
    <w:rsid w:val="00924585"/>
    <w:rsid w:val="00924DB7"/>
    <w:rsid w:val="00926F8F"/>
    <w:rsid w:val="00954151"/>
    <w:rsid w:val="00957248"/>
    <w:rsid w:val="009C799E"/>
    <w:rsid w:val="00A24DD7"/>
    <w:rsid w:val="00A32A59"/>
    <w:rsid w:val="00A56F13"/>
    <w:rsid w:val="00B15441"/>
    <w:rsid w:val="00B52104"/>
    <w:rsid w:val="00BE7C13"/>
    <w:rsid w:val="00BF5C32"/>
    <w:rsid w:val="00DC2290"/>
    <w:rsid w:val="00DD2564"/>
    <w:rsid w:val="00DF166A"/>
    <w:rsid w:val="00EA644F"/>
    <w:rsid w:val="00ED67A1"/>
    <w:rsid w:val="00F3480F"/>
    <w:rsid w:val="00FB0C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41816F-AA4F-4AD3-BD95-346B3B63F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1E93"/>
    <w:pPr>
      <w:spacing w:after="200" w:line="276" w:lineRule="auto"/>
    </w:pPr>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701E93"/>
    <w:pPr>
      <w:spacing w:after="0" w:line="240" w:lineRule="auto"/>
    </w:pPr>
    <w:rPr>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701E9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01E93"/>
    <w:rPr>
      <w:sz w:val="20"/>
      <w:szCs w:val="20"/>
      <w:lang w:val="en-CA"/>
    </w:rPr>
  </w:style>
  <w:style w:type="character" w:styleId="FootnoteReference">
    <w:name w:val="footnote reference"/>
    <w:basedOn w:val="DefaultParagraphFont"/>
    <w:uiPriority w:val="99"/>
    <w:semiHidden/>
    <w:unhideWhenUsed/>
    <w:rsid w:val="00701E93"/>
    <w:rPr>
      <w:vertAlign w:val="superscript"/>
    </w:rPr>
  </w:style>
  <w:style w:type="table" w:styleId="TableGrid">
    <w:name w:val="Table Grid"/>
    <w:basedOn w:val="TableNormal"/>
    <w:uiPriority w:val="39"/>
    <w:rsid w:val="00701E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F5C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5C32"/>
    <w:rPr>
      <w:rFonts w:ascii="Segoe UI" w:hAnsi="Segoe UI" w:cs="Segoe UI"/>
      <w:sz w:val="18"/>
      <w:szCs w:val="18"/>
      <w:lang w:val="en-CA"/>
    </w:rPr>
  </w:style>
  <w:style w:type="paragraph" w:styleId="ListParagraph">
    <w:name w:val="List Paragraph"/>
    <w:basedOn w:val="Normal"/>
    <w:uiPriority w:val="34"/>
    <w:qFormat/>
    <w:rsid w:val="000B758D"/>
    <w:pPr>
      <w:ind w:left="720"/>
      <w:contextualSpacing/>
    </w:pPr>
  </w:style>
  <w:style w:type="character" w:styleId="CommentReference">
    <w:name w:val="annotation reference"/>
    <w:basedOn w:val="DefaultParagraphFont"/>
    <w:uiPriority w:val="99"/>
    <w:semiHidden/>
    <w:unhideWhenUsed/>
    <w:rsid w:val="002E0101"/>
    <w:rPr>
      <w:sz w:val="16"/>
      <w:szCs w:val="16"/>
    </w:rPr>
  </w:style>
  <w:style w:type="paragraph" w:styleId="CommentText">
    <w:name w:val="annotation text"/>
    <w:basedOn w:val="Normal"/>
    <w:link w:val="CommentTextChar"/>
    <w:uiPriority w:val="99"/>
    <w:semiHidden/>
    <w:unhideWhenUsed/>
    <w:rsid w:val="002E0101"/>
    <w:pPr>
      <w:spacing w:line="240" w:lineRule="auto"/>
    </w:pPr>
    <w:rPr>
      <w:sz w:val="20"/>
      <w:szCs w:val="20"/>
    </w:rPr>
  </w:style>
  <w:style w:type="character" w:customStyle="1" w:styleId="CommentTextChar">
    <w:name w:val="Comment Text Char"/>
    <w:basedOn w:val="DefaultParagraphFont"/>
    <w:link w:val="CommentText"/>
    <w:uiPriority w:val="99"/>
    <w:semiHidden/>
    <w:rsid w:val="002E0101"/>
    <w:rPr>
      <w:sz w:val="20"/>
      <w:szCs w:val="20"/>
      <w:lang w:val="en-CA"/>
    </w:rPr>
  </w:style>
  <w:style w:type="paragraph" w:styleId="CommentSubject">
    <w:name w:val="annotation subject"/>
    <w:basedOn w:val="CommentText"/>
    <w:next w:val="CommentText"/>
    <w:link w:val="CommentSubjectChar"/>
    <w:uiPriority w:val="99"/>
    <w:semiHidden/>
    <w:unhideWhenUsed/>
    <w:rsid w:val="002E0101"/>
    <w:rPr>
      <w:b/>
      <w:bCs/>
    </w:rPr>
  </w:style>
  <w:style w:type="character" w:customStyle="1" w:styleId="CommentSubjectChar">
    <w:name w:val="Comment Subject Char"/>
    <w:basedOn w:val="CommentTextChar"/>
    <w:link w:val="CommentSubject"/>
    <w:uiPriority w:val="99"/>
    <w:semiHidden/>
    <w:rsid w:val="002E0101"/>
    <w:rPr>
      <w:b/>
      <w:bCs/>
      <w:sz w:val="20"/>
      <w:szCs w:val="20"/>
      <w:lang w:val="en-CA"/>
    </w:rPr>
  </w:style>
  <w:style w:type="paragraph" w:styleId="Revision">
    <w:name w:val="Revision"/>
    <w:hidden/>
    <w:uiPriority w:val="99"/>
    <w:semiHidden/>
    <w:rsid w:val="003972D5"/>
    <w:pPr>
      <w:spacing w:after="0" w:line="240" w:lineRule="auto"/>
    </w:pPr>
    <w:rPr>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4061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1437</Words>
  <Characters>8195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Ontario Energy Board</Company>
  <LinksUpToDate>false</LinksUpToDate>
  <CharactersWithSpaces>9613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Kelli Benincasa</dc:creator>
  <cp:keywords/>
  <dc:description/>
  <cp:lastModifiedBy>Kelli Benincasa</cp:lastModifiedBy>
  <cp:revision>2</cp:revision>
  <cp:lastPrinted>2018-02-01T21:04:00Z</cp:lastPrinted>
  <dcterms:created xsi:type="dcterms:W3CDTF">2018-02-06T15:43:00Z</dcterms:created>
  <dcterms:modified xsi:type="dcterms:W3CDTF">2018-02-06T15:43:00Z</dcterms:modified>
</cp:coreProperties>
</file>