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3D" w:rsidRPr="00DA475F" w:rsidRDefault="00F6173D" w:rsidP="00F617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Northern Ontario Wires Inc. - </w:t>
      </w:r>
      <w:r>
        <w:rPr>
          <w:rFonts w:ascii="Arial" w:hAnsi="Arial" w:cs="Arial"/>
          <w:b/>
          <w:bCs/>
        </w:rPr>
        <w:t>EB-2017-0066</w:t>
      </w:r>
    </w:p>
    <w:p w:rsidR="0002696F" w:rsidRDefault="00F6173D" w:rsidP="00F6173D">
      <w:pPr>
        <w:rPr>
          <w:rFonts w:ascii="Arial" w:hAnsi="Arial" w:cs="Arial"/>
          <w:b/>
          <w:sz w:val="24"/>
          <w:szCs w:val="24"/>
        </w:rPr>
      </w:pPr>
      <w:r w:rsidRPr="00DA475F">
        <w:rPr>
          <w:rFonts w:ascii="Arial" w:hAnsi="Arial" w:cs="Arial"/>
          <w:b/>
          <w:sz w:val="24"/>
          <w:szCs w:val="24"/>
        </w:rPr>
        <w:t>GA Analysis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 w:rsidRPr="00DA475F">
        <w:rPr>
          <w:rFonts w:ascii="Arial" w:hAnsi="Arial" w:cs="Arial"/>
          <w:b/>
          <w:sz w:val="24"/>
          <w:szCs w:val="24"/>
        </w:rPr>
        <w:t xml:space="preserve"> Questions</w:t>
      </w:r>
    </w:p>
    <w:p w:rsidR="00F6173D" w:rsidRDefault="00F6173D" w:rsidP="00F6173D">
      <w:pPr>
        <w:rPr>
          <w:rFonts w:ascii="Arial" w:hAnsi="Arial" w:cs="Arial"/>
          <w:b/>
          <w:sz w:val="24"/>
          <w:szCs w:val="24"/>
        </w:rPr>
      </w:pPr>
    </w:p>
    <w:p w:rsidR="00F6173D" w:rsidRPr="000162D6" w:rsidRDefault="00F6173D" w:rsidP="00F6173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3B3B5D" w:rsidRDefault="00F6173D" w:rsidP="003B3B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3B3B5D" w:rsidRPr="003B3B5D" w:rsidRDefault="003B3B5D" w:rsidP="003B3B5D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NOW Inc. uses method a). Charge Type 1142 is booked through Account 1588. Charge Type 148 is booked to Account 1588 and 1589 based on </w:t>
      </w:r>
      <w:r w:rsidRPr="003B3B5D">
        <w:rPr>
          <w:rFonts w:ascii="Arial" w:hAnsi="Arial" w:cs="Arial"/>
          <w:b/>
          <w:sz w:val="24"/>
          <w:szCs w:val="24"/>
        </w:rPr>
        <w:t>RPP/non-RPP consumption</w:t>
      </w:r>
      <w:r>
        <w:rPr>
          <w:rFonts w:ascii="Arial" w:hAnsi="Arial" w:cs="Arial"/>
          <w:b/>
          <w:sz w:val="24"/>
          <w:szCs w:val="24"/>
        </w:rPr>
        <w:t>.</w:t>
      </w:r>
    </w:p>
    <w:p w:rsidR="003B3B5D" w:rsidRDefault="003B3B5D" w:rsidP="003B3B5D">
      <w:pPr>
        <w:pStyle w:val="ListParagraph"/>
        <w:rPr>
          <w:rFonts w:ascii="Arial" w:hAnsi="Arial" w:cs="Arial"/>
          <w:sz w:val="24"/>
          <w:szCs w:val="24"/>
        </w:rPr>
      </w:pPr>
    </w:p>
    <w:p w:rsidR="00F6173D" w:rsidRDefault="00F6173D" w:rsidP="00F617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</w:t>
      </w:r>
      <w:r w:rsidRPr="00ED2655">
        <w:rPr>
          <w:rFonts w:ascii="Arial" w:hAnsi="Arial" w:cs="Arial"/>
          <w:sz w:val="24"/>
          <w:szCs w:val="24"/>
        </w:rPr>
        <w:t xml:space="preserve">Charge Type 148 is booked into Account 1589. The portion of Charge Type 1142 equalling RPP-HOEP for RPP consumption is booked into Account 1588. The portion of Charge Type 1142 equalling GA RPP is credited into Account 1589.  </w:t>
      </w:r>
    </w:p>
    <w:p w:rsidR="00F8088B" w:rsidRDefault="00F8088B" w:rsidP="00F808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N/A</w:t>
      </w:r>
    </w:p>
    <w:p w:rsidR="00F8088B" w:rsidRPr="00F8088B" w:rsidRDefault="00F8088B" w:rsidP="00F8088B">
      <w:pPr>
        <w:ind w:left="360"/>
        <w:rPr>
          <w:rFonts w:ascii="Arial" w:hAnsi="Arial" w:cs="Arial"/>
          <w:b/>
          <w:sz w:val="24"/>
          <w:szCs w:val="24"/>
        </w:rPr>
      </w:pPr>
    </w:p>
    <w:p w:rsidR="00F6173D" w:rsidRDefault="00F6173D" w:rsidP="00F617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2655">
        <w:rPr>
          <w:rFonts w:ascii="Arial" w:hAnsi="Arial" w:cs="Arial"/>
          <w:sz w:val="24"/>
          <w:szCs w:val="24"/>
        </w:rPr>
        <w:t xml:space="preserve"> Another approach.  Please explain this approach in detail.</w:t>
      </w:r>
    </w:p>
    <w:p w:rsidR="00F8088B" w:rsidRPr="00F8088B" w:rsidRDefault="00F8088B" w:rsidP="00F808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N/A</w:t>
      </w:r>
    </w:p>
    <w:p w:rsidR="00F6173D" w:rsidRPr="00ED2655" w:rsidRDefault="00F6173D" w:rsidP="00F6173D">
      <w:pPr>
        <w:pStyle w:val="ListParagraph"/>
        <w:rPr>
          <w:rFonts w:ascii="Arial" w:hAnsi="Arial" w:cs="Arial"/>
          <w:sz w:val="24"/>
          <w:szCs w:val="24"/>
        </w:rPr>
      </w:pPr>
    </w:p>
    <w:p w:rsidR="00F6173D" w:rsidRPr="00ED2655" w:rsidRDefault="00F6173D" w:rsidP="00F6173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2655">
        <w:rPr>
          <w:rFonts w:ascii="Arial" w:hAnsi="Arial" w:cs="Arial"/>
          <w:sz w:val="24"/>
          <w:szCs w:val="24"/>
        </w:rPr>
        <w:t>In regards to the Dec. 31 balance in Account 1589:</w:t>
      </w:r>
    </w:p>
    <w:p w:rsidR="00F6173D" w:rsidRDefault="00F6173D" w:rsidP="00F617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F6173D" w:rsidRPr="00916BA8" w:rsidRDefault="00F6173D" w:rsidP="00F6173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</w:t>
      </w:r>
      <w:r w:rsidRPr="00916BA8">
        <w:rPr>
          <w:rFonts w:ascii="Arial" w:hAnsi="Arial" w:cs="Arial"/>
          <w:sz w:val="24"/>
          <w:szCs w:val="24"/>
        </w:rPr>
        <w:t>ll components that flow into Account 1589 (</w:t>
      </w:r>
      <w:r>
        <w:rPr>
          <w:rFonts w:ascii="Arial" w:hAnsi="Arial" w:cs="Arial"/>
          <w:sz w:val="24"/>
          <w:szCs w:val="24"/>
        </w:rPr>
        <w:t xml:space="preserve">see items </w:t>
      </w:r>
      <w:r w:rsidRPr="00916BA8">
        <w:rPr>
          <w:rFonts w:ascii="Arial" w:hAnsi="Arial" w:cs="Arial"/>
          <w:sz w:val="24"/>
          <w:szCs w:val="24"/>
        </w:rPr>
        <w:t xml:space="preserve">i to </w:t>
      </w:r>
      <w:proofErr w:type="gramStart"/>
      <w:r w:rsidRPr="00916BA8">
        <w:rPr>
          <w:rFonts w:ascii="Arial" w:hAnsi="Arial" w:cs="Arial"/>
          <w:sz w:val="24"/>
          <w:szCs w:val="24"/>
        </w:rPr>
        <w:t>iv</w:t>
      </w:r>
      <w:proofErr w:type="gramEnd"/>
      <w:r w:rsidRPr="00916BA8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the</w:t>
      </w:r>
      <w:r w:rsidRPr="00916BA8">
        <w:rPr>
          <w:rFonts w:ascii="Arial" w:hAnsi="Arial" w:cs="Arial"/>
          <w:sz w:val="24"/>
          <w:szCs w:val="24"/>
        </w:rPr>
        <w:t xml:space="preserve"> table below)</w:t>
      </w:r>
      <w:r>
        <w:rPr>
          <w:rFonts w:ascii="Arial" w:hAnsi="Arial" w:cs="Arial"/>
          <w:sz w:val="24"/>
          <w:szCs w:val="24"/>
        </w:rPr>
        <w:t xml:space="preserve">, please complete the table below and indicate whether the items listed have been recorded based on estimates or actuals at year-end. </w:t>
      </w:r>
      <w:r w:rsidRPr="00916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Where an item has been recorded based on an estimate,</w:t>
      </w:r>
      <w:r w:rsidRPr="00916BA8">
        <w:rPr>
          <w:rFonts w:ascii="Arial" w:hAnsi="Arial" w:cs="Arial"/>
          <w:sz w:val="24"/>
          <w:szCs w:val="24"/>
        </w:rPr>
        <w:t xml:space="preserve"> quantify the adjustment </w:t>
      </w:r>
      <w:r>
        <w:rPr>
          <w:rFonts w:ascii="Arial" w:hAnsi="Arial" w:cs="Arial"/>
          <w:sz w:val="24"/>
          <w:szCs w:val="24"/>
        </w:rPr>
        <w:t xml:space="preserve">required for </w:t>
      </w:r>
      <w:r w:rsidRPr="00916BA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Pr="00916BA8">
        <w:rPr>
          <w:rFonts w:ascii="Arial" w:hAnsi="Arial" w:cs="Arial"/>
          <w:sz w:val="24"/>
          <w:szCs w:val="24"/>
        </w:rPr>
        <w:t xml:space="preserve"> true up from estimate to actual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F6173D" w:rsidTr="00A12038">
        <w:tc>
          <w:tcPr>
            <w:tcW w:w="39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:rsidR="00F6173D" w:rsidRPr="00360DCD" w:rsidRDefault="00F6173D" w:rsidP="00A120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F6173D" w:rsidTr="00A12038">
        <w:tc>
          <w:tcPr>
            <w:tcW w:w="39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Revenues (i.e. is unbilled revenues trued up</w:t>
            </w:r>
            <w:r>
              <w:rPr>
                <w:rFonts w:ascii="Arial" w:hAnsi="Arial" w:cs="Arial"/>
                <w:sz w:val="20"/>
                <w:szCs w:val="20"/>
              </w:rPr>
              <w:t xml:space="preserve"> by year end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F6173D" w:rsidRDefault="00F6173D" w:rsidP="00A120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6173D" w:rsidRPr="00C2214A" w:rsidRDefault="009B5422" w:rsidP="00A120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5EB1"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3605" w:type="dxa"/>
          </w:tcPr>
          <w:p w:rsidR="00F6173D" w:rsidRPr="00360DCD" w:rsidRDefault="009B5422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revenues are used for unbilled revenue. Procedure uses the following month billing at allocates to proper period.</w:t>
            </w:r>
          </w:p>
        </w:tc>
        <w:tc>
          <w:tcPr>
            <w:tcW w:w="1870" w:type="dxa"/>
          </w:tcPr>
          <w:p w:rsidR="00F6173D" w:rsidRPr="00360DCD" w:rsidRDefault="009B5422" w:rsidP="00A12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6173D" w:rsidTr="00A12038">
        <w:tc>
          <w:tcPr>
            <w:tcW w:w="39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 xml:space="preserve">(i.e. is expense based 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IESO invoice at year end)</w:t>
            </w:r>
          </w:p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F6173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6173D" w:rsidRPr="00360DCD" w:rsidRDefault="00784A5B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</w:t>
            </w:r>
            <w:bookmarkStart w:id="0" w:name="_GoBack"/>
            <w:bookmarkEnd w:id="0"/>
          </w:p>
        </w:tc>
        <w:tc>
          <w:tcPr>
            <w:tcW w:w="3605" w:type="dxa"/>
          </w:tcPr>
          <w:p w:rsidR="00F6173D" w:rsidRPr="00360DCD" w:rsidRDefault="00784A5B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is based off IESO Invoice at year end.</w:t>
            </w:r>
          </w:p>
        </w:tc>
        <w:tc>
          <w:tcPr>
            <w:tcW w:w="1870" w:type="dxa"/>
          </w:tcPr>
          <w:p w:rsidR="00F6173D" w:rsidRPr="00360DCD" w:rsidRDefault="00784A5B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6173D" w:rsidTr="00A12038">
        <w:tc>
          <w:tcPr>
            <w:tcW w:w="39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pro-ration percentages</w:t>
            </w:r>
          </w:p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F6173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6173D" w:rsidRPr="00360DCD" w:rsidRDefault="00784A5B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</w:t>
            </w:r>
          </w:p>
        </w:tc>
        <w:tc>
          <w:tcPr>
            <w:tcW w:w="3605" w:type="dxa"/>
          </w:tcPr>
          <w:p w:rsidR="00F6173D" w:rsidRPr="00360DCD" w:rsidRDefault="00784A5B" w:rsidP="00784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Actual GA Split using actual consumption for the month.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January billing stats (December consumption) used to record December pro-ration.</w:t>
            </w:r>
          </w:p>
        </w:tc>
        <w:tc>
          <w:tcPr>
            <w:tcW w:w="1870" w:type="dxa"/>
          </w:tcPr>
          <w:p w:rsidR="00F6173D" w:rsidRPr="00360DCD" w:rsidRDefault="00784A5B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6173D" w:rsidTr="00A12038">
        <w:tc>
          <w:tcPr>
            <w:tcW w:w="39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70" w:type="dxa"/>
          </w:tcPr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:rsidR="00F6173D" w:rsidRPr="00360DC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F6173D" w:rsidRDefault="00F6173D" w:rsidP="00A120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6173D" w:rsidRPr="00360DCD" w:rsidRDefault="004747FC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605" w:type="dxa"/>
          </w:tcPr>
          <w:p w:rsidR="00F6173D" w:rsidRPr="00360DCD" w:rsidRDefault="004747FC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not used.</w:t>
            </w:r>
          </w:p>
        </w:tc>
        <w:tc>
          <w:tcPr>
            <w:tcW w:w="1870" w:type="dxa"/>
          </w:tcPr>
          <w:p w:rsidR="00F6173D" w:rsidRPr="00360DCD" w:rsidRDefault="004747FC" w:rsidP="00A12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E3521A" w:rsidRDefault="00E3521A" w:rsidP="00E3521A">
      <w:pPr>
        <w:spacing w:after="160" w:line="252" w:lineRule="auto"/>
        <w:rPr>
          <w:rFonts w:ascii="Arial" w:hAnsi="Arial" w:cs="Arial"/>
          <w:sz w:val="24"/>
          <w:szCs w:val="24"/>
          <w:lang w:val="en-CA"/>
        </w:rPr>
      </w:pPr>
    </w:p>
    <w:p w:rsidR="00A40391" w:rsidRDefault="00257AE2" w:rsidP="00E3521A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why the applicant has classified the true-up adjustments in 1a and 1b of Note 5 of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as N/A. </w:t>
      </w:r>
    </w:p>
    <w:p w:rsidR="00A526C1" w:rsidRPr="00A40391" w:rsidRDefault="00A40391" w:rsidP="00A40391">
      <w:p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NOW Inc. classified true-up adjustments in 1a and 1b of Note 5 as N/A </w:t>
      </w:r>
      <w:r w:rsidR="003A3354">
        <w:rPr>
          <w:rFonts w:ascii="Arial" w:hAnsi="Arial" w:cs="Arial"/>
          <w:b/>
          <w:sz w:val="24"/>
          <w:szCs w:val="24"/>
        </w:rPr>
        <w:t>because the impacts of the RPP settlement true up process are booked in account 1588 and not 1589.</w:t>
      </w:r>
      <w:r w:rsidR="00257AE2" w:rsidRPr="00A40391">
        <w:rPr>
          <w:rFonts w:ascii="Arial" w:hAnsi="Arial" w:cs="Arial"/>
          <w:sz w:val="24"/>
          <w:szCs w:val="24"/>
        </w:rPr>
        <w:t xml:space="preserve"> </w:t>
      </w:r>
    </w:p>
    <w:p w:rsidR="00A526C1" w:rsidRDefault="00257AE2" w:rsidP="00A526C1">
      <w:pPr>
        <w:pStyle w:val="ListParagraph"/>
        <w:numPr>
          <w:ilvl w:val="1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does t</w:t>
      </w:r>
      <w:r w:rsidR="00A526C1">
        <w:rPr>
          <w:rFonts w:ascii="Arial" w:hAnsi="Arial" w:cs="Arial"/>
          <w:sz w:val="24"/>
          <w:szCs w:val="24"/>
        </w:rPr>
        <w:t>he applicant record a true-up for</w:t>
      </w:r>
      <w:r>
        <w:rPr>
          <w:rFonts w:ascii="Arial" w:hAnsi="Arial" w:cs="Arial"/>
          <w:sz w:val="24"/>
          <w:szCs w:val="24"/>
        </w:rPr>
        <w:t xml:space="preserve"> the actua</w:t>
      </w:r>
      <w:r w:rsidR="00A40391">
        <w:rPr>
          <w:rFonts w:ascii="Arial" w:hAnsi="Arial" w:cs="Arial"/>
          <w:sz w:val="24"/>
          <w:szCs w:val="24"/>
        </w:rPr>
        <w:t>l GA rate charged by the IESO?</w:t>
      </w:r>
    </w:p>
    <w:p w:rsidR="00A40391" w:rsidRPr="00A40391" w:rsidRDefault="00A40391" w:rsidP="00A40391">
      <w:pPr>
        <w:spacing w:after="160" w:line="252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 records true ups for the actual GA rate charged by the IESO in the subsequent month. The monthly true up’s capture the Actual GA rate and the actual consump</w:t>
      </w:r>
      <w:r w:rsidR="00C74412">
        <w:rPr>
          <w:rFonts w:ascii="Arial" w:hAnsi="Arial" w:cs="Arial"/>
          <w:b/>
          <w:sz w:val="24"/>
          <w:szCs w:val="24"/>
        </w:rPr>
        <w:t>tion for the month. As per the B</w:t>
      </w:r>
      <w:r>
        <w:rPr>
          <w:rFonts w:ascii="Arial" w:hAnsi="Arial" w:cs="Arial"/>
          <w:b/>
          <w:sz w:val="24"/>
          <w:szCs w:val="24"/>
        </w:rPr>
        <w:t>oard</w:t>
      </w:r>
      <w:r w:rsidR="00C74412">
        <w:rPr>
          <w:rFonts w:ascii="Arial" w:hAnsi="Arial" w:cs="Arial"/>
          <w:b/>
          <w:sz w:val="24"/>
          <w:szCs w:val="24"/>
        </w:rPr>
        <w:t>’</w:t>
      </w:r>
      <w:r>
        <w:rPr>
          <w:rFonts w:ascii="Arial" w:hAnsi="Arial" w:cs="Arial"/>
          <w:b/>
          <w:sz w:val="24"/>
          <w:szCs w:val="24"/>
        </w:rPr>
        <w:t>s guidance, the true up’s are being accrued to reflect the period in which they relate. For the 2016 year end, this was done per guidance as an adjustment in account 1588.</w:t>
      </w:r>
    </w:p>
    <w:p w:rsidR="00257AE2" w:rsidRDefault="00257AE2" w:rsidP="00A526C1">
      <w:pPr>
        <w:pStyle w:val="ListParagraph"/>
        <w:numPr>
          <w:ilvl w:val="1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non-RPP quantities need to be trued-up (or the actual RPP/</w:t>
      </w:r>
      <w:proofErr w:type="spellStart"/>
      <w:r>
        <w:rPr>
          <w:rFonts w:ascii="Arial" w:hAnsi="Arial" w:cs="Arial"/>
          <w:sz w:val="24"/>
          <w:szCs w:val="24"/>
        </w:rPr>
        <w:t>nonRPP</w:t>
      </w:r>
      <w:proofErr w:type="spellEnd"/>
      <w:r>
        <w:rPr>
          <w:rFonts w:ascii="Arial" w:hAnsi="Arial" w:cs="Arial"/>
          <w:sz w:val="24"/>
          <w:szCs w:val="24"/>
        </w:rPr>
        <w:t xml:space="preserve"> split determined) for purposes of calculating the </w:t>
      </w:r>
      <w:r w:rsidR="00A526C1">
        <w:rPr>
          <w:rFonts w:ascii="Arial" w:hAnsi="Arial" w:cs="Arial"/>
          <w:sz w:val="24"/>
          <w:szCs w:val="24"/>
        </w:rPr>
        <w:t>actual final GA balance for the</w:t>
      </w:r>
      <w:r>
        <w:rPr>
          <w:rFonts w:ascii="Arial" w:hAnsi="Arial" w:cs="Arial"/>
          <w:sz w:val="24"/>
          <w:szCs w:val="24"/>
        </w:rPr>
        <w:t xml:space="preserve"> year? If so, when do those adjustments happen and are they included in the 2016 activity for the year in the DVA continuity schedule?</w:t>
      </w:r>
    </w:p>
    <w:p w:rsidR="00A40391" w:rsidRPr="00A40391" w:rsidRDefault="00A40391" w:rsidP="00A40391">
      <w:pPr>
        <w:spacing w:after="160" w:line="252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 Inc. does not true up the non-RPP consumption as the actual consumption for the period is used in calculating the RPP/non-RPP split. The RPP quantities are trued up as per response in 3a).</w:t>
      </w:r>
    </w:p>
    <w:p w:rsidR="00A526C1" w:rsidRDefault="00A526C1" w:rsidP="00A526C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2E00">
        <w:rPr>
          <w:rFonts w:ascii="Arial" w:hAnsi="Arial" w:cs="Arial"/>
          <w:sz w:val="24"/>
          <w:szCs w:val="24"/>
        </w:rPr>
        <w:t xml:space="preserve">How long </w:t>
      </w:r>
      <w:proofErr w:type="gramStart"/>
      <w:r w:rsidRPr="00672E00">
        <w:rPr>
          <w:rFonts w:ascii="Arial" w:hAnsi="Arial" w:cs="Arial"/>
          <w:sz w:val="24"/>
          <w:szCs w:val="24"/>
        </w:rPr>
        <w:t>are the books</w:t>
      </w:r>
      <w:proofErr w:type="gramEnd"/>
      <w:r w:rsidRPr="00672E00">
        <w:rPr>
          <w:rFonts w:ascii="Arial" w:hAnsi="Arial" w:cs="Arial"/>
          <w:sz w:val="24"/>
          <w:szCs w:val="24"/>
        </w:rPr>
        <w:t xml:space="preserve"> kept open in order to capture all of the required</w:t>
      </w:r>
      <w:r>
        <w:rPr>
          <w:rFonts w:ascii="Arial" w:hAnsi="Arial" w:cs="Arial"/>
          <w:sz w:val="24"/>
          <w:szCs w:val="24"/>
        </w:rPr>
        <w:t xml:space="preserve"> year-end GA true-up adjustments?</w:t>
      </w:r>
    </w:p>
    <w:p w:rsidR="00C74412" w:rsidRPr="00C74412" w:rsidRDefault="00C74412" w:rsidP="00C74412">
      <w:pPr>
        <w:ind w:left="360"/>
        <w:rPr>
          <w:rFonts w:ascii="Arial" w:hAnsi="Arial" w:cs="Arial"/>
          <w:sz w:val="24"/>
          <w:szCs w:val="24"/>
        </w:rPr>
      </w:pPr>
    </w:p>
    <w:p w:rsidR="00A40391" w:rsidRPr="00A40391" w:rsidRDefault="00A40391" w:rsidP="00A40391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 Inc. keeps the books open until approximately February-March of the following year in order to capture all the required year-end adjustments.</w:t>
      </w:r>
    </w:p>
    <w:p w:rsidR="00257AE2" w:rsidRDefault="00257AE2" w:rsidP="00257AE2">
      <w:pPr>
        <w:pStyle w:val="ListParagraph"/>
        <w:spacing w:after="160" w:line="252" w:lineRule="auto"/>
        <w:ind w:left="360"/>
        <w:rPr>
          <w:rFonts w:ascii="Arial" w:hAnsi="Arial" w:cs="Arial"/>
          <w:sz w:val="24"/>
          <w:szCs w:val="24"/>
        </w:rPr>
      </w:pPr>
    </w:p>
    <w:p w:rsidR="006E567E" w:rsidRDefault="00BE590D" w:rsidP="00E3521A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regards to adjust</w:t>
      </w:r>
      <w:r w:rsidR="00E3521A">
        <w:rPr>
          <w:rFonts w:ascii="Arial" w:hAnsi="Arial" w:cs="Arial"/>
          <w:sz w:val="24"/>
          <w:szCs w:val="24"/>
        </w:rPr>
        <w:t>ment</w:t>
      </w:r>
      <w:r>
        <w:rPr>
          <w:rFonts w:ascii="Arial" w:hAnsi="Arial" w:cs="Arial"/>
          <w:sz w:val="24"/>
          <w:szCs w:val="24"/>
        </w:rPr>
        <w:t xml:space="preserve"> 6, please explain why the applicant chooses to calculate their RPP/non-RPP consumption split using system load rather than billing consumption?  Does the applicant plan to chan</w:t>
      </w:r>
      <w:r w:rsidR="006E567E">
        <w:rPr>
          <w:rFonts w:ascii="Arial" w:hAnsi="Arial" w:cs="Arial"/>
          <w:sz w:val="24"/>
          <w:szCs w:val="24"/>
        </w:rPr>
        <w:t>ge their process in the future so that similar adjustments will not be required.</w:t>
      </w:r>
    </w:p>
    <w:p w:rsidR="00916000" w:rsidRDefault="00916000" w:rsidP="00916000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 Inc.’s predecessor staff w</w:t>
      </w:r>
      <w:r w:rsidR="00C74412">
        <w:rPr>
          <w:rFonts w:ascii="Arial" w:hAnsi="Arial" w:cs="Arial"/>
          <w:b/>
          <w:sz w:val="24"/>
          <w:szCs w:val="24"/>
        </w:rPr>
        <w:t>as</w:t>
      </w:r>
      <w:r>
        <w:rPr>
          <w:rFonts w:ascii="Arial" w:hAnsi="Arial" w:cs="Arial"/>
          <w:b/>
          <w:sz w:val="24"/>
          <w:szCs w:val="24"/>
        </w:rPr>
        <w:t xml:space="preserve"> responsible for the decision to utilize </w:t>
      </w:r>
      <w:r w:rsidR="00C7441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ystem load rather than billing consumption. </w:t>
      </w:r>
    </w:p>
    <w:p w:rsidR="00916000" w:rsidRPr="00916000" w:rsidRDefault="00916000" w:rsidP="00916000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NOW Inc. intends to change </w:t>
      </w:r>
      <w:r w:rsidR="00C74412">
        <w:rPr>
          <w:rFonts w:ascii="Arial" w:hAnsi="Arial" w:cs="Arial"/>
          <w:b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process for the 2017 year end so that similar adjustments are not required.</w:t>
      </w:r>
    </w:p>
    <w:p w:rsidR="00E3521A" w:rsidRDefault="00E3521A" w:rsidP="006E567E">
      <w:pPr>
        <w:pStyle w:val="ListParagraph"/>
        <w:spacing w:after="160" w:line="252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521A" w:rsidRDefault="00E3521A" w:rsidP="00E3521A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3521A">
        <w:rPr>
          <w:rFonts w:ascii="Arial" w:hAnsi="Arial" w:cs="Arial"/>
          <w:sz w:val="24"/>
          <w:szCs w:val="24"/>
        </w:rPr>
        <w:t>n regards</w:t>
      </w:r>
      <w:r>
        <w:rPr>
          <w:rFonts w:ascii="Arial" w:hAnsi="Arial" w:cs="Arial"/>
          <w:sz w:val="24"/>
          <w:szCs w:val="24"/>
        </w:rPr>
        <w:t xml:space="preserve"> to adjustment 7 of Note 5 in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 w:rsidRPr="00E3521A">
        <w:rPr>
          <w:rFonts w:ascii="Arial" w:hAnsi="Arial" w:cs="Arial"/>
          <w:sz w:val="24"/>
          <w:szCs w:val="24"/>
        </w:rPr>
        <w:t xml:space="preserve">, please provide the actual system loss factor for 2016 and compare it to the OEB approved loss factor?  Please also provide </w:t>
      </w:r>
      <w:r w:rsidR="00A526C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detailed </w:t>
      </w:r>
      <w:r w:rsidRPr="00E3521A">
        <w:rPr>
          <w:rFonts w:ascii="Arial" w:hAnsi="Arial" w:cs="Arial"/>
          <w:sz w:val="24"/>
          <w:szCs w:val="24"/>
        </w:rPr>
        <w:t xml:space="preserve">calculation </w:t>
      </w:r>
      <w:r w:rsidR="00A526C1">
        <w:rPr>
          <w:rFonts w:ascii="Arial" w:hAnsi="Arial" w:cs="Arial"/>
          <w:sz w:val="24"/>
          <w:szCs w:val="24"/>
        </w:rPr>
        <w:t xml:space="preserve">that was </w:t>
      </w:r>
      <w:r>
        <w:rPr>
          <w:rFonts w:ascii="Arial" w:hAnsi="Arial" w:cs="Arial"/>
          <w:sz w:val="24"/>
          <w:szCs w:val="24"/>
        </w:rPr>
        <w:t>used to quantify</w:t>
      </w:r>
      <w:r w:rsidRPr="00E3521A">
        <w:rPr>
          <w:rFonts w:ascii="Arial" w:hAnsi="Arial" w:cs="Arial"/>
          <w:sz w:val="24"/>
          <w:szCs w:val="24"/>
        </w:rPr>
        <w:t xml:space="preserve"> the GA impact of the difference in the loss factor.</w:t>
      </w:r>
    </w:p>
    <w:p w:rsidR="00E213B8" w:rsidRDefault="00E213B8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OEB </w:t>
      </w:r>
      <w:r w:rsidR="00C7441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pproved loss factor based on a 5 year average is 1.0694 versus the 2016 Actual of 1.0</w:t>
      </w:r>
      <w:r w:rsidR="004701F7">
        <w:rPr>
          <w:rFonts w:ascii="Arial" w:hAnsi="Arial" w:cs="Arial"/>
          <w:b/>
          <w:sz w:val="24"/>
          <w:szCs w:val="24"/>
        </w:rPr>
        <w:t>659</w:t>
      </w:r>
      <w:r>
        <w:rPr>
          <w:rFonts w:ascii="Arial" w:hAnsi="Arial" w:cs="Arial"/>
          <w:b/>
          <w:sz w:val="24"/>
          <w:szCs w:val="24"/>
        </w:rPr>
        <w:t>.</w:t>
      </w:r>
    </w:p>
    <w:p w:rsidR="004701F7" w:rsidRDefault="004701F7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method used to determine the quantity of GA impact resulting from loss factor was </w:t>
      </w:r>
      <w:r w:rsidR="00EA26DE">
        <w:rPr>
          <w:rFonts w:ascii="Arial" w:hAnsi="Arial" w:cs="Arial"/>
          <w:b/>
          <w:sz w:val="24"/>
          <w:szCs w:val="24"/>
        </w:rPr>
        <w:t>comparing</w:t>
      </w:r>
      <w:r>
        <w:rPr>
          <w:rFonts w:ascii="Arial" w:hAnsi="Arial" w:cs="Arial"/>
          <w:b/>
          <w:sz w:val="24"/>
          <w:szCs w:val="24"/>
        </w:rPr>
        <w:t xml:space="preserve"> the consumption utilized by the IESO to bill NOW Inc.’s GA with the </w:t>
      </w:r>
      <w:r w:rsidR="00EA26DE">
        <w:rPr>
          <w:rFonts w:ascii="Arial" w:hAnsi="Arial" w:cs="Arial"/>
          <w:b/>
          <w:sz w:val="24"/>
          <w:szCs w:val="24"/>
        </w:rPr>
        <w:t>loss adjusted</w:t>
      </w:r>
      <w:r>
        <w:rPr>
          <w:rFonts w:ascii="Arial" w:hAnsi="Arial" w:cs="Arial"/>
          <w:b/>
          <w:sz w:val="24"/>
          <w:szCs w:val="24"/>
        </w:rPr>
        <w:t xml:space="preserve"> consumption that was billed to customers. The consumption on the IESO invoice is </w:t>
      </w:r>
      <w:r w:rsidR="00EA26DE">
        <w:rPr>
          <w:rFonts w:ascii="Arial" w:hAnsi="Arial" w:cs="Arial"/>
          <w:b/>
          <w:sz w:val="24"/>
          <w:szCs w:val="24"/>
        </w:rPr>
        <w:t xml:space="preserve">approximately 1.27% less than the loss adjusted consumption billed to customers. The resulting adjustment on the GA Analysis </w:t>
      </w:r>
      <w:proofErr w:type="spellStart"/>
      <w:r w:rsidR="00EA26DE">
        <w:rPr>
          <w:rFonts w:ascii="Arial" w:hAnsi="Arial" w:cs="Arial"/>
          <w:b/>
          <w:sz w:val="24"/>
          <w:szCs w:val="24"/>
        </w:rPr>
        <w:t>Workform</w:t>
      </w:r>
      <w:proofErr w:type="spellEnd"/>
      <w:r w:rsidR="00EA26DE">
        <w:rPr>
          <w:rFonts w:ascii="Arial" w:hAnsi="Arial" w:cs="Arial"/>
          <w:b/>
          <w:sz w:val="24"/>
          <w:szCs w:val="24"/>
        </w:rPr>
        <w:t xml:space="preserve"> captures the variance that would otherwise be included in account 1589 as the expected values in the analysis use loss adjusted billed consumption for both $ Consumption at GA Rate Billed and $ Consumption at Actual Rate Paid.</w:t>
      </w:r>
    </w:p>
    <w:p w:rsidR="00EA26DE" w:rsidRDefault="00EA26DE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the GA Analysis used separate consumption values for the amount billed and paid, then the reconciling item due to losses would be eliminated.</w:t>
      </w:r>
    </w:p>
    <w:p w:rsidR="00EA26DE" w:rsidRDefault="00EA26DE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2016 NOW Inc. purchased 126,117,560kWh</w:t>
      </w:r>
      <w:r w:rsidR="00A508E9">
        <w:rPr>
          <w:rFonts w:ascii="Arial" w:hAnsi="Arial" w:cs="Arial"/>
          <w:b/>
          <w:sz w:val="24"/>
          <w:szCs w:val="24"/>
        </w:rPr>
        <w:t xml:space="preserve"> and billed 127,734,625 loss adjusted kWh. The $86,560 variance for losses resulted from the monthly difference between consumption purchased and billed multiplied by the actual GA on the invoice at the Non-RPP split percentage.</w:t>
      </w:r>
    </w:p>
    <w:p w:rsidR="00A508E9" w:rsidRDefault="00A508E9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Ie</w:t>
      </w:r>
      <w:proofErr w:type="spellEnd"/>
      <w:r>
        <w:rPr>
          <w:rFonts w:ascii="Arial" w:hAnsi="Arial" w:cs="Arial"/>
          <w:b/>
          <w:sz w:val="24"/>
          <w:szCs w:val="24"/>
        </w:rPr>
        <w:t>. January 2016. Non-RPP split (rounded) is 53.3% Non-RPP, 46.7% RPP, Non-RPP Class B Loss Adjusted consumption is 6,951,345kWh X GA Actual Rate Paid 0.09179 = $638,064.</w:t>
      </w:r>
    </w:p>
    <w:p w:rsidR="009D6B05" w:rsidRDefault="00A508E9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Consumption per IESO Invoice is 12,925,600kWh X 53.3% (rounded) = 6,888,236kWh non-RPP X 0.09179 = $632,</w:t>
      </w:r>
      <w:r w:rsidR="00F53FF7">
        <w:rPr>
          <w:rFonts w:ascii="Arial" w:hAnsi="Arial" w:cs="Arial"/>
          <w:b/>
          <w:sz w:val="24"/>
          <w:szCs w:val="24"/>
        </w:rPr>
        <w:t>308</w:t>
      </w:r>
    </w:p>
    <w:p w:rsidR="00A508E9" w:rsidRDefault="009D6B05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Variance in January is $5,756. This process is repeated monthly in order to reach the total of $86,560.</w:t>
      </w:r>
      <w:r w:rsidR="00A508E9">
        <w:rPr>
          <w:rFonts w:ascii="Arial" w:hAnsi="Arial" w:cs="Arial"/>
          <w:b/>
          <w:sz w:val="24"/>
          <w:szCs w:val="24"/>
        </w:rPr>
        <w:t xml:space="preserve"> </w:t>
      </w:r>
    </w:p>
    <w:p w:rsidR="00F53FF7" w:rsidRDefault="00F53FF7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Alternatively, the Non-RPP split percentage can be multiplied by the GA amount charged by the IESO to achieve the same non-RPP value of $632,308.</w:t>
      </w:r>
    </w:p>
    <w:p w:rsidR="00EA26DE" w:rsidRPr="00E213B8" w:rsidRDefault="00EA26DE" w:rsidP="00E213B8">
      <w:pPr>
        <w:spacing w:after="160" w:line="252" w:lineRule="auto"/>
        <w:rPr>
          <w:rFonts w:ascii="Arial" w:hAnsi="Arial" w:cs="Arial"/>
          <w:b/>
          <w:sz w:val="24"/>
          <w:szCs w:val="24"/>
        </w:rPr>
      </w:pPr>
    </w:p>
    <w:p w:rsidR="00A526C1" w:rsidRPr="00A526C1" w:rsidRDefault="00A526C1" w:rsidP="00A526C1">
      <w:pPr>
        <w:pStyle w:val="ListParagraph"/>
        <w:rPr>
          <w:rFonts w:ascii="Arial" w:hAnsi="Arial" w:cs="Arial"/>
          <w:sz w:val="24"/>
          <w:szCs w:val="24"/>
        </w:rPr>
      </w:pPr>
    </w:p>
    <w:p w:rsidR="00A526C1" w:rsidRDefault="00A526C1" w:rsidP="00E3521A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what the manual adjustm</w:t>
      </w:r>
      <w:r w:rsidR="00BF468E">
        <w:rPr>
          <w:rFonts w:ascii="Arial" w:hAnsi="Arial" w:cs="Arial"/>
          <w:sz w:val="24"/>
          <w:szCs w:val="24"/>
        </w:rPr>
        <w:t>ents charged by the IESO relate</w:t>
      </w:r>
      <w:r>
        <w:rPr>
          <w:rFonts w:ascii="Arial" w:hAnsi="Arial" w:cs="Arial"/>
          <w:sz w:val="24"/>
          <w:szCs w:val="24"/>
        </w:rPr>
        <w:t xml:space="preserve"> to.</w:t>
      </w:r>
    </w:p>
    <w:p w:rsidR="00D161CB" w:rsidRPr="00D161CB" w:rsidRDefault="00D161CB" w:rsidP="00830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manual adjustments relate to items identified by the IESO that pertain to true ups required </w:t>
      </w:r>
      <w:r w:rsidR="00C74412">
        <w:rPr>
          <w:rFonts w:ascii="Arial" w:hAnsi="Arial" w:cs="Arial"/>
          <w:b/>
          <w:sz w:val="24"/>
          <w:szCs w:val="24"/>
        </w:rPr>
        <w:t>by</w:t>
      </w:r>
      <w:r>
        <w:rPr>
          <w:rFonts w:ascii="Arial" w:hAnsi="Arial" w:cs="Arial"/>
          <w:b/>
          <w:sz w:val="24"/>
          <w:szCs w:val="24"/>
        </w:rPr>
        <w:t xml:space="preserve"> all distributors. The amount was determined by examining the </w:t>
      </w:r>
      <w:r w:rsidR="00830C9C">
        <w:rPr>
          <w:rFonts w:ascii="Arial" w:hAnsi="Arial" w:cs="Arial"/>
          <w:b/>
          <w:sz w:val="24"/>
          <w:szCs w:val="24"/>
        </w:rPr>
        <w:t>settlement statements to determine NOW’s portion of the adjustment. These amounts would not reflect the current period’s consumption and GA rate, and hence are a reconciling item.</w:t>
      </w:r>
    </w:p>
    <w:p w:rsidR="00A526C1" w:rsidRPr="00A526C1" w:rsidRDefault="00A526C1" w:rsidP="00A526C1">
      <w:pPr>
        <w:pStyle w:val="ListParagraph"/>
        <w:rPr>
          <w:rFonts w:ascii="Arial" w:hAnsi="Arial" w:cs="Arial"/>
          <w:sz w:val="24"/>
          <w:szCs w:val="24"/>
        </w:rPr>
      </w:pPr>
    </w:p>
    <w:p w:rsidR="00D07DC2" w:rsidRDefault="00A526C1" w:rsidP="00A526C1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 w:rsidRPr="00672E00">
        <w:rPr>
          <w:rFonts w:ascii="Arial" w:hAnsi="Arial" w:cs="Arial"/>
          <w:sz w:val="24"/>
          <w:szCs w:val="24"/>
        </w:rPr>
        <w:t>Please provide the total GA amounts billed to non-RPP customers in 2016 as recorded in the applicant’s revenue G/L accounts for 2016.</w:t>
      </w:r>
    </w:p>
    <w:p w:rsidR="00A526C1" w:rsidRPr="00D07DC2" w:rsidRDefault="00D07DC2" w:rsidP="00D07DC2">
      <w:p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amount of GA billed to non-RPP </w:t>
      </w:r>
      <w:r w:rsidR="00094365">
        <w:rPr>
          <w:rFonts w:ascii="Arial" w:hAnsi="Arial" w:cs="Arial"/>
          <w:b/>
          <w:sz w:val="24"/>
          <w:szCs w:val="24"/>
        </w:rPr>
        <w:t>customers</w:t>
      </w:r>
      <w:r>
        <w:rPr>
          <w:rFonts w:ascii="Arial" w:hAnsi="Arial" w:cs="Arial"/>
          <w:b/>
          <w:sz w:val="24"/>
          <w:szCs w:val="24"/>
        </w:rPr>
        <w:t xml:space="preserve"> in 2016 as recorded in the G/L account is $6,961,878.91 exclusive of unbilled revenue. With accrued unbilled revenue as recorded in the G/L the amount of GA billed to non-RPP customers would be $6,943,850.91.</w:t>
      </w:r>
      <w:r w:rsidR="00A526C1" w:rsidRPr="00D07DC2">
        <w:rPr>
          <w:rFonts w:ascii="Arial" w:hAnsi="Arial" w:cs="Arial"/>
          <w:sz w:val="24"/>
          <w:szCs w:val="24"/>
        </w:rPr>
        <w:t xml:space="preserve"> </w:t>
      </w:r>
    </w:p>
    <w:p w:rsidR="00A526C1" w:rsidRPr="00A526C1" w:rsidRDefault="00A526C1" w:rsidP="00A526C1">
      <w:pPr>
        <w:pStyle w:val="ListParagraph"/>
        <w:rPr>
          <w:rFonts w:ascii="Arial" w:hAnsi="Arial" w:cs="Arial"/>
          <w:sz w:val="24"/>
          <w:szCs w:val="24"/>
        </w:rPr>
      </w:pPr>
    </w:p>
    <w:p w:rsidR="00262526" w:rsidRDefault="00A526C1" w:rsidP="00A526C1">
      <w:pPr>
        <w:pStyle w:val="ListParagraph"/>
        <w:numPr>
          <w:ilvl w:val="0"/>
          <w:numId w:val="1"/>
        </w:num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that the applicant does not have any customers that are billed on a non-calendar month basis.</w:t>
      </w:r>
    </w:p>
    <w:p w:rsidR="00A526C1" w:rsidRPr="00262526" w:rsidRDefault="00262526" w:rsidP="00262526">
      <w:pPr>
        <w:spacing w:after="160"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 Inc. confirms that there are no customers that are billed on a non-calendar month basis.</w:t>
      </w:r>
      <w:r w:rsidR="00A526C1" w:rsidRPr="00262526">
        <w:rPr>
          <w:rFonts w:ascii="Arial" w:hAnsi="Arial" w:cs="Arial"/>
          <w:sz w:val="24"/>
          <w:szCs w:val="24"/>
        </w:rPr>
        <w:tab/>
      </w:r>
    </w:p>
    <w:p w:rsidR="00A526C1" w:rsidRPr="00E3521A" w:rsidRDefault="00A526C1" w:rsidP="00A526C1">
      <w:pPr>
        <w:pStyle w:val="ListParagraph"/>
        <w:spacing w:after="160" w:line="252" w:lineRule="auto"/>
        <w:ind w:left="360"/>
        <w:rPr>
          <w:rFonts w:ascii="Arial" w:hAnsi="Arial" w:cs="Arial"/>
          <w:sz w:val="24"/>
          <w:szCs w:val="24"/>
        </w:rPr>
      </w:pPr>
    </w:p>
    <w:p w:rsidR="00F6173D" w:rsidRDefault="00F6173D" w:rsidP="00F6173D"/>
    <w:sectPr w:rsidR="00F6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16A3D"/>
    <w:multiLevelType w:val="hybridMultilevel"/>
    <w:tmpl w:val="EAF445DC"/>
    <w:lvl w:ilvl="0" w:tplc="7ED8C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952B3"/>
    <w:multiLevelType w:val="hybridMultilevel"/>
    <w:tmpl w:val="E014F7A6"/>
    <w:lvl w:ilvl="0" w:tplc="3CB67CC4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3D"/>
    <w:rsid w:val="00002AC9"/>
    <w:rsid w:val="00094365"/>
    <w:rsid w:val="00257AE2"/>
    <w:rsid w:val="00262526"/>
    <w:rsid w:val="003313F9"/>
    <w:rsid w:val="003A3354"/>
    <w:rsid w:val="003B3B5D"/>
    <w:rsid w:val="004701F7"/>
    <w:rsid w:val="004747FC"/>
    <w:rsid w:val="006E567E"/>
    <w:rsid w:val="00784A5B"/>
    <w:rsid w:val="00830C9C"/>
    <w:rsid w:val="0090485D"/>
    <w:rsid w:val="00916000"/>
    <w:rsid w:val="009B5422"/>
    <w:rsid w:val="009D6B05"/>
    <w:rsid w:val="00A40391"/>
    <w:rsid w:val="00A508E9"/>
    <w:rsid w:val="00A526C1"/>
    <w:rsid w:val="00BE590D"/>
    <w:rsid w:val="00BF468E"/>
    <w:rsid w:val="00C25EB1"/>
    <w:rsid w:val="00C74412"/>
    <w:rsid w:val="00D07DC2"/>
    <w:rsid w:val="00D161CB"/>
    <w:rsid w:val="00E213B8"/>
    <w:rsid w:val="00E3521A"/>
    <w:rsid w:val="00EA26DE"/>
    <w:rsid w:val="00F53FF7"/>
    <w:rsid w:val="00F6173D"/>
    <w:rsid w:val="00F8088B"/>
    <w:rsid w:val="00F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B3CFA-1FA6-4443-84B5-713BFA9C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7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73D"/>
    <w:pPr>
      <w:spacing w:after="200" w:line="276" w:lineRule="auto"/>
      <w:ind w:left="720"/>
      <w:contextualSpacing/>
    </w:pPr>
    <w:rPr>
      <w:rFonts w:asciiTheme="minorHAnsi" w:hAnsiTheme="minorHAnsi" w:cstheme="minorBidi"/>
      <w:lang w:val="en-CA"/>
    </w:rPr>
  </w:style>
  <w:style w:type="table" w:styleId="TableGrid">
    <w:name w:val="Table Grid"/>
    <w:basedOn w:val="TableNormal"/>
    <w:uiPriority w:val="59"/>
    <w:rsid w:val="00F6173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Rozic</dc:creator>
  <cp:keywords/>
  <dc:description/>
  <cp:lastModifiedBy>Geoffrey Sutton</cp:lastModifiedBy>
  <cp:revision>20</cp:revision>
  <cp:lastPrinted>2017-11-20T14:21:00Z</cp:lastPrinted>
  <dcterms:created xsi:type="dcterms:W3CDTF">2017-11-20T14:25:00Z</dcterms:created>
  <dcterms:modified xsi:type="dcterms:W3CDTF">2017-12-01T15:03:00Z</dcterms:modified>
</cp:coreProperties>
</file>