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A7FB8" w14:textId="77777777" w:rsidR="001F7A6D" w:rsidRDefault="005406CC" w:rsidP="008D1333">
      <w:pPr>
        <w:spacing w:after="0" w:line="276" w:lineRule="auto"/>
        <w:jc w:val="center"/>
        <w:rPr>
          <w:rFonts w:ascii="Arial" w:hAnsi="Arial" w:cs="Arial"/>
          <w:b/>
          <w:sz w:val="24"/>
          <w:szCs w:val="24"/>
        </w:rPr>
      </w:pPr>
      <w:r w:rsidRPr="00A774ED">
        <w:rPr>
          <w:rFonts w:ascii="Arial" w:hAnsi="Arial" w:cs="Arial"/>
          <w:b/>
          <w:sz w:val="24"/>
          <w:szCs w:val="24"/>
        </w:rPr>
        <w:t>Peterborough Distribution Inc.</w:t>
      </w:r>
      <w:r w:rsidR="001F7A6D">
        <w:rPr>
          <w:rFonts w:ascii="Arial" w:hAnsi="Arial" w:cs="Arial"/>
          <w:b/>
          <w:sz w:val="24"/>
          <w:szCs w:val="24"/>
        </w:rPr>
        <w:t xml:space="preserve"> Price Cap IR Application</w:t>
      </w:r>
      <w:r w:rsidR="00A774ED" w:rsidRPr="00A774ED">
        <w:rPr>
          <w:rFonts w:ascii="Arial" w:hAnsi="Arial" w:cs="Arial"/>
          <w:b/>
          <w:sz w:val="24"/>
          <w:szCs w:val="24"/>
        </w:rPr>
        <w:t xml:space="preserve"> (EB-2017-0266)</w:t>
      </w:r>
      <w:r w:rsidR="008D1333">
        <w:rPr>
          <w:rFonts w:ascii="Arial" w:hAnsi="Arial" w:cs="Arial"/>
          <w:b/>
          <w:sz w:val="24"/>
          <w:szCs w:val="24"/>
        </w:rPr>
        <w:t xml:space="preserve"> </w:t>
      </w:r>
    </w:p>
    <w:p w14:paraId="24D28EDC" w14:textId="77777777" w:rsidR="008D1333" w:rsidRDefault="001F7A6D" w:rsidP="008D1333">
      <w:pPr>
        <w:spacing w:after="0" w:line="276" w:lineRule="auto"/>
        <w:jc w:val="center"/>
        <w:rPr>
          <w:rFonts w:ascii="Arial" w:hAnsi="Arial" w:cs="Arial"/>
          <w:b/>
          <w:sz w:val="24"/>
          <w:szCs w:val="24"/>
        </w:rPr>
      </w:pPr>
      <w:r>
        <w:rPr>
          <w:rFonts w:ascii="Arial" w:hAnsi="Arial" w:cs="Arial"/>
          <w:b/>
          <w:sz w:val="24"/>
          <w:szCs w:val="24"/>
        </w:rPr>
        <w:t xml:space="preserve">OEB Staff </w:t>
      </w:r>
      <w:r w:rsidR="008D1333" w:rsidRPr="00A774ED">
        <w:rPr>
          <w:rFonts w:ascii="Arial" w:hAnsi="Arial" w:cs="Arial"/>
          <w:b/>
          <w:sz w:val="24"/>
          <w:szCs w:val="24"/>
        </w:rPr>
        <w:t>Questions</w:t>
      </w:r>
    </w:p>
    <w:p w14:paraId="3CBF5FAB" w14:textId="77777777" w:rsidR="005E79FF" w:rsidRPr="00A774ED" w:rsidRDefault="005E79FF" w:rsidP="008D1333">
      <w:pPr>
        <w:spacing w:after="0" w:line="276" w:lineRule="auto"/>
        <w:jc w:val="center"/>
        <w:rPr>
          <w:rFonts w:ascii="Arial" w:hAnsi="Arial" w:cs="Arial"/>
          <w:b/>
          <w:sz w:val="24"/>
          <w:szCs w:val="24"/>
        </w:rPr>
      </w:pPr>
    </w:p>
    <w:p w14:paraId="588BE9B5" w14:textId="77777777" w:rsidR="008D1333" w:rsidRDefault="008D1333" w:rsidP="006B72CA">
      <w:pPr>
        <w:spacing w:line="276" w:lineRule="auto"/>
        <w:rPr>
          <w:rFonts w:ascii="Arial" w:hAnsi="Arial" w:cs="Arial"/>
          <w:b/>
          <w:sz w:val="24"/>
          <w:szCs w:val="24"/>
        </w:rPr>
      </w:pPr>
    </w:p>
    <w:p w14:paraId="50BDD01C" w14:textId="5519759E" w:rsidR="000B03EB" w:rsidRPr="00746A76" w:rsidRDefault="000B03EB" w:rsidP="00746A76">
      <w:pPr>
        <w:spacing w:after="200" w:line="276" w:lineRule="auto"/>
        <w:rPr>
          <w:rFonts w:ascii="Arial" w:hAnsi="Arial" w:cs="Arial"/>
          <w:b/>
          <w:sz w:val="24"/>
          <w:szCs w:val="24"/>
        </w:rPr>
      </w:pPr>
      <w:r w:rsidRPr="00746A76">
        <w:rPr>
          <w:rFonts w:ascii="Arial" w:hAnsi="Arial" w:cs="Arial"/>
          <w:b/>
          <w:sz w:val="24"/>
          <w:szCs w:val="24"/>
        </w:rPr>
        <w:t>Question # 1</w:t>
      </w:r>
    </w:p>
    <w:p w14:paraId="1CE5A72D" w14:textId="77777777" w:rsidR="000B03EB" w:rsidRPr="00746A76" w:rsidRDefault="000B03EB" w:rsidP="00746A76">
      <w:pPr>
        <w:spacing w:line="276" w:lineRule="auto"/>
        <w:rPr>
          <w:rFonts w:ascii="Arial" w:hAnsi="Arial" w:cs="Arial"/>
          <w:b/>
          <w:sz w:val="24"/>
        </w:rPr>
      </w:pPr>
      <w:r w:rsidRPr="00746A76">
        <w:rPr>
          <w:rFonts w:ascii="Arial" w:hAnsi="Arial" w:cs="Arial"/>
          <w:b/>
          <w:sz w:val="24"/>
        </w:rPr>
        <w:t>Ref: Tab 6 (Class A Consumption Data) of the IRM Model</w:t>
      </w:r>
    </w:p>
    <w:p w14:paraId="0EE271FB" w14:textId="47692A3C" w:rsidR="006B64EA" w:rsidRDefault="00FC1D05" w:rsidP="00746A76">
      <w:pPr>
        <w:spacing w:after="0" w:line="276" w:lineRule="auto"/>
        <w:rPr>
          <w:rFonts w:ascii="Arial" w:hAnsi="Arial" w:cs="Arial"/>
          <w:sz w:val="24"/>
          <w:szCs w:val="24"/>
        </w:rPr>
      </w:pPr>
      <w:r w:rsidRPr="00746A76">
        <w:rPr>
          <w:rFonts w:ascii="Arial" w:hAnsi="Arial" w:cs="Arial"/>
          <w:sz w:val="24"/>
          <w:szCs w:val="24"/>
        </w:rPr>
        <w:t xml:space="preserve">Please confirm if the kWh for each customer provided in the Table “Class A Customers – Billing Determinants by Customer” is correct for 2015 and </w:t>
      </w:r>
      <w:r w:rsidR="00746A76" w:rsidRPr="00746A76">
        <w:rPr>
          <w:rFonts w:ascii="Arial" w:hAnsi="Arial" w:cs="Arial"/>
          <w:sz w:val="24"/>
          <w:szCs w:val="24"/>
        </w:rPr>
        <w:t>201</w:t>
      </w:r>
      <w:r w:rsidR="00746A76">
        <w:rPr>
          <w:rFonts w:ascii="Arial" w:hAnsi="Arial" w:cs="Arial"/>
          <w:sz w:val="24"/>
          <w:szCs w:val="24"/>
        </w:rPr>
        <w:t>6</w:t>
      </w:r>
      <w:r w:rsidRPr="00746A76">
        <w:rPr>
          <w:rFonts w:ascii="Arial" w:hAnsi="Arial" w:cs="Arial"/>
          <w:sz w:val="24"/>
          <w:szCs w:val="24"/>
        </w:rPr>
        <w:t xml:space="preserve">.  Also, please provide the kW for each customer for 2015 and 2016. </w:t>
      </w:r>
    </w:p>
    <w:p w14:paraId="288623C1" w14:textId="24CAF7D6" w:rsidR="006B64EA" w:rsidRDefault="006B64EA" w:rsidP="00746A76">
      <w:pPr>
        <w:spacing w:after="0" w:line="276" w:lineRule="auto"/>
        <w:rPr>
          <w:rFonts w:ascii="Arial" w:hAnsi="Arial" w:cs="Arial"/>
          <w:sz w:val="24"/>
          <w:szCs w:val="24"/>
        </w:rPr>
      </w:pPr>
    </w:p>
    <w:p w14:paraId="199284F1" w14:textId="474504C7" w:rsidR="006B64EA" w:rsidRDefault="006B64EA" w:rsidP="00746A76">
      <w:pPr>
        <w:spacing w:after="0" w:line="276" w:lineRule="auto"/>
        <w:rPr>
          <w:rFonts w:ascii="Arial" w:hAnsi="Arial" w:cs="Arial"/>
          <w:color w:val="C00000"/>
          <w:sz w:val="24"/>
          <w:szCs w:val="24"/>
        </w:rPr>
      </w:pPr>
      <w:r>
        <w:rPr>
          <w:rFonts w:ascii="Arial" w:hAnsi="Arial" w:cs="Arial"/>
          <w:color w:val="C00000"/>
          <w:sz w:val="24"/>
          <w:szCs w:val="24"/>
        </w:rPr>
        <w:t xml:space="preserve">The amounts previously recorded were incorrect.  </w:t>
      </w:r>
      <w:r w:rsidR="00936044">
        <w:rPr>
          <w:rFonts w:ascii="Arial" w:hAnsi="Arial" w:cs="Arial"/>
          <w:color w:val="C00000"/>
          <w:sz w:val="24"/>
          <w:szCs w:val="24"/>
        </w:rPr>
        <w:t>PDI had two Class A customers throughout the 2015 and 2016.  In addition, one General Service 50 to 4,999 KW customer transitioned to class A during the year.  Information for these customers, which has been updated in the IRM Rate Generator Model, is as follows:</w:t>
      </w:r>
    </w:p>
    <w:p w14:paraId="4493FBA0" w14:textId="55A5DBB2" w:rsidR="006B64EA" w:rsidRDefault="006B64EA" w:rsidP="00746A76">
      <w:pPr>
        <w:spacing w:after="0" w:line="276" w:lineRule="auto"/>
        <w:rPr>
          <w:rFonts w:ascii="Arial" w:hAnsi="Arial" w:cs="Arial"/>
          <w:color w:val="C00000"/>
          <w:sz w:val="24"/>
          <w:szCs w:val="24"/>
        </w:rPr>
      </w:pPr>
    </w:p>
    <w:tbl>
      <w:tblPr>
        <w:tblW w:w="8501" w:type="dxa"/>
        <w:tblLook w:val="04A0" w:firstRow="1" w:lastRow="0" w:firstColumn="1" w:lastColumn="0" w:noHBand="0" w:noVBand="1"/>
      </w:tblPr>
      <w:tblGrid>
        <w:gridCol w:w="1555"/>
        <w:gridCol w:w="3544"/>
        <w:gridCol w:w="628"/>
        <w:gridCol w:w="1357"/>
        <w:gridCol w:w="1417"/>
      </w:tblGrid>
      <w:tr w:rsidR="006B64EA" w:rsidRPr="006B64EA" w14:paraId="5DA8A08C" w14:textId="77777777" w:rsidTr="006B64EA">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0C6B" w14:textId="77777777" w:rsidR="006B64EA" w:rsidRPr="006B64EA" w:rsidRDefault="006B64EA" w:rsidP="006B64EA">
            <w:pPr>
              <w:spacing w:after="0" w:line="240" w:lineRule="auto"/>
              <w:jc w:val="center"/>
              <w:rPr>
                <w:rFonts w:ascii="Calibri" w:eastAsia="Times New Roman" w:hAnsi="Calibri" w:cs="Times New Roman"/>
                <w:b/>
                <w:bCs/>
                <w:color w:val="000000"/>
                <w:lang w:val="en-CA" w:eastAsia="en-CA"/>
              </w:rPr>
            </w:pPr>
            <w:r w:rsidRPr="006B64EA">
              <w:rPr>
                <w:rFonts w:ascii="Calibri" w:eastAsia="Times New Roman" w:hAnsi="Calibri" w:cs="Times New Roman"/>
                <w:b/>
                <w:bCs/>
                <w:color w:val="000000"/>
                <w:lang w:val="en-CA" w:eastAsia="en-CA"/>
              </w:rPr>
              <w:t>Customer</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6F045ACE" w14:textId="77777777" w:rsidR="006B64EA" w:rsidRPr="006B64EA" w:rsidRDefault="006B64EA" w:rsidP="006B64EA">
            <w:pPr>
              <w:spacing w:after="0" w:line="240" w:lineRule="auto"/>
              <w:jc w:val="center"/>
              <w:rPr>
                <w:rFonts w:ascii="Calibri" w:eastAsia="Times New Roman" w:hAnsi="Calibri" w:cs="Times New Roman"/>
                <w:b/>
                <w:bCs/>
                <w:color w:val="000000"/>
                <w:lang w:val="en-CA" w:eastAsia="en-CA"/>
              </w:rPr>
            </w:pPr>
            <w:r w:rsidRPr="006B64EA">
              <w:rPr>
                <w:rFonts w:ascii="Calibri" w:eastAsia="Times New Roman" w:hAnsi="Calibri" w:cs="Times New Roman"/>
                <w:b/>
                <w:bCs/>
                <w:color w:val="000000"/>
                <w:lang w:val="en-CA" w:eastAsia="en-CA"/>
              </w:rPr>
              <w:t>Rate Class</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14:paraId="151C8D4B" w14:textId="77777777" w:rsidR="006B64EA" w:rsidRPr="006B64EA" w:rsidRDefault="006B64EA" w:rsidP="006B64EA">
            <w:pPr>
              <w:spacing w:after="0" w:line="240" w:lineRule="auto"/>
              <w:jc w:val="center"/>
              <w:rPr>
                <w:rFonts w:ascii="Calibri" w:eastAsia="Times New Roman" w:hAnsi="Calibri" w:cs="Times New Roman"/>
                <w:b/>
                <w:bCs/>
                <w:color w:val="000000"/>
                <w:lang w:val="en-CA" w:eastAsia="en-CA"/>
              </w:rPr>
            </w:pPr>
            <w:r w:rsidRPr="006B64EA">
              <w:rPr>
                <w:rFonts w:ascii="Calibri" w:eastAsia="Times New Roman" w:hAnsi="Calibri" w:cs="Times New Roman"/>
                <w:b/>
                <w:bCs/>
                <w:color w:val="000000"/>
                <w:lang w:val="en-CA" w:eastAsia="en-CA"/>
              </w:rPr>
              <w:t> </w:t>
            </w:r>
          </w:p>
        </w:tc>
        <w:tc>
          <w:tcPr>
            <w:tcW w:w="1357" w:type="dxa"/>
            <w:tcBorders>
              <w:top w:val="single" w:sz="4" w:space="0" w:color="auto"/>
              <w:left w:val="nil"/>
              <w:bottom w:val="single" w:sz="4" w:space="0" w:color="auto"/>
              <w:right w:val="single" w:sz="4" w:space="0" w:color="000000"/>
            </w:tcBorders>
            <w:shd w:val="clear" w:color="auto" w:fill="auto"/>
            <w:noWrap/>
            <w:vAlign w:val="bottom"/>
            <w:hideMark/>
          </w:tcPr>
          <w:p w14:paraId="036544DA" w14:textId="77777777" w:rsidR="006B64EA" w:rsidRPr="006B64EA" w:rsidRDefault="006B64EA" w:rsidP="006B64EA">
            <w:pPr>
              <w:spacing w:after="0" w:line="240" w:lineRule="auto"/>
              <w:jc w:val="center"/>
              <w:rPr>
                <w:rFonts w:ascii="Calibri" w:eastAsia="Times New Roman" w:hAnsi="Calibri" w:cs="Times New Roman"/>
                <w:b/>
                <w:bCs/>
                <w:color w:val="000000"/>
                <w:lang w:val="en-CA" w:eastAsia="en-CA"/>
              </w:rPr>
            </w:pPr>
            <w:r w:rsidRPr="006B64EA">
              <w:rPr>
                <w:rFonts w:ascii="Calibri" w:eastAsia="Times New Roman" w:hAnsi="Calibri" w:cs="Times New Roman"/>
                <w:b/>
                <w:bCs/>
                <w:color w:val="000000"/>
                <w:lang w:val="en-CA" w:eastAsia="en-CA"/>
              </w:rPr>
              <w:t>2016</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5F0F0110" w14:textId="77777777" w:rsidR="006B64EA" w:rsidRPr="006B64EA" w:rsidRDefault="006B64EA" w:rsidP="006B64EA">
            <w:pPr>
              <w:spacing w:after="0" w:line="240" w:lineRule="auto"/>
              <w:jc w:val="center"/>
              <w:rPr>
                <w:rFonts w:ascii="Calibri" w:eastAsia="Times New Roman" w:hAnsi="Calibri" w:cs="Times New Roman"/>
                <w:b/>
                <w:bCs/>
                <w:color w:val="000000"/>
                <w:lang w:val="en-CA" w:eastAsia="en-CA"/>
              </w:rPr>
            </w:pPr>
            <w:r w:rsidRPr="006B64EA">
              <w:rPr>
                <w:rFonts w:ascii="Calibri" w:eastAsia="Times New Roman" w:hAnsi="Calibri" w:cs="Times New Roman"/>
                <w:b/>
                <w:bCs/>
                <w:color w:val="000000"/>
                <w:lang w:val="en-CA" w:eastAsia="en-CA"/>
              </w:rPr>
              <w:t>2015</w:t>
            </w:r>
          </w:p>
        </w:tc>
      </w:tr>
      <w:tr w:rsidR="00B1793C" w:rsidRPr="00B1793C" w14:paraId="478C2397" w14:textId="77777777" w:rsidTr="006B64EA">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2923FD9E"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Customer A1</w:t>
            </w:r>
          </w:p>
        </w:tc>
        <w:tc>
          <w:tcPr>
            <w:tcW w:w="3544" w:type="dxa"/>
            <w:tcBorders>
              <w:top w:val="nil"/>
              <w:left w:val="nil"/>
              <w:bottom w:val="single" w:sz="4" w:space="0" w:color="auto"/>
              <w:right w:val="single" w:sz="4" w:space="0" w:color="auto"/>
            </w:tcBorders>
            <w:shd w:val="clear" w:color="000000" w:fill="DCE6F1"/>
            <w:noWrap/>
            <w:vAlign w:val="bottom"/>
            <w:hideMark/>
          </w:tcPr>
          <w:p w14:paraId="64C5594F"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LARGE USE SERVICE CLASSIFICATION</w:t>
            </w:r>
          </w:p>
        </w:tc>
        <w:tc>
          <w:tcPr>
            <w:tcW w:w="628" w:type="dxa"/>
            <w:tcBorders>
              <w:top w:val="nil"/>
              <w:left w:val="nil"/>
              <w:bottom w:val="single" w:sz="4" w:space="0" w:color="auto"/>
              <w:right w:val="single" w:sz="4" w:space="0" w:color="auto"/>
            </w:tcBorders>
            <w:shd w:val="clear" w:color="auto" w:fill="auto"/>
            <w:noWrap/>
            <w:vAlign w:val="bottom"/>
            <w:hideMark/>
          </w:tcPr>
          <w:p w14:paraId="02000D69" w14:textId="77777777" w:rsidR="006B64EA" w:rsidRPr="006B64EA" w:rsidRDefault="006B64EA" w:rsidP="006B64EA">
            <w:pPr>
              <w:spacing w:after="0" w:line="240" w:lineRule="auto"/>
              <w:jc w:val="right"/>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kWh</w:t>
            </w:r>
          </w:p>
        </w:tc>
        <w:tc>
          <w:tcPr>
            <w:tcW w:w="1357" w:type="dxa"/>
            <w:tcBorders>
              <w:top w:val="single" w:sz="4" w:space="0" w:color="auto"/>
              <w:left w:val="nil"/>
              <w:bottom w:val="single" w:sz="4" w:space="0" w:color="auto"/>
              <w:right w:val="single" w:sz="4" w:space="0" w:color="000000"/>
            </w:tcBorders>
            <w:shd w:val="clear" w:color="000000" w:fill="EBF1DE"/>
            <w:noWrap/>
            <w:vAlign w:val="bottom"/>
            <w:hideMark/>
          </w:tcPr>
          <w:p w14:paraId="570F2339"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31,543,248 </w:t>
            </w:r>
          </w:p>
        </w:tc>
        <w:tc>
          <w:tcPr>
            <w:tcW w:w="1417" w:type="dxa"/>
            <w:tcBorders>
              <w:top w:val="single" w:sz="4" w:space="0" w:color="auto"/>
              <w:left w:val="nil"/>
              <w:bottom w:val="single" w:sz="4" w:space="0" w:color="auto"/>
              <w:right w:val="single" w:sz="4" w:space="0" w:color="000000"/>
            </w:tcBorders>
            <w:shd w:val="clear" w:color="000000" w:fill="EBF1DE"/>
            <w:noWrap/>
            <w:vAlign w:val="bottom"/>
            <w:hideMark/>
          </w:tcPr>
          <w:p w14:paraId="7AC736BE"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28,721,925 </w:t>
            </w:r>
          </w:p>
        </w:tc>
      </w:tr>
      <w:tr w:rsidR="00B1793C" w:rsidRPr="006B64EA" w14:paraId="0728B04A" w14:textId="77777777" w:rsidTr="006B64EA">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663E2867"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w:t>
            </w:r>
          </w:p>
        </w:tc>
        <w:tc>
          <w:tcPr>
            <w:tcW w:w="3544" w:type="dxa"/>
            <w:tcBorders>
              <w:top w:val="nil"/>
              <w:left w:val="nil"/>
              <w:bottom w:val="single" w:sz="4" w:space="0" w:color="auto"/>
              <w:right w:val="single" w:sz="4" w:space="0" w:color="auto"/>
            </w:tcBorders>
            <w:shd w:val="clear" w:color="auto" w:fill="auto"/>
            <w:noWrap/>
            <w:vAlign w:val="bottom"/>
            <w:hideMark/>
          </w:tcPr>
          <w:p w14:paraId="79A0DB5E" w14:textId="20DA9D15" w:rsidR="006B64EA" w:rsidRPr="006B64EA" w:rsidRDefault="006B64EA" w:rsidP="006B64EA">
            <w:pPr>
              <w:spacing w:after="0" w:line="240" w:lineRule="auto"/>
              <w:rPr>
                <w:rFonts w:ascii="Calibri" w:eastAsia="Times New Roman" w:hAnsi="Calibri" w:cs="Times New Roman"/>
                <w:color w:val="C00000"/>
                <w:lang w:val="en-CA" w:eastAsia="en-CA"/>
              </w:rPr>
            </w:pPr>
          </w:p>
        </w:tc>
        <w:tc>
          <w:tcPr>
            <w:tcW w:w="628" w:type="dxa"/>
            <w:tcBorders>
              <w:top w:val="nil"/>
              <w:left w:val="nil"/>
              <w:bottom w:val="single" w:sz="4" w:space="0" w:color="auto"/>
              <w:right w:val="single" w:sz="4" w:space="0" w:color="auto"/>
            </w:tcBorders>
            <w:shd w:val="clear" w:color="auto" w:fill="auto"/>
            <w:noWrap/>
            <w:vAlign w:val="bottom"/>
            <w:hideMark/>
          </w:tcPr>
          <w:p w14:paraId="2B0CB131" w14:textId="77777777" w:rsidR="006B64EA" w:rsidRPr="006B64EA" w:rsidRDefault="006B64EA" w:rsidP="006B64EA">
            <w:pPr>
              <w:spacing w:after="0" w:line="240" w:lineRule="auto"/>
              <w:jc w:val="right"/>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kW</w:t>
            </w:r>
          </w:p>
        </w:tc>
        <w:tc>
          <w:tcPr>
            <w:tcW w:w="1357" w:type="dxa"/>
            <w:tcBorders>
              <w:top w:val="single" w:sz="4" w:space="0" w:color="auto"/>
              <w:left w:val="nil"/>
              <w:bottom w:val="single" w:sz="4" w:space="0" w:color="auto"/>
              <w:right w:val="single" w:sz="4" w:space="0" w:color="000000"/>
            </w:tcBorders>
            <w:shd w:val="clear" w:color="000000" w:fill="EBF1DE"/>
            <w:noWrap/>
            <w:vAlign w:val="bottom"/>
            <w:hideMark/>
          </w:tcPr>
          <w:p w14:paraId="20F66B03"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58,590 </w:t>
            </w:r>
          </w:p>
        </w:tc>
        <w:tc>
          <w:tcPr>
            <w:tcW w:w="1417" w:type="dxa"/>
            <w:tcBorders>
              <w:top w:val="single" w:sz="4" w:space="0" w:color="auto"/>
              <w:left w:val="nil"/>
              <w:bottom w:val="single" w:sz="4" w:space="0" w:color="auto"/>
              <w:right w:val="single" w:sz="4" w:space="0" w:color="000000"/>
            </w:tcBorders>
            <w:shd w:val="clear" w:color="000000" w:fill="EBF1DE"/>
            <w:noWrap/>
            <w:vAlign w:val="bottom"/>
            <w:hideMark/>
          </w:tcPr>
          <w:p w14:paraId="28740D23"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55,646 </w:t>
            </w:r>
          </w:p>
        </w:tc>
      </w:tr>
      <w:tr w:rsidR="00B1793C" w:rsidRPr="00B1793C" w14:paraId="17DB9A89" w14:textId="77777777" w:rsidTr="006B64EA">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3EFFBFAE"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Customer A2</w:t>
            </w:r>
          </w:p>
        </w:tc>
        <w:tc>
          <w:tcPr>
            <w:tcW w:w="3544" w:type="dxa"/>
            <w:tcBorders>
              <w:top w:val="nil"/>
              <w:left w:val="nil"/>
              <w:bottom w:val="single" w:sz="4" w:space="0" w:color="auto"/>
              <w:right w:val="single" w:sz="4" w:space="0" w:color="auto"/>
            </w:tcBorders>
            <w:shd w:val="clear" w:color="000000" w:fill="DCE6F1"/>
            <w:noWrap/>
            <w:vAlign w:val="bottom"/>
            <w:hideMark/>
          </w:tcPr>
          <w:p w14:paraId="746943E9"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LARGE USE SERVICE CLASSIFICATION</w:t>
            </w:r>
          </w:p>
        </w:tc>
        <w:tc>
          <w:tcPr>
            <w:tcW w:w="628" w:type="dxa"/>
            <w:tcBorders>
              <w:top w:val="nil"/>
              <w:left w:val="nil"/>
              <w:bottom w:val="single" w:sz="4" w:space="0" w:color="auto"/>
              <w:right w:val="single" w:sz="4" w:space="0" w:color="auto"/>
            </w:tcBorders>
            <w:shd w:val="clear" w:color="auto" w:fill="auto"/>
            <w:noWrap/>
            <w:vAlign w:val="bottom"/>
            <w:hideMark/>
          </w:tcPr>
          <w:p w14:paraId="055F2959" w14:textId="77777777" w:rsidR="006B64EA" w:rsidRPr="006B64EA" w:rsidRDefault="006B64EA" w:rsidP="006B64EA">
            <w:pPr>
              <w:spacing w:after="0" w:line="240" w:lineRule="auto"/>
              <w:jc w:val="right"/>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kWh</w:t>
            </w:r>
          </w:p>
        </w:tc>
        <w:tc>
          <w:tcPr>
            <w:tcW w:w="1357" w:type="dxa"/>
            <w:tcBorders>
              <w:top w:val="single" w:sz="4" w:space="0" w:color="auto"/>
              <w:left w:val="nil"/>
              <w:bottom w:val="single" w:sz="4" w:space="0" w:color="auto"/>
              <w:right w:val="single" w:sz="4" w:space="0" w:color="000000"/>
            </w:tcBorders>
            <w:shd w:val="clear" w:color="000000" w:fill="EBF1DE"/>
            <w:noWrap/>
            <w:vAlign w:val="bottom"/>
            <w:hideMark/>
          </w:tcPr>
          <w:p w14:paraId="2EC1FDCB"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24,320,335 </w:t>
            </w:r>
          </w:p>
        </w:tc>
        <w:tc>
          <w:tcPr>
            <w:tcW w:w="1417" w:type="dxa"/>
            <w:tcBorders>
              <w:top w:val="single" w:sz="4" w:space="0" w:color="auto"/>
              <w:left w:val="nil"/>
              <w:bottom w:val="single" w:sz="4" w:space="0" w:color="auto"/>
              <w:right w:val="single" w:sz="4" w:space="0" w:color="000000"/>
            </w:tcBorders>
            <w:shd w:val="clear" w:color="000000" w:fill="EBF1DE"/>
            <w:noWrap/>
            <w:vAlign w:val="bottom"/>
            <w:hideMark/>
          </w:tcPr>
          <w:p w14:paraId="63323301" w14:textId="7B42D343" w:rsidR="006B64EA" w:rsidRPr="006B64EA" w:rsidRDefault="006B64EA" w:rsidP="00B1793C">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22,</w:t>
            </w:r>
            <w:r w:rsidR="00B1793C">
              <w:rPr>
                <w:rFonts w:ascii="Calibri" w:eastAsia="Times New Roman" w:hAnsi="Calibri" w:cs="Times New Roman"/>
                <w:color w:val="C00000"/>
                <w:lang w:val="en-CA" w:eastAsia="en-CA"/>
              </w:rPr>
              <w:t>203</w:t>
            </w:r>
            <w:r w:rsidRPr="006B64EA">
              <w:rPr>
                <w:rFonts w:ascii="Calibri" w:eastAsia="Times New Roman" w:hAnsi="Calibri" w:cs="Times New Roman"/>
                <w:color w:val="C00000"/>
                <w:lang w:val="en-CA" w:eastAsia="en-CA"/>
              </w:rPr>
              <w:t>,</w:t>
            </w:r>
            <w:r w:rsidR="00B1793C">
              <w:rPr>
                <w:rFonts w:ascii="Calibri" w:eastAsia="Times New Roman" w:hAnsi="Calibri" w:cs="Times New Roman"/>
                <w:color w:val="C00000"/>
                <w:lang w:val="en-CA" w:eastAsia="en-CA"/>
              </w:rPr>
              <w:t>745</w:t>
            </w:r>
            <w:r w:rsidRPr="006B64EA">
              <w:rPr>
                <w:rFonts w:ascii="Calibri" w:eastAsia="Times New Roman" w:hAnsi="Calibri" w:cs="Times New Roman"/>
                <w:color w:val="C00000"/>
                <w:lang w:val="en-CA" w:eastAsia="en-CA"/>
              </w:rPr>
              <w:t xml:space="preserve"> </w:t>
            </w:r>
          </w:p>
        </w:tc>
      </w:tr>
      <w:tr w:rsidR="00B1793C" w:rsidRPr="006B64EA" w14:paraId="170B3B41" w14:textId="77777777" w:rsidTr="00B1793C">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5EC44632"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w:t>
            </w:r>
          </w:p>
        </w:tc>
        <w:tc>
          <w:tcPr>
            <w:tcW w:w="3544" w:type="dxa"/>
            <w:tcBorders>
              <w:top w:val="nil"/>
              <w:left w:val="nil"/>
              <w:bottom w:val="single" w:sz="4" w:space="0" w:color="auto"/>
              <w:right w:val="single" w:sz="4" w:space="0" w:color="auto"/>
            </w:tcBorders>
            <w:shd w:val="clear" w:color="auto" w:fill="auto"/>
            <w:noWrap/>
            <w:vAlign w:val="bottom"/>
          </w:tcPr>
          <w:p w14:paraId="2AC5D07F" w14:textId="5B213CE1" w:rsidR="006B64EA" w:rsidRPr="006B64EA" w:rsidRDefault="006B64EA" w:rsidP="006B64EA">
            <w:pPr>
              <w:spacing w:after="0" w:line="240" w:lineRule="auto"/>
              <w:rPr>
                <w:rFonts w:ascii="Calibri" w:eastAsia="Times New Roman" w:hAnsi="Calibri" w:cs="Times New Roman"/>
                <w:color w:val="C00000"/>
                <w:lang w:val="en-CA" w:eastAsia="en-CA"/>
              </w:rPr>
            </w:pPr>
          </w:p>
        </w:tc>
        <w:tc>
          <w:tcPr>
            <w:tcW w:w="628" w:type="dxa"/>
            <w:tcBorders>
              <w:top w:val="nil"/>
              <w:left w:val="nil"/>
              <w:bottom w:val="single" w:sz="4" w:space="0" w:color="auto"/>
              <w:right w:val="single" w:sz="4" w:space="0" w:color="auto"/>
            </w:tcBorders>
            <w:shd w:val="clear" w:color="auto" w:fill="auto"/>
            <w:noWrap/>
            <w:vAlign w:val="bottom"/>
            <w:hideMark/>
          </w:tcPr>
          <w:p w14:paraId="01DC53EF" w14:textId="77777777" w:rsidR="006B64EA" w:rsidRPr="006B64EA" w:rsidRDefault="006B64EA" w:rsidP="006B64EA">
            <w:pPr>
              <w:spacing w:after="0" w:line="240" w:lineRule="auto"/>
              <w:jc w:val="right"/>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kW</w:t>
            </w:r>
          </w:p>
        </w:tc>
        <w:tc>
          <w:tcPr>
            <w:tcW w:w="1357" w:type="dxa"/>
            <w:tcBorders>
              <w:top w:val="single" w:sz="4" w:space="0" w:color="auto"/>
              <w:left w:val="nil"/>
              <w:bottom w:val="single" w:sz="4" w:space="0" w:color="auto"/>
              <w:right w:val="single" w:sz="4" w:space="0" w:color="000000"/>
            </w:tcBorders>
            <w:shd w:val="clear" w:color="000000" w:fill="EBF1DE"/>
            <w:noWrap/>
            <w:vAlign w:val="bottom"/>
            <w:hideMark/>
          </w:tcPr>
          <w:p w14:paraId="7C8CA959"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54,599 </w:t>
            </w:r>
          </w:p>
        </w:tc>
        <w:tc>
          <w:tcPr>
            <w:tcW w:w="1417" w:type="dxa"/>
            <w:tcBorders>
              <w:top w:val="single" w:sz="4" w:space="0" w:color="auto"/>
              <w:left w:val="nil"/>
              <w:bottom w:val="single" w:sz="4" w:space="0" w:color="auto"/>
              <w:right w:val="single" w:sz="4" w:space="0" w:color="000000"/>
            </w:tcBorders>
            <w:shd w:val="clear" w:color="000000" w:fill="EBF1DE"/>
            <w:noWrap/>
            <w:vAlign w:val="bottom"/>
            <w:hideMark/>
          </w:tcPr>
          <w:p w14:paraId="3B49BE03" w14:textId="77777777" w:rsidR="006B64EA" w:rsidRPr="006B64EA" w:rsidRDefault="006B64EA" w:rsidP="006B64EA">
            <w:pPr>
              <w:spacing w:after="0" w:line="240" w:lineRule="auto"/>
              <w:rPr>
                <w:rFonts w:ascii="Calibri" w:eastAsia="Times New Roman" w:hAnsi="Calibri" w:cs="Times New Roman"/>
                <w:color w:val="C00000"/>
                <w:lang w:val="en-CA" w:eastAsia="en-CA"/>
              </w:rPr>
            </w:pPr>
            <w:r w:rsidRPr="006B64EA">
              <w:rPr>
                <w:rFonts w:ascii="Calibri" w:eastAsia="Times New Roman" w:hAnsi="Calibri" w:cs="Times New Roman"/>
                <w:color w:val="C00000"/>
                <w:lang w:val="en-CA" w:eastAsia="en-CA"/>
              </w:rPr>
              <w:t xml:space="preserve">                                                                                50,788 </w:t>
            </w:r>
          </w:p>
        </w:tc>
      </w:tr>
    </w:tbl>
    <w:p w14:paraId="56EA11D5" w14:textId="77777777" w:rsidR="006B64EA" w:rsidRPr="006B64EA" w:rsidRDefault="006B64EA" w:rsidP="00746A76">
      <w:pPr>
        <w:spacing w:after="0" w:line="276" w:lineRule="auto"/>
        <w:rPr>
          <w:rFonts w:ascii="Arial" w:hAnsi="Arial" w:cs="Arial"/>
          <w:color w:val="C00000"/>
          <w:sz w:val="24"/>
          <w:szCs w:val="24"/>
        </w:rPr>
      </w:pPr>
    </w:p>
    <w:tbl>
      <w:tblPr>
        <w:tblW w:w="8500" w:type="dxa"/>
        <w:tblLook w:val="04A0" w:firstRow="1" w:lastRow="0" w:firstColumn="1" w:lastColumn="0" w:noHBand="0" w:noVBand="1"/>
      </w:tblPr>
      <w:tblGrid>
        <w:gridCol w:w="1555"/>
        <w:gridCol w:w="3402"/>
        <w:gridCol w:w="708"/>
        <w:gridCol w:w="1418"/>
        <w:gridCol w:w="1417"/>
      </w:tblGrid>
      <w:tr w:rsidR="00936044" w:rsidRPr="00936044" w14:paraId="11F34135" w14:textId="77777777" w:rsidTr="00936044">
        <w:trPr>
          <w:trHeight w:val="300"/>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63771C" w14:textId="77777777" w:rsidR="00936044" w:rsidRPr="00936044" w:rsidRDefault="00936044" w:rsidP="00936044">
            <w:pPr>
              <w:spacing w:after="0" w:line="240" w:lineRule="auto"/>
              <w:jc w:val="center"/>
              <w:rPr>
                <w:rFonts w:ascii="Calibri" w:eastAsia="Times New Roman" w:hAnsi="Calibri" w:cs="Times New Roman"/>
                <w:b/>
                <w:bCs/>
                <w:color w:val="000000"/>
                <w:lang w:val="en-CA" w:eastAsia="en-CA"/>
              </w:rPr>
            </w:pPr>
            <w:r w:rsidRPr="00936044">
              <w:rPr>
                <w:rFonts w:ascii="Calibri" w:eastAsia="Times New Roman" w:hAnsi="Calibri" w:cs="Times New Roman"/>
                <w:b/>
                <w:bCs/>
                <w:color w:val="000000"/>
                <w:lang w:val="en-CA" w:eastAsia="en-CA"/>
              </w:rPr>
              <w:t>Customer</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DD4AE8" w14:textId="77777777" w:rsidR="00936044" w:rsidRPr="00936044" w:rsidRDefault="00936044" w:rsidP="00936044">
            <w:pPr>
              <w:spacing w:after="0" w:line="240" w:lineRule="auto"/>
              <w:jc w:val="center"/>
              <w:rPr>
                <w:rFonts w:ascii="Calibri" w:eastAsia="Times New Roman" w:hAnsi="Calibri" w:cs="Times New Roman"/>
                <w:b/>
                <w:bCs/>
                <w:color w:val="000000"/>
                <w:lang w:val="en-CA" w:eastAsia="en-CA"/>
              </w:rPr>
            </w:pPr>
            <w:r w:rsidRPr="00936044">
              <w:rPr>
                <w:rFonts w:ascii="Calibri" w:eastAsia="Times New Roman" w:hAnsi="Calibri" w:cs="Times New Roman"/>
                <w:b/>
                <w:bCs/>
                <w:color w:val="000000"/>
                <w:lang w:val="en-CA" w:eastAsia="en-CA"/>
              </w:rPr>
              <w:t>Rate Class</w:t>
            </w:r>
          </w:p>
        </w:tc>
        <w:tc>
          <w:tcPr>
            <w:tcW w:w="708" w:type="dxa"/>
            <w:tcBorders>
              <w:top w:val="single" w:sz="4" w:space="0" w:color="auto"/>
              <w:left w:val="nil"/>
              <w:bottom w:val="nil"/>
              <w:right w:val="single" w:sz="4" w:space="0" w:color="auto"/>
            </w:tcBorders>
            <w:shd w:val="clear" w:color="auto" w:fill="auto"/>
            <w:noWrap/>
            <w:vAlign w:val="bottom"/>
            <w:hideMark/>
          </w:tcPr>
          <w:p w14:paraId="3D8F890A" w14:textId="77777777" w:rsidR="00936044" w:rsidRPr="00936044" w:rsidRDefault="00936044" w:rsidP="00936044">
            <w:pPr>
              <w:spacing w:after="0" w:line="240" w:lineRule="auto"/>
              <w:jc w:val="center"/>
              <w:rPr>
                <w:rFonts w:ascii="Calibri" w:eastAsia="Times New Roman" w:hAnsi="Calibri" w:cs="Times New Roman"/>
                <w:b/>
                <w:bCs/>
                <w:color w:val="000000"/>
                <w:lang w:val="en-CA" w:eastAsia="en-CA"/>
              </w:rPr>
            </w:pPr>
            <w:r w:rsidRPr="00936044">
              <w:rPr>
                <w:rFonts w:ascii="Calibri" w:eastAsia="Times New Roman" w:hAnsi="Calibri" w:cs="Times New Roman"/>
                <w:b/>
                <w:bCs/>
                <w:color w:val="000000"/>
                <w:lang w:val="en-CA" w:eastAsia="en-CA"/>
              </w:rPr>
              <w:t> </w:t>
            </w:r>
          </w:p>
        </w:tc>
        <w:tc>
          <w:tcPr>
            <w:tcW w:w="28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89078B" w14:textId="77777777" w:rsidR="00936044" w:rsidRPr="00936044" w:rsidRDefault="00936044" w:rsidP="00936044">
            <w:pPr>
              <w:spacing w:after="0" w:line="240" w:lineRule="auto"/>
              <w:jc w:val="center"/>
              <w:rPr>
                <w:rFonts w:ascii="Calibri" w:eastAsia="Times New Roman" w:hAnsi="Calibri" w:cs="Times New Roman"/>
                <w:b/>
                <w:bCs/>
                <w:color w:val="000000"/>
                <w:lang w:val="en-CA" w:eastAsia="en-CA"/>
              </w:rPr>
            </w:pPr>
            <w:r w:rsidRPr="00936044">
              <w:rPr>
                <w:rFonts w:ascii="Calibri" w:eastAsia="Times New Roman" w:hAnsi="Calibri" w:cs="Times New Roman"/>
                <w:b/>
                <w:bCs/>
                <w:color w:val="000000"/>
                <w:lang w:val="en-CA" w:eastAsia="en-CA"/>
              </w:rPr>
              <w:t>2016</w:t>
            </w:r>
          </w:p>
        </w:tc>
      </w:tr>
      <w:tr w:rsidR="00936044" w:rsidRPr="00936044" w14:paraId="585A51DC" w14:textId="77777777" w:rsidTr="00936044">
        <w:trPr>
          <w:trHeight w:val="300"/>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C193C56" w14:textId="77777777" w:rsidR="00936044" w:rsidRPr="00936044" w:rsidRDefault="00936044" w:rsidP="00936044">
            <w:pPr>
              <w:spacing w:after="0" w:line="240" w:lineRule="auto"/>
              <w:rPr>
                <w:rFonts w:ascii="Calibri" w:eastAsia="Times New Roman" w:hAnsi="Calibri" w:cs="Times New Roman"/>
                <w:b/>
                <w:bCs/>
                <w:color w:val="000000"/>
                <w:lang w:val="en-CA" w:eastAsia="en-CA"/>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2F2C7DEB" w14:textId="77777777" w:rsidR="00936044" w:rsidRPr="00936044" w:rsidRDefault="00936044" w:rsidP="00936044">
            <w:pPr>
              <w:spacing w:after="0" w:line="240" w:lineRule="auto"/>
              <w:rPr>
                <w:rFonts w:ascii="Calibri" w:eastAsia="Times New Roman" w:hAnsi="Calibri" w:cs="Times New Roman"/>
                <w:b/>
                <w:bCs/>
                <w:color w:val="000000"/>
                <w:lang w:val="en-CA" w:eastAsia="en-CA"/>
              </w:rPr>
            </w:pPr>
          </w:p>
        </w:tc>
        <w:tc>
          <w:tcPr>
            <w:tcW w:w="708" w:type="dxa"/>
            <w:tcBorders>
              <w:top w:val="nil"/>
              <w:left w:val="nil"/>
              <w:bottom w:val="single" w:sz="4" w:space="0" w:color="auto"/>
              <w:right w:val="single" w:sz="4" w:space="0" w:color="auto"/>
            </w:tcBorders>
            <w:shd w:val="clear" w:color="auto" w:fill="auto"/>
            <w:noWrap/>
            <w:vAlign w:val="bottom"/>
            <w:hideMark/>
          </w:tcPr>
          <w:p w14:paraId="58E76F92" w14:textId="77777777" w:rsidR="00936044" w:rsidRPr="00936044" w:rsidRDefault="00936044" w:rsidP="00936044">
            <w:pPr>
              <w:spacing w:after="0" w:line="240" w:lineRule="auto"/>
              <w:jc w:val="center"/>
              <w:rPr>
                <w:rFonts w:ascii="Calibri" w:eastAsia="Times New Roman" w:hAnsi="Calibri" w:cs="Times New Roman"/>
                <w:b/>
                <w:bCs/>
                <w:color w:val="000000"/>
                <w:lang w:val="en-CA" w:eastAsia="en-CA"/>
              </w:rPr>
            </w:pPr>
            <w:r w:rsidRPr="00936044">
              <w:rPr>
                <w:rFonts w:ascii="Calibri" w:eastAsia="Times New Roman" w:hAnsi="Calibri" w:cs="Times New Roman"/>
                <w:b/>
                <w:bCs/>
                <w:color w:val="000000"/>
                <w:lang w:val="en-CA" w:eastAsia="en-CA"/>
              </w:rPr>
              <w:t> </w:t>
            </w:r>
          </w:p>
        </w:tc>
        <w:tc>
          <w:tcPr>
            <w:tcW w:w="1418" w:type="dxa"/>
            <w:tcBorders>
              <w:top w:val="nil"/>
              <w:left w:val="nil"/>
              <w:bottom w:val="single" w:sz="4" w:space="0" w:color="auto"/>
              <w:right w:val="single" w:sz="4" w:space="0" w:color="auto"/>
            </w:tcBorders>
            <w:shd w:val="clear" w:color="auto" w:fill="auto"/>
            <w:noWrap/>
            <w:vAlign w:val="bottom"/>
            <w:hideMark/>
          </w:tcPr>
          <w:p w14:paraId="41B00DA7" w14:textId="77777777" w:rsidR="00936044" w:rsidRPr="00936044" w:rsidRDefault="00936044" w:rsidP="00936044">
            <w:pPr>
              <w:spacing w:after="0" w:line="240" w:lineRule="auto"/>
              <w:jc w:val="center"/>
              <w:rPr>
                <w:rFonts w:ascii="Calibri" w:eastAsia="Times New Roman" w:hAnsi="Calibri" w:cs="Times New Roman"/>
                <w:b/>
                <w:bCs/>
                <w:color w:val="000000"/>
                <w:lang w:val="en-CA" w:eastAsia="en-CA"/>
              </w:rPr>
            </w:pPr>
            <w:r w:rsidRPr="00936044">
              <w:rPr>
                <w:rFonts w:ascii="Calibri" w:eastAsia="Times New Roman" w:hAnsi="Calibri" w:cs="Times New Roman"/>
                <w:b/>
                <w:bCs/>
                <w:color w:val="000000"/>
                <w:lang w:val="en-CA" w:eastAsia="en-CA"/>
              </w:rPr>
              <w:t>January to June</w:t>
            </w:r>
          </w:p>
        </w:tc>
        <w:tc>
          <w:tcPr>
            <w:tcW w:w="1417" w:type="dxa"/>
            <w:tcBorders>
              <w:top w:val="nil"/>
              <w:left w:val="nil"/>
              <w:bottom w:val="single" w:sz="4" w:space="0" w:color="auto"/>
              <w:right w:val="single" w:sz="4" w:space="0" w:color="auto"/>
            </w:tcBorders>
            <w:shd w:val="clear" w:color="auto" w:fill="auto"/>
            <w:noWrap/>
            <w:vAlign w:val="bottom"/>
            <w:hideMark/>
          </w:tcPr>
          <w:p w14:paraId="1A08A2CD" w14:textId="77777777" w:rsidR="00936044" w:rsidRPr="00936044" w:rsidRDefault="00936044" w:rsidP="00936044">
            <w:pPr>
              <w:spacing w:after="0" w:line="240" w:lineRule="auto"/>
              <w:jc w:val="center"/>
              <w:rPr>
                <w:rFonts w:ascii="Calibri" w:eastAsia="Times New Roman" w:hAnsi="Calibri" w:cs="Times New Roman"/>
                <w:b/>
                <w:bCs/>
                <w:color w:val="000000"/>
                <w:lang w:val="en-CA" w:eastAsia="en-CA"/>
              </w:rPr>
            </w:pPr>
            <w:r w:rsidRPr="00936044">
              <w:rPr>
                <w:rFonts w:ascii="Calibri" w:eastAsia="Times New Roman" w:hAnsi="Calibri" w:cs="Times New Roman"/>
                <w:b/>
                <w:bCs/>
                <w:color w:val="000000"/>
                <w:lang w:val="en-CA" w:eastAsia="en-CA"/>
              </w:rPr>
              <w:t>July to December</w:t>
            </w:r>
          </w:p>
        </w:tc>
      </w:tr>
      <w:tr w:rsidR="00936044" w:rsidRPr="00936044" w14:paraId="129BA58A" w14:textId="77777777" w:rsidTr="00936044">
        <w:trPr>
          <w:trHeight w:val="300"/>
        </w:trPr>
        <w:tc>
          <w:tcPr>
            <w:tcW w:w="1555" w:type="dxa"/>
            <w:tcBorders>
              <w:top w:val="nil"/>
              <w:left w:val="single" w:sz="4" w:space="0" w:color="auto"/>
              <w:bottom w:val="nil"/>
              <w:right w:val="single" w:sz="4" w:space="0" w:color="auto"/>
            </w:tcBorders>
            <w:shd w:val="clear" w:color="auto" w:fill="auto"/>
            <w:noWrap/>
            <w:hideMark/>
          </w:tcPr>
          <w:p w14:paraId="1C035864"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Customer 1</w:t>
            </w:r>
          </w:p>
        </w:tc>
        <w:tc>
          <w:tcPr>
            <w:tcW w:w="3402" w:type="dxa"/>
            <w:tcBorders>
              <w:top w:val="nil"/>
              <w:left w:val="nil"/>
              <w:bottom w:val="single" w:sz="4" w:space="0" w:color="auto"/>
              <w:right w:val="single" w:sz="4" w:space="0" w:color="auto"/>
            </w:tcBorders>
            <w:shd w:val="clear" w:color="000000" w:fill="DCE6F1"/>
            <w:noWrap/>
            <w:vAlign w:val="bottom"/>
            <w:hideMark/>
          </w:tcPr>
          <w:p w14:paraId="4762A448"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GENERAL SERVICE 50 TO 4,999 KW SERVICE CLASSIFICATION</w:t>
            </w:r>
          </w:p>
        </w:tc>
        <w:tc>
          <w:tcPr>
            <w:tcW w:w="708" w:type="dxa"/>
            <w:tcBorders>
              <w:top w:val="nil"/>
              <w:left w:val="nil"/>
              <w:bottom w:val="nil"/>
              <w:right w:val="single" w:sz="4" w:space="0" w:color="auto"/>
            </w:tcBorders>
            <w:shd w:val="clear" w:color="auto" w:fill="auto"/>
            <w:noWrap/>
            <w:vAlign w:val="bottom"/>
            <w:hideMark/>
          </w:tcPr>
          <w:p w14:paraId="2E454196" w14:textId="77777777" w:rsidR="00936044" w:rsidRPr="00936044" w:rsidRDefault="00936044" w:rsidP="00936044">
            <w:pPr>
              <w:spacing w:after="0" w:line="240" w:lineRule="auto"/>
              <w:jc w:val="right"/>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kWh</w:t>
            </w:r>
          </w:p>
        </w:tc>
        <w:tc>
          <w:tcPr>
            <w:tcW w:w="1418" w:type="dxa"/>
            <w:tcBorders>
              <w:top w:val="nil"/>
              <w:left w:val="nil"/>
              <w:bottom w:val="single" w:sz="4" w:space="0" w:color="auto"/>
              <w:right w:val="single" w:sz="4" w:space="0" w:color="auto"/>
            </w:tcBorders>
            <w:shd w:val="clear" w:color="000000" w:fill="EBF1DE"/>
            <w:noWrap/>
            <w:vAlign w:val="bottom"/>
            <w:hideMark/>
          </w:tcPr>
          <w:p w14:paraId="31F1F2C2"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w:t>
            </w:r>
          </w:p>
        </w:tc>
        <w:tc>
          <w:tcPr>
            <w:tcW w:w="1417" w:type="dxa"/>
            <w:tcBorders>
              <w:top w:val="nil"/>
              <w:left w:val="nil"/>
              <w:bottom w:val="single" w:sz="4" w:space="0" w:color="auto"/>
              <w:right w:val="single" w:sz="4" w:space="0" w:color="auto"/>
            </w:tcBorders>
            <w:shd w:val="clear" w:color="000000" w:fill="EBF1DE"/>
            <w:noWrap/>
            <w:vAlign w:val="bottom"/>
            <w:hideMark/>
          </w:tcPr>
          <w:p w14:paraId="29FAB918"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xml:space="preserve">                        15,882,735 </w:t>
            </w:r>
          </w:p>
        </w:tc>
      </w:tr>
      <w:tr w:rsidR="00936044" w:rsidRPr="00936044" w14:paraId="01DDF173" w14:textId="77777777" w:rsidTr="00936044">
        <w:trPr>
          <w:trHeight w:val="300"/>
        </w:trPr>
        <w:tc>
          <w:tcPr>
            <w:tcW w:w="1555" w:type="dxa"/>
            <w:tcBorders>
              <w:top w:val="nil"/>
              <w:left w:val="single" w:sz="4" w:space="0" w:color="auto"/>
              <w:bottom w:val="nil"/>
              <w:right w:val="single" w:sz="4" w:space="0" w:color="auto"/>
            </w:tcBorders>
            <w:shd w:val="clear" w:color="auto" w:fill="auto"/>
            <w:noWrap/>
            <w:hideMark/>
          </w:tcPr>
          <w:p w14:paraId="782A4E1C"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w:t>
            </w:r>
          </w:p>
        </w:tc>
        <w:tc>
          <w:tcPr>
            <w:tcW w:w="3402" w:type="dxa"/>
            <w:tcBorders>
              <w:top w:val="nil"/>
              <w:left w:val="nil"/>
              <w:bottom w:val="nil"/>
              <w:right w:val="single" w:sz="4" w:space="0" w:color="auto"/>
            </w:tcBorders>
            <w:shd w:val="clear" w:color="auto" w:fill="auto"/>
            <w:noWrap/>
            <w:vAlign w:val="bottom"/>
          </w:tcPr>
          <w:p w14:paraId="0A03841B" w14:textId="0D9095FA" w:rsidR="00936044" w:rsidRPr="00936044" w:rsidRDefault="00936044" w:rsidP="00936044">
            <w:pPr>
              <w:spacing w:after="0" w:line="240" w:lineRule="auto"/>
              <w:rPr>
                <w:rFonts w:ascii="Calibri" w:eastAsia="Times New Roman" w:hAnsi="Calibri" w:cs="Times New Roman"/>
                <w:color w:val="FF0000"/>
                <w:lang w:val="en-CA" w:eastAsia="en-CA"/>
              </w:rPr>
            </w:pPr>
          </w:p>
        </w:tc>
        <w:tc>
          <w:tcPr>
            <w:tcW w:w="708" w:type="dxa"/>
            <w:tcBorders>
              <w:top w:val="nil"/>
              <w:left w:val="nil"/>
              <w:bottom w:val="nil"/>
              <w:right w:val="single" w:sz="4" w:space="0" w:color="auto"/>
            </w:tcBorders>
            <w:shd w:val="clear" w:color="auto" w:fill="auto"/>
            <w:noWrap/>
            <w:vAlign w:val="bottom"/>
            <w:hideMark/>
          </w:tcPr>
          <w:p w14:paraId="43EFC411" w14:textId="77777777" w:rsidR="00936044" w:rsidRPr="00936044" w:rsidRDefault="00936044" w:rsidP="00936044">
            <w:pPr>
              <w:spacing w:after="0" w:line="240" w:lineRule="auto"/>
              <w:jc w:val="right"/>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kW</w:t>
            </w:r>
          </w:p>
        </w:tc>
        <w:tc>
          <w:tcPr>
            <w:tcW w:w="1418" w:type="dxa"/>
            <w:tcBorders>
              <w:top w:val="nil"/>
              <w:left w:val="nil"/>
              <w:bottom w:val="single" w:sz="4" w:space="0" w:color="auto"/>
              <w:right w:val="single" w:sz="4" w:space="0" w:color="auto"/>
            </w:tcBorders>
            <w:shd w:val="clear" w:color="000000" w:fill="EBF1DE"/>
            <w:noWrap/>
            <w:vAlign w:val="bottom"/>
            <w:hideMark/>
          </w:tcPr>
          <w:p w14:paraId="6041AC39"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w:t>
            </w:r>
          </w:p>
        </w:tc>
        <w:tc>
          <w:tcPr>
            <w:tcW w:w="1417" w:type="dxa"/>
            <w:tcBorders>
              <w:top w:val="nil"/>
              <w:left w:val="nil"/>
              <w:bottom w:val="single" w:sz="4" w:space="0" w:color="auto"/>
              <w:right w:val="single" w:sz="4" w:space="0" w:color="auto"/>
            </w:tcBorders>
            <w:shd w:val="clear" w:color="000000" w:fill="EBF1DE"/>
            <w:noWrap/>
            <w:vAlign w:val="bottom"/>
            <w:hideMark/>
          </w:tcPr>
          <w:p w14:paraId="5278DDB3"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xml:space="preserve">                                27,135 </w:t>
            </w:r>
          </w:p>
        </w:tc>
      </w:tr>
      <w:tr w:rsidR="00936044" w:rsidRPr="00936044" w14:paraId="6D565036" w14:textId="77777777" w:rsidTr="00936044">
        <w:trPr>
          <w:trHeight w:val="300"/>
        </w:trPr>
        <w:tc>
          <w:tcPr>
            <w:tcW w:w="1555" w:type="dxa"/>
            <w:tcBorders>
              <w:top w:val="nil"/>
              <w:left w:val="single" w:sz="4" w:space="0" w:color="auto"/>
              <w:bottom w:val="single" w:sz="4" w:space="0" w:color="auto"/>
              <w:right w:val="single" w:sz="4" w:space="0" w:color="auto"/>
            </w:tcBorders>
            <w:shd w:val="clear" w:color="auto" w:fill="auto"/>
            <w:noWrap/>
            <w:hideMark/>
          </w:tcPr>
          <w:p w14:paraId="3A847EF3"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80716A3" w14:textId="77777777" w:rsidR="00936044" w:rsidRPr="00936044" w:rsidRDefault="00936044" w:rsidP="00936044">
            <w:pPr>
              <w:spacing w:after="0" w:line="240" w:lineRule="auto"/>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w:t>
            </w:r>
          </w:p>
        </w:tc>
        <w:tc>
          <w:tcPr>
            <w:tcW w:w="708" w:type="dxa"/>
            <w:tcBorders>
              <w:top w:val="nil"/>
              <w:left w:val="nil"/>
              <w:bottom w:val="single" w:sz="4" w:space="0" w:color="auto"/>
              <w:right w:val="single" w:sz="4" w:space="0" w:color="auto"/>
            </w:tcBorders>
            <w:shd w:val="clear" w:color="auto" w:fill="auto"/>
            <w:noWrap/>
            <w:vAlign w:val="bottom"/>
            <w:hideMark/>
          </w:tcPr>
          <w:p w14:paraId="12FC13FB" w14:textId="77777777" w:rsidR="00936044" w:rsidRPr="00936044" w:rsidRDefault="00936044" w:rsidP="00936044">
            <w:pPr>
              <w:spacing w:after="0" w:line="240" w:lineRule="auto"/>
              <w:jc w:val="right"/>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Class A/B</w:t>
            </w:r>
          </w:p>
        </w:tc>
        <w:tc>
          <w:tcPr>
            <w:tcW w:w="1418" w:type="dxa"/>
            <w:tcBorders>
              <w:top w:val="nil"/>
              <w:left w:val="nil"/>
              <w:bottom w:val="single" w:sz="4" w:space="0" w:color="auto"/>
              <w:right w:val="single" w:sz="4" w:space="0" w:color="auto"/>
            </w:tcBorders>
            <w:shd w:val="clear" w:color="000000" w:fill="DCE6F1"/>
            <w:noWrap/>
            <w:vAlign w:val="bottom"/>
            <w:hideMark/>
          </w:tcPr>
          <w:p w14:paraId="6B973077" w14:textId="77777777" w:rsidR="00936044" w:rsidRPr="00936044" w:rsidRDefault="00936044" w:rsidP="00936044">
            <w:pPr>
              <w:spacing w:after="0" w:line="240" w:lineRule="auto"/>
              <w:jc w:val="center"/>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 </w:t>
            </w:r>
          </w:p>
        </w:tc>
        <w:tc>
          <w:tcPr>
            <w:tcW w:w="1417" w:type="dxa"/>
            <w:tcBorders>
              <w:top w:val="nil"/>
              <w:left w:val="nil"/>
              <w:bottom w:val="single" w:sz="4" w:space="0" w:color="auto"/>
              <w:right w:val="single" w:sz="4" w:space="0" w:color="auto"/>
            </w:tcBorders>
            <w:shd w:val="clear" w:color="000000" w:fill="DCE6F1"/>
            <w:noWrap/>
            <w:vAlign w:val="bottom"/>
            <w:hideMark/>
          </w:tcPr>
          <w:p w14:paraId="222B2C7C" w14:textId="77777777" w:rsidR="00936044" w:rsidRPr="00936044" w:rsidRDefault="00936044" w:rsidP="00936044">
            <w:pPr>
              <w:spacing w:after="0" w:line="240" w:lineRule="auto"/>
              <w:jc w:val="center"/>
              <w:rPr>
                <w:rFonts w:ascii="Calibri" w:eastAsia="Times New Roman" w:hAnsi="Calibri" w:cs="Times New Roman"/>
                <w:color w:val="FF0000"/>
                <w:lang w:val="en-CA" w:eastAsia="en-CA"/>
              </w:rPr>
            </w:pPr>
            <w:r w:rsidRPr="00936044">
              <w:rPr>
                <w:rFonts w:ascii="Calibri" w:eastAsia="Times New Roman" w:hAnsi="Calibri" w:cs="Times New Roman"/>
                <w:color w:val="FF0000"/>
                <w:lang w:val="en-CA" w:eastAsia="en-CA"/>
              </w:rPr>
              <w:t>A</w:t>
            </w:r>
          </w:p>
        </w:tc>
      </w:tr>
    </w:tbl>
    <w:p w14:paraId="29140CDA" w14:textId="0F4E0B80" w:rsidR="000B03EB" w:rsidRDefault="000B03EB" w:rsidP="00746A76">
      <w:pPr>
        <w:spacing w:line="276" w:lineRule="auto"/>
        <w:rPr>
          <w:rFonts w:ascii="Arial" w:hAnsi="Arial" w:cs="Arial"/>
          <w:b/>
          <w:sz w:val="24"/>
          <w:szCs w:val="24"/>
        </w:rPr>
      </w:pPr>
    </w:p>
    <w:p w14:paraId="0A919BE6" w14:textId="116349D4" w:rsidR="00017B92" w:rsidRPr="00017B92" w:rsidRDefault="00017B92" w:rsidP="00746A76">
      <w:pPr>
        <w:spacing w:line="276" w:lineRule="auto"/>
        <w:rPr>
          <w:rFonts w:ascii="Arial" w:hAnsi="Arial" w:cs="Arial"/>
          <w:b/>
          <w:sz w:val="24"/>
          <w:szCs w:val="24"/>
        </w:rPr>
      </w:pPr>
      <w:r w:rsidRPr="00017B92">
        <w:rPr>
          <w:rFonts w:ascii="Arial" w:hAnsi="Arial" w:cs="Arial"/>
          <w:b/>
          <w:sz w:val="24"/>
          <w:szCs w:val="24"/>
        </w:rPr>
        <w:t>Question #2</w:t>
      </w:r>
    </w:p>
    <w:p w14:paraId="27E65EFD" w14:textId="4D29E298" w:rsidR="00431EC6" w:rsidRPr="00431EC6" w:rsidRDefault="00017B92" w:rsidP="00746A76">
      <w:pPr>
        <w:spacing w:line="276" w:lineRule="auto"/>
        <w:rPr>
          <w:rFonts w:ascii="Arial" w:hAnsi="Arial" w:cs="Arial"/>
          <w:b/>
          <w:bCs/>
          <w:sz w:val="24"/>
          <w:szCs w:val="24"/>
        </w:rPr>
      </w:pPr>
      <w:r>
        <w:rPr>
          <w:rFonts w:ascii="Arial" w:hAnsi="Arial" w:cs="Arial"/>
          <w:b/>
          <w:sz w:val="24"/>
          <w:szCs w:val="24"/>
        </w:rPr>
        <w:t xml:space="preserve">Ref: </w:t>
      </w:r>
      <w:r w:rsidR="008D1333">
        <w:rPr>
          <w:rFonts w:ascii="Arial" w:hAnsi="Arial" w:cs="Arial"/>
          <w:b/>
          <w:sz w:val="24"/>
          <w:szCs w:val="24"/>
        </w:rPr>
        <w:t>GA Analysis</w:t>
      </w:r>
      <w:r>
        <w:rPr>
          <w:rFonts w:ascii="Arial" w:hAnsi="Arial" w:cs="Arial"/>
          <w:b/>
          <w:sz w:val="24"/>
          <w:szCs w:val="24"/>
        </w:rPr>
        <w:t xml:space="preserve"> Workform</w:t>
      </w:r>
      <w:r w:rsidR="00431EC6">
        <w:rPr>
          <w:rFonts w:ascii="Arial" w:hAnsi="Arial" w:cs="Arial"/>
          <w:b/>
          <w:sz w:val="24"/>
          <w:szCs w:val="24"/>
        </w:rPr>
        <w:t xml:space="preserve"> </w:t>
      </w:r>
      <w:r w:rsidR="00431EC6" w:rsidRPr="00983952">
        <w:rPr>
          <w:rFonts w:ascii="Arial" w:hAnsi="Arial" w:cs="Arial"/>
          <w:b/>
          <w:bCs/>
          <w:sz w:val="24"/>
          <w:szCs w:val="24"/>
        </w:rPr>
        <w:t xml:space="preserve">– Reconciliation </w:t>
      </w:r>
      <w:r w:rsidR="00431EC6">
        <w:rPr>
          <w:rFonts w:ascii="Arial" w:hAnsi="Arial" w:cs="Arial"/>
          <w:b/>
          <w:bCs/>
          <w:sz w:val="24"/>
          <w:szCs w:val="24"/>
        </w:rPr>
        <w:t>items 1a and 1b and 2018 Rate Generator Model – Tab 3 Continuity Schedule</w:t>
      </w:r>
    </w:p>
    <w:p w14:paraId="6172AB9E" w14:textId="77777777" w:rsidR="00431EC6" w:rsidRPr="00A87532" w:rsidRDefault="00431EC6" w:rsidP="00746A76">
      <w:pPr>
        <w:spacing w:line="276" w:lineRule="auto"/>
        <w:rPr>
          <w:rFonts w:ascii="Arial" w:hAnsi="Arial" w:cs="Arial"/>
          <w:sz w:val="24"/>
          <w:szCs w:val="24"/>
        </w:rPr>
      </w:pPr>
      <w:r w:rsidRPr="00A87532">
        <w:rPr>
          <w:rFonts w:ascii="Arial" w:hAnsi="Arial" w:cs="Arial"/>
          <w:sz w:val="24"/>
          <w:szCs w:val="24"/>
        </w:rPr>
        <w:lastRenderedPageBreak/>
        <w:t>In booking expense journal entries for Charge Type 1142 (formerly 142), and Charge Type 148 from the IESO invoice, please confirm which of the following approaches is used:</w:t>
      </w:r>
    </w:p>
    <w:p w14:paraId="072EB141" w14:textId="77777777" w:rsidR="00431EC6" w:rsidRDefault="00431EC6" w:rsidP="000A753C">
      <w:pPr>
        <w:pStyle w:val="ListParagraph"/>
        <w:numPr>
          <w:ilvl w:val="0"/>
          <w:numId w:val="11"/>
        </w:numPr>
        <w:spacing w:after="200" w:line="276" w:lineRule="auto"/>
        <w:rPr>
          <w:rFonts w:ascii="Arial" w:hAnsi="Arial" w:cs="Arial"/>
          <w:sz w:val="24"/>
          <w:szCs w:val="24"/>
        </w:rPr>
      </w:pPr>
      <w:r w:rsidRPr="000162D6">
        <w:rPr>
          <w:rFonts w:ascii="Arial" w:hAnsi="Arial" w:cs="Arial"/>
          <w:sz w:val="24"/>
          <w:szCs w:val="24"/>
        </w:rPr>
        <w:t>Charge Type 1142 is booked into Account 1588</w:t>
      </w:r>
      <w:r>
        <w:rPr>
          <w:rFonts w:ascii="Arial" w:hAnsi="Arial" w:cs="Arial"/>
          <w:sz w:val="24"/>
          <w:szCs w:val="24"/>
        </w:rPr>
        <w:t>.</w:t>
      </w:r>
      <w:r w:rsidRPr="000162D6">
        <w:rPr>
          <w:rFonts w:ascii="Arial" w:hAnsi="Arial" w:cs="Arial"/>
          <w:sz w:val="24"/>
          <w:szCs w:val="24"/>
        </w:rPr>
        <w:t xml:space="preserve"> Charge Type 148 is pro-rated based on RPP/non-RPP consumption and then booked into Account 1588 and 1589, respectively</w:t>
      </w:r>
      <w:r>
        <w:rPr>
          <w:rStyle w:val="FootnoteReference"/>
          <w:rFonts w:ascii="Arial" w:hAnsi="Arial" w:cs="Arial"/>
          <w:sz w:val="24"/>
          <w:szCs w:val="24"/>
        </w:rPr>
        <w:footnoteReference w:id="1"/>
      </w:r>
      <w:r w:rsidRPr="000162D6">
        <w:rPr>
          <w:rFonts w:ascii="Arial" w:hAnsi="Arial" w:cs="Arial"/>
          <w:sz w:val="24"/>
          <w:szCs w:val="24"/>
        </w:rPr>
        <w:t>.</w:t>
      </w:r>
    </w:p>
    <w:p w14:paraId="2552D0D3" w14:textId="77777777" w:rsidR="00431EC6" w:rsidRDefault="00431EC6" w:rsidP="000A753C">
      <w:pPr>
        <w:pStyle w:val="ListParagraph"/>
        <w:numPr>
          <w:ilvl w:val="0"/>
          <w:numId w:val="11"/>
        </w:numPr>
        <w:spacing w:after="200" w:line="276" w:lineRule="auto"/>
        <w:rPr>
          <w:rFonts w:ascii="Arial" w:hAnsi="Arial" w:cs="Arial"/>
          <w:sz w:val="24"/>
          <w:szCs w:val="24"/>
        </w:rPr>
      </w:pPr>
      <w:r w:rsidRPr="000162D6">
        <w:rPr>
          <w:rFonts w:ascii="Arial" w:hAnsi="Arial" w:cs="Arial"/>
          <w:sz w:val="24"/>
          <w:szCs w:val="24"/>
        </w:rPr>
        <w:t>Charge Type 1142 is booked into Account 1588</w:t>
      </w:r>
      <w:r>
        <w:rPr>
          <w:rFonts w:ascii="Arial" w:hAnsi="Arial" w:cs="Arial"/>
          <w:sz w:val="24"/>
          <w:szCs w:val="24"/>
        </w:rPr>
        <w:t>. In relation to Charge Type 148, the non-RPP quantities multiplied by the GA rate is booked to account 1589 and the remainder of Charge Type 148 is booked to account 1588.</w:t>
      </w:r>
    </w:p>
    <w:p w14:paraId="7521E9B1" w14:textId="77777777" w:rsidR="00431EC6" w:rsidRDefault="00431EC6" w:rsidP="000A753C">
      <w:pPr>
        <w:pStyle w:val="ListParagraph"/>
        <w:numPr>
          <w:ilvl w:val="0"/>
          <w:numId w:val="11"/>
        </w:numPr>
        <w:spacing w:after="200" w:line="276" w:lineRule="auto"/>
        <w:rPr>
          <w:rFonts w:ascii="Arial" w:hAnsi="Arial" w:cs="Arial"/>
          <w:sz w:val="24"/>
          <w:szCs w:val="24"/>
        </w:rPr>
      </w:pPr>
      <w:r w:rsidRPr="000162D6">
        <w:rPr>
          <w:rFonts w:ascii="Arial" w:hAnsi="Arial" w:cs="Arial"/>
          <w:sz w:val="24"/>
          <w:szCs w:val="24"/>
        </w:rPr>
        <w:t>Charge Type 148 is booked into Account 1589. The portion of Charge Type 1142 equalling RPP-HOEP for RPP consumption is booked into Account 1588. The portion of Charge Type 1142 equalling GA RPP is credited into Account 1589.</w:t>
      </w:r>
    </w:p>
    <w:p w14:paraId="310F3099" w14:textId="77777777" w:rsidR="00431EC6" w:rsidRDefault="00431EC6" w:rsidP="000A753C">
      <w:pPr>
        <w:pStyle w:val="ListParagraph"/>
        <w:numPr>
          <w:ilvl w:val="0"/>
          <w:numId w:val="11"/>
        </w:numPr>
        <w:spacing w:after="200" w:line="276" w:lineRule="auto"/>
        <w:rPr>
          <w:rFonts w:ascii="Arial" w:hAnsi="Arial" w:cs="Arial"/>
          <w:sz w:val="24"/>
          <w:szCs w:val="24"/>
        </w:rPr>
      </w:pPr>
      <w:r>
        <w:rPr>
          <w:rFonts w:ascii="Arial" w:hAnsi="Arial" w:cs="Arial"/>
          <w:sz w:val="24"/>
          <w:szCs w:val="24"/>
        </w:rPr>
        <w:t>If</w:t>
      </w:r>
      <w:r w:rsidRPr="000162D6">
        <w:rPr>
          <w:rFonts w:ascii="Arial" w:hAnsi="Arial" w:cs="Arial"/>
          <w:sz w:val="24"/>
          <w:szCs w:val="24"/>
        </w:rPr>
        <w:t xml:space="preserve"> </w:t>
      </w:r>
      <w:r>
        <w:rPr>
          <w:rFonts w:ascii="Arial" w:hAnsi="Arial" w:cs="Arial"/>
          <w:sz w:val="24"/>
          <w:szCs w:val="24"/>
        </w:rPr>
        <w:t>a</w:t>
      </w:r>
      <w:r w:rsidRPr="000162D6">
        <w:rPr>
          <w:rFonts w:ascii="Arial" w:hAnsi="Arial" w:cs="Arial"/>
          <w:sz w:val="24"/>
          <w:szCs w:val="24"/>
        </w:rPr>
        <w:t>nother approach</w:t>
      </w:r>
      <w:r>
        <w:rPr>
          <w:rFonts w:ascii="Arial" w:hAnsi="Arial" w:cs="Arial"/>
          <w:sz w:val="24"/>
          <w:szCs w:val="24"/>
        </w:rPr>
        <w:t xml:space="preserve"> is used, p</w:t>
      </w:r>
      <w:r w:rsidRPr="000162D6">
        <w:rPr>
          <w:rFonts w:ascii="Arial" w:hAnsi="Arial" w:cs="Arial"/>
          <w:sz w:val="24"/>
          <w:szCs w:val="24"/>
        </w:rPr>
        <w:t>lease explain in detail.</w:t>
      </w:r>
    </w:p>
    <w:p w14:paraId="3AF3FF88" w14:textId="1EB5F8E4" w:rsidR="005406CC" w:rsidRDefault="005406CC" w:rsidP="00746A76">
      <w:pPr>
        <w:pStyle w:val="ListParagraph"/>
        <w:spacing w:line="276" w:lineRule="auto"/>
        <w:rPr>
          <w:rFonts w:ascii="Arial" w:hAnsi="Arial" w:cs="Arial"/>
          <w:sz w:val="24"/>
          <w:szCs w:val="24"/>
        </w:rPr>
      </w:pPr>
    </w:p>
    <w:p w14:paraId="461A03F1" w14:textId="0142945C" w:rsidR="006B64EA" w:rsidRPr="006B64EA" w:rsidRDefault="006B64EA" w:rsidP="00746A76">
      <w:pPr>
        <w:pStyle w:val="ListParagraph"/>
        <w:spacing w:line="276" w:lineRule="auto"/>
        <w:rPr>
          <w:rFonts w:ascii="Arial" w:hAnsi="Arial" w:cs="Arial"/>
          <w:color w:val="C00000"/>
          <w:sz w:val="24"/>
          <w:szCs w:val="24"/>
        </w:rPr>
      </w:pPr>
      <w:r>
        <w:rPr>
          <w:rFonts w:ascii="Arial" w:hAnsi="Arial" w:cs="Arial"/>
          <w:color w:val="C00000"/>
          <w:sz w:val="24"/>
          <w:szCs w:val="24"/>
        </w:rPr>
        <w:t>PDI follows approach A</w:t>
      </w:r>
      <w:r w:rsidR="00437347">
        <w:rPr>
          <w:rFonts w:ascii="Arial" w:hAnsi="Arial" w:cs="Arial"/>
          <w:color w:val="C00000"/>
          <w:sz w:val="24"/>
          <w:szCs w:val="24"/>
        </w:rPr>
        <w:t>.</w:t>
      </w:r>
    </w:p>
    <w:p w14:paraId="3D9EC6A5" w14:textId="77777777" w:rsidR="00A774ED" w:rsidRDefault="00A774ED" w:rsidP="00746A76">
      <w:pPr>
        <w:spacing w:after="200" w:line="276" w:lineRule="auto"/>
        <w:rPr>
          <w:rFonts w:ascii="Arial" w:hAnsi="Arial" w:cs="Arial"/>
          <w:b/>
          <w:sz w:val="24"/>
          <w:szCs w:val="24"/>
        </w:rPr>
      </w:pPr>
      <w:r>
        <w:rPr>
          <w:rFonts w:ascii="Arial" w:hAnsi="Arial" w:cs="Arial"/>
          <w:b/>
          <w:sz w:val="24"/>
          <w:szCs w:val="24"/>
        </w:rPr>
        <w:t>Question #3</w:t>
      </w:r>
    </w:p>
    <w:p w14:paraId="0F37714D" w14:textId="4E567C5C" w:rsidR="00A774ED" w:rsidRDefault="00A774ED" w:rsidP="00746A76">
      <w:pPr>
        <w:spacing w:after="200" w:line="276" w:lineRule="auto"/>
        <w:rPr>
          <w:rFonts w:ascii="Arial" w:hAnsi="Arial" w:cs="Arial"/>
          <w:b/>
          <w:sz w:val="24"/>
          <w:szCs w:val="24"/>
        </w:rPr>
      </w:pPr>
      <w:r w:rsidRPr="007D401F">
        <w:rPr>
          <w:rFonts w:ascii="Arial" w:hAnsi="Arial" w:cs="Arial"/>
          <w:b/>
          <w:sz w:val="24"/>
          <w:szCs w:val="24"/>
        </w:rPr>
        <w:t xml:space="preserve">Ref: </w:t>
      </w:r>
      <w:r w:rsidR="007D401F" w:rsidRPr="007D401F">
        <w:rPr>
          <w:rFonts w:ascii="Arial" w:hAnsi="Arial" w:cs="Arial"/>
          <w:b/>
          <w:sz w:val="24"/>
          <w:szCs w:val="24"/>
        </w:rPr>
        <w:t>GA Analysis Workform</w:t>
      </w:r>
      <w:r w:rsidR="00431EC6">
        <w:rPr>
          <w:rFonts w:ascii="Arial" w:hAnsi="Arial" w:cs="Arial"/>
          <w:b/>
          <w:sz w:val="24"/>
          <w:szCs w:val="24"/>
        </w:rPr>
        <w:t xml:space="preserve"> - </w:t>
      </w:r>
      <w:r w:rsidR="00431EC6" w:rsidRPr="00983952">
        <w:rPr>
          <w:rFonts w:ascii="Arial" w:hAnsi="Arial" w:cs="Arial"/>
          <w:b/>
          <w:bCs/>
          <w:sz w:val="24"/>
          <w:szCs w:val="24"/>
        </w:rPr>
        <w:t>– Reconciliation items 1a and 1b</w:t>
      </w:r>
      <w:r w:rsidR="00431EC6">
        <w:rPr>
          <w:rFonts w:ascii="Arial" w:hAnsi="Arial" w:cs="Arial"/>
          <w:b/>
          <w:bCs/>
          <w:sz w:val="24"/>
          <w:szCs w:val="24"/>
        </w:rPr>
        <w:t xml:space="preserve"> and 2018 Rate Generator Model – Tab 3 Continuity Schedule</w:t>
      </w:r>
    </w:p>
    <w:p w14:paraId="454B0B16" w14:textId="1505059D" w:rsidR="00431EC6" w:rsidRPr="00A87532" w:rsidRDefault="00431EC6" w:rsidP="00746A76">
      <w:pPr>
        <w:spacing w:line="276" w:lineRule="auto"/>
        <w:rPr>
          <w:rFonts w:ascii="Arial" w:hAnsi="Arial" w:cs="Arial"/>
          <w:sz w:val="24"/>
          <w:szCs w:val="24"/>
        </w:rPr>
      </w:pPr>
      <w:r w:rsidRPr="00A87532">
        <w:rPr>
          <w:rFonts w:ascii="Arial" w:hAnsi="Arial" w:cs="Arial"/>
          <w:sz w:val="24"/>
          <w:szCs w:val="24"/>
        </w:rPr>
        <w:t>With regards to the amount being requested for disposition of USoA 1589 account balance as at Dec. 31, 2016, all components that flow into Account 1589 (i to iv in table below) should be based on actuals in the 2018 Rate Generator Model – Tab 3 Continuity. Please complete the following table</w:t>
      </w:r>
      <w:r>
        <w:rPr>
          <w:rFonts w:ascii="Arial" w:hAnsi="Arial" w:cs="Arial"/>
          <w:sz w:val="24"/>
          <w:szCs w:val="24"/>
        </w:rPr>
        <w:t xml:space="preserve"> (</w:t>
      </w:r>
      <w:r w:rsidRPr="00746A76">
        <w:rPr>
          <w:rFonts w:ascii="Arial" w:hAnsi="Arial" w:cs="Arial"/>
          <w:b/>
          <w:sz w:val="24"/>
          <w:szCs w:val="24"/>
        </w:rPr>
        <w:t>separately for 2015 and 2016</w:t>
      </w:r>
      <w:r>
        <w:rPr>
          <w:rFonts w:ascii="Arial" w:hAnsi="Arial" w:cs="Arial"/>
          <w:sz w:val="24"/>
          <w:szCs w:val="24"/>
        </w:rPr>
        <w:t>)</w:t>
      </w:r>
      <w:r w:rsidRPr="00A87532">
        <w:rPr>
          <w:rFonts w:ascii="Arial" w:hAnsi="Arial" w:cs="Arial"/>
          <w:sz w:val="24"/>
          <w:szCs w:val="24"/>
        </w:rPr>
        <w:t xml:space="preserve"> to:</w:t>
      </w:r>
    </w:p>
    <w:p w14:paraId="6AF52893" w14:textId="77777777" w:rsidR="00431EC6" w:rsidRDefault="00431EC6" w:rsidP="000A753C">
      <w:pPr>
        <w:pStyle w:val="ListParagraph"/>
        <w:numPr>
          <w:ilvl w:val="1"/>
          <w:numId w:val="5"/>
        </w:numPr>
        <w:spacing w:after="200" w:line="276" w:lineRule="auto"/>
        <w:rPr>
          <w:rFonts w:ascii="Arial" w:hAnsi="Arial" w:cs="Arial"/>
          <w:sz w:val="24"/>
          <w:szCs w:val="24"/>
        </w:rPr>
      </w:pPr>
      <w:r>
        <w:rPr>
          <w:rFonts w:ascii="Arial" w:hAnsi="Arial" w:cs="Arial"/>
          <w:sz w:val="24"/>
          <w:szCs w:val="24"/>
        </w:rPr>
        <w:t xml:space="preserve">Indicate whether each of the components are based on estimates or actuals at year end, and </w:t>
      </w:r>
    </w:p>
    <w:p w14:paraId="5A228A95" w14:textId="77777777" w:rsidR="00431EC6" w:rsidRDefault="00431EC6" w:rsidP="000A753C">
      <w:pPr>
        <w:pStyle w:val="ListParagraph"/>
        <w:numPr>
          <w:ilvl w:val="1"/>
          <w:numId w:val="5"/>
        </w:numPr>
        <w:spacing w:after="200" w:line="276" w:lineRule="auto"/>
        <w:rPr>
          <w:rFonts w:ascii="Arial" w:hAnsi="Arial" w:cs="Arial"/>
          <w:sz w:val="24"/>
          <w:szCs w:val="24"/>
        </w:rPr>
      </w:pPr>
      <w:r>
        <w:rPr>
          <w:rFonts w:ascii="Arial" w:hAnsi="Arial" w:cs="Arial"/>
          <w:sz w:val="24"/>
          <w:szCs w:val="24"/>
        </w:rPr>
        <w:t>Quantify the adjustment amount pertaining to each component that is trued-up from estimate to actual.</w:t>
      </w:r>
    </w:p>
    <w:tbl>
      <w:tblPr>
        <w:tblStyle w:val="TableGrid"/>
        <w:tblW w:w="10435" w:type="dxa"/>
        <w:tblLook w:val="04A0" w:firstRow="1" w:lastRow="0" w:firstColumn="1" w:lastColumn="0" w:noHBand="0" w:noVBand="1"/>
      </w:tblPr>
      <w:tblGrid>
        <w:gridCol w:w="381"/>
        <w:gridCol w:w="2119"/>
        <w:gridCol w:w="1084"/>
        <w:gridCol w:w="4781"/>
        <w:gridCol w:w="2070"/>
      </w:tblGrid>
      <w:tr w:rsidR="00431EC6" w14:paraId="6BD8BE54" w14:textId="77777777" w:rsidTr="00815F41">
        <w:tc>
          <w:tcPr>
            <w:tcW w:w="381" w:type="dxa"/>
          </w:tcPr>
          <w:p w14:paraId="7A2B67A4" w14:textId="77777777" w:rsidR="00431EC6" w:rsidRPr="00360DCD" w:rsidRDefault="00431EC6" w:rsidP="00815F41">
            <w:pPr>
              <w:rPr>
                <w:rFonts w:ascii="Arial" w:hAnsi="Arial" w:cs="Arial"/>
                <w:sz w:val="20"/>
                <w:szCs w:val="20"/>
              </w:rPr>
            </w:pPr>
          </w:p>
        </w:tc>
        <w:tc>
          <w:tcPr>
            <w:tcW w:w="2119" w:type="dxa"/>
          </w:tcPr>
          <w:p w14:paraId="6E3405E5" w14:textId="77777777" w:rsidR="00431EC6" w:rsidRPr="00360DCD" w:rsidRDefault="00431EC6" w:rsidP="00815F41">
            <w:pPr>
              <w:rPr>
                <w:rFonts w:ascii="Arial" w:hAnsi="Arial" w:cs="Arial"/>
                <w:b/>
                <w:sz w:val="20"/>
                <w:szCs w:val="20"/>
              </w:rPr>
            </w:pPr>
            <w:r w:rsidRPr="00360DCD">
              <w:rPr>
                <w:rFonts w:ascii="Arial" w:hAnsi="Arial" w:cs="Arial"/>
                <w:b/>
                <w:sz w:val="20"/>
                <w:szCs w:val="20"/>
              </w:rPr>
              <w:t>Component</w:t>
            </w:r>
          </w:p>
        </w:tc>
        <w:tc>
          <w:tcPr>
            <w:tcW w:w="1084" w:type="dxa"/>
          </w:tcPr>
          <w:p w14:paraId="5CD32431" w14:textId="77777777" w:rsidR="00431EC6" w:rsidRPr="00360DCD" w:rsidRDefault="00431EC6" w:rsidP="00815F41">
            <w:pPr>
              <w:rPr>
                <w:rFonts w:ascii="Arial" w:hAnsi="Arial" w:cs="Arial"/>
                <w:b/>
                <w:sz w:val="20"/>
                <w:szCs w:val="20"/>
              </w:rPr>
            </w:pPr>
            <w:r w:rsidRPr="00360DCD">
              <w:rPr>
                <w:rFonts w:ascii="Arial" w:hAnsi="Arial" w:cs="Arial"/>
                <w:b/>
                <w:sz w:val="20"/>
                <w:szCs w:val="20"/>
              </w:rPr>
              <w:t>Estimate or Actual</w:t>
            </w:r>
          </w:p>
        </w:tc>
        <w:tc>
          <w:tcPr>
            <w:tcW w:w="4781" w:type="dxa"/>
          </w:tcPr>
          <w:p w14:paraId="2B204B56" w14:textId="77777777" w:rsidR="00431EC6" w:rsidRPr="00360DCD" w:rsidRDefault="00431EC6" w:rsidP="00815F41">
            <w:pPr>
              <w:rPr>
                <w:rFonts w:ascii="Arial" w:hAnsi="Arial" w:cs="Arial"/>
                <w:b/>
                <w:sz w:val="20"/>
                <w:szCs w:val="20"/>
              </w:rPr>
            </w:pPr>
            <w:r w:rsidRPr="00360DCD">
              <w:rPr>
                <w:rFonts w:ascii="Arial" w:hAnsi="Arial" w:cs="Arial"/>
                <w:b/>
                <w:sz w:val="20"/>
                <w:szCs w:val="20"/>
              </w:rPr>
              <w:t>Notes/Comments</w:t>
            </w:r>
          </w:p>
        </w:tc>
        <w:tc>
          <w:tcPr>
            <w:tcW w:w="2070" w:type="dxa"/>
          </w:tcPr>
          <w:p w14:paraId="10F6EC6D" w14:textId="77777777" w:rsidR="00431EC6" w:rsidRPr="00360DCD" w:rsidRDefault="00431EC6" w:rsidP="00815F41">
            <w:pPr>
              <w:rPr>
                <w:rFonts w:ascii="Arial" w:hAnsi="Arial" w:cs="Arial"/>
                <w:b/>
                <w:sz w:val="20"/>
                <w:szCs w:val="20"/>
              </w:rPr>
            </w:pPr>
            <w:r w:rsidRPr="00360DCD">
              <w:rPr>
                <w:rFonts w:ascii="Arial" w:hAnsi="Arial" w:cs="Arial"/>
                <w:b/>
                <w:sz w:val="20"/>
                <w:szCs w:val="20"/>
              </w:rPr>
              <w:t>Quantify True Up  Adjustment</w:t>
            </w:r>
            <w:r>
              <w:rPr>
                <w:rFonts w:ascii="Arial" w:hAnsi="Arial" w:cs="Arial"/>
                <w:b/>
                <w:sz w:val="20"/>
                <w:szCs w:val="20"/>
              </w:rPr>
              <w:t xml:space="preserve"> $ Amount</w:t>
            </w:r>
          </w:p>
        </w:tc>
      </w:tr>
      <w:tr w:rsidR="00431EC6" w14:paraId="2BB42C0A" w14:textId="77777777" w:rsidTr="00815F41">
        <w:tc>
          <w:tcPr>
            <w:tcW w:w="381" w:type="dxa"/>
          </w:tcPr>
          <w:p w14:paraId="750A8736" w14:textId="77777777" w:rsidR="00431EC6" w:rsidRPr="00360DCD" w:rsidRDefault="00431EC6" w:rsidP="00815F41">
            <w:pPr>
              <w:rPr>
                <w:rFonts w:ascii="Arial" w:hAnsi="Arial" w:cs="Arial"/>
                <w:sz w:val="20"/>
                <w:szCs w:val="20"/>
              </w:rPr>
            </w:pPr>
            <w:r w:rsidRPr="00360DCD">
              <w:rPr>
                <w:rFonts w:ascii="Arial" w:hAnsi="Arial" w:cs="Arial"/>
                <w:sz w:val="20"/>
                <w:szCs w:val="20"/>
              </w:rPr>
              <w:t>i</w:t>
            </w:r>
          </w:p>
        </w:tc>
        <w:tc>
          <w:tcPr>
            <w:tcW w:w="2119" w:type="dxa"/>
          </w:tcPr>
          <w:p w14:paraId="2FF215A2" w14:textId="77777777" w:rsidR="00431EC6" w:rsidRPr="00360DCD" w:rsidRDefault="00431EC6" w:rsidP="00815F41">
            <w:pPr>
              <w:rPr>
                <w:rFonts w:ascii="Arial" w:hAnsi="Arial" w:cs="Arial"/>
                <w:sz w:val="20"/>
                <w:szCs w:val="20"/>
              </w:rPr>
            </w:pPr>
            <w:r w:rsidRPr="00360DCD">
              <w:rPr>
                <w:rFonts w:ascii="Arial" w:hAnsi="Arial" w:cs="Arial"/>
                <w:sz w:val="20"/>
                <w:szCs w:val="20"/>
              </w:rPr>
              <w:t xml:space="preserve">Revenue (i.e. 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w:t>
            </w:r>
            <w:r>
              <w:rPr>
                <w:rFonts w:ascii="Arial" w:hAnsi="Arial" w:cs="Arial"/>
                <w:sz w:val="20"/>
                <w:szCs w:val="20"/>
              </w:rPr>
              <w:lastRenderedPageBreak/>
              <w:t>balances being requested for disposition?</w:t>
            </w:r>
            <w:r w:rsidRPr="00360DCD">
              <w:rPr>
                <w:rFonts w:ascii="Arial" w:hAnsi="Arial" w:cs="Arial"/>
                <w:sz w:val="20"/>
                <w:szCs w:val="20"/>
              </w:rPr>
              <w:t xml:space="preserve">) </w:t>
            </w:r>
          </w:p>
          <w:p w14:paraId="7534BACB" w14:textId="77777777" w:rsidR="00431EC6" w:rsidRPr="00360DCD" w:rsidRDefault="00431EC6" w:rsidP="00815F41">
            <w:pPr>
              <w:rPr>
                <w:rFonts w:ascii="Arial" w:hAnsi="Arial" w:cs="Arial"/>
                <w:sz w:val="20"/>
                <w:szCs w:val="20"/>
              </w:rPr>
            </w:pPr>
          </w:p>
        </w:tc>
        <w:tc>
          <w:tcPr>
            <w:tcW w:w="1084" w:type="dxa"/>
          </w:tcPr>
          <w:p w14:paraId="02EF00E0" w14:textId="71392748" w:rsidR="00431EC6" w:rsidRPr="00EC3C68" w:rsidRDefault="00EC3C68" w:rsidP="00815F41">
            <w:pPr>
              <w:rPr>
                <w:rFonts w:ascii="Arial" w:hAnsi="Arial" w:cs="Arial"/>
                <w:color w:val="C00000"/>
                <w:sz w:val="20"/>
                <w:szCs w:val="20"/>
              </w:rPr>
            </w:pPr>
            <w:r>
              <w:rPr>
                <w:rFonts w:ascii="Arial" w:hAnsi="Arial" w:cs="Arial"/>
                <w:color w:val="C00000"/>
                <w:sz w:val="20"/>
                <w:szCs w:val="20"/>
              </w:rPr>
              <w:lastRenderedPageBreak/>
              <w:t>Estimate</w:t>
            </w:r>
          </w:p>
        </w:tc>
        <w:tc>
          <w:tcPr>
            <w:tcW w:w="4781" w:type="dxa"/>
          </w:tcPr>
          <w:p w14:paraId="6EB6CC4C" w14:textId="77777777" w:rsidR="00431EC6" w:rsidRDefault="00EC3C68" w:rsidP="00B1793C">
            <w:pPr>
              <w:rPr>
                <w:rFonts w:ascii="Arial" w:hAnsi="Arial" w:cs="Arial"/>
                <w:color w:val="C00000"/>
                <w:sz w:val="20"/>
                <w:szCs w:val="20"/>
              </w:rPr>
            </w:pPr>
            <w:r>
              <w:rPr>
                <w:rFonts w:ascii="Arial" w:hAnsi="Arial" w:cs="Arial"/>
                <w:color w:val="C00000"/>
                <w:sz w:val="20"/>
                <w:szCs w:val="20"/>
              </w:rPr>
              <w:t xml:space="preserve">PDI records </w:t>
            </w:r>
            <w:r w:rsidR="00B1793C">
              <w:rPr>
                <w:rFonts w:ascii="Arial" w:hAnsi="Arial" w:cs="Arial"/>
                <w:color w:val="C00000"/>
                <w:sz w:val="20"/>
                <w:szCs w:val="20"/>
              </w:rPr>
              <w:t>revenue</w:t>
            </w:r>
            <w:r>
              <w:rPr>
                <w:rFonts w:ascii="Arial" w:hAnsi="Arial" w:cs="Arial"/>
                <w:color w:val="C00000"/>
                <w:sz w:val="20"/>
                <w:szCs w:val="20"/>
              </w:rPr>
              <w:t xml:space="preserve"> based on actual customer billings, plus an amount for amounts unbilled at year end</w:t>
            </w:r>
            <w:r w:rsidR="00C7415F">
              <w:rPr>
                <w:rFonts w:ascii="Arial" w:hAnsi="Arial" w:cs="Arial"/>
                <w:color w:val="C00000"/>
                <w:sz w:val="20"/>
                <w:szCs w:val="20"/>
              </w:rPr>
              <w:t>.</w:t>
            </w:r>
          </w:p>
          <w:p w14:paraId="30FA4FFF" w14:textId="77777777" w:rsidR="00C7415F" w:rsidRDefault="00C7415F" w:rsidP="00B1793C">
            <w:pPr>
              <w:rPr>
                <w:rFonts w:ascii="Arial" w:hAnsi="Arial" w:cs="Arial"/>
                <w:color w:val="C00000"/>
                <w:sz w:val="20"/>
                <w:szCs w:val="20"/>
              </w:rPr>
            </w:pPr>
          </w:p>
          <w:p w14:paraId="2601400F" w14:textId="450E17BB" w:rsidR="00C7415F" w:rsidRPr="00EC3C68" w:rsidRDefault="00C7415F" w:rsidP="00437347">
            <w:pPr>
              <w:rPr>
                <w:rFonts w:ascii="Arial" w:hAnsi="Arial" w:cs="Arial"/>
                <w:color w:val="C00000"/>
                <w:sz w:val="20"/>
                <w:szCs w:val="20"/>
              </w:rPr>
            </w:pPr>
            <w:r>
              <w:rPr>
                <w:rFonts w:ascii="Arial" w:hAnsi="Arial" w:cs="Arial"/>
                <w:color w:val="C00000"/>
                <w:sz w:val="20"/>
                <w:szCs w:val="20"/>
              </w:rPr>
              <w:lastRenderedPageBreak/>
              <w:t xml:space="preserve">In 2016, the unbilled revenue </w:t>
            </w:r>
            <w:r w:rsidR="00437347">
              <w:rPr>
                <w:rFonts w:ascii="Arial" w:hAnsi="Arial" w:cs="Arial"/>
                <w:color w:val="C00000"/>
                <w:sz w:val="20"/>
                <w:szCs w:val="20"/>
              </w:rPr>
              <w:t>recorded</w:t>
            </w:r>
            <w:r>
              <w:rPr>
                <w:rFonts w:ascii="Arial" w:hAnsi="Arial" w:cs="Arial"/>
                <w:color w:val="C00000"/>
                <w:sz w:val="20"/>
                <w:szCs w:val="20"/>
              </w:rPr>
              <w:t xml:space="preserve"> was based on actual consumption (not an estimate) for December, and as such no year end true up is required.</w:t>
            </w:r>
          </w:p>
        </w:tc>
        <w:tc>
          <w:tcPr>
            <w:tcW w:w="2070" w:type="dxa"/>
          </w:tcPr>
          <w:p w14:paraId="51651C85" w14:textId="77777777" w:rsidR="00431EC6" w:rsidRPr="00CC0E92" w:rsidRDefault="00CC0E92" w:rsidP="00815F41">
            <w:pPr>
              <w:jc w:val="center"/>
              <w:rPr>
                <w:rFonts w:ascii="Arial" w:hAnsi="Arial" w:cs="Arial"/>
                <w:color w:val="FF0000"/>
                <w:sz w:val="20"/>
                <w:szCs w:val="20"/>
              </w:rPr>
            </w:pPr>
            <w:r w:rsidRPr="00CC0E92">
              <w:rPr>
                <w:rFonts w:ascii="Arial" w:hAnsi="Arial" w:cs="Arial"/>
                <w:color w:val="FF0000"/>
                <w:sz w:val="20"/>
                <w:szCs w:val="20"/>
              </w:rPr>
              <w:lastRenderedPageBreak/>
              <w:t>2015 - $177,398</w:t>
            </w:r>
          </w:p>
          <w:p w14:paraId="19033926" w14:textId="09DD5522" w:rsidR="00CC0E92" w:rsidRPr="00360DCD" w:rsidRDefault="00CC0E92" w:rsidP="00815F41">
            <w:pPr>
              <w:jc w:val="center"/>
              <w:rPr>
                <w:rFonts w:ascii="Arial" w:hAnsi="Arial" w:cs="Arial"/>
                <w:sz w:val="20"/>
                <w:szCs w:val="20"/>
              </w:rPr>
            </w:pPr>
          </w:p>
        </w:tc>
      </w:tr>
      <w:tr w:rsidR="00431EC6" w14:paraId="2D55A417" w14:textId="77777777" w:rsidTr="00815F41">
        <w:tc>
          <w:tcPr>
            <w:tcW w:w="381" w:type="dxa"/>
          </w:tcPr>
          <w:p w14:paraId="3A0A4F2E" w14:textId="77777777" w:rsidR="00431EC6" w:rsidRPr="00360DCD" w:rsidRDefault="00431EC6" w:rsidP="00815F41">
            <w:pPr>
              <w:rPr>
                <w:rFonts w:ascii="Arial" w:hAnsi="Arial" w:cs="Arial"/>
                <w:sz w:val="20"/>
                <w:szCs w:val="20"/>
              </w:rPr>
            </w:pPr>
            <w:r w:rsidRPr="00360DCD">
              <w:rPr>
                <w:rFonts w:ascii="Arial" w:hAnsi="Arial" w:cs="Arial"/>
                <w:sz w:val="20"/>
                <w:szCs w:val="20"/>
              </w:rPr>
              <w:t>ii</w:t>
            </w:r>
          </w:p>
        </w:tc>
        <w:tc>
          <w:tcPr>
            <w:tcW w:w="2119" w:type="dxa"/>
          </w:tcPr>
          <w:p w14:paraId="388C5F7E" w14:textId="77777777" w:rsidR="00431EC6" w:rsidRPr="00360DCD" w:rsidRDefault="00431EC6" w:rsidP="00815F41">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14:paraId="7C383F0F" w14:textId="77777777" w:rsidR="00431EC6" w:rsidRPr="00360DCD" w:rsidRDefault="00431EC6" w:rsidP="00815F41">
            <w:pPr>
              <w:rPr>
                <w:rFonts w:ascii="Arial" w:hAnsi="Arial" w:cs="Arial"/>
                <w:sz w:val="20"/>
                <w:szCs w:val="20"/>
              </w:rPr>
            </w:pPr>
          </w:p>
        </w:tc>
        <w:tc>
          <w:tcPr>
            <w:tcW w:w="1084" w:type="dxa"/>
          </w:tcPr>
          <w:p w14:paraId="14D81DEF" w14:textId="38B04E13" w:rsidR="00431EC6" w:rsidRPr="00EC3C68" w:rsidRDefault="00EC3C68" w:rsidP="00815F41">
            <w:pPr>
              <w:rPr>
                <w:rFonts w:ascii="Arial" w:hAnsi="Arial" w:cs="Arial"/>
                <w:color w:val="C00000"/>
                <w:sz w:val="20"/>
                <w:szCs w:val="20"/>
              </w:rPr>
            </w:pPr>
            <w:r>
              <w:rPr>
                <w:rFonts w:ascii="Arial" w:hAnsi="Arial" w:cs="Arial"/>
                <w:color w:val="C00000"/>
                <w:sz w:val="20"/>
                <w:szCs w:val="20"/>
              </w:rPr>
              <w:t>Actual</w:t>
            </w:r>
          </w:p>
        </w:tc>
        <w:tc>
          <w:tcPr>
            <w:tcW w:w="4781" w:type="dxa"/>
          </w:tcPr>
          <w:p w14:paraId="42011A7D" w14:textId="4686B809" w:rsidR="00431EC6" w:rsidRPr="00EC3C68" w:rsidRDefault="00EC3C68" w:rsidP="00815F41">
            <w:pPr>
              <w:rPr>
                <w:rFonts w:ascii="Arial" w:hAnsi="Arial" w:cs="Arial"/>
                <w:color w:val="C00000"/>
                <w:sz w:val="20"/>
                <w:szCs w:val="20"/>
              </w:rPr>
            </w:pPr>
            <w:r>
              <w:rPr>
                <w:rFonts w:ascii="Arial" w:hAnsi="Arial" w:cs="Arial"/>
                <w:color w:val="C00000"/>
                <w:sz w:val="20"/>
                <w:szCs w:val="20"/>
              </w:rPr>
              <w:t>Expense is based on the IESO invoice at year end.</w:t>
            </w:r>
          </w:p>
        </w:tc>
        <w:tc>
          <w:tcPr>
            <w:tcW w:w="2070" w:type="dxa"/>
          </w:tcPr>
          <w:p w14:paraId="3F61FDE2" w14:textId="77777777" w:rsidR="00431EC6" w:rsidRPr="00360DCD" w:rsidRDefault="00431EC6" w:rsidP="00815F41">
            <w:pPr>
              <w:rPr>
                <w:rFonts w:ascii="Arial" w:hAnsi="Arial" w:cs="Arial"/>
                <w:sz w:val="20"/>
                <w:szCs w:val="20"/>
              </w:rPr>
            </w:pPr>
          </w:p>
        </w:tc>
      </w:tr>
      <w:tr w:rsidR="00431EC6" w14:paraId="60B31EF2" w14:textId="77777777" w:rsidTr="00815F41">
        <w:tc>
          <w:tcPr>
            <w:tcW w:w="381" w:type="dxa"/>
          </w:tcPr>
          <w:p w14:paraId="4984C9CA" w14:textId="77777777" w:rsidR="00431EC6" w:rsidRPr="00360DCD" w:rsidRDefault="00431EC6" w:rsidP="00815F41">
            <w:pPr>
              <w:rPr>
                <w:rFonts w:ascii="Arial" w:hAnsi="Arial" w:cs="Arial"/>
                <w:sz w:val="20"/>
                <w:szCs w:val="20"/>
              </w:rPr>
            </w:pPr>
            <w:r>
              <w:rPr>
                <w:rFonts w:ascii="Arial" w:hAnsi="Arial" w:cs="Arial"/>
                <w:sz w:val="20"/>
                <w:szCs w:val="20"/>
              </w:rPr>
              <w:t>i</w:t>
            </w:r>
            <w:r w:rsidRPr="00360DCD">
              <w:rPr>
                <w:rFonts w:ascii="Arial" w:hAnsi="Arial" w:cs="Arial"/>
                <w:sz w:val="20"/>
                <w:szCs w:val="20"/>
              </w:rPr>
              <w:t>ii</w:t>
            </w:r>
          </w:p>
        </w:tc>
        <w:tc>
          <w:tcPr>
            <w:tcW w:w="2119" w:type="dxa"/>
          </w:tcPr>
          <w:p w14:paraId="063E3682" w14:textId="77777777" w:rsidR="00431EC6" w:rsidRPr="00360DCD" w:rsidRDefault="00431EC6" w:rsidP="00815F41">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p w14:paraId="1BBDD0D3" w14:textId="77777777" w:rsidR="00431EC6" w:rsidRPr="00360DCD" w:rsidRDefault="00431EC6" w:rsidP="00815F41">
            <w:pPr>
              <w:rPr>
                <w:rFonts w:ascii="Arial" w:hAnsi="Arial" w:cs="Arial"/>
                <w:sz w:val="20"/>
                <w:szCs w:val="20"/>
              </w:rPr>
            </w:pPr>
          </w:p>
        </w:tc>
        <w:tc>
          <w:tcPr>
            <w:tcW w:w="1084" w:type="dxa"/>
          </w:tcPr>
          <w:p w14:paraId="5C00FFF3" w14:textId="36BBBC4F" w:rsidR="00431EC6" w:rsidRPr="00360DCD" w:rsidRDefault="00445675" w:rsidP="00815F41">
            <w:pPr>
              <w:rPr>
                <w:rFonts w:ascii="Arial" w:hAnsi="Arial" w:cs="Arial"/>
                <w:sz w:val="20"/>
                <w:szCs w:val="20"/>
              </w:rPr>
            </w:pPr>
            <w:r w:rsidRPr="00445675">
              <w:rPr>
                <w:rFonts w:ascii="Arial" w:hAnsi="Arial" w:cs="Arial"/>
                <w:color w:val="FF0000"/>
                <w:sz w:val="20"/>
                <w:szCs w:val="20"/>
              </w:rPr>
              <w:t>N/A</w:t>
            </w:r>
          </w:p>
        </w:tc>
        <w:tc>
          <w:tcPr>
            <w:tcW w:w="4781" w:type="dxa"/>
          </w:tcPr>
          <w:p w14:paraId="2D67EA31" w14:textId="77777777" w:rsidR="00431EC6" w:rsidRPr="00360DCD" w:rsidRDefault="00431EC6" w:rsidP="00815F41">
            <w:pPr>
              <w:rPr>
                <w:rFonts w:ascii="Arial" w:hAnsi="Arial" w:cs="Arial"/>
                <w:sz w:val="20"/>
                <w:szCs w:val="20"/>
              </w:rPr>
            </w:pPr>
          </w:p>
        </w:tc>
        <w:tc>
          <w:tcPr>
            <w:tcW w:w="2070" w:type="dxa"/>
          </w:tcPr>
          <w:p w14:paraId="06901646" w14:textId="77777777" w:rsidR="00431EC6" w:rsidRPr="00360DCD" w:rsidRDefault="00431EC6" w:rsidP="00815F41">
            <w:pPr>
              <w:rPr>
                <w:rFonts w:ascii="Arial" w:hAnsi="Arial" w:cs="Arial"/>
                <w:sz w:val="20"/>
                <w:szCs w:val="20"/>
              </w:rPr>
            </w:pPr>
          </w:p>
        </w:tc>
      </w:tr>
      <w:tr w:rsidR="00431EC6" w14:paraId="09B34778" w14:textId="77777777" w:rsidTr="00815F41">
        <w:trPr>
          <w:trHeight w:val="1070"/>
        </w:trPr>
        <w:tc>
          <w:tcPr>
            <w:tcW w:w="381" w:type="dxa"/>
          </w:tcPr>
          <w:p w14:paraId="52B70780" w14:textId="77777777" w:rsidR="00431EC6" w:rsidRPr="00360DCD" w:rsidRDefault="00431EC6" w:rsidP="00815F41">
            <w:pPr>
              <w:rPr>
                <w:rFonts w:ascii="Arial" w:hAnsi="Arial" w:cs="Arial"/>
                <w:sz w:val="20"/>
                <w:szCs w:val="20"/>
              </w:rPr>
            </w:pPr>
            <w:r w:rsidRPr="00360DCD">
              <w:rPr>
                <w:rFonts w:ascii="Arial" w:hAnsi="Arial" w:cs="Arial"/>
                <w:sz w:val="20"/>
                <w:szCs w:val="20"/>
              </w:rPr>
              <w:t>iv</w:t>
            </w:r>
          </w:p>
        </w:tc>
        <w:tc>
          <w:tcPr>
            <w:tcW w:w="2119" w:type="dxa"/>
          </w:tcPr>
          <w:p w14:paraId="52A78E51" w14:textId="77777777" w:rsidR="00431EC6" w:rsidRPr="00360DCD" w:rsidRDefault="00431EC6" w:rsidP="00815F41">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 xml:space="preserve">if the approach under </w:t>
            </w:r>
            <w:r>
              <w:rPr>
                <w:rFonts w:ascii="Arial" w:hAnsi="Arial" w:cs="Arial"/>
                <w:sz w:val="20"/>
                <w:szCs w:val="20"/>
              </w:rPr>
              <w:t xml:space="preserve">Staff Question </w:t>
            </w:r>
            <w:r w:rsidRPr="00360DCD">
              <w:rPr>
                <w:rFonts w:ascii="Arial" w:hAnsi="Arial" w:cs="Arial"/>
                <w:sz w:val="20"/>
                <w:szCs w:val="20"/>
              </w:rPr>
              <w:t>1</w:t>
            </w:r>
            <w:r>
              <w:rPr>
                <w:rFonts w:ascii="Arial" w:hAnsi="Arial" w:cs="Arial"/>
                <w:sz w:val="20"/>
                <w:szCs w:val="20"/>
              </w:rPr>
              <w:t>c</w:t>
            </w:r>
            <w:r w:rsidRPr="00360DCD">
              <w:rPr>
                <w:rFonts w:ascii="Arial" w:hAnsi="Arial" w:cs="Arial"/>
                <w:sz w:val="20"/>
                <w:szCs w:val="20"/>
              </w:rPr>
              <w:t xml:space="preserve"> is used</w:t>
            </w:r>
          </w:p>
        </w:tc>
        <w:tc>
          <w:tcPr>
            <w:tcW w:w="1084" w:type="dxa"/>
          </w:tcPr>
          <w:p w14:paraId="010BAAF2" w14:textId="098B6508" w:rsidR="00431EC6" w:rsidRPr="00B1793C" w:rsidRDefault="00B1793C" w:rsidP="00815F41">
            <w:pPr>
              <w:rPr>
                <w:rFonts w:ascii="Arial" w:hAnsi="Arial" w:cs="Arial"/>
                <w:color w:val="C00000"/>
                <w:sz w:val="20"/>
                <w:szCs w:val="20"/>
              </w:rPr>
            </w:pPr>
            <w:r>
              <w:rPr>
                <w:rFonts w:ascii="Arial" w:hAnsi="Arial" w:cs="Arial"/>
                <w:color w:val="C00000"/>
                <w:sz w:val="20"/>
                <w:szCs w:val="20"/>
              </w:rPr>
              <w:t>N/A</w:t>
            </w:r>
          </w:p>
        </w:tc>
        <w:tc>
          <w:tcPr>
            <w:tcW w:w="4781" w:type="dxa"/>
          </w:tcPr>
          <w:p w14:paraId="37A9C082" w14:textId="77777777" w:rsidR="00431EC6" w:rsidRPr="00360DCD" w:rsidRDefault="00431EC6" w:rsidP="00815F41">
            <w:pPr>
              <w:rPr>
                <w:rFonts w:ascii="Arial" w:hAnsi="Arial" w:cs="Arial"/>
                <w:sz w:val="20"/>
                <w:szCs w:val="20"/>
              </w:rPr>
            </w:pPr>
          </w:p>
        </w:tc>
        <w:tc>
          <w:tcPr>
            <w:tcW w:w="2070" w:type="dxa"/>
          </w:tcPr>
          <w:p w14:paraId="064B16B8" w14:textId="77777777" w:rsidR="00431EC6" w:rsidRPr="00360DCD" w:rsidRDefault="00431EC6" w:rsidP="00815F41">
            <w:pPr>
              <w:rPr>
                <w:rFonts w:ascii="Arial" w:hAnsi="Arial" w:cs="Arial"/>
                <w:sz w:val="20"/>
                <w:szCs w:val="20"/>
              </w:rPr>
            </w:pPr>
          </w:p>
        </w:tc>
      </w:tr>
    </w:tbl>
    <w:p w14:paraId="3DC98A08" w14:textId="1E19385D" w:rsidR="00431EC6" w:rsidRDefault="00431EC6" w:rsidP="00431EC6">
      <w:pPr>
        <w:rPr>
          <w:rFonts w:ascii="Arial" w:hAnsi="Arial" w:cs="Arial"/>
          <w:b/>
          <w:sz w:val="24"/>
          <w:szCs w:val="24"/>
        </w:rPr>
      </w:pPr>
    </w:p>
    <w:p w14:paraId="4893FC62" w14:textId="77777777" w:rsidR="00EC3C68" w:rsidRDefault="00EC3C68" w:rsidP="00431EC6">
      <w:pPr>
        <w:rPr>
          <w:rFonts w:ascii="Arial" w:hAnsi="Arial" w:cs="Arial"/>
          <w:b/>
          <w:sz w:val="24"/>
          <w:szCs w:val="24"/>
        </w:rPr>
      </w:pPr>
    </w:p>
    <w:p w14:paraId="77C11AA9" w14:textId="5EE04962" w:rsidR="00431EC6" w:rsidRPr="00F83055" w:rsidRDefault="00431EC6" w:rsidP="00746A76">
      <w:pPr>
        <w:pStyle w:val="ListParagraph"/>
        <w:numPr>
          <w:ilvl w:val="1"/>
          <w:numId w:val="5"/>
        </w:numPr>
        <w:spacing w:after="200" w:line="276" w:lineRule="auto"/>
        <w:rPr>
          <w:rFonts w:ascii="Arial" w:hAnsi="Arial" w:cs="Arial"/>
          <w:sz w:val="24"/>
          <w:szCs w:val="24"/>
        </w:rPr>
      </w:pPr>
      <w:r>
        <w:rPr>
          <w:rFonts w:ascii="Arial" w:hAnsi="Arial" w:cs="Arial"/>
          <w:sz w:val="24"/>
          <w:szCs w:val="24"/>
        </w:rPr>
        <w:t xml:space="preserve">For each item in the tables above, please confirm that the GA Analysis Workform for 2016 and the 2018 Rate Generator Model Tab 3 Continuity Schedule for 2016 have been adjusted for settlement true-ups where settlement was originally based on estimate and trued up to actuals subsequent to 2016. </w:t>
      </w:r>
    </w:p>
    <w:p w14:paraId="5D0243C7" w14:textId="6E1ACC2A" w:rsidR="005406CC" w:rsidRPr="00B1793C" w:rsidRDefault="00936044" w:rsidP="006B72CA">
      <w:pPr>
        <w:spacing w:after="200" w:line="276" w:lineRule="auto"/>
        <w:rPr>
          <w:rFonts w:ascii="Arial" w:hAnsi="Arial" w:cs="Arial"/>
          <w:color w:val="C00000"/>
          <w:sz w:val="24"/>
          <w:szCs w:val="24"/>
        </w:rPr>
      </w:pPr>
      <w:r>
        <w:rPr>
          <w:rFonts w:ascii="Arial" w:hAnsi="Arial" w:cs="Arial"/>
          <w:color w:val="C00000"/>
          <w:sz w:val="24"/>
          <w:szCs w:val="24"/>
        </w:rPr>
        <w:t>The GA Analysis workform has been adjusted for where settlement was originally based on estimate</w:t>
      </w:r>
      <w:r w:rsidR="007B6646">
        <w:rPr>
          <w:rFonts w:ascii="Arial" w:hAnsi="Arial" w:cs="Arial"/>
          <w:color w:val="C00000"/>
          <w:sz w:val="24"/>
          <w:szCs w:val="24"/>
        </w:rPr>
        <w:t xml:space="preserve"> (Note 5 reconciling items 2a and 2b)</w:t>
      </w:r>
      <w:r>
        <w:rPr>
          <w:rFonts w:ascii="Arial" w:hAnsi="Arial" w:cs="Arial"/>
          <w:color w:val="C00000"/>
          <w:sz w:val="24"/>
          <w:szCs w:val="24"/>
        </w:rPr>
        <w:t>; the 2018 Rate Generator Model Tab 3 has not been adjusted.</w:t>
      </w:r>
    </w:p>
    <w:p w14:paraId="68F513AE" w14:textId="77777777" w:rsidR="005406CC" w:rsidRPr="007D401F" w:rsidRDefault="007D401F" w:rsidP="00746A76">
      <w:pPr>
        <w:spacing w:line="276" w:lineRule="auto"/>
        <w:rPr>
          <w:rFonts w:ascii="Arial" w:hAnsi="Arial" w:cs="Arial"/>
          <w:b/>
          <w:sz w:val="24"/>
          <w:szCs w:val="24"/>
        </w:rPr>
      </w:pPr>
      <w:r w:rsidRPr="007D401F">
        <w:rPr>
          <w:rFonts w:ascii="Arial" w:hAnsi="Arial" w:cs="Arial"/>
          <w:b/>
          <w:sz w:val="24"/>
          <w:szCs w:val="24"/>
        </w:rPr>
        <w:t xml:space="preserve">Question #4 </w:t>
      </w:r>
    </w:p>
    <w:p w14:paraId="1D00EB5B" w14:textId="0A577F99" w:rsidR="007D401F" w:rsidRPr="007D401F" w:rsidRDefault="007D401F" w:rsidP="00746A76">
      <w:pPr>
        <w:spacing w:line="276" w:lineRule="auto"/>
        <w:rPr>
          <w:rFonts w:ascii="Arial" w:hAnsi="Arial" w:cs="Arial"/>
          <w:b/>
          <w:sz w:val="24"/>
          <w:szCs w:val="24"/>
        </w:rPr>
      </w:pPr>
      <w:r w:rsidRPr="007D401F">
        <w:rPr>
          <w:rFonts w:ascii="Arial" w:hAnsi="Arial" w:cs="Arial"/>
          <w:b/>
          <w:sz w:val="24"/>
          <w:szCs w:val="24"/>
        </w:rPr>
        <w:t>Ref:</w:t>
      </w:r>
      <w:r w:rsidR="00555EAD">
        <w:rPr>
          <w:rFonts w:ascii="Arial" w:hAnsi="Arial" w:cs="Arial"/>
          <w:b/>
          <w:sz w:val="24"/>
          <w:szCs w:val="24"/>
        </w:rPr>
        <w:t xml:space="preserve"> </w:t>
      </w:r>
      <w:r w:rsidR="002D435B">
        <w:rPr>
          <w:rFonts w:ascii="Arial" w:hAnsi="Arial" w:cs="Arial"/>
          <w:b/>
          <w:sz w:val="24"/>
          <w:szCs w:val="24"/>
        </w:rPr>
        <w:t xml:space="preserve">2018 Rate Generator Model – Tab 3 Continuity Schedule </w:t>
      </w:r>
      <w:r w:rsidRPr="007D401F">
        <w:rPr>
          <w:rFonts w:ascii="Arial" w:hAnsi="Arial" w:cs="Arial"/>
          <w:b/>
          <w:sz w:val="24"/>
          <w:szCs w:val="24"/>
        </w:rPr>
        <w:t xml:space="preserve"> </w:t>
      </w:r>
    </w:p>
    <w:p w14:paraId="7822C5F1" w14:textId="0E0CC01E" w:rsidR="002D435B" w:rsidRDefault="002D435B" w:rsidP="00746A76">
      <w:pPr>
        <w:spacing w:line="276" w:lineRule="auto"/>
        <w:rPr>
          <w:rFonts w:ascii="Arial" w:hAnsi="Arial" w:cs="Arial"/>
          <w:sz w:val="24"/>
          <w:szCs w:val="24"/>
        </w:rPr>
      </w:pPr>
      <w:r w:rsidRPr="00A87532">
        <w:rPr>
          <w:rFonts w:ascii="Arial" w:hAnsi="Arial" w:cs="Arial"/>
          <w:sz w:val="24"/>
          <w:szCs w:val="24"/>
        </w:rPr>
        <w:t>With regards to the amount being requested for disposition of USoA 158</w:t>
      </w:r>
      <w:r>
        <w:rPr>
          <w:rFonts w:ascii="Arial" w:hAnsi="Arial" w:cs="Arial"/>
          <w:sz w:val="24"/>
          <w:szCs w:val="24"/>
        </w:rPr>
        <w:t>8</w:t>
      </w:r>
      <w:r w:rsidRPr="00A87532">
        <w:rPr>
          <w:rFonts w:ascii="Arial" w:hAnsi="Arial" w:cs="Arial"/>
          <w:sz w:val="24"/>
          <w:szCs w:val="24"/>
        </w:rPr>
        <w:t xml:space="preserve"> account balance as at Dec. 31, 2016, all components that flow into Account 158</w:t>
      </w:r>
      <w:r>
        <w:rPr>
          <w:rFonts w:ascii="Arial" w:hAnsi="Arial" w:cs="Arial"/>
          <w:sz w:val="24"/>
          <w:szCs w:val="24"/>
        </w:rPr>
        <w:t>8</w:t>
      </w:r>
      <w:r w:rsidRPr="00A87532">
        <w:rPr>
          <w:rFonts w:ascii="Arial" w:hAnsi="Arial" w:cs="Arial"/>
          <w:sz w:val="24"/>
          <w:szCs w:val="24"/>
        </w:rPr>
        <w:t xml:space="preserve">  (i to iv in table below) should be all based on actuals at year end. Please complete the following table </w:t>
      </w:r>
      <w:r w:rsidRPr="00746A76">
        <w:rPr>
          <w:rFonts w:ascii="Arial" w:hAnsi="Arial" w:cs="Arial"/>
          <w:b/>
          <w:sz w:val="24"/>
          <w:szCs w:val="24"/>
        </w:rPr>
        <w:t>(separately for 2015 and 2016)</w:t>
      </w:r>
      <w:r>
        <w:rPr>
          <w:rFonts w:ascii="Arial" w:hAnsi="Arial" w:cs="Arial"/>
          <w:sz w:val="24"/>
          <w:szCs w:val="24"/>
        </w:rPr>
        <w:t xml:space="preserve"> </w:t>
      </w:r>
      <w:r w:rsidRPr="00A87532">
        <w:rPr>
          <w:rFonts w:ascii="Arial" w:hAnsi="Arial" w:cs="Arial"/>
          <w:sz w:val="24"/>
          <w:szCs w:val="24"/>
        </w:rPr>
        <w:t>to</w:t>
      </w:r>
      <w:r>
        <w:rPr>
          <w:rFonts w:ascii="Arial" w:hAnsi="Arial" w:cs="Arial"/>
          <w:sz w:val="24"/>
          <w:szCs w:val="24"/>
        </w:rPr>
        <w:t>:</w:t>
      </w:r>
    </w:p>
    <w:p w14:paraId="6910944D" w14:textId="77777777" w:rsidR="002D435B" w:rsidRPr="00AD1178" w:rsidRDefault="002D435B" w:rsidP="00746A76">
      <w:pPr>
        <w:pStyle w:val="ListParagraph"/>
        <w:numPr>
          <w:ilvl w:val="0"/>
          <w:numId w:val="8"/>
        </w:numPr>
        <w:spacing w:after="200" w:line="276" w:lineRule="auto"/>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14:paraId="3C164196" w14:textId="77777777" w:rsidR="002D435B" w:rsidRPr="00AD1178" w:rsidRDefault="002D435B" w:rsidP="00746A76">
      <w:pPr>
        <w:pStyle w:val="ListParagraph"/>
        <w:numPr>
          <w:ilvl w:val="0"/>
          <w:numId w:val="8"/>
        </w:numPr>
        <w:spacing w:after="200" w:line="276" w:lineRule="auto"/>
        <w:rPr>
          <w:rFonts w:ascii="Arial" w:hAnsi="Arial" w:cs="Arial"/>
          <w:sz w:val="24"/>
          <w:szCs w:val="24"/>
        </w:rPr>
      </w:pPr>
      <w:r w:rsidRPr="00AD1178">
        <w:rPr>
          <w:rFonts w:ascii="Arial" w:hAnsi="Arial" w:cs="Arial"/>
          <w:sz w:val="24"/>
          <w:szCs w:val="24"/>
        </w:rPr>
        <w:lastRenderedPageBreak/>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2D435B" w14:paraId="5D4820B1" w14:textId="77777777" w:rsidTr="00815F41">
        <w:tc>
          <w:tcPr>
            <w:tcW w:w="389" w:type="dxa"/>
          </w:tcPr>
          <w:p w14:paraId="3CDEFBBF" w14:textId="77777777" w:rsidR="002D435B" w:rsidRPr="00FE126C" w:rsidRDefault="002D435B" w:rsidP="00815F41">
            <w:pPr>
              <w:rPr>
                <w:rFonts w:ascii="Arial" w:hAnsi="Arial" w:cs="Arial"/>
                <w:sz w:val="20"/>
                <w:szCs w:val="20"/>
              </w:rPr>
            </w:pPr>
          </w:p>
        </w:tc>
        <w:tc>
          <w:tcPr>
            <w:tcW w:w="2486" w:type="dxa"/>
          </w:tcPr>
          <w:p w14:paraId="516CA993" w14:textId="77777777" w:rsidR="002D435B" w:rsidRPr="00FE126C" w:rsidRDefault="002D435B" w:rsidP="00815F41">
            <w:pPr>
              <w:rPr>
                <w:rFonts w:ascii="Arial" w:hAnsi="Arial" w:cs="Arial"/>
                <w:b/>
                <w:sz w:val="20"/>
                <w:szCs w:val="20"/>
              </w:rPr>
            </w:pPr>
            <w:r w:rsidRPr="00FE126C">
              <w:rPr>
                <w:rFonts w:ascii="Arial" w:hAnsi="Arial" w:cs="Arial"/>
                <w:b/>
                <w:sz w:val="20"/>
                <w:szCs w:val="20"/>
              </w:rPr>
              <w:t>Component</w:t>
            </w:r>
          </w:p>
        </w:tc>
        <w:tc>
          <w:tcPr>
            <w:tcW w:w="1350" w:type="dxa"/>
          </w:tcPr>
          <w:p w14:paraId="50B2486A" w14:textId="77777777" w:rsidR="002D435B" w:rsidRPr="00FE126C" w:rsidRDefault="002D435B" w:rsidP="00815F41">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14:paraId="6290E671" w14:textId="77777777" w:rsidR="002D435B" w:rsidRPr="00FE126C" w:rsidRDefault="002D435B" w:rsidP="00815F41">
            <w:pPr>
              <w:rPr>
                <w:rFonts w:ascii="Arial" w:hAnsi="Arial" w:cs="Arial"/>
                <w:b/>
                <w:sz w:val="20"/>
                <w:szCs w:val="20"/>
              </w:rPr>
            </w:pPr>
            <w:r w:rsidRPr="00FE126C">
              <w:rPr>
                <w:rFonts w:ascii="Arial" w:hAnsi="Arial" w:cs="Arial"/>
                <w:b/>
                <w:sz w:val="20"/>
                <w:szCs w:val="20"/>
              </w:rPr>
              <w:t>Notes/Comments</w:t>
            </w:r>
          </w:p>
        </w:tc>
        <w:tc>
          <w:tcPr>
            <w:tcW w:w="1980" w:type="dxa"/>
          </w:tcPr>
          <w:p w14:paraId="6BE57861" w14:textId="77777777" w:rsidR="002D435B" w:rsidRPr="00FE126C" w:rsidRDefault="002D435B" w:rsidP="00815F41">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C7415F" w14:paraId="4855DDA4" w14:textId="77777777" w:rsidTr="00815F41">
        <w:trPr>
          <w:trHeight w:val="1385"/>
        </w:trPr>
        <w:tc>
          <w:tcPr>
            <w:tcW w:w="389" w:type="dxa"/>
          </w:tcPr>
          <w:p w14:paraId="331AFF18" w14:textId="77777777" w:rsidR="00C7415F" w:rsidRPr="00FE126C" w:rsidRDefault="00C7415F" w:rsidP="00C7415F">
            <w:pPr>
              <w:rPr>
                <w:rFonts w:ascii="Arial" w:hAnsi="Arial" w:cs="Arial"/>
                <w:sz w:val="20"/>
                <w:szCs w:val="20"/>
              </w:rPr>
            </w:pPr>
            <w:r w:rsidRPr="00FE126C">
              <w:rPr>
                <w:rFonts w:ascii="Arial" w:hAnsi="Arial" w:cs="Arial"/>
                <w:sz w:val="20"/>
                <w:szCs w:val="20"/>
              </w:rPr>
              <w:t>i</w:t>
            </w:r>
          </w:p>
        </w:tc>
        <w:tc>
          <w:tcPr>
            <w:tcW w:w="2486" w:type="dxa"/>
          </w:tcPr>
          <w:p w14:paraId="2DB8F890" w14:textId="77777777" w:rsidR="00C7415F" w:rsidRPr="00FE126C" w:rsidRDefault="00C7415F" w:rsidP="00C7415F">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14:paraId="2C2472AC" w14:textId="7BE6BF96" w:rsidR="00C7415F" w:rsidRPr="00FE126C" w:rsidRDefault="00C7415F" w:rsidP="00C7415F">
            <w:pPr>
              <w:rPr>
                <w:rFonts w:ascii="Arial" w:hAnsi="Arial" w:cs="Arial"/>
                <w:sz w:val="20"/>
                <w:szCs w:val="20"/>
              </w:rPr>
            </w:pPr>
            <w:r>
              <w:rPr>
                <w:rFonts w:ascii="Arial" w:hAnsi="Arial" w:cs="Arial"/>
                <w:color w:val="C00000"/>
                <w:sz w:val="20"/>
                <w:szCs w:val="20"/>
              </w:rPr>
              <w:t>Estimate</w:t>
            </w:r>
          </w:p>
        </w:tc>
        <w:tc>
          <w:tcPr>
            <w:tcW w:w="4230" w:type="dxa"/>
          </w:tcPr>
          <w:p w14:paraId="6040F1DF" w14:textId="4B3E68D4" w:rsidR="00C7415F" w:rsidRDefault="00C7415F" w:rsidP="00C7415F">
            <w:pPr>
              <w:rPr>
                <w:rFonts w:ascii="Arial" w:hAnsi="Arial" w:cs="Arial"/>
                <w:color w:val="C00000"/>
                <w:sz w:val="20"/>
                <w:szCs w:val="20"/>
              </w:rPr>
            </w:pPr>
            <w:r>
              <w:rPr>
                <w:rFonts w:ascii="Arial" w:hAnsi="Arial" w:cs="Arial"/>
                <w:color w:val="C00000"/>
                <w:sz w:val="20"/>
                <w:szCs w:val="20"/>
              </w:rPr>
              <w:t>PDI records revenue based on actual customer billings, plus an amount for amounts unbilled at year end.</w:t>
            </w:r>
          </w:p>
          <w:p w14:paraId="3448685B" w14:textId="77777777" w:rsidR="00C7415F" w:rsidRDefault="00C7415F" w:rsidP="00C7415F">
            <w:pPr>
              <w:rPr>
                <w:rFonts w:ascii="Arial" w:hAnsi="Arial" w:cs="Arial"/>
                <w:color w:val="C00000"/>
                <w:sz w:val="20"/>
                <w:szCs w:val="20"/>
              </w:rPr>
            </w:pPr>
          </w:p>
          <w:p w14:paraId="0D4FF978" w14:textId="1453F05E" w:rsidR="00C7415F" w:rsidRPr="00FE126C" w:rsidRDefault="00C7415F" w:rsidP="00437347">
            <w:pPr>
              <w:rPr>
                <w:rFonts w:ascii="Arial" w:hAnsi="Arial" w:cs="Arial"/>
                <w:sz w:val="20"/>
                <w:szCs w:val="20"/>
              </w:rPr>
            </w:pPr>
            <w:r>
              <w:rPr>
                <w:rFonts w:ascii="Arial" w:hAnsi="Arial" w:cs="Arial"/>
                <w:color w:val="C00000"/>
                <w:sz w:val="20"/>
                <w:szCs w:val="20"/>
              </w:rPr>
              <w:t xml:space="preserve">In 2016, the unbilled revenue </w:t>
            </w:r>
            <w:r w:rsidR="00437347">
              <w:rPr>
                <w:rFonts w:ascii="Arial" w:hAnsi="Arial" w:cs="Arial"/>
                <w:color w:val="C00000"/>
                <w:sz w:val="20"/>
                <w:szCs w:val="20"/>
              </w:rPr>
              <w:t>recorded</w:t>
            </w:r>
            <w:r>
              <w:rPr>
                <w:rFonts w:ascii="Arial" w:hAnsi="Arial" w:cs="Arial"/>
                <w:color w:val="C00000"/>
                <w:sz w:val="20"/>
                <w:szCs w:val="20"/>
              </w:rPr>
              <w:t xml:space="preserve"> was based on actual consumption (not an estimate) for December, and as such no year end true up is required.</w:t>
            </w:r>
          </w:p>
        </w:tc>
        <w:tc>
          <w:tcPr>
            <w:tcW w:w="1980" w:type="dxa"/>
          </w:tcPr>
          <w:p w14:paraId="31CC976B" w14:textId="5B7E12DD" w:rsidR="00C7415F" w:rsidRPr="00CC0E92" w:rsidRDefault="00C7415F" w:rsidP="00C7415F">
            <w:pPr>
              <w:rPr>
                <w:rFonts w:ascii="Arial" w:hAnsi="Arial" w:cs="Arial"/>
                <w:color w:val="FF0000"/>
                <w:sz w:val="20"/>
                <w:szCs w:val="20"/>
              </w:rPr>
            </w:pPr>
            <w:r w:rsidRPr="00CC0E92">
              <w:rPr>
                <w:rFonts w:ascii="Arial" w:hAnsi="Arial" w:cs="Arial"/>
                <w:color w:val="FF0000"/>
                <w:sz w:val="20"/>
                <w:szCs w:val="20"/>
              </w:rPr>
              <w:t>2015 - $</w:t>
            </w:r>
            <w:r>
              <w:rPr>
                <w:rFonts w:ascii="Arial" w:hAnsi="Arial" w:cs="Arial"/>
                <w:color w:val="FF0000"/>
                <w:sz w:val="20"/>
                <w:szCs w:val="20"/>
              </w:rPr>
              <w:t>70</w:t>
            </w:r>
            <w:r w:rsidRPr="00CC0E92">
              <w:rPr>
                <w:rFonts w:ascii="Arial" w:hAnsi="Arial" w:cs="Arial"/>
                <w:color w:val="FF0000"/>
                <w:sz w:val="20"/>
                <w:szCs w:val="20"/>
              </w:rPr>
              <w:t>,</w:t>
            </w:r>
            <w:r>
              <w:rPr>
                <w:rFonts w:ascii="Arial" w:hAnsi="Arial" w:cs="Arial"/>
                <w:color w:val="FF0000"/>
                <w:sz w:val="20"/>
                <w:szCs w:val="20"/>
              </w:rPr>
              <w:t>400</w:t>
            </w:r>
          </w:p>
          <w:p w14:paraId="502220EC" w14:textId="2660B123" w:rsidR="00C7415F" w:rsidRPr="00FE126C" w:rsidRDefault="00C7415F" w:rsidP="00C7415F">
            <w:pPr>
              <w:rPr>
                <w:rFonts w:ascii="Arial" w:hAnsi="Arial" w:cs="Arial"/>
                <w:sz w:val="20"/>
                <w:szCs w:val="20"/>
              </w:rPr>
            </w:pPr>
          </w:p>
        </w:tc>
      </w:tr>
      <w:tr w:rsidR="00C7415F" w14:paraId="104C521E" w14:textId="77777777" w:rsidTr="00815F41">
        <w:tc>
          <w:tcPr>
            <w:tcW w:w="389" w:type="dxa"/>
          </w:tcPr>
          <w:p w14:paraId="2124C99A" w14:textId="77777777" w:rsidR="00C7415F" w:rsidRPr="00FE126C" w:rsidRDefault="00C7415F" w:rsidP="00C7415F">
            <w:pPr>
              <w:rPr>
                <w:rFonts w:ascii="Arial" w:hAnsi="Arial" w:cs="Arial"/>
                <w:sz w:val="20"/>
                <w:szCs w:val="20"/>
              </w:rPr>
            </w:pPr>
            <w:r>
              <w:rPr>
                <w:rFonts w:ascii="Arial" w:hAnsi="Arial" w:cs="Arial"/>
                <w:sz w:val="20"/>
                <w:szCs w:val="20"/>
              </w:rPr>
              <w:t>ii</w:t>
            </w:r>
          </w:p>
        </w:tc>
        <w:tc>
          <w:tcPr>
            <w:tcW w:w="2486" w:type="dxa"/>
          </w:tcPr>
          <w:p w14:paraId="1B56D770" w14:textId="77777777" w:rsidR="00C7415F" w:rsidRDefault="00C7415F" w:rsidP="00C7415F">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14:paraId="6D93A9E5" w14:textId="0F625BB9" w:rsidR="00C7415F" w:rsidRPr="00FE126C" w:rsidRDefault="00C7415F" w:rsidP="00C7415F">
            <w:pPr>
              <w:rPr>
                <w:rFonts w:ascii="Arial" w:hAnsi="Arial" w:cs="Arial"/>
                <w:sz w:val="20"/>
                <w:szCs w:val="20"/>
              </w:rPr>
            </w:pPr>
            <w:r>
              <w:rPr>
                <w:rFonts w:ascii="Arial" w:hAnsi="Arial" w:cs="Arial"/>
                <w:color w:val="C00000"/>
                <w:sz w:val="20"/>
                <w:szCs w:val="20"/>
              </w:rPr>
              <w:t>Actual</w:t>
            </w:r>
          </w:p>
        </w:tc>
        <w:tc>
          <w:tcPr>
            <w:tcW w:w="4230" w:type="dxa"/>
          </w:tcPr>
          <w:p w14:paraId="54E99799" w14:textId="4B65796F" w:rsidR="00C7415F" w:rsidRPr="00FE126C" w:rsidRDefault="00C7415F" w:rsidP="00C7415F">
            <w:pPr>
              <w:rPr>
                <w:rFonts w:ascii="Arial" w:hAnsi="Arial" w:cs="Arial"/>
                <w:sz w:val="20"/>
                <w:szCs w:val="20"/>
              </w:rPr>
            </w:pPr>
            <w:r>
              <w:rPr>
                <w:rFonts w:ascii="Arial" w:hAnsi="Arial" w:cs="Arial"/>
                <w:color w:val="C00000"/>
                <w:sz w:val="20"/>
                <w:szCs w:val="20"/>
              </w:rPr>
              <w:t>Expense is based on the IESO invoice at year end.</w:t>
            </w:r>
          </w:p>
        </w:tc>
        <w:tc>
          <w:tcPr>
            <w:tcW w:w="1980" w:type="dxa"/>
          </w:tcPr>
          <w:p w14:paraId="2069A785" w14:textId="77777777" w:rsidR="00C7415F" w:rsidRPr="00FE126C" w:rsidRDefault="00C7415F" w:rsidP="00C7415F">
            <w:pPr>
              <w:rPr>
                <w:rFonts w:ascii="Arial" w:hAnsi="Arial" w:cs="Arial"/>
                <w:sz w:val="20"/>
                <w:szCs w:val="20"/>
              </w:rPr>
            </w:pPr>
          </w:p>
        </w:tc>
      </w:tr>
      <w:tr w:rsidR="00C7415F" w14:paraId="0DE982DB" w14:textId="77777777" w:rsidTr="00815F41">
        <w:trPr>
          <w:trHeight w:val="1628"/>
        </w:trPr>
        <w:tc>
          <w:tcPr>
            <w:tcW w:w="389" w:type="dxa"/>
          </w:tcPr>
          <w:p w14:paraId="5AF6F03C" w14:textId="77777777" w:rsidR="00C7415F" w:rsidRPr="00FE126C" w:rsidRDefault="00C7415F" w:rsidP="00C7415F">
            <w:pPr>
              <w:rPr>
                <w:rFonts w:ascii="Arial" w:hAnsi="Arial" w:cs="Arial"/>
                <w:sz w:val="20"/>
                <w:szCs w:val="20"/>
              </w:rPr>
            </w:pPr>
            <w:r>
              <w:rPr>
                <w:rFonts w:ascii="Arial" w:hAnsi="Arial" w:cs="Arial"/>
                <w:sz w:val="20"/>
                <w:szCs w:val="20"/>
              </w:rPr>
              <w:t>ijj</w:t>
            </w:r>
          </w:p>
        </w:tc>
        <w:tc>
          <w:tcPr>
            <w:tcW w:w="2486" w:type="dxa"/>
          </w:tcPr>
          <w:p w14:paraId="4E6B157F" w14:textId="77777777" w:rsidR="00C7415F" w:rsidRPr="00FE126C" w:rsidRDefault="00C7415F" w:rsidP="00C7415F">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14:paraId="7D2491F5" w14:textId="38E6C4FF" w:rsidR="00C7415F" w:rsidRPr="00FE126C" w:rsidRDefault="00C7415F" w:rsidP="00C7415F">
            <w:pPr>
              <w:rPr>
                <w:rFonts w:ascii="Arial" w:hAnsi="Arial" w:cs="Arial"/>
                <w:sz w:val="20"/>
                <w:szCs w:val="20"/>
              </w:rPr>
            </w:pPr>
            <w:r>
              <w:rPr>
                <w:rFonts w:ascii="Arial" w:hAnsi="Arial" w:cs="Arial"/>
                <w:color w:val="C00000"/>
                <w:sz w:val="20"/>
                <w:szCs w:val="20"/>
              </w:rPr>
              <w:t>Actual</w:t>
            </w:r>
          </w:p>
        </w:tc>
        <w:tc>
          <w:tcPr>
            <w:tcW w:w="4230" w:type="dxa"/>
          </w:tcPr>
          <w:p w14:paraId="7F0068A0" w14:textId="0820466D" w:rsidR="00C7415F" w:rsidRPr="00FE126C" w:rsidRDefault="00C7415F" w:rsidP="00C7415F">
            <w:pPr>
              <w:rPr>
                <w:rFonts w:ascii="Arial" w:hAnsi="Arial" w:cs="Arial"/>
                <w:sz w:val="20"/>
                <w:szCs w:val="20"/>
              </w:rPr>
            </w:pPr>
            <w:r>
              <w:rPr>
                <w:rFonts w:ascii="Arial" w:hAnsi="Arial" w:cs="Arial"/>
                <w:color w:val="C00000"/>
                <w:sz w:val="20"/>
                <w:szCs w:val="20"/>
              </w:rPr>
              <w:t>Expense is based on the IESO invoice at year end.</w:t>
            </w:r>
          </w:p>
        </w:tc>
        <w:tc>
          <w:tcPr>
            <w:tcW w:w="1980" w:type="dxa"/>
          </w:tcPr>
          <w:p w14:paraId="4DBAAF72" w14:textId="77777777" w:rsidR="00C7415F" w:rsidRPr="00FE126C" w:rsidRDefault="00C7415F" w:rsidP="00C7415F">
            <w:pPr>
              <w:rPr>
                <w:rFonts w:ascii="Arial" w:hAnsi="Arial" w:cs="Arial"/>
                <w:sz w:val="20"/>
                <w:szCs w:val="20"/>
              </w:rPr>
            </w:pPr>
          </w:p>
        </w:tc>
      </w:tr>
      <w:tr w:rsidR="00C7415F" w14:paraId="11E091D5" w14:textId="77777777" w:rsidTr="00815F41">
        <w:tc>
          <w:tcPr>
            <w:tcW w:w="389" w:type="dxa"/>
          </w:tcPr>
          <w:p w14:paraId="524DC840" w14:textId="77777777" w:rsidR="00C7415F" w:rsidRPr="00FE126C" w:rsidRDefault="00C7415F" w:rsidP="00C7415F">
            <w:pPr>
              <w:rPr>
                <w:rFonts w:ascii="Arial" w:hAnsi="Arial" w:cs="Arial"/>
                <w:sz w:val="20"/>
                <w:szCs w:val="20"/>
              </w:rPr>
            </w:pPr>
            <w:r>
              <w:rPr>
                <w:rFonts w:ascii="Arial" w:hAnsi="Arial" w:cs="Arial"/>
                <w:sz w:val="20"/>
                <w:szCs w:val="20"/>
              </w:rPr>
              <w:t>iv</w:t>
            </w:r>
          </w:p>
        </w:tc>
        <w:tc>
          <w:tcPr>
            <w:tcW w:w="2486" w:type="dxa"/>
          </w:tcPr>
          <w:p w14:paraId="0D081E0A" w14:textId="77777777" w:rsidR="00C7415F" w:rsidRPr="00FE126C" w:rsidRDefault="00C7415F" w:rsidP="00C7415F">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14:paraId="0B75107F" w14:textId="60BC9ED6" w:rsidR="00C7415F" w:rsidRPr="00FE126C" w:rsidRDefault="00C7415F" w:rsidP="00C7415F">
            <w:pPr>
              <w:rPr>
                <w:rFonts w:ascii="Arial" w:hAnsi="Arial" w:cs="Arial"/>
                <w:sz w:val="20"/>
                <w:szCs w:val="20"/>
              </w:rPr>
            </w:pPr>
            <w:r>
              <w:rPr>
                <w:rFonts w:ascii="Arial" w:hAnsi="Arial" w:cs="Arial"/>
                <w:color w:val="C00000"/>
                <w:sz w:val="20"/>
                <w:szCs w:val="20"/>
              </w:rPr>
              <w:t>N/A</w:t>
            </w:r>
          </w:p>
        </w:tc>
        <w:tc>
          <w:tcPr>
            <w:tcW w:w="4230" w:type="dxa"/>
          </w:tcPr>
          <w:p w14:paraId="250687B8" w14:textId="77777777" w:rsidR="00C7415F" w:rsidRPr="00FE126C" w:rsidRDefault="00C7415F" w:rsidP="00C7415F">
            <w:pPr>
              <w:rPr>
                <w:rFonts w:ascii="Arial" w:hAnsi="Arial" w:cs="Arial"/>
                <w:sz w:val="20"/>
                <w:szCs w:val="20"/>
              </w:rPr>
            </w:pPr>
          </w:p>
        </w:tc>
        <w:tc>
          <w:tcPr>
            <w:tcW w:w="1980" w:type="dxa"/>
          </w:tcPr>
          <w:p w14:paraId="06915E70" w14:textId="77777777" w:rsidR="00C7415F" w:rsidRPr="00FE126C" w:rsidRDefault="00C7415F" w:rsidP="00C7415F">
            <w:pPr>
              <w:rPr>
                <w:rFonts w:ascii="Arial" w:hAnsi="Arial" w:cs="Arial"/>
                <w:sz w:val="20"/>
                <w:szCs w:val="20"/>
              </w:rPr>
            </w:pPr>
          </w:p>
        </w:tc>
      </w:tr>
      <w:tr w:rsidR="00C7415F" w14:paraId="59FD6C9E" w14:textId="77777777" w:rsidTr="00815F41">
        <w:tc>
          <w:tcPr>
            <w:tcW w:w="389" w:type="dxa"/>
          </w:tcPr>
          <w:p w14:paraId="6F47531F" w14:textId="77777777" w:rsidR="00C7415F" w:rsidRPr="00FE126C" w:rsidRDefault="00C7415F" w:rsidP="00C7415F">
            <w:pPr>
              <w:rPr>
                <w:rFonts w:ascii="Arial" w:hAnsi="Arial" w:cs="Arial"/>
                <w:sz w:val="20"/>
                <w:szCs w:val="20"/>
              </w:rPr>
            </w:pPr>
            <w:r>
              <w:rPr>
                <w:rFonts w:ascii="Arial" w:hAnsi="Arial" w:cs="Arial"/>
                <w:sz w:val="20"/>
                <w:szCs w:val="20"/>
              </w:rPr>
              <w:t>v</w:t>
            </w:r>
          </w:p>
        </w:tc>
        <w:tc>
          <w:tcPr>
            <w:tcW w:w="2486" w:type="dxa"/>
          </w:tcPr>
          <w:p w14:paraId="1E4CB5B0" w14:textId="77777777" w:rsidR="00C7415F" w:rsidRPr="00FE126C" w:rsidRDefault="00C7415F" w:rsidP="00C7415F">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tc>
        <w:tc>
          <w:tcPr>
            <w:tcW w:w="1350" w:type="dxa"/>
          </w:tcPr>
          <w:p w14:paraId="7FE2EA4A" w14:textId="6E347289" w:rsidR="00C7415F" w:rsidRPr="00FE126C" w:rsidRDefault="00C7415F" w:rsidP="00C7415F">
            <w:pPr>
              <w:rPr>
                <w:rFonts w:ascii="Arial" w:hAnsi="Arial" w:cs="Arial"/>
                <w:sz w:val="20"/>
                <w:szCs w:val="20"/>
              </w:rPr>
            </w:pPr>
            <w:r>
              <w:rPr>
                <w:rFonts w:ascii="Arial" w:hAnsi="Arial" w:cs="Arial"/>
                <w:color w:val="C00000"/>
                <w:sz w:val="20"/>
                <w:szCs w:val="20"/>
              </w:rPr>
              <w:t>N/A</w:t>
            </w:r>
          </w:p>
        </w:tc>
        <w:tc>
          <w:tcPr>
            <w:tcW w:w="4230" w:type="dxa"/>
          </w:tcPr>
          <w:p w14:paraId="3F43126B" w14:textId="77777777" w:rsidR="00C7415F" w:rsidRPr="00FE126C" w:rsidRDefault="00C7415F" w:rsidP="00C7415F">
            <w:pPr>
              <w:rPr>
                <w:rFonts w:ascii="Arial" w:hAnsi="Arial" w:cs="Arial"/>
                <w:sz w:val="20"/>
                <w:szCs w:val="20"/>
              </w:rPr>
            </w:pPr>
          </w:p>
        </w:tc>
        <w:tc>
          <w:tcPr>
            <w:tcW w:w="1980" w:type="dxa"/>
          </w:tcPr>
          <w:p w14:paraId="0B265E54" w14:textId="77777777" w:rsidR="00C7415F" w:rsidRPr="00FE126C" w:rsidRDefault="00C7415F" w:rsidP="00C7415F">
            <w:pPr>
              <w:rPr>
                <w:rFonts w:ascii="Arial" w:hAnsi="Arial" w:cs="Arial"/>
                <w:sz w:val="20"/>
                <w:szCs w:val="20"/>
              </w:rPr>
            </w:pPr>
          </w:p>
        </w:tc>
      </w:tr>
    </w:tbl>
    <w:p w14:paraId="6A3CDAC3" w14:textId="77777777" w:rsidR="002D435B" w:rsidRDefault="002D435B" w:rsidP="002D435B">
      <w:pPr>
        <w:rPr>
          <w:rFonts w:ascii="Arial" w:hAnsi="Arial" w:cs="Arial"/>
          <w:b/>
          <w:bCs/>
          <w:i/>
          <w:sz w:val="24"/>
          <w:szCs w:val="24"/>
        </w:rPr>
      </w:pPr>
    </w:p>
    <w:p w14:paraId="3BA16439" w14:textId="450EF4F3" w:rsidR="002D435B" w:rsidRPr="00936044" w:rsidRDefault="002D435B" w:rsidP="00746A76">
      <w:pPr>
        <w:pStyle w:val="ListParagraph"/>
        <w:numPr>
          <w:ilvl w:val="0"/>
          <w:numId w:val="8"/>
        </w:numPr>
        <w:spacing w:after="200" w:line="276" w:lineRule="auto"/>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Tab 3 Continuity Schedule for 2016 ha</w:t>
      </w:r>
      <w:r>
        <w:rPr>
          <w:rFonts w:ascii="Arial" w:hAnsi="Arial" w:cs="Arial"/>
          <w:sz w:val="24"/>
          <w:szCs w:val="24"/>
        </w:rPr>
        <w:t>ve</w:t>
      </w:r>
      <w:r w:rsidRPr="00583F39">
        <w:rPr>
          <w:rFonts w:ascii="Arial" w:hAnsi="Arial" w:cs="Arial"/>
          <w:sz w:val="24"/>
          <w:szCs w:val="24"/>
        </w:rPr>
        <w:t xml:space="preserve"> been adjusted for settlement true-ups where settlement was originally based on estimate and trued up to actuals subsequent to 2016.</w:t>
      </w:r>
    </w:p>
    <w:p w14:paraId="590DDC76" w14:textId="62B9AC7C" w:rsidR="00936044" w:rsidRPr="00936044" w:rsidRDefault="00D1457F" w:rsidP="00936044">
      <w:pPr>
        <w:spacing w:after="200" w:line="276" w:lineRule="auto"/>
        <w:rPr>
          <w:rFonts w:ascii="Arial" w:hAnsi="Arial" w:cs="Arial"/>
          <w:color w:val="C00000"/>
          <w:sz w:val="24"/>
          <w:szCs w:val="24"/>
        </w:rPr>
      </w:pPr>
      <w:r>
        <w:rPr>
          <w:rFonts w:ascii="Arial" w:hAnsi="Arial" w:cs="Arial"/>
          <w:color w:val="C00000"/>
          <w:sz w:val="24"/>
          <w:szCs w:val="24"/>
        </w:rPr>
        <w:t>The</w:t>
      </w:r>
      <w:r w:rsidR="00936044" w:rsidRPr="00936044">
        <w:rPr>
          <w:rFonts w:ascii="Arial" w:hAnsi="Arial" w:cs="Arial"/>
          <w:color w:val="C00000"/>
          <w:sz w:val="24"/>
          <w:szCs w:val="24"/>
        </w:rPr>
        <w:t xml:space="preserve"> 2018 Rate Generator Model Tab 3 has not been adjusted.</w:t>
      </w:r>
    </w:p>
    <w:p w14:paraId="6FB5CCFA" w14:textId="77777777" w:rsidR="00CC0E92" w:rsidRPr="00CC0E92" w:rsidRDefault="00CC0E92" w:rsidP="00CC0E92">
      <w:pPr>
        <w:spacing w:after="200" w:line="276" w:lineRule="auto"/>
        <w:rPr>
          <w:rFonts w:ascii="Arial" w:hAnsi="Arial" w:cs="Arial"/>
          <w:b/>
          <w:sz w:val="24"/>
          <w:szCs w:val="24"/>
        </w:rPr>
      </w:pPr>
    </w:p>
    <w:p w14:paraId="558452B6" w14:textId="77777777" w:rsidR="007B6646" w:rsidRDefault="007B6646">
      <w:pPr>
        <w:rPr>
          <w:rFonts w:ascii="Arial" w:hAnsi="Arial" w:cs="Arial"/>
          <w:b/>
          <w:sz w:val="24"/>
          <w:szCs w:val="24"/>
        </w:rPr>
      </w:pPr>
      <w:r>
        <w:rPr>
          <w:rFonts w:ascii="Arial" w:hAnsi="Arial" w:cs="Arial"/>
          <w:b/>
          <w:sz w:val="24"/>
          <w:szCs w:val="24"/>
        </w:rPr>
        <w:br w:type="page"/>
      </w:r>
    </w:p>
    <w:p w14:paraId="48CE3D2E" w14:textId="3988F0A2" w:rsidR="00FA29B1" w:rsidRDefault="00FA29B1" w:rsidP="00746A76">
      <w:pPr>
        <w:spacing w:line="276" w:lineRule="auto"/>
        <w:rPr>
          <w:rFonts w:ascii="Arial" w:hAnsi="Arial" w:cs="Arial"/>
          <w:b/>
          <w:sz w:val="24"/>
          <w:szCs w:val="24"/>
        </w:rPr>
      </w:pPr>
      <w:r>
        <w:rPr>
          <w:rFonts w:ascii="Arial" w:hAnsi="Arial" w:cs="Arial"/>
          <w:b/>
          <w:sz w:val="24"/>
          <w:szCs w:val="24"/>
        </w:rPr>
        <w:lastRenderedPageBreak/>
        <w:t>Question #</w:t>
      </w:r>
      <w:r w:rsidR="00706F9A">
        <w:rPr>
          <w:rFonts w:ascii="Arial" w:hAnsi="Arial" w:cs="Arial"/>
          <w:b/>
          <w:sz w:val="24"/>
          <w:szCs w:val="24"/>
        </w:rPr>
        <w:t>5</w:t>
      </w:r>
    </w:p>
    <w:p w14:paraId="2B0DE06F" w14:textId="77777777" w:rsidR="00FA29B1" w:rsidRDefault="00FA29B1" w:rsidP="00746A76">
      <w:pPr>
        <w:spacing w:line="276" w:lineRule="auto"/>
        <w:rPr>
          <w:rFonts w:ascii="Arial" w:hAnsi="Arial" w:cs="Arial"/>
          <w:b/>
          <w:sz w:val="24"/>
          <w:szCs w:val="24"/>
        </w:rPr>
      </w:pPr>
      <w:r>
        <w:rPr>
          <w:rFonts w:ascii="Arial" w:hAnsi="Arial" w:cs="Arial"/>
          <w:b/>
          <w:sz w:val="24"/>
          <w:szCs w:val="24"/>
        </w:rPr>
        <w:t>Ref: GA Analysis Workform</w:t>
      </w:r>
    </w:p>
    <w:p w14:paraId="4E67CA2E" w14:textId="77777777" w:rsidR="00FA29B1" w:rsidRPr="00017B92" w:rsidRDefault="00FA29B1" w:rsidP="00746A76">
      <w:pPr>
        <w:spacing w:line="276" w:lineRule="auto"/>
        <w:rPr>
          <w:rFonts w:ascii="Arial" w:hAnsi="Arial" w:cs="Arial"/>
          <w:sz w:val="24"/>
        </w:rPr>
      </w:pPr>
      <w:r w:rsidRPr="00017B92">
        <w:rPr>
          <w:rFonts w:ascii="Arial" w:hAnsi="Arial" w:cs="Arial"/>
          <w:sz w:val="24"/>
        </w:rPr>
        <w:t>In Note 2 of the GA Analysis Workform, the 2015 and 2016 the consumption data entered cannot be reconciled to PDI’s RRR data for 2015 and 2016 (please note that the Total Metered and Non-RPP kWh in Note 2 should exclude WMP consumption).</w:t>
      </w:r>
    </w:p>
    <w:p w14:paraId="7EC427F7" w14:textId="77777777" w:rsidR="00FA29B1" w:rsidRPr="005406CC" w:rsidRDefault="00FA29B1" w:rsidP="00746A76">
      <w:pPr>
        <w:pStyle w:val="ListParagraph"/>
        <w:spacing w:line="276" w:lineRule="auto"/>
        <w:ind w:left="360" w:firstLine="60"/>
        <w:rPr>
          <w:rFonts w:ascii="Arial" w:hAnsi="Arial" w:cs="Arial"/>
          <w:sz w:val="24"/>
        </w:rPr>
      </w:pPr>
    </w:p>
    <w:p w14:paraId="463E2617" w14:textId="77777777" w:rsidR="00FA29B1" w:rsidRDefault="00FA29B1" w:rsidP="000A753C">
      <w:pPr>
        <w:pStyle w:val="ListParagraph"/>
        <w:numPr>
          <w:ilvl w:val="1"/>
          <w:numId w:val="12"/>
        </w:numPr>
        <w:spacing w:line="276" w:lineRule="auto"/>
        <w:ind w:left="1080"/>
        <w:rPr>
          <w:rFonts w:ascii="Arial" w:hAnsi="Arial" w:cs="Arial"/>
          <w:sz w:val="24"/>
        </w:rPr>
      </w:pPr>
      <w:r>
        <w:rPr>
          <w:rFonts w:ascii="Arial" w:hAnsi="Arial" w:cs="Arial"/>
          <w:sz w:val="24"/>
        </w:rPr>
        <w:t xml:space="preserve">Please reconcile the consumption data in Note 2 with RRR data and make the necessary updates for 2015 and 2016. </w:t>
      </w:r>
    </w:p>
    <w:p w14:paraId="594827D5" w14:textId="77777777" w:rsidR="00FA29B1" w:rsidRPr="00017B92" w:rsidRDefault="00FA29B1" w:rsidP="000A753C">
      <w:pPr>
        <w:pStyle w:val="ListParagraph"/>
        <w:numPr>
          <w:ilvl w:val="1"/>
          <w:numId w:val="12"/>
        </w:numPr>
        <w:spacing w:after="0" w:line="276" w:lineRule="auto"/>
        <w:ind w:left="1080"/>
        <w:rPr>
          <w:rFonts w:ascii="Arial" w:hAnsi="Arial" w:cs="Arial"/>
          <w:sz w:val="24"/>
        </w:rPr>
      </w:pPr>
      <w:r>
        <w:rPr>
          <w:rFonts w:ascii="Arial" w:hAnsi="Arial" w:cs="Arial"/>
          <w:sz w:val="24"/>
        </w:rPr>
        <w:t xml:space="preserve">Please recalculate the Total Loss Factor (TLF) using data in the GA workform (cell F59/D26) for 2015 and 2016 and explain any significant difference between the calculated TLF and the TFL in the 2015 and 2016 Tariff and Rate Orders. </w:t>
      </w:r>
    </w:p>
    <w:p w14:paraId="1462CC23" w14:textId="15D0F729" w:rsidR="00FA29B1" w:rsidRPr="006B64EA" w:rsidRDefault="00FA29B1" w:rsidP="00746A76">
      <w:pPr>
        <w:spacing w:line="276" w:lineRule="auto"/>
        <w:rPr>
          <w:rFonts w:ascii="Arial" w:hAnsi="Arial" w:cs="Arial"/>
          <w:bCs/>
          <w:color w:val="C00000"/>
          <w:sz w:val="24"/>
          <w:szCs w:val="24"/>
        </w:rPr>
      </w:pPr>
    </w:p>
    <w:p w14:paraId="1B7DDE9A" w14:textId="4588A52B" w:rsidR="006B64EA" w:rsidRDefault="00596DCF" w:rsidP="006B64EA">
      <w:pPr>
        <w:spacing w:line="276" w:lineRule="auto"/>
        <w:rPr>
          <w:rFonts w:ascii="Arial" w:hAnsi="Arial" w:cs="Arial"/>
          <w:color w:val="C00000"/>
          <w:sz w:val="24"/>
          <w:szCs w:val="24"/>
        </w:rPr>
      </w:pPr>
      <w:r>
        <w:rPr>
          <w:rFonts w:ascii="Arial" w:hAnsi="Arial" w:cs="Arial"/>
          <w:color w:val="C00000"/>
          <w:sz w:val="24"/>
          <w:szCs w:val="24"/>
        </w:rPr>
        <w:t>Note 2 of t</w:t>
      </w:r>
      <w:r w:rsidR="006B64EA">
        <w:rPr>
          <w:rFonts w:ascii="Arial" w:hAnsi="Arial" w:cs="Arial"/>
          <w:color w:val="C00000"/>
          <w:sz w:val="24"/>
          <w:szCs w:val="24"/>
        </w:rPr>
        <w:t>he GA Analysis Workform has been corrected and the amounts now agree with the DVA continuity schedule.</w:t>
      </w:r>
      <w:bookmarkStart w:id="0" w:name="_GoBack"/>
      <w:bookmarkEnd w:id="0"/>
    </w:p>
    <w:p w14:paraId="263539D7" w14:textId="278BE380" w:rsidR="007B6646" w:rsidRDefault="007B6646" w:rsidP="006B64EA">
      <w:pPr>
        <w:spacing w:line="276" w:lineRule="auto"/>
        <w:rPr>
          <w:rFonts w:ascii="Arial" w:hAnsi="Arial" w:cs="Arial"/>
          <w:color w:val="C00000"/>
          <w:sz w:val="24"/>
          <w:szCs w:val="24"/>
        </w:rPr>
      </w:pPr>
      <w:r>
        <w:rPr>
          <w:rFonts w:ascii="Arial" w:hAnsi="Arial" w:cs="Arial"/>
          <w:color w:val="C00000"/>
          <w:sz w:val="24"/>
          <w:szCs w:val="24"/>
        </w:rPr>
        <w:t>Note 4 has also been updated.  The amounts in column F represent consumption</w:t>
      </w:r>
      <w:r w:rsidR="000B40DA">
        <w:rPr>
          <w:rFonts w:ascii="Arial" w:hAnsi="Arial" w:cs="Arial"/>
          <w:color w:val="C00000"/>
          <w:sz w:val="24"/>
          <w:szCs w:val="24"/>
        </w:rPr>
        <w:t xml:space="preserve"> for the </w:t>
      </w:r>
      <w:r>
        <w:rPr>
          <w:rFonts w:ascii="Arial" w:hAnsi="Arial" w:cs="Arial"/>
          <w:color w:val="C00000"/>
          <w:sz w:val="24"/>
          <w:szCs w:val="24"/>
        </w:rPr>
        <w:t xml:space="preserve">calendar month.  </w:t>
      </w:r>
      <w:r w:rsidR="000B40DA">
        <w:rPr>
          <w:rFonts w:ascii="Arial" w:hAnsi="Arial" w:cs="Arial"/>
          <w:color w:val="C00000"/>
          <w:sz w:val="24"/>
          <w:szCs w:val="24"/>
        </w:rPr>
        <w:t>Portions of this consumption would have been billed to these customers in subsequent months. As</w:t>
      </w:r>
      <w:r>
        <w:rPr>
          <w:rFonts w:ascii="Arial" w:hAnsi="Arial" w:cs="Arial"/>
          <w:color w:val="C00000"/>
          <w:sz w:val="24"/>
          <w:szCs w:val="24"/>
        </w:rPr>
        <w:t xml:space="preserve"> the amounts for each month represent the actual consumption in that month, no unbilled adjustments (columns G and H) are required for the calculation of the Expected GA Amount.</w:t>
      </w:r>
    </w:p>
    <w:p w14:paraId="494E6DDC" w14:textId="77777777" w:rsidR="004A282A" w:rsidRPr="004A282A" w:rsidRDefault="004A282A" w:rsidP="00746A76">
      <w:pPr>
        <w:spacing w:line="276" w:lineRule="auto"/>
        <w:rPr>
          <w:rFonts w:ascii="Arial" w:hAnsi="Arial" w:cs="Arial"/>
          <w:b/>
          <w:bCs/>
          <w:sz w:val="24"/>
          <w:szCs w:val="24"/>
        </w:rPr>
      </w:pPr>
      <w:r w:rsidRPr="004A282A">
        <w:rPr>
          <w:rFonts w:ascii="Arial" w:hAnsi="Arial" w:cs="Arial"/>
          <w:b/>
          <w:bCs/>
          <w:sz w:val="24"/>
          <w:szCs w:val="24"/>
        </w:rPr>
        <w:t>Question #</w:t>
      </w:r>
      <w:r>
        <w:rPr>
          <w:rFonts w:ascii="Arial" w:hAnsi="Arial" w:cs="Arial"/>
          <w:b/>
          <w:bCs/>
          <w:sz w:val="24"/>
          <w:szCs w:val="24"/>
        </w:rPr>
        <w:t>6</w:t>
      </w:r>
    </w:p>
    <w:p w14:paraId="60D968BC" w14:textId="77777777" w:rsidR="004A282A" w:rsidRPr="004A282A" w:rsidRDefault="004A282A" w:rsidP="00746A76">
      <w:pPr>
        <w:spacing w:line="276" w:lineRule="auto"/>
        <w:rPr>
          <w:rFonts w:ascii="Arial" w:hAnsi="Arial" w:cs="Arial"/>
          <w:sz w:val="24"/>
          <w:szCs w:val="24"/>
        </w:rPr>
      </w:pPr>
      <w:r w:rsidRPr="004A282A">
        <w:rPr>
          <w:rFonts w:ascii="Arial" w:hAnsi="Arial" w:cs="Arial"/>
          <w:b/>
          <w:bCs/>
          <w:sz w:val="24"/>
          <w:szCs w:val="24"/>
        </w:rPr>
        <w:t>Ref: GA Analysis Workform</w:t>
      </w:r>
    </w:p>
    <w:p w14:paraId="0F93F002" w14:textId="77777777" w:rsidR="005406CC" w:rsidRDefault="005406CC" w:rsidP="00746A76">
      <w:pPr>
        <w:spacing w:after="0" w:line="276" w:lineRule="auto"/>
        <w:rPr>
          <w:rFonts w:ascii="Arial" w:hAnsi="Arial" w:cs="Arial"/>
          <w:sz w:val="24"/>
          <w:szCs w:val="24"/>
        </w:rPr>
      </w:pPr>
      <w:r w:rsidRPr="004A282A">
        <w:rPr>
          <w:rFonts w:ascii="Arial" w:hAnsi="Arial" w:cs="Arial"/>
          <w:sz w:val="24"/>
          <w:szCs w:val="24"/>
        </w:rPr>
        <w:t>The starting point for Note 5 (cell D65) of GA Analysis Workform must agree to the “Transactions Debit / (Credit)” column in the DVA continuity.  In the GA Analysis Workforms submitted by the applicant, the starting point of Note 5 in both the 2015 and 2016 forms do not agreed to the DVA continuity schedule.  Please explain why an alternate balance has been used.  If this was done in error, the</w:t>
      </w:r>
      <w:r w:rsidR="002C6322">
        <w:rPr>
          <w:rFonts w:ascii="Arial" w:hAnsi="Arial" w:cs="Arial"/>
          <w:sz w:val="24"/>
          <w:szCs w:val="24"/>
        </w:rPr>
        <w:t>n</w:t>
      </w:r>
      <w:r w:rsidRPr="004A282A">
        <w:rPr>
          <w:rFonts w:ascii="Arial" w:hAnsi="Arial" w:cs="Arial"/>
          <w:sz w:val="24"/>
          <w:szCs w:val="24"/>
        </w:rPr>
        <w:t xml:space="preserve"> please update each GA Analysis Workform accordingly and resubmit.</w:t>
      </w:r>
    </w:p>
    <w:p w14:paraId="396B2BEF" w14:textId="00CF815E" w:rsidR="00443DBF" w:rsidRDefault="00443DBF" w:rsidP="00746A76">
      <w:pPr>
        <w:spacing w:line="276" w:lineRule="auto"/>
        <w:rPr>
          <w:rFonts w:ascii="Arial" w:hAnsi="Arial" w:cs="Arial"/>
          <w:sz w:val="24"/>
          <w:szCs w:val="24"/>
        </w:rPr>
      </w:pPr>
    </w:p>
    <w:p w14:paraId="33A2A594" w14:textId="217488BE" w:rsidR="006B64EA" w:rsidRPr="006B64EA" w:rsidRDefault="006B64EA" w:rsidP="00746A76">
      <w:pPr>
        <w:spacing w:line="276" w:lineRule="auto"/>
        <w:rPr>
          <w:rFonts w:ascii="Arial" w:hAnsi="Arial" w:cs="Arial"/>
          <w:color w:val="C00000"/>
          <w:sz w:val="24"/>
          <w:szCs w:val="24"/>
        </w:rPr>
      </w:pPr>
      <w:r>
        <w:rPr>
          <w:rFonts w:ascii="Arial" w:hAnsi="Arial" w:cs="Arial"/>
          <w:color w:val="C00000"/>
          <w:sz w:val="24"/>
          <w:szCs w:val="24"/>
        </w:rPr>
        <w:t>The GA Analysis Workform has been corrected and the amounts now agree with the DVA continuity schedule.</w:t>
      </w:r>
    </w:p>
    <w:p w14:paraId="5F8133EF" w14:textId="77777777" w:rsidR="004A282A" w:rsidRPr="004A282A" w:rsidRDefault="004A282A" w:rsidP="00746A76">
      <w:pPr>
        <w:spacing w:line="276" w:lineRule="auto"/>
        <w:rPr>
          <w:rFonts w:ascii="Arial" w:hAnsi="Arial" w:cs="Arial"/>
          <w:b/>
          <w:bCs/>
          <w:sz w:val="24"/>
          <w:szCs w:val="24"/>
        </w:rPr>
      </w:pPr>
      <w:r w:rsidRPr="004A282A">
        <w:rPr>
          <w:rFonts w:ascii="Arial" w:hAnsi="Arial" w:cs="Arial"/>
          <w:b/>
          <w:bCs/>
          <w:sz w:val="24"/>
          <w:szCs w:val="24"/>
        </w:rPr>
        <w:t>Question #</w:t>
      </w:r>
      <w:r>
        <w:rPr>
          <w:rFonts w:ascii="Arial" w:hAnsi="Arial" w:cs="Arial"/>
          <w:b/>
          <w:bCs/>
          <w:sz w:val="24"/>
          <w:szCs w:val="24"/>
        </w:rPr>
        <w:t>7</w:t>
      </w:r>
    </w:p>
    <w:p w14:paraId="7AB235EE" w14:textId="77777777" w:rsidR="004A282A" w:rsidRPr="004A282A" w:rsidRDefault="004A282A" w:rsidP="00746A76">
      <w:pPr>
        <w:spacing w:line="276" w:lineRule="auto"/>
        <w:rPr>
          <w:rFonts w:ascii="Arial" w:hAnsi="Arial" w:cs="Arial"/>
          <w:sz w:val="24"/>
          <w:szCs w:val="24"/>
        </w:rPr>
      </w:pPr>
      <w:r w:rsidRPr="004A282A">
        <w:rPr>
          <w:rFonts w:ascii="Arial" w:hAnsi="Arial" w:cs="Arial"/>
          <w:b/>
          <w:bCs/>
          <w:sz w:val="24"/>
          <w:szCs w:val="24"/>
        </w:rPr>
        <w:t>Ref: GA Analysis Workform</w:t>
      </w:r>
    </w:p>
    <w:p w14:paraId="21CBF10F" w14:textId="77777777" w:rsidR="005406CC" w:rsidRDefault="004A282A" w:rsidP="00746A76">
      <w:pPr>
        <w:spacing w:after="0" w:line="276" w:lineRule="auto"/>
        <w:rPr>
          <w:rFonts w:ascii="Arial" w:hAnsi="Arial" w:cs="Arial"/>
          <w:sz w:val="24"/>
          <w:szCs w:val="24"/>
        </w:rPr>
      </w:pPr>
      <w:r>
        <w:rPr>
          <w:rFonts w:ascii="Arial" w:hAnsi="Arial" w:cs="Arial"/>
          <w:sz w:val="24"/>
          <w:szCs w:val="24"/>
        </w:rPr>
        <w:lastRenderedPageBreak/>
        <w:t>PDI</w:t>
      </w:r>
      <w:r w:rsidR="005406CC" w:rsidRPr="004A282A">
        <w:rPr>
          <w:rFonts w:ascii="Arial" w:hAnsi="Arial" w:cs="Arial"/>
          <w:sz w:val="24"/>
          <w:szCs w:val="24"/>
        </w:rPr>
        <w:t xml:space="preserve"> has recorded an adjustment in 1a) of Note 5 in both the 2015 and 2016 GA Analysis Workforms.  For this adjustment, please provide further details as to the nature of the adjustment, </w:t>
      </w:r>
      <w:r w:rsidR="004C3CB9">
        <w:rPr>
          <w:rFonts w:ascii="Arial" w:hAnsi="Arial" w:cs="Arial"/>
          <w:sz w:val="24"/>
          <w:szCs w:val="24"/>
        </w:rPr>
        <w:t xml:space="preserve">confirm what the estimated GA cost was as compared to actual GA cost </w:t>
      </w:r>
      <w:r w:rsidR="005406CC" w:rsidRPr="004A282A">
        <w:rPr>
          <w:rFonts w:ascii="Arial" w:hAnsi="Arial" w:cs="Arial"/>
          <w:sz w:val="24"/>
          <w:szCs w:val="24"/>
        </w:rPr>
        <w:t>including whether the original RPP true-up that this adjustment is reversing was a debit (increase) or credit (decrease) to expense.</w:t>
      </w:r>
    </w:p>
    <w:p w14:paraId="27EBA132" w14:textId="7EF268DB" w:rsidR="00443DBF" w:rsidRDefault="00443DBF" w:rsidP="00746A76">
      <w:pPr>
        <w:spacing w:line="276" w:lineRule="auto"/>
        <w:rPr>
          <w:rFonts w:ascii="Arial" w:hAnsi="Arial" w:cs="Arial"/>
          <w:sz w:val="24"/>
          <w:szCs w:val="24"/>
        </w:rPr>
      </w:pPr>
    </w:p>
    <w:p w14:paraId="34AD8E13" w14:textId="0CADDF74" w:rsidR="00445675" w:rsidRDefault="00575816" w:rsidP="00746A76">
      <w:pPr>
        <w:spacing w:line="276" w:lineRule="auto"/>
        <w:rPr>
          <w:rFonts w:ascii="Arial" w:hAnsi="Arial" w:cs="Arial"/>
          <w:color w:val="FF0000"/>
          <w:sz w:val="24"/>
          <w:szCs w:val="24"/>
        </w:rPr>
      </w:pPr>
      <w:r>
        <w:rPr>
          <w:rFonts w:ascii="Arial" w:hAnsi="Arial" w:cs="Arial"/>
          <w:color w:val="FF0000"/>
          <w:sz w:val="24"/>
          <w:szCs w:val="24"/>
        </w:rPr>
        <w:t>The previous a</w:t>
      </w:r>
      <w:r w:rsidR="00445675">
        <w:rPr>
          <w:rFonts w:ascii="Arial" w:hAnsi="Arial" w:cs="Arial"/>
          <w:color w:val="FF0000"/>
          <w:sz w:val="24"/>
          <w:szCs w:val="24"/>
        </w:rPr>
        <w:t xml:space="preserve">mount recorded in </w:t>
      </w:r>
      <w:r>
        <w:rPr>
          <w:rFonts w:ascii="Arial" w:hAnsi="Arial" w:cs="Arial"/>
          <w:color w:val="FF0000"/>
          <w:sz w:val="24"/>
          <w:szCs w:val="24"/>
        </w:rPr>
        <w:t>note 1a) was done in error. The adjustments for 1a) and 1b) have both been corrected t</w:t>
      </w:r>
      <w:r w:rsidR="00437347">
        <w:rPr>
          <w:rFonts w:ascii="Arial" w:hAnsi="Arial" w:cs="Arial"/>
          <w:color w:val="FF0000"/>
          <w:sz w:val="24"/>
          <w:szCs w:val="24"/>
        </w:rPr>
        <w:t>o show the year-end RPP true-up for each year.</w:t>
      </w:r>
    </w:p>
    <w:p w14:paraId="0E169AEF" w14:textId="77777777" w:rsidR="00575816" w:rsidRPr="00445675" w:rsidRDefault="00575816" w:rsidP="00746A76">
      <w:pPr>
        <w:spacing w:line="276" w:lineRule="auto"/>
        <w:rPr>
          <w:rFonts w:ascii="Arial" w:hAnsi="Arial" w:cs="Arial"/>
          <w:color w:val="FF0000"/>
          <w:sz w:val="24"/>
          <w:szCs w:val="24"/>
        </w:rPr>
      </w:pPr>
    </w:p>
    <w:p w14:paraId="1593BF5A" w14:textId="77777777" w:rsidR="004A282A" w:rsidRPr="004A282A" w:rsidRDefault="004A282A" w:rsidP="00746A76">
      <w:pPr>
        <w:spacing w:line="276" w:lineRule="auto"/>
        <w:rPr>
          <w:rFonts w:ascii="Arial" w:hAnsi="Arial" w:cs="Arial"/>
          <w:b/>
          <w:bCs/>
          <w:sz w:val="24"/>
          <w:szCs w:val="24"/>
        </w:rPr>
      </w:pPr>
      <w:r w:rsidRPr="004A282A">
        <w:rPr>
          <w:rFonts w:ascii="Arial" w:hAnsi="Arial" w:cs="Arial"/>
          <w:b/>
          <w:bCs/>
          <w:sz w:val="24"/>
          <w:szCs w:val="24"/>
        </w:rPr>
        <w:t>Question #</w:t>
      </w:r>
      <w:r>
        <w:rPr>
          <w:rFonts w:ascii="Arial" w:hAnsi="Arial" w:cs="Arial"/>
          <w:b/>
          <w:bCs/>
          <w:sz w:val="24"/>
          <w:szCs w:val="24"/>
        </w:rPr>
        <w:t>8</w:t>
      </w:r>
    </w:p>
    <w:p w14:paraId="60209E69" w14:textId="77777777" w:rsidR="004A282A" w:rsidRPr="004A282A" w:rsidRDefault="004A282A" w:rsidP="00746A76">
      <w:pPr>
        <w:spacing w:line="276" w:lineRule="auto"/>
        <w:rPr>
          <w:rFonts w:ascii="Arial" w:hAnsi="Arial" w:cs="Arial"/>
          <w:sz w:val="24"/>
          <w:szCs w:val="24"/>
        </w:rPr>
      </w:pPr>
      <w:r w:rsidRPr="004A282A">
        <w:rPr>
          <w:rFonts w:ascii="Arial" w:hAnsi="Arial" w:cs="Arial"/>
          <w:b/>
          <w:bCs/>
          <w:sz w:val="24"/>
          <w:szCs w:val="24"/>
        </w:rPr>
        <w:t>Ref: GA Analysis Workform</w:t>
      </w:r>
    </w:p>
    <w:p w14:paraId="5E69FD41" w14:textId="77777777" w:rsidR="005406CC" w:rsidRDefault="004743CF" w:rsidP="00746A76">
      <w:pPr>
        <w:spacing w:after="0" w:line="276" w:lineRule="auto"/>
        <w:rPr>
          <w:rFonts w:ascii="Arial" w:hAnsi="Arial" w:cs="Arial"/>
          <w:sz w:val="24"/>
          <w:szCs w:val="24"/>
        </w:rPr>
      </w:pPr>
      <w:r>
        <w:rPr>
          <w:rFonts w:ascii="Arial" w:hAnsi="Arial" w:cs="Arial"/>
          <w:sz w:val="24"/>
          <w:szCs w:val="24"/>
        </w:rPr>
        <w:t>Please explain w</w:t>
      </w:r>
      <w:r w:rsidR="005406CC" w:rsidRPr="004A282A">
        <w:rPr>
          <w:rFonts w:ascii="Arial" w:hAnsi="Arial" w:cs="Arial"/>
          <w:sz w:val="24"/>
          <w:szCs w:val="24"/>
        </w:rPr>
        <w:t xml:space="preserve">hy </w:t>
      </w:r>
      <w:r w:rsidR="004A282A">
        <w:rPr>
          <w:rFonts w:ascii="Arial" w:hAnsi="Arial" w:cs="Arial"/>
          <w:sz w:val="24"/>
          <w:szCs w:val="24"/>
        </w:rPr>
        <w:t>PDI</w:t>
      </w:r>
      <w:r w:rsidR="005406CC" w:rsidRPr="004A282A">
        <w:rPr>
          <w:rFonts w:ascii="Arial" w:hAnsi="Arial" w:cs="Arial"/>
          <w:sz w:val="24"/>
          <w:szCs w:val="24"/>
        </w:rPr>
        <w:t xml:space="preserve"> </w:t>
      </w:r>
      <w:r>
        <w:rPr>
          <w:rFonts w:ascii="Arial" w:hAnsi="Arial" w:cs="Arial"/>
          <w:sz w:val="24"/>
          <w:szCs w:val="24"/>
        </w:rPr>
        <w:t xml:space="preserve">has </w:t>
      </w:r>
      <w:r w:rsidR="005406CC" w:rsidRPr="004A282A">
        <w:rPr>
          <w:rFonts w:ascii="Arial" w:hAnsi="Arial" w:cs="Arial"/>
          <w:sz w:val="24"/>
          <w:szCs w:val="24"/>
        </w:rPr>
        <w:t>not recorded any adjustment for 1b) of Note 5 in both the 2015 and 2016 GA Analysis Workforms when it appears that a year-end RPP true-up adjustment is necessary.</w:t>
      </w:r>
    </w:p>
    <w:p w14:paraId="2325A206" w14:textId="60B4A32F" w:rsidR="00443DBF" w:rsidRDefault="00443DBF" w:rsidP="00746A76">
      <w:pPr>
        <w:spacing w:line="276" w:lineRule="auto"/>
        <w:rPr>
          <w:rFonts w:ascii="Arial" w:hAnsi="Arial" w:cs="Arial"/>
          <w:sz w:val="24"/>
          <w:szCs w:val="24"/>
        </w:rPr>
      </w:pPr>
    </w:p>
    <w:p w14:paraId="0CE538FD" w14:textId="06D6F7D6" w:rsidR="00305D4C" w:rsidRPr="00305D4C" w:rsidRDefault="00575816" w:rsidP="00746A76">
      <w:pPr>
        <w:spacing w:line="276" w:lineRule="auto"/>
        <w:rPr>
          <w:rFonts w:ascii="Arial" w:hAnsi="Arial" w:cs="Arial"/>
          <w:color w:val="FF0000"/>
          <w:sz w:val="24"/>
          <w:szCs w:val="24"/>
        </w:rPr>
      </w:pPr>
      <w:r>
        <w:rPr>
          <w:rFonts w:ascii="Arial" w:hAnsi="Arial" w:cs="Arial"/>
          <w:color w:val="FF0000"/>
          <w:sz w:val="24"/>
          <w:szCs w:val="24"/>
        </w:rPr>
        <w:t>As per question 7, these amounts have been adjusted.</w:t>
      </w:r>
    </w:p>
    <w:p w14:paraId="75C579DF" w14:textId="77777777" w:rsidR="004A282A" w:rsidRPr="004A282A" w:rsidRDefault="004A282A" w:rsidP="00746A76">
      <w:pPr>
        <w:spacing w:line="276" w:lineRule="auto"/>
        <w:rPr>
          <w:rFonts w:ascii="Arial" w:hAnsi="Arial" w:cs="Arial"/>
          <w:b/>
          <w:bCs/>
          <w:sz w:val="24"/>
          <w:szCs w:val="24"/>
        </w:rPr>
      </w:pPr>
      <w:r w:rsidRPr="004A282A">
        <w:rPr>
          <w:rFonts w:ascii="Arial" w:hAnsi="Arial" w:cs="Arial"/>
          <w:b/>
          <w:bCs/>
          <w:sz w:val="24"/>
          <w:szCs w:val="24"/>
        </w:rPr>
        <w:t>Question #</w:t>
      </w:r>
      <w:r>
        <w:rPr>
          <w:rFonts w:ascii="Arial" w:hAnsi="Arial" w:cs="Arial"/>
          <w:b/>
          <w:bCs/>
          <w:sz w:val="24"/>
          <w:szCs w:val="24"/>
        </w:rPr>
        <w:t>9</w:t>
      </w:r>
    </w:p>
    <w:p w14:paraId="33E15AF8" w14:textId="77777777" w:rsidR="004A282A" w:rsidRPr="004A282A" w:rsidRDefault="004A282A" w:rsidP="00746A76">
      <w:pPr>
        <w:spacing w:line="276" w:lineRule="auto"/>
        <w:rPr>
          <w:rFonts w:ascii="Arial" w:hAnsi="Arial" w:cs="Arial"/>
          <w:sz w:val="24"/>
          <w:szCs w:val="24"/>
        </w:rPr>
      </w:pPr>
      <w:r w:rsidRPr="004A282A">
        <w:rPr>
          <w:rFonts w:ascii="Arial" w:hAnsi="Arial" w:cs="Arial"/>
          <w:b/>
          <w:bCs/>
          <w:sz w:val="24"/>
          <w:szCs w:val="24"/>
        </w:rPr>
        <w:t>Ref: GA Analysis Workform</w:t>
      </w:r>
    </w:p>
    <w:p w14:paraId="676BB8C7" w14:textId="75BF8D73" w:rsidR="00443DBF" w:rsidRDefault="005406CC" w:rsidP="00746A76">
      <w:pPr>
        <w:spacing w:after="0" w:line="276" w:lineRule="auto"/>
        <w:rPr>
          <w:rFonts w:ascii="Arial" w:hAnsi="Arial" w:cs="Arial"/>
          <w:sz w:val="24"/>
          <w:szCs w:val="24"/>
        </w:rPr>
      </w:pPr>
      <w:r w:rsidRPr="004A282A">
        <w:rPr>
          <w:rFonts w:ascii="Arial" w:hAnsi="Arial" w:cs="Arial"/>
          <w:sz w:val="24"/>
          <w:szCs w:val="24"/>
        </w:rPr>
        <w:t xml:space="preserve">For the adjustments recorded in 2a and 2b </w:t>
      </w:r>
      <w:r w:rsidR="0045694B">
        <w:rPr>
          <w:rFonts w:ascii="Arial" w:hAnsi="Arial" w:cs="Arial"/>
          <w:sz w:val="24"/>
          <w:szCs w:val="24"/>
        </w:rPr>
        <w:t>in</w:t>
      </w:r>
      <w:r w:rsidR="0045694B" w:rsidRPr="004A282A">
        <w:rPr>
          <w:rFonts w:ascii="Arial" w:hAnsi="Arial" w:cs="Arial"/>
          <w:sz w:val="24"/>
          <w:szCs w:val="24"/>
        </w:rPr>
        <w:t xml:space="preserve"> </w:t>
      </w:r>
      <w:r w:rsidRPr="004A282A">
        <w:rPr>
          <w:rFonts w:ascii="Arial" w:hAnsi="Arial" w:cs="Arial"/>
          <w:sz w:val="24"/>
          <w:szCs w:val="24"/>
        </w:rPr>
        <w:t xml:space="preserve">Note 5 </w:t>
      </w:r>
      <w:r w:rsidR="0045694B">
        <w:rPr>
          <w:rFonts w:ascii="Arial" w:hAnsi="Arial" w:cs="Arial"/>
          <w:sz w:val="24"/>
          <w:szCs w:val="24"/>
        </w:rPr>
        <w:t xml:space="preserve">of </w:t>
      </w:r>
      <w:r w:rsidRPr="004A282A">
        <w:rPr>
          <w:rFonts w:ascii="Arial" w:hAnsi="Arial" w:cs="Arial"/>
          <w:sz w:val="24"/>
          <w:szCs w:val="24"/>
        </w:rPr>
        <w:t xml:space="preserve">the </w:t>
      </w:r>
      <w:r w:rsidR="0045694B" w:rsidRPr="004A282A">
        <w:rPr>
          <w:rFonts w:ascii="Arial" w:hAnsi="Arial" w:cs="Arial"/>
          <w:sz w:val="24"/>
          <w:szCs w:val="24"/>
        </w:rPr>
        <w:t>201</w:t>
      </w:r>
      <w:r w:rsidR="0045694B">
        <w:rPr>
          <w:rFonts w:ascii="Arial" w:hAnsi="Arial" w:cs="Arial"/>
          <w:sz w:val="24"/>
          <w:szCs w:val="24"/>
        </w:rPr>
        <w:t>6</w:t>
      </w:r>
      <w:r w:rsidR="0045694B" w:rsidRPr="004A282A">
        <w:rPr>
          <w:rFonts w:ascii="Arial" w:hAnsi="Arial" w:cs="Arial"/>
          <w:sz w:val="24"/>
          <w:szCs w:val="24"/>
        </w:rPr>
        <w:t xml:space="preserve"> </w:t>
      </w:r>
      <w:r w:rsidRPr="004A282A">
        <w:rPr>
          <w:rFonts w:ascii="Arial" w:hAnsi="Arial" w:cs="Arial"/>
          <w:sz w:val="24"/>
          <w:szCs w:val="24"/>
        </w:rPr>
        <w:t xml:space="preserve">and </w:t>
      </w:r>
      <w:r w:rsidR="0045694B">
        <w:rPr>
          <w:rFonts w:ascii="Arial" w:hAnsi="Arial" w:cs="Arial"/>
          <w:sz w:val="24"/>
          <w:szCs w:val="24"/>
        </w:rPr>
        <w:t xml:space="preserve">in 2a of Note 5 in the </w:t>
      </w:r>
      <w:r w:rsidR="0045694B" w:rsidRPr="004A282A">
        <w:rPr>
          <w:rFonts w:ascii="Arial" w:hAnsi="Arial" w:cs="Arial"/>
          <w:sz w:val="24"/>
          <w:szCs w:val="24"/>
        </w:rPr>
        <w:t>201</w:t>
      </w:r>
      <w:r w:rsidR="0045694B">
        <w:rPr>
          <w:rFonts w:ascii="Arial" w:hAnsi="Arial" w:cs="Arial"/>
          <w:sz w:val="24"/>
          <w:szCs w:val="24"/>
        </w:rPr>
        <w:t>5</w:t>
      </w:r>
      <w:r w:rsidR="0045694B" w:rsidRPr="004A282A">
        <w:rPr>
          <w:rFonts w:ascii="Arial" w:hAnsi="Arial" w:cs="Arial"/>
          <w:sz w:val="24"/>
          <w:szCs w:val="24"/>
        </w:rPr>
        <w:t xml:space="preserve"> </w:t>
      </w:r>
      <w:r w:rsidRPr="004A282A">
        <w:rPr>
          <w:rFonts w:ascii="Arial" w:hAnsi="Arial" w:cs="Arial"/>
          <w:sz w:val="24"/>
          <w:szCs w:val="24"/>
        </w:rPr>
        <w:t>GA Analysis Workforms, please indicate whether the adjustment</w:t>
      </w:r>
      <w:r w:rsidR="00A25E50">
        <w:rPr>
          <w:rFonts w:ascii="Arial" w:hAnsi="Arial" w:cs="Arial"/>
          <w:sz w:val="24"/>
          <w:szCs w:val="24"/>
        </w:rPr>
        <w:t>s</w:t>
      </w:r>
      <w:r w:rsidRPr="004A282A">
        <w:rPr>
          <w:rFonts w:ascii="Arial" w:hAnsi="Arial" w:cs="Arial"/>
          <w:sz w:val="24"/>
          <w:szCs w:val="24"/>
        </w:rPr>
        <w:t xml:space="preserve"> being proposed </w:t>
      </w:r>
      <w:r w:rsidR="00A25E50">
        <w:rPr>
          <w:rFonts w:ascii="Arial" w:hAnsi="Arial" w:cs="Arial"/>
          <w:sz w:val="24"/>
          <w:szCs w:val="24"/>
        </w:rPr>
        <w:t>are</w:t>
      </w:r>
      <w:r w:rsidRPr="004A282A">
        <w:rPr>
          <w:rFonts w:ascii="Arial" w:hAnsi="Arial" w:cs="Arial"/>
          <w:sz w:val="24"/>
          <w:szCs w:val="24"/>
        </w:rPr>
        <w:t xml:space="preserve"> to </w:t>
      </w:r>
      <w:r w:rsidR="00A25E50">
        <w:rPr>
          <w:rFonts w:ascii="Arial" w:hAnsi="Arial" w:cs="Arial"/>
          <w:sz w:val="24"/>
          <w:szCs w:val="24"/>
        </w:rPr>
        <w:t xml:space="preserve">reconcile </w:t>
      </w:r>
      <w:r w:rsidR="0045694B">
        <w:rPr>
          <w:rFonts w:ascii="Arial" w:hAnsi="Arial" w:cs="Arial"/>
          <w:sz w:val="24"/>
          <w:szCs w:val="24"/>
        </w:rPr>
        <w:t>an</w:t>
      </w:r>
      <w:r w:rsidRPr="004A282A">
        <w:rPr>
          <w:rFonts w:ascii="Arial" w:hAnsi="Arial" w:cs="Arial"/>
          <w:sz w:val="24"/>
          <w:szCs w:val="24"/>
        </w:rPr>
        <w:t xml:space="preserve"> over or under accrual of unbilled revenue.</w:t>
      </w:r>
      <w:r w:rsidR="00437AA5">
        <w:rPr>
          <w:rFonts w:ascii="Arial" w:hAnsi="Arial" w:cs="Arial"/>
          <w:sz w:val="24"/>
          <w:szCs w:val="24"/>
        </w:rPr>
        <w:t xml:space="preserve">  Also, i</w:t>
      </w:r>
      <w:r w:rsidR="004A282A" w:rsidRPr="00437AA5">
        <w:rPr>
          <w:rFonts w:ascii="Arial" w:hAnsi="Arial" w:cs="Arial"/>
          <w:sz w:val="24"/>
          <w:szCs w:val="24"/>
        </w:rPr>
        <w:t>n</w:t>
      </w:r>
      <w:r w:rsidRPr="00437AA5">
        <w:rPr>
          <w:rFonts w:ascii="Arial" w:hAnsi="Arial" w:cs="Arial"/>
          <w:sz w:val="24"/>
          <w:szCs w:val="24"/>
        </w:rPr>
        <w:t xml:space="preserve"> the 2015 GA Analysis Workform, an adjustment was recorded for 2</w:t>
      </w:r>
      <w:r w:rsidR="0045694B">
        <w:rPr>
          <w:rFonts w:ascii="Arial" w:hAnsi="Arial" w:cs="Arial"/>
          <w:sz w:val="24"/>
          <w:szCs w:val="24"/>
        </w:rPr>
        <w:t>a</w:t>
      </w:r>
      <w:r w:rsidRPr="00437AA5">
        <w:rPr>
          <w:rFonts w:ascii="Arial" w:hAnsi="Arial" w:cs="Arial"/>
          <w:sz w:val="24"/>
          <w:szCs w:val="24"/>
        </w:rPr>
        <w:t>, but not for 2b.  Please explain why.</w:t>
      </w:r>
    </w:p>
    <w:p w14:paraId="2A9C9E95" w14:textId="46EDAA51" w:rsidR="00437AA5" w:rsidRDefault="00437AA5" w:rsidP="00746A76">
      <w:pPr>
        <w:spacing w:line="276" w:lineRule="auto"/>
        <w:rPr>
          <w:rFonts w:ascii="Arial" w:hAnsi="Arial" w:cs="Arial"/>
          <w:sz w:val="24"/>
          <w:szCs w:val="24"/>
        </w:rPr>
      </w:pPr>
    </w:p>
    <w:p w14:paraId="26ABB36E" w14:textId="573BD3A1" w:rsidR="00445675" w:rsidRDefault="00445675" w:rsidP="00746A76">
      <w:pPr>
        <w:spacing w:line="276" w:lineRule="auto"/>
        <w:rPr>
          <w:rFonts w:ascii="Arial" w:hAnsi="Arial" w:cs="Arial"/>
          <w:color w:val="FF0000"/>
          <w:sz w:val="24"/>
          <w:szCs w:val="24"/>
        </w:rPr>
      </w:pPr>
      <w:r>
        <w:rPr>
          <w:rFonts w:ascii="Arial" w:hAnsi="Arial" w:cs="Arial"/>
          <w:color w:val="FF0000"/>
          <w:sz w:val="24"/>
          <w:szCs w:val="24"/>
        </w:rPr>
        <w:t>Amounts recorded in 2a and 2b have been corrected and are now included in both years.  Additional details have been included on the workform.</w:t>
      </w:r>
    </w:p>
    <w:p w14:paraId="2D32B3E9" w14:textId="77777777" w:rsidR="00437347" w:rsidRPr="00445675" w:rsidRDefault="00437347" w:rsidP="00746A76">
      <w:pPr>
        <w:spacing w:line="276" w:lineRule="auto"/>
        <w:rPr>
          <w:rFonts w:ascii="Arial" w:hAnsi="Arial" w:cs="Arial"/>
          <w:color w:val="FF0000"/>
          <w:sz w:val="24"/>
          <w:szCs w:val="24"/>
        </w:rPr>
      </w:pPr>
    </w:p>
    <w:p w14:paraId="557C905F" w14:textId="77777777" w:rsidR="004A282A" w:rsidRPr="004A282A" w:rsidRDefault="004A282A" w:rsidP="00746A76">
      <w:pPr>
        <w:spacing w:line="276" w:lineRule="auto"/>
        <w:rPr>
          <w:rFonts w:ascii="Arial" w:hAnsi="Arial" w:cs="Arial"/>
          <w:b/>
          <w:bCs/>
          <w:sz w:val="24"/>
          <w:szCs w:val="24"/>
        </w:rPr>
      </w:pPr>
      <w:r w:rsidRPr="004A282A">
        <w:rPr>
          <w:rFonts w:ascii="Arial" w:hAnsi="Arial" w:cs="Arial"/>
          <w:b/>
          <w:bCs/>
          <w:sz w:val="24"/>
          <w:szCs w:val="24"/>
        </w:rPr>
        <w:t>Question #</w:t>
      </w:r>
      <w:r>
        <w:rPr>
          <w:rFonts w:ascii="Arial" w:hAnsi="Arial" w:cs="Arial"/>
          <w:b/>
          <w:bCs/>
          <w:sz w:val="24"/>
          <w:szCs w:val="24"/>
        </w:rPr>
        <w:t>10</w:t>
      </w:r>
    </w:p>
    <w:p w14:paraId="26BB68FA" w14:textId="77777777" w:rsidR="004A282A" w:rsidRPr="004A282A" w:rsidRDefault="004A282A" w:rsidP="00746A76">
      <w:pPr>
        <w:spacing w:line="276" w:lineRule="auto"/>
        <w:rPr>
          <w:rFonts w:ascii="Arial" w:hAnsi="Arial" w:cs="Arial"/>
          <w:sz w:val="24"/>
          <w:szCs w:val="24"/>
        </w:rPr>
      </w:pPr>
      <w:r w:rsidRPr="004A282A">
        <w:rPr>
          <w:rFonts w:ascii="Arial" w:hAnsi="Arial" w:cs="Arial"/>
          <w:b/>
          <w:bCs/>
          <w:sz w:val="24"/>
          <w:szCs w:val="24"/>
        </w:rPr>
        <w:t>Ref: GA Analysis Workform</w:t>
      </w:r>
    </w:p>
    <w:p w14:paraId="7EB6F7D6" w14:textId="77777777" w:rsidR="005406CC" w:rsidRDefault="005406CC" w:rsidP="00746A76">
      <w:pPr>
        <w:spacing w:after="0" w:line="276" w:lineRule="auto"/>
        <w:rPr>
          <w:rFonts w:ascii="Arial" w:hAnsi="Arial" w:cs="Arial"/>
          <w:sz w:val="24"/>
          <w:szCs w:val="24"/>
        </w:rPr>
      </w:pPr>
      <w:r w:rsidRPr="004A282A">
        <w:rPr>
          <w:rFonts w:ascii="Arial" w:hAnsi="Arial" w:cs="Arial"/>
          <w:sz w:val="24"/>
          <w:szCs w:val="24"/>
        </w:rPr>
        <w:t xml:space="preserve">Please provide the total GA amounts billed to non-RPP customers in 2016 as recorded in the applicant’s revenue G/L accounts excluding any transfers to RSVA GA if applicable. </w:t>
      </w:r>
    </w:p>
    <w:p w14:paraId="4C4ED5B6" w14:textId="18785194" w:rsidR="007D0EA8" w:rsidRDefault="007D0EA8" w:rsidP="00746A76">
      <w:pPr>
        <w:spacing w:line="276" w:lineRule="auto"/>
        <w:rPr>
          <w:rFonts w:ascii="Arial" w:hAnsi="Arial" w:cs="Arial"/>
          <w:sz w:val="24"/>
          <w:szCs w:val="24"/>
        </w:rPr>
      </w:pPr>
    </w:p>
    <w:p w14:paraId="5ADE66F7" w14:textId="5DCB74D9" w:rsidR="00445675" w:rsidRPr="00445675" w:rsidRDefault="00445675" w:rsidP="00746A76">
      <w:pPr>
        <w:spacing w:line="276" w:lineRule="auto"/>
        <w:rPr>
          <w:rFonts w:ascii="Arial" w:hAnsi="Arial" w:cs="Arial"/>
          <w:color w:val="FF0000"/>
          <w:sz w:val="24"/>
          <w:szCs w:val="24"/>
        </w:rPr>
      </w:pPr>
      <w:r>
        <w:rPr>
          <w:rFonts w:ascii="Arial" w:hAnsi="Arial" w:cs="Arial"/>
          <w:color w:val="FF0000"/>
          <w:sz w:val="24"/>
          <w:szCs w:val="24"/>
        </w:rPr>
        <w:lastRenderedPageBreak/>
        <w:t xml:space="preserve">The total GA amount billed to non-RPP customers in 2016 per the GL </w:t>
      </w:r>
      <w:r w:rsidR="00CC0E92">
        <w:rPr>
          <w:rFonts w:ascii="Arial" w:hAnsi="Arial" w:cs="Arial"/>
          <w:color w:val="FF0000"/>
          <w:sz w:val="24"/>
          <w:szCs w:val="24"/>
        </w:rPr>
        <w:t>is</w:t>
      </w:r>
      <w:r>
        <w:rPr>
          <w:rFonts w:ascii="Arial" w:hAnsi="Arial" w:cs="Arial"/>
          <w:color w:val="FF0000"/>
          <w:sz w:val="24"/>
          <w:szCs w:val="24"/>
        </w:rPr>
        <w:t xml:space="preserve"> </w:t>
      </w:r>
      <w:r w:rsidR="00CC0E92">
        <w:rPr>
          <w:rFonts w:ascii="Arial" w:hAnsi="Arial" w:cs="Arial"/>
          <w:color w:val="FF0000"/>
          <w:sz w:val="24"/>
          <w:szCs w:val="24"/>
        </w:rPr>
        <w:t>32,616,428</w:t>
      </w:r>
    </w:p>
    <w:p w14:paraId="191FACCA" w14:textId="232A6C7B" w:rsidR="003629D4" w:rsidRPr="00815F41" w:rsidRDefault="003629D4" w:rsidP="00746A76">
      <w:pPr>
        <w:spacing w:line="276" w:lineRule="auto"/>
        <w:rPr>
          <w:rFonts w:ascii="Arial" w:hAnsi="Arial" w:cs="Arial"/>
          <w:b/>
          <w:sz w:val="24"/>
        </w:rPr>
      </w:pPr>
      <w:r w:rsidRPr="00815F41">
        <w:rPr>
          <w:rFonts w:ascii="Arial" w:hAnsi="Arial" w:cs="Arial"/>
          <w:b/>
          <w:sz w:val="24"/>
        </w:rPr>
        <w:t xml:space="preserve">Question # </w:t>
      </w:r>
      <w:r w:rsidR="00706F9A">
        <w:rPr>
          <w:rFonts w:ascii="Arial" w:hAnsi="Arial" w:cs="Arial"/>
          <w:b/>
          <w:sz w:val="24"/>
        </w:rPr>
        <w:t>11</w:t>
      </w:r>
    </w:p>
    <w:p w14:paraId="6F3491B4" w14:textId="77777777" w:rsidR="003629D4" w:rsidRDefault="003629D4" w:rsidP="00746A76">
      <w:pPr>
        <w:spacing w:line="276" w:lineRule="auto"/>
        <w:rPr>
          <w:rFonts w:ascii="Arial" w:hAnsi="Arial" w:cs="Arial"/>
          <w:b/>
          <w:sz w:val="24"/>
          <w:szCs w:val="24"/>
        </w:rPr>
      </w:pPr>
      <w:r>
        <w:rPr>
          <w:rFonts w:ascii="Arial" w:hAnsi="Arial" w:cs="Arial"/>
          <w:b/>
          <w:sz w:val="24"/>
          <w:szCs w:val="24"/>
        </w:rPr>
        <w:t>Ref: GA Analysis Workform – GA Billing Rate</w:t>
      </w:r>
    </w:p>
    <w:p w14:paraId="4EC69BCD" w14:textId="219D0DE2" w:rsidR="003629D4" w:rsidRDefault="003629D4" w:rsidP="000A753C">
      <w:pPr>
        <w:pStyle w:val="ListParagraph"/>
        <w:numPr>
          <w:ilvl w:val="0"/>
          <w:numId w:val="10"/>
        </w:numPr>
        <w:spacing w:after="200" w:line="276" w:lineRule="auto"/>
        <w:ind w:left="1080"/>
        <w:rPr>
          <w:rFonts w:ascii="Arial" w:hAnsi="Arial" w:cs="Arial"/>
          <w:sz w:val="24"/>
          <w:szCs w:val="24"/>
        </w:rPr>
      </w:pPr>
      <w:r>
        <w:rPr>
          <w:rFonts w:ascii="Arial" w:hAnsi="Arial" w:cs="Arial"/>
          <w:sz w:val="24"/>
          <w:szCs w:val="24"/>
        </w:rPr>
        <w:t xml:space="preserve">What </w:t>
      </w:r>
      <w:r w:rsidRPr="00843D1D">
        <w:rPr>
          <w:rFonts w:ascii="Arial" w:hAnsi="Arial" w:cs="Arial"/>
          <w:sz w:val="24"/>
          <w:szCs w:val="24"/>
        </w:rPr>
        <w:t>GA rate is used to bill customers</w:t>
      </w:r>
      <w:r>
        <w:rPr>
          <w:rFonts w:ascii="Arial" w:hAnsi="Arial" w:cs="Arial"/>
          <w:sz w:val="24"/>
          <w:szCs w:val="24"/>
        </w:rPr>
        <w:t>? Is the same GA rate used for unbilled revenue? If not what rate is used?</w:t>
      </w:r>
    </w:p>
    <w:p w14:paraId="212A487B" w14:textId="79DA12F7" w:rsidR="00445675" w:rsidRDefault="00445675" w:rsidP="00445675">
      <w:pPr>
        <w:pStyle w:val="ListParagraph"/>
        <w:spacing w:after="200" w:line="276" w:lineRule="auto"/>
        <w:ind w:left="1080"/>
        <w:rPr>
          <w:rFonts w:ascii="Arial" w:hAnsi="Arial" w:cs="Arial"/>
          <w:sz w:val="24"/>
          <w:szCs w:val="24"/>
        </w:rPr>
      </w:pPr>
      <w:r w:rsidRPr="00445675">
        <w:rPr>
          <w:rFonts w:ascii="Arial" w:hAnsi="Arial" w:cs="Arial"/>
          <w:color w:val="FF0000"/>
          <w:sz w:val="24"/>
          <w:szCs w:val="24"/>
        </w:rPr>
        <w:t>PDI</w:t>
      </w:r>
      <w:r w:rsidR="00B94D14">
        <w:rPr>
          <w:rFonts w:ascii="Arial" w:hAnsi="Arial" w:cs="Arial"/>
          <w:color w:val="FF0000"/>
          <w:sz w:val="24"/>
          <w:szCs w:val="24"/>
        </w:rPr>
        <w:t xml:space="preserve"> uses</w:t>
      </w:r>
      <w:r>
        <w:rPr>
          <w:rFonts w:ascii="Arial" w:hAnsi="Arial" w:cs="Arial"/>
          <w:color w:val="FF0000"/>
          <w:sz w:val="24"/>
          <w:szCs w:val="24"/>
        </w:rPr>
        <w:t xml:space="preserve"> the GA first estimate to bill customers as well as for its unbilled revenue calculations.</w:t>
      </w:r>
    </w:p>
    <w:p w14:paraId="3453F997" w14:textId="2BAC86E5" w:rsidR="003629D4" w:rsidRDefault="003629D4" w:rsidP="000A753C">
      <w:pPr>
        <w:pStyle w:val="ListParagraph"/>
        <w:numPr>
          <w:ilvl w:val="0"/>
          <w:numId w:val="10"/>
        </w:numPr>
        <w:spacing w:after="200" w:line="276" w:lineRule="auto"/>
        <w:ind w:left="1080"/>
        <w:rPr>
          <w:rFonts w:ascii="Arial" w:hAnsi="Arial" w:cs="Arial"/>
          <w:sz w:val="24"/>
          <w:szCs w:val="24"/>
        </w:rPr>
      </w:pPr>
      <w:r w:rsidRPr="00843D1D">
        <w:rPr>
          <w:rFonts w:ascii="Arial" w:hAnsi="Arial" w:cs="Arial"/>
          <w:sz w:val="24"/>
          <w:szCs w:val="24"/>
        </w:rPr>
        <w:t xml:space="preserve">Explain how the GA billing rate is determined for billing cycles that span more than one load month. </w:t>
      </w:r>
    </w:p>
    <w:p w14:paraId="14BFDBBB" w14:textId="15D071A3" w:rsidR="000A65FD" w:rsidRPr="000A65FD" w:rsidRDefault="009E0042" w:rsidP="000A65FD">
      <w:pPr>
        <w:pStyle w:val="ListParagraph"/>
        <w:spacing w:after="200" w:line="276" w:lineRule="auto"/>
        <w:ind w:left="1080"/>
        <w:rPr>
          <w:rFonts w:ascii="Arial" w:hAnsi="Arial" w:cs="Arial"/>
          <w:color w:val="FF0000"/>
          <w:sz w:val="24"/>
          <w:szCs w:val="24"/>
        </w:rPr>
      </w:pPr>
      <w:r>
        <w:rPr>
          <w:rFonts w:ascii="Arial" w:hAnsi="Arial" w:cs="Arial"/>
          <w:color w:val="FF0000"/>
          <w:sz w:val="24"/>
          <w:szCs w:val="24"/>
        </w:rPr>
        <w:t xml:space="preserve">The GA billing rate is </w:t>
      </w:r>
      <w:r w:rsidR="00305D4C">
        <w:rPr>
          <w:rFonts w:ascii="Arial" w:hAnsi="Arial" w:cs="Arial"/>
          <w:color w:val="FF0000"/>
          <w:sz w:val="24"/>
          <w:szCs w:val="24"/>
        </w:rPr>
        <w:t>prorated</w:t>
      </w:r>
      <w:r>
        <w:rPr>
          <w:rFonts w:ascii="Arial" w:hAnsi="Arial" w:cs="Arial"/>
          <w:color w:val="FF0000"/>
          <w:sz w:val="24"/>
          <w:szCs w:val="24"/>
        </w:rPr>
        <w:t xml:space="preserve"> based on </w:t>
      </w:r>
      <w:r w:rsidR="00305D4C">
        <w:rPr>
          <w:rFonts w:ascii="Arial" w:hAnsi="Arial" w:cs="Arial"/>
          <w:color w:val="FF0000"/>
          <w:sz w:val="24"/>
          <w:szCs w:val="24"/>
        </w:rPr>
        <w:t xml:space="preserve">the </w:t>
      </w:r>
      <w:r w:rsidR="00437347">
        <w:rPr>
          <w:rFonts w:ascii="Arial" w:hAnsi="Arial" w:cs="Arial"/>
          <w:color w:val="FF0000"/>
          <w:sz w:val="24"/>
          <w:szCs w:val="24"/>
        </w:rPr>
        <w:t xml:space="preserve">actual </w:t>
      </w:r>
      <w:r w:rsidR="00305D4C">
        <w:rPr>
          <w:rFonts w:ascii="Arial" w:hAnsi="Arial" w:cs="Arial"/>
          <w:color w:val="FF0000"/>
          <w:sz w:val="24"/>
          <w:szCs w:val="24"/>
        </w:rPr>
        <w:t xml:space="preserve">consumption dates within the billing cycle. </w:t>
      </w:r>
    </w:p>
    <w:p w14:paraId="1C0AB3DD" w14:textId="6340D198" w:rsidR="00746A76" w:rsidRDefault="003629D4" w:rsidP="000A753C">
      <w:pPr>
        <w:pStyle w:val="ListParagraph"/>
        <w:numPr>
          <w:ilvl w:val="0"/>
          <w:numId w:val="10"/>
        </w:numPr>
        <w:spacing w:after="200" w:line="276" w:lineRule="auto"/>
        <w:ind w:left="1080"/>
        <w:rPr>
          <w:rFonts w:ascii="Arial" w:hAnsi="Arial" w:cs="Arial"/>
          <w:sz w:val="24"/>
          <w:szCs w:val="24"/>
        </w:rPr>
      </w:pPr>
      <w:r w:rsidRPr="00843D1D">
        <w:rPr>
          <w:rFonts w:ascii="Arial" w:hAnsi="Arial" w:cs="Arial"/>
          <w:sz w:val="24"/>
          <w:szCs w:val="24"/>
        </w:rPr>
        <w:t xml:space="preserve">Confirm that the GA rate that is used is applied consistently for all billing and unbilled revenue transactions for non-RPP Class B customers </w:t>
      </w:r>
      <w:r>
        <w:rPr>
          <w:rFonts w:ascii="Arial" w:hAnsi="Arial" w:cs="Arial"/>
          <w:sz w:val="24"/>
          <w:szCs w:val="24"/>
        </w:rPr>
        <w:t>for</w:t>
      </w:r>
      <w:r w:rsidRPr="00843D1D">
        <w:rPr>
          <w:rFonts w:ascii="Arial" w:hAnsi="Arial" w:cs="Arial"/>
          <w:sz w:val="24"/>
          <w:szCs w:val="24"/>
        </w:rPr>
        <w:t xml:space="preserve"> each customer class.</w:t>
      </w:r>
    </w:p>
    <w:p w14:paraId="48B5A297" w14:textId="2297222C" w:rsidR="000A65FD" w:rsidRPr="000A65FD" w:rsidRDefault="000A65FD" w:rsidP="000A65FD">
      <w:pPr>
        <w:pStyle w:val="ListParagraph"/>
        <w:spacing w:after="200" w:line="276" w:lineRule="auto"/>
        <w:ind w:left="1080"/>
        <w:rPr>
          <w:rFonts w:ascii="Arial" w:hAnsi="Arial" w:cs="Arial"/>
          <w:color w:val="FF0000"/>
          <w:sz w:val="24"/>
          <w:szCs w:val="24"/>
        </w:rPr>
      </w:pPr>
      <w:r w:rsidRPr="000A65FD">
        <w:rPr>
          <w:rFonts w:ascii="Arial" w:hAnsi="Arial" w:cs="Arial"/>
          <w:color w:val="FF0000"/>
          <w:sz w:val="24"/>
          <w:szCs w:val="24"/>
        </w:rPr>
        <w:t>Yes, GA rate is consistent.</w:t>
      </w:r>
    </w:p>
    <w:p w14:paraId="7DCD4F47" w14:textId="4A4DD7BC" w:rsidR="00746A76" w:rsidRDefault="003629D4" w:rsidP="000A753C">
      <w:pPr>
        <w:pStyle w:val="ListParagraph"/>
        <w:numPr>
          <w:ilvl w:val="0"/>
          <w:numId w:val="10"/>
        </w:numPr>
        <w:spacing w:after="0" w:line="276" w:lineRule="auto"/>
        <w:ind w:left="1080"/>
        <w:rPr>
          <w:rFonts w:ascii="Arial" w:hAnsi="Arial" w:cs="Arial"/>
          <w:sz w:val="24"/>
          <w:szCs w:val="24"/>
        </w:rPr>
      </w:pPr>
      <w:r w:rsidRPr="00746A76">
        <w:rPr>
          <w:rFonts w:ascii="Arial" w:hAnsi="Arial" w:cs="Arial"/>
          <w:sz w:val="24"/>
          <w:szCs w:val="24"/>
        </w:rPr>
        <w:t>Where the same GA rate is not used for non-RPP Class B customers in all customer classes, explain what GA rate is applied to each customer class</w:t>
      </w:r>
      <w:r w:rsidR="00746A76">
        <w:rPr>
          <w:rFonts w:ascii="Arial" w:hAnsi="Arial" w:cs="Arial"/>
          <w:sz w:val="24"/>
          <w:szCs w:val="24"/>
        </w:rPr>
        <w:t>.</w:t>
      </w:r>
    </w:p>
    <w:p w14:paraId="275A10E1" w14:textId="3A226A02" w:rsidR="000A65FD" w:rsidRPr="000A65FD" w:rsidRDefault="000A65FD" w:rsidP="000A65FD">
      <w:pPr>
        <w:pStyle w:val="ListParagraph"/>
        <w:spacing w:after="0" w:line="276" w:lineRule="auto"/>
        <w:ind w:left="1080"/>
        <w:rPr>
          <w:rFonts w:ascii="Arial" w:hAnsi="Arial" w:cs="Arial"/>
          <w:color w:val="FF0000"/>
          <w:sz w:val="24"/>
          <w:szCs w:val="24"/>
        </w:rPr>
      </w:pPr>
      <w:r w:rsidRPr="000A65FD">
        <w:rPr>
          <w:rFonts w:ascii="Arial" w:hAnsi="Arial" w:cs="Arial"/>
          <w:color w:val="FF0000"/>
          <w:sz w:val="24"/>
          <w:szCs w:val="24"/>
        </w:rPr>
        <w:t>N/A</w:t>
      </w:r>
    </w:p>
    <w:p w14:paraId="75BE8616" w14:textId="77777777" w:rsidR="008663C9" w:rsidRPr="00746A76" w:rsidRDefault="008663C9" w:rsidP="00746A76">
      <w:pPr>
        <w:pStyle w:val="ListParagraph"/>
        <w:spacing w:line="276" w:lineRule="auto"/>
        <w:rPr>
          <w:rFonts w:ascii="Arial" w:hAnsi="Arial" w:cs="Arial"/>
          <w:sz w:val="24"/>
          <w:szCs w:val="24"/>
        </w:rPr>
      </w:pPr>
    </w:p>
    <w:p w14:paraId="292AF40D" w14:textId="1EA2CA8F" w:rsidR="004A282A" w:rsidRPr="007D0EA8" w:rsidRDefault="007D0EA8" w:rsidP="00746A76">
      <w:pPr>
        <w:spacing w:line="276" w:lineRule="auto"/>
        <w:rPr>
          <w:rFonts w:ascii="Arial" w:hAnsi="Arial" w:cs="Arial"/>
          <w:b/>
          <w:sz w:val="24"/>
          <w:szCs w:val="24"/>
        </w:rPr>
      </w:pPr>
      <w:r w:rsidRPr="007D0EA8">
        <w:rPr>
          <w:rFonts w:ascii="Arial" w:hAnsi="Arial" w:cs="Arial"/>
          <w:b/>
          <w:sz w:val="24"/>
          <w:szCs w:val="24"/>
        </w:rPr>
        <w:t>Question #</w:t>
      </w:r>
      <w:r w:rsidR="00706F9A" w:rsidRPr="007D0EA8">
        <w:rPr>
          <w:rFonts w:ascii="Arial" w:hAnsi="Arial" w:cs="Arial"/>
          <w:b/>
          <w:sz w:val="24"/>
          <w:szCs w:val="24"/>
        </w:rPr>
        <w:t>1</w:t>
      </w:r>
      <w:r w:rsidR="00706F9A">
        <w:rPr>
          <w:rFonts w:ascii="Arial" w:hAnsi="Arial" w:cs="Arial"/>
          <w:b/>
          <w:sz w:val="24"/>
          <w:szCs w:val="24"/>
        </w:rPr>
        <w:t>2</w:t>
      </w:r>
    </w:p>
    <w:p w14:paraId="360CDCF8" w14:textId="77777777" w:rsidR="007D0EA8" w:rsidRDefault="007D0EA8" w:rsidP="00746A76">
      <w:pPr>
        <w:spacing w:line="276" w:lineRule="auto"/>
        <w:rPr>
          <w:rFonts w:ascii="Arial" w:hAnsi="Arial" w:cs="Arial"/>
          <w:b/>
          <w:sz w:val="24"/>
          <w:szCs w:val="24"/>
        </w:rPr>
      </w:pPr>
      <w:r w:rsidRPr="007D0EA8">
        <w:rPr>
          <w:rFonts w:ascii="Arial" w:hAnsi="Arial" w:cs="Arial"/>
          <w:b/>
          <w:sz w:val="24"/>
          <w:szCs w:val="24"/>
        </w:rPr>
        <w:t>Ref: Tab 3 (Continuity Schedule) of the IRM Model</w:t>
      </w:r>
      <w:r w:rsidR="001704E3">
        <w:rPr>
          <w:rFonts w:ascii="Arial" w:hAnsi="Arial" w:cs="Arial"/>
          <w:b/>
          <w:sz w:val="24"/>
          <w:szCs w:val="24"/>
        </w:rPr>
        <w:t xml:space="preserve"> and PDI’s 2016 Rates Decision and Order (EB-2015-0097)</w:t>
      </w:r>
    </w:p>
    <w:p w14:paraId="2685E7D8" w14:textId="77777777" w:rsidR="007D0EA8" w:rsidRDefault="001704E3" w:rsidP="00746A76">
      <w:pPr>
        <w:spacing w:after="0" w:line="276" w:lineRule="auto"/>
        <w:rPr>
          <w:rFonts w:ascii="Arial" w:hAnsi="Arial" w:cs="Arial"/>
          <w:sz w:val="24"/>
          <w:szCs w:val="24"/>
        </w:rPr>
      </w:pPr>
      <w:r w:rsidRPr="001704E3">
        <w:rPr>
          <w:rFonts w:ascii="Arial" w:hAnsi="Arial" w:cs="Arial"/>
          <w:sz w:val="24"/>
          <w:szCs w:val="24"/>
        </w:rPr>
        <w:t xml:space="preserve">In </w:t>
      </w:r>
      <w:r>
        <w:rPr>
          <w:rFonts w:ascii="Arial" w:hAnsi="Arial" w:cs="Arial"/>
          <w:sz w:val="24"/>
          <w:szCs w:val="24"/>
        </w:rPr>
        <w:t>the Decision and Order for PDI’s last rate application, the OEB approved the disposition of a debit balance of $3,116,343 as of December 31, 2014, including interest projected to April 30, 2016 for Group 1 accounts.</w:t>
      </w:r>
      <w:r w:rsidR="004743CF">
        <w:rPr>
          <w:rFonts w:ascii="Arial" w:hAnsi="Arial" w:cs="Arial"/>
          <w:sz w:val="24"/>
          <w:szCs w:val="24"/>
        </w:rPr>
        <w:t xml:space="preserve">  Please start the Continuity Schedule by entering the closing 2013 balances in the Adjustments column under 2013. </w:t>
      </w:r>
    </w:p>
    <w:p w14:paraId="7A1C0376" w14:textId="418FD16C" w:rsidR="00E953CF" w:rsidRDefault="00E953CF" w:rsidP="00746A76">
      <w:pPr>
        <w:spacing w:line="276" w:lineRule="auto"/>
        <w:rPr>
          <w:rFonts w:ascii="Arial" w:hAnsi="Arial" w:cs="Arial"/>
          <w:sz w:val="24"/>
          <w:szCs w:val="24"/>
        </w:rPr>
      </w:pPr>
    </w:p>
    <w:p w14:paraId="4561F40D" w14:textId="6ED44DC4" w:rsidR="006B64EA" w:rsidRDefault="006B64EA" w:rsidP="00746A76">
      <w:pPr>
        <w:spacing w:line="276" w:lineRule="auto"/>
        <w:rPr>
          <w:rFonts w:ascii="Arial" w:hAnsi="Arial" w:cs="Arial"/>
          <w:color w:val="C00000"/>
          <w:sz w:val="24"/>
          <w:szCs w:val="24"/>
        </w:rPr>
      </w:pPr>
      <w:r>
        <w:rPr>
          <w:rFonts w:ascii="Arial" w:hAnsi="Arial" w:cs="Arial"/>
          <w:color w:val="C00000"/>
          <w:sz w:val="24"/>
          <w:szCs w:val="24"/>
        </w:rPr>
        <w:t>The continuity schedule has been updated to record these changes.</w:t>
      </w:r>
      <w:r w:rsidR="00437347">
        <w:rPr>
          <w:rFonts w:ascii="Arial" w:hAnsi="Arial" w:cs="Arial"/>
          <w:color w:val="C00000"/>
          <w:sz w:val="24"/>
          <w:szCs w:val="24"/>
        </w:rPr>
        <w:t xml:space="preserve">  The OEB-Approved Disposition during 2016 per the continuity schedule agrees with the Decision and Order (columns BE + BJ of tab 3).</w:t>
      </w:r>
    </w:p>
    <w:p w14:paraId="378BFC66" w14:textId="77777777" w:rsidR="006B64EA" w:rsidRPr="006B64EA" w:rsidRDefault="006B64EA" w:rsidP="00746A76">
      <w:pPr>
        <w:spacing w:line="276" w:lineRule="auto"/>
        <w:rPr>
          <w:rFonts w:ascii="Arial" w:hAnsi="Arial" w:cs="Arial"/>
          <w:color w:val="C00000"/>
          <w:sz w:val="24"/>
          <w:szCs w:val="24"/>
        </w:rPr>
      </w:pPr>
    </w:p>
    <w:p w14:paraId="1FBDB656" w14:textId="79D1C479" w:rsidR="00E953CF" w:rsidRPr="00E953CF" w:rsidRDefault="00E953CF" w:rsidP="00746A76">
      <w:pPr>
        <w:spacing w:line="276" w:lineRule="auto"/>
        <w:rPr>
          <w:rFonts w:ascii="Arial" w:hAnsi="Arial" w:cs="Arial"/>
          <w:b/>
          <w:sz w:val="24"/>
          <w:szCs w:val="24"/>
        </w:rPr>
      </w:pPr>
      <w:r w:rsidRPr="007D0EA8">
        <w:rPr>
          <w:rFonts w:ascii="Arial" w:hAnsi="Arial" w:cs="Arial"/>
          <w:b/>
          <w:sz w:val="24"/>
          <w:szCs w:val="24"/>
        </w:rPr>
        <w:t>Question #</w:t>
      </w:r>
      <w:r w:rsidR="00706F9A" w:rsidRPr="007D0EA8">
        <w:rPr>
          <w:rFonts w:ascii="Arial" w:hAnsi="Arial" w:cs="Arial"/>
          <w:b/>
          <w:sz w:val="24"/>
          <w:szCs w:val="24"/>
        </w:rPr>
        <w:t>1</w:t>
      </w:r>
      <w:r w:rsidR="00706F9A">
        <w:rPr>
          <w:rFonts w:ascii="Arial" w:hAnsi="Arial" w:cs="Arial"/>
          <w:b/>
          <w:sz w:val="24"/>
          <w:szCs w:val="24"/>
        </w:rPr>
        <w:t>3</w:t>
      </w:r>
    </w:p>
    <w:p w14:paraId="4C08CD72" w14:textId="77777777" w:rsidR="00E953CF" w:rsidRDefault="00E953CF" w:rsidP="00746A76">
      <w:pPr>
        <w:spacing w:line="276" w:lineRule="auto"/>
        <w:rPr>
          <w:rFonts w:ascii="Arial" w:hAnsi="Arial" w:cs="Arial"/>
          <w:b/>
          <w:sz w:val="24"/>
          <w:szCs w:val="24"/>
        </w:rPr>
      </w:pPr>
      <w:r w:rsidRPr="007D0EA8">
        <w:rPr>
          <w:rFonts w:ascii="Arial" w:hAnsi="Arial" w:cs="Arial"/>
          <w:b/>
          <w:sz w:val="24"/>
          <w:szCs w:val="24"/>
        </w:rPr>
        <w:t>Ref: Tab 3 (Continuity Schedule) of the IRM Model</w:t>
      </w:r>
      <w:r>
        <w:rPr>
          <w:rFonts w:ascii="Arial" w:hAnsi="Arial" w:cs="Arial"/>
          <w:b/>
          <w:sz w:val="24"/>
          <w:szCs w:val="24"/>
        </w:rPr>
        <w:t xml:space="preserve"> </w:t>
      </w:r>
    </w:p>
    <w:p w14:paraId="08BE5DD7" w14:textId="77777777" w:rsidR="00E953CF" w:rsidRDefault="00E953CF" w:rsidP="00746A76">
      <w:pPr>
        <w:spacing w:after="0" w:line="276" w:lineRule="auto"/>
        <w:rPr>
          <w:rFonts w:ascii="Arial" w:hAnsi="Arial" w:cs="Arial"/>
          <w:sz w:val="24"/>
          <w:szCs w:val="24"/>
        </w:rPr>
      </w:pPr>
      <w:r>
        <w:rPr>
          <w:rFonts w:ascii="Arial" w:hAnsi="Arial" w:cs="Arial"/>
          <w:sz w:val="24"/>
          <w:szCs w:val="24"/>
        </w:rPr>
        <w:t>Account 1580, sub-account CBR Class A should have a zero balance as of December 31, 2016.  Please explain why this is not the case.</w:t>
      </w:r>
    </w:p>
    <w:p w14:paraId="0A22C944" w14:textId="4D65BB0F" w:rsidR="00E953CF" w:rsidRDefault="00E953CF" w:rsidP="00746A76">
      <w:pPr>
        <w:spacing w:line="276" w:lineRule="auto"/>
        <w:rPr>
          <w:rFonts w:ascii="Arial" w:hAnsi="Arial" w:cs="Arial"/>
          <w:sz w:val="24"/>
          <w:szCs w:val="24"/>
        </w:rPr>
      </w:pPr>
    </w:p>
    <w:p w14:paraId="7A19A60E" w14:textId="3642A3CC" w:rsidR="00EC3C68" w:rsidRDefault="00775E3E" w:rsidP="00746A76">
      <w:pPr>
        <w:spacing w:line="276" w:lineRule="auto"/>
        <w:rPr>
          <w:rFonts w:ascii="Arial" w:hAnsi="Arial" w:cs="Arial"/>
          <w:color w:val="C00000"/>
          <w:sz w:val="24"/>
          <w:szCs w:val="24"/>
        </w:rPr>
      </w:pPr>
      <w:r>
        <w:rPr>
          <w:rFonts w:ascii="Arial" w:hAnsi="Arial" w:cs="Arial"/>
          <w:color w:val="C00000"/>
          <w:sz w:val="24"/>
          <w:szCs w:val="24"/>
        </w:rPr>
        <w:t xml:space="preserve">The existing </w:t>
      </w:r>
      <w:r w:rsidR="00EC3C68">
        <w:rPr>
          <w:rFonts w:ascii="Arial" w:hAnsi="Arial" w:cs="Arial"/>
          <w:color w:val="C00000"/>
          <w:sz w:val="24"/>
          <w:szCs w:val="24"/>
        </w:rPr>
        <w:t xml:space="preserve">CBR Class A variance should have been settled directly with impacted customers in July of 2016.  </w:t>
      </w:r>
      <w:r>
        <w:rPr>
          <w:rFonts w:ascii="Arial" w:hAnsi="Arial" w:cs="Arial"/>
          <w:color w:val="C00000"/>
          <w:sz w:val="24"/>
          <w:szCs w:val="24"/>
        </w:rPr>
        <w:t>While PDI began billing its Class A customers based on actual amounts (as per OEB accounting guidance issued July 25, 2016), the</w:t>
      </w:r>
      <w:r w:rsidR="00EC3C68">
        <w:rPr>
          <w:rFonts w:ascii="Arial" w:hAnsi="Arial" w:cs="Arial"/>
          <w:color w:val="C00000"/>
          <w:sz w:val="24"/>
          <w:szCs w:val="24"/>
        </w:rPr>
        <w:t xml:space="preserve"> one-time billing adjustment </w:t>
      </w:r>
      <w:r>
        <w:rPr>
          <w:rFonts w:ascii="Arial" w:hAnsi="Arial" w:cs="Arial"/>
          <w:color w:val="C00000"/>
          <w:sz w:val="24"/>
          <w:szCs w:val="24"/>
        </w:rPr>
        <w:t xml:space="preserve">to dispose of the existing variance </w:t>
      </w:r>
      <w:r w:rsidR="00EC3C68">
        <w:rPr>
          <w:rFonts w:ascii="Arial" w:hAnsi="Arial" w:cs="Arial"/>
          <w:color w:val="C00000"/>
          <w:sz w:val="24"/>
          <w:szCs w:val="24"/>
        </w:rPr>
        <w:t>was not made.  PDI recommends charging these customers for this amount on their next billing cycle and not creating a rate rider as per our initial submission</w:t>
      </w:r>
      <w:r w:rsidR="00936044">
        <w:rPr>
          <w:rFonts w:ascii="Arial" w:hAnsi="Arial" w:cs="Arial"/>
          <w:color w:val="C00000"/>
          <w:sz w:val="24"/>
          <w:szCs w:val="24"/>
        </w:rPr>
        <w:t>, following the OEB accounting guidance issued July 25, 2016</w:t>
      </w:r>
      <w:r w:rsidR="00EC3C68">
        <w:rPr>
          <w:rFonts w:ascii="Arial" w:hAnsi="Arial" w:cs="Arial"/>
          <w:color w:val="C00000"/>
          <w:sz w:val="24"/>
          <w:szCs w:val="24"/>
        </w:rPr>
        <w:t>.</w:t>
      </w:r>
    </w:p>
    <w:p w14:paraId="52C614A7" w14:textId="2FB97DBE" w:rsidR="00EC3C68" w:rsidRPr="00EC3C68" w:rsidRDefault="00EC3C68" w:rsidP="00746A76">
      <w:pPr>
        <w:spacing w:line="276" w:lineRule="auto"/>
        <w:rPr>
          <w:rFonts w:ascii="Arial" w:hAnsi="Arial" w:cs="Arial"/>
          <w:color w:val="C00000"/>
          <w:sz w:val="24"/>
          <w:szCs w:val="24"/>
        </w:rPr>
      </w:pPr>
      <w:r>
        <w:rPr>
          <w:rFonts w:ascii="Arial" w:hAnsi="Arial" w:cs="Arial"/>
          <w:color w:val="C00000"/>
          <w:sz w:val="24"/>
          <w:szCs w:val="24"/>
        </w:rPr>
        <w:t xml:space="preserve"> </w:t>
      </w:r>
    </w:p>
    <w:p w14:paraId="738FE61B" w14:textId="54A9EB12" w:rsidR="00E953CF" w:rsidRPr="00E953CF" w:rsidRDefault="00E953CF" w:rsidP="00746A76">
      <w:pPr>
        <w:spacing w:line="276" w:lineRule="auto"/>
        <w:rPr>
          <w:rFonts w:ascii="Arial" w:hAnsi="Arial" w:cs="Arial"/>
          <w:b/>
          <w:sz w:val="24"/>
          <w:szCs w:val="24"/>
        </w:rPr>
      </w:pPr>
      <w:r w:rsidRPr="007D0EA8">
        <w:rPr>
          <w:rFonts w:ascii="Arial" w:hAnsi="Arial" w:cs="Arial"/>
          <w:b/>
          <w:sz w:val="24"/>
          <w:szCs w:val="24"/>
        </w:rPr>
        <w:t>Question #</w:t>
      </w:r>
      <w:r w:rsidR="00706F9A" w:rsidRPr="007D0EA8">
        <w:rPr>
          <w:rFonts w:ascii="Arial" w:hAnsi="Arial" w:cs="Arial"/>
          <w:b/>
          <w:sz w:val="24"/>
          <w:szCs w:val="24"/>
        </w:rPr>
        <w:t>1</w:t>
      </w:r>
      <w:r w:rsidR="00706F9A">
        <w:rPr>
          <w:rFonts w:ascii="Arial" w:hAnsi="Arial" w:cs="Arial"/>
          <w:b/>
          <w:sz w:val="24"/>
          <w:szCs w:val="24"/>
        </w:rPr>
        <w:t>4</w:t>
      </w:r>
    </w:p>
    <w:p w14:paraId="207B7466" w14:textId="77777777" w:rsidR="00FA29B1" w:rsidRDefault="00E953CF" w:rsidP="00746A76">
      <w:pPr>
        <w:spacing w:line="276" w:lineRule="auto"/>
        <w:rPr>
          <w:rFonts w:ascii="Arial" w:hAnsi="Arial" w:cs="Arial"/>
          <w:b/>
          <w:sz w:val="24"/>
          <w:szCs w:val="24"/>
        </w:rPr>
      </w:pPr>
      <w:r w:rsidRPr="007D0EA8">
        <w:rPr>
          <w:rFonts w:ascii="Arial" w:hAnsi="Arial" w:cs="Arial"/>
          <w:b/>
          <w:sz w:val="24"/>
          <w:szCs w:val="24"/>
        </w:rPr>
        <w:t>Ref: Tab 3 (Continuity Schedule) of the IRM Model</w:t>
      </w:r>
    </w:p>
    <w:p w14:paraId="1CBE0F32" w14:textId="00EDA7B9" w:rsidR="00FA29B1" w:rsidRDefault="00FA29B1" w:rsidP="00746A76">
      <w:pPr>
        <w:spacing w:line="276" w:lineRule="auto"/>
        <w:rPr>
          <w:rFonts w:ascii="Arial" w:hAnsi="Arial" w:cs="Arial"/>
          <w:sz w:val="24"/>
          <w:szCs w:val="24"/>
        </w:rPr>
      </w:pPr>
      <w:r>
        <w:rPr>
          <w:rFonts w:ascii="Arial" w:hAnsi="Arial" w:cs="Arial"/>
          <w:sz w:val="24"/>
          <w:szCs w:val="24"/>
        </w:rPr>
        <w:t>A</w:t>
      </w:r>
      <w:r w:rsidRPr="00746A76">
        <w:rPr>
          <w:rFonts w:ascii="Arial" w:hAnsi="Arial" w:cs="Arial"/>
          <w:sz w:val="24"/>
          <w:szCs w:val="24"/>
        </w:rPr>
        <w:t>ccount 1595 Sub-Account residual balances are to be disposed only once, on a final basis</w:t>
      </w:r>
      <w:r>
        <w:rPr>
          <w:rFonts w:ascii="Arial" w:hAnsi="Arial" w:cs="Arial"/>
          <w:sz w:val="24"/>
          <w:szCs w:val="24"/>
        </w:rPr>
        <w:t xml:space="preserve"> per Chapter 3 Filing Requirments</w:t>
      </w:r>
      <w:r w:rsidRPr="00746A76">
        <w:rPr>
          <w:rFonts w:ascii="Arial" w:hAnsi="Arial" w:cs="Arial"/>
          <w:sz w:val="24"/>
          <w:szCs w:val="24"/>
        </w:rPr>
        <w:t xml:space="preserve">. </w:t>
      </w:r>
      <w:r>
        <w:rPr>
          <w:rFonts w:ascii="Arial" w:hAnsi="Arial" w:cs="Arial"/>
          <w:sz w:val="24"/>
          <w:szCs w:val="24"/>
        </w:rPr>
        <w:t xml:space="preserve"> PDI has requested to dispose of sub-account 1595 balances for 2011, 2012, and 2013.  </w:t>
      </w:r>
    </w:p>
    <w:p w14:paraId="0704A28D" w14:textId="0A8FB15B" w:rsidR="006B72CA" w:rsidRPr="00746A76" w:rsidRDefault="006B72CA" w:rsidP="000A753C">
      <w:pPr>
        <w:pStyle w:val="ListParagraph"/>
        <w:numPr>
          <w:ilvl w:val="0"/>
          <w:numId w:val="13"/>
        </w:numPr>
        <w:spacing w:line="276" w:lineRule="auto"/>
        <w:ind w:left="1080"/>
        <w:rPr>
          <w:rFonts w:ascii="Arial" w:hAnsi="Arial" w:cs="Arial"/>
          <w:sz w:val="24"/>
          <w:szCs w:val="24"/>
        </w:rPr>
      </w:pPr>
      <w:r w:rsidRPr="00746A76">
        <w:rPr>
          <w:rFonts w:ascii="Arial" w:hAnsi="Arial" w:cs="Arial"/>
          <w:sz w:val="24"/>
          <w:szCs w:val="24"/>
        </w:rPr>
        <w:t>Please start putting inputting data from the year the sub-account started to accumulate a balance (the vintage year).</w:t>
      </w:r>
    </w:p>
    <w:p w14:paraId="6BF8737A" w14:textId="438CAA80" w:rsidR="00FA29B1" w:rsidRPr="00746A76" w:rsidRDefault="00FA29B1" w:rsidP="000A753C">
      <w:pPr>
        <w:pStyle w:val="ListParagraph"/>
        <w:numPr>
          <w:ilvl w:val="0"/>
          <w:numId w:val="13"/>
        </w:numPr>
        <w:spacing w:line="276" w:lineRule="auto"/>
        <w:ind w:left="1080"/>
        <w:rPr>
          <w:rFonts w:ascii="Arial" w:hAnsi="Arial" w:cs="Arial"/>
          <w:sz w:val="24"/>
          <w:szCs w:val="24"/>
        </w:rPr>
      </w:pPr>
      <w:r w:rsidRPr="00746A76">
        <w:rPr>
          <w:rFonts w:ascii="Arial" w:hAnsi="Arial" w:cs="Arial"/>
          <w:sz w:val="24"/>
          <w:szCs w:val="24"/>
        </w:rPr>
        <w:t>Have the residual balances of these accounts been disposed of in the past.  If so, why is PDI seeking recovery?</w:t>
      </w:r>
    </w:p>
    <w:p w14:paraId="57DCC121" w14:textId="03A50DA4" w:rsidR="005406CC" w:rsidRPr="006B64EA" w:rsidRDefault="006B64EA" w:rsidP="005406CC">
      <w:pPr>
        <w:rPr>
          <w:rFonts w:ascii="Arial" w:hAnsi="Arial" w:cs="Arial"/>
          <w:color w:val="C00000"/>
          <w:sz w:val="24"/>
        </w:rPr>
      </w:pPr>
      <w:r>
        <w:rPr>
          <w:rFonts w:ascii="Arial" w:hAnsi="Arial" w:cs="Arial"/>
          <w:color w:val="C00000"/>
          <w:sz w:val="24"/>
        </w:rPr>
        <w:t>Interest amounts were calculated in error in the general ledger</w:t>
      </w:r>
      <w:r w:rsidR="00936044">
        <w:rPr>
          <w:rFonts w:ascii="Arial" w:hAnsi="Arial" w:cs="Arial"/>
          <w:color w:val="C00000"/>
          <w:sz w:val="24"/>
        </w:rPr>
        <w:t xml:space="preserve"> as residual balances were not cleared out of these accounts</w:t>
      </w:r>
      <w:r>
        <w:rPr>
          <w:rFonts w:ascii="Arial" w:hAnsi="Arial" w:cs="Arial"/>
          <w:color w:val="C00000"/>
          <w:sz w:val="24"/>
        </w:rPr>
        <w:t xml:space="preserve">.  These amounts will be </w:t>
      </w:r>
      <w:r w:rsidR="00B94D14">
        <w:rPr>
          <w:rFonts w:ascii="Arial" w:hAnsi="Arial" w:cs="Arial"/>
          <w:color w:val="C00000"/>
          <w:sz w:val="24"/>
        </w:rPr>
        <w:t>corrected in the general ledger</w:t>
      </w:r>
      <w:r>
        <w:rPr>
          <w:rFonts w:ascii="Arial" w:hAnsi="Arial" w:cs="Arial"/>
          <w:color w:val="C00000"/>
          <w:sz w:val="24"/>
        </w:rPr>
        <w:t xml:space="preserve"> and </w:t>
      </w:r>
      <w:r w:rsidR="00437347">
        <w:rPr>
          <w:rFonts w:ascii="Arial" w:hAnsi="Arial" w:cs="Arial"/>
          <w:color w:val="C00000"/>
          <w:sz w:val="24"/>
        </w:rPr>
        <w:t xml:space="preserve">tab 3 has been amended to request </w:t>
      </w:r>
      <w:r>
        <w:rPr>
          <w:rFonts w:ascii="Arial" w:hAnsi="Arial" w:cs="Arial"/>
          <w:color w:val="C00000"/>
          <w:sz w:val="24"/>
        </w:rPr>
        <w:t>no disposition for these accounts.</w:t>
      </w:r>
    </w:p>
    <w:p w14:paraId="3547CBFB" w14:textId="4621B7BC" w:rsidR="00FA29B1" w:rsidRDefault="00FA29B1" w:rsidP="00746A76">
      <w:pPr>
        <w:pStyle w:val="ListParagraph"/>
        <w:spacing w:after="200" w:line="276" w:lineRule="auto"/>
        <w:rPr>
          <w:rFonts w:ascii="Arial" w:hAnsi="Arial" w:cs="Arial"/>
          <w:sz w:val="24"/>
          <w:szCs w:val="24"/>
        </w:rPr>
      </w:pPr>
    </w:p>
    <w:p w14:paraId="23E9C683" w14:textId="77777777" w:rsidR="003629D4" w:rsidRPr="005406CC" w:rsidRDefault="003629D4" w:rsidP="005406CC">
      <w:pPr>
        <w:rPr>
          <w:rFonts w:ascii="Arial" w:hAnsi="Arial" w:cs="Arial"/>
          <w:sz w:val="24"/>
        </w:rPr>
      </w:pPr>
    </w:p>
    <w:p w14:paraId="0D4A9F86" w14:textId="77777777" w:rsidR="00712F22" w:rsidRPr="005406CC" w:rsidRDefault="00712F22">
      <w:pPr>
        <w:rPr>
          <w:rFonts w:ascii="Arial" w:hAnsi="Arial" w:cs="Arial"/>
          <w:b/>
          <w:sz w:val="24"/>
          <w:szCs w:val="24"/>
        </w:rPr>
      </w:pPr>
    </w:p>
    <w:sectPr w:rsidR="00712F22" w:rsidRPr="005406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3876E" w14:textId="77777777" w:rsidR="00084A8A" w:rsidRDefault="00084A8A" w:rsidP="00A774ED">
      <w:pPr>
        <w:spacing w:after="0" w:line="240" w:lineRule="auto"/>
      </w:pPr>
      <w:r>
        <w:separator/>
      </w:r>
    </w:p>
  </w:endnote>
  <w:endnote w:type="continuationSeparator" w:id="0">
    <w:p w14:paraId="096E037F" w14:textId="77777777" w:rsidR="00084A8A" w:rsidRDefault="00084A8A" w:rsidP="00A7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71537"/>
      <w:docPartObj>
        <w:docPartGallery w:val="Page Numbers (Bottom of Page)"/>
        <w:docPartUnique/>
      </w:docPartObj>
    </w:sdtPr>
    <w:sdtEndPr/>
    <w:sdtContent>
      <w:sdt>
        <w:sdtPr>
          <w:id w:val="-1769616900"/>
          <w:docPartObj>
            <w:docPartGallery w:val="Page Numbers (Top of Page)"/>
            <w:docPartUnique/>
          </w:docPartObj>
        </w:sdtPr>
        <w:sdtEndPr/>
        <w:sdtContent>
          <w:p w14:paraId="0843DFDE" w14:textId="18359F02" w:rsidR="00A774ED" w:rsidRDefault="00A774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38C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38C6">
              <w:rPr>
                <w:b/>
                <w:bCs/>
                <w:noProof/>
              </w:rPr>
              <w:t>8</w:t>
            </w:r>
            <w:r>
              <w:rPr>
                <w:b/>
                <w:bCs/>
                <w:sz w:val="24"/>
                <w:szCs w:val="24"/>
              </w:rPr>
              <w:fldChar w:fldCharType="end"/>
            </w:r>
          </w:p>
        </w:sdtContent>
      </w:sdt>
    </w:sdtContent>
  </w:sdt>
  <w:p w14:paraId="2EEFECBD" w14:textId="77777777" w:rsidR="00A774ED" w:rsidRDefault="00A7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748C" w14:textId="77777777" w:rsidR="00084A8A" w:rsidRDefault="00084A8A" w:rsidP="00A774ED">
      <w:pPr>
        <w:spacing w:after="0" w:line="240" w:lineRule="auto"/>
      </w:pPr>
      <w:r>
        <w:separator/>
      </w:r>
    </w:p>
  </w:footnote>
  <w:footnote w:type="continuationSeparator" w:id="0">
    <w:p w14:paraId="6569AD2E" w14:textId="77777777" w:rsidR="00084A8A" w:rsidRDefault="00084A8A" w:rsidP="00A774ED">
      <w:pPr>
        <w:spacing w:after="0" w:line="240" w:lineRule="auto"/>
      </w:pPr>
      <w:r>
        <w:continuationSeparator/>
      </w:r>
    </w:p>
  </w:footnote>
  <w:footnote w:id="1">
    <w:p w14:paraId="2EC83CD1" w14:textId="77777777" w:rsidR="00431EC6" w:rsidRPr="00AD18B6" w:rsidRDefault="00431EC6" w:rsidP="00431EC6">
      <w:pPr>
        <w:pStyle w:val="FootnoteText"/>
        <w:rPr>
          <w:lang w:val="en-US"/>
        </w:rPr>
      </w:pPr>
      <w:r>
        <w:rPr>
          <w:rStyle w:val="FootnoteReference"/>
        </w:rPr>
        <w:footnoteRef/>
      </w:r>
      <w:r>
        <w:t xml:space="preserve"> </w:t>
      </w:r>
      <w:r>
        <w:rPr>
          <w:lang w:val="en-US"/>
        </w:rPr>
        <w:t xml:space="preserve">Note, the following in all references in OEB Staff questions relating to amounts booked to accounts 1588 and 1589. Amounts are not booked directly to accounts USoA 1588 and 1589 relating to power purchase transactions, but are rather booked to the cost of power USoA </w:t>
      </w:r>
      <w:r w:rsidRPr="00AD18B6">
        <w:rPr>
          <w:lang w:val="en-US"/>
        </w:rPr>
        <w:t>4705 Power Purchased</w:t>
      </w:r>
      <w:r>
        <w:rPr>
          <w:lang w:val="en-US"/>
        </w:rPr>
        <w:t xml:space="preserve">, and 4707 </w:t>
      </w:r>
      <w:r w:rsidRPr="00AD18B6">
        <w:rPr>
          <w:lang w:val="en-US"/>
        </w:rPr>
        <w:t>Charges - Global Adjustment</w:t>
      </w:r>
      <w:r>
        <w:rPr>
          <w:lang w:val="en-US"/>
        </w:rPr>
        <w:t>, respectively. However, accounts 1588 and 1589 are impacted the same way as accounts 4705 and 4707 are for cost of power transactions.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C83"/>
    <w:multiLevelType w:val="hybridMultilevel"/>
    <w:tmpl w:val="6C4C1E30"/>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21DB"/>
    <w:multiLevelType w:val="hybridMultilevel"/>
    <w:tmpl w:val="1C76381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67D4"/>
    <w:multiLevelType w:val="hybridMultilevel"/>
    <w:tmpl w:val="EED611A8"/>
    <w:lvl w:ilvl="0" w:tplc="B2F018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77938"/>
    <w:multiLevelType w:val="hybridMultilevel"/>
    <w:tmpl w:val="76D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045D6"/>
    <w:multiLevelType w:val="hybridMultilevel"/>
    <w:tmpl w:val="DE8A1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50A39"/>
    <w:multiLevelType w:val="hybridMultilevel"/>
    <w:tmpl w:val="A9C0CD3C"/>
    <w:lvl w:ilvl="0" w:tplc="A2B6BE6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D692F"/>
    <w:multiLevelType w:val="multilevel"/>
    <w:tmpl w:val="695A43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FD3AC5"/>
    <w:multiLevelType w:val="hybridMultilevel"/>
    <w:tmpl w:val="C88A0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047B0"/>
    <w:multiLevelType w:val="hybridMultilevel"/>
    <w:tmpl w:val="EC2E68A4"/>
    <w:lvl w:ilvl="0" w:tplc="04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1E47161"/>
    <w:multiLevelType w:val="hybridMultilevel"/>
    <w:tmpl w:val="7746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6"/>
  </w:num>
  <w:num w:numId="3">
    <w:abstractNumId w:val="1"/>
  </w:num>
  <w:num w:numId="4">
    <w:abstractNumId w:val="11"/>
  </w:num>
  <w:num w:numId="5">
    <w:abstractNumId w:val="12"/>
  </w:num>
  <w:num w:numId="6">
    <w:abstractNumId w:val="3"/>
  </w:num>
  <w:num w:numId="7">
    <w:abstractNumId w:val="5"/>
  </w:num>
  <w:num w:numId="8">
    <w:abstractNumId w:val="10"/>
  </w:num>
  <w:num w:numId="9">
    <w:abstractNumId w:val="4"/>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CC"/>
    <w:rsid w:val="00017B92"/>
    <w:rsid w:val="00040CD7"/>
    <w:rsid w:val="000521A6"/>
    <w:rsid w:val="00053209"/>
    <w:rsid w:val="00084A8A"/>
    <w:rsid w:val="000A65FD"/>
    <w:rsid w:val="000A753C"/>
    <w:rsid w:val="000B03EB"/>
    <w:rsid w:val="000B40DA"/>
    <w:rsid w:val="000B78BE"/>
    <w:rsid w:val="001704E3"/>
    <w:rsid w:val="001F7A6D"/>
    <w:rsid w:val="002A5699"/>
    <w:rsid w:val="002C6322"/>
    <w:rsid w:val="002D435B"/>
    <w:rsid w:val="00305D4C"/>
    <w:rsid w:val="003629D4"/>
    <w:rsid w:val="00431EC6"/>
    <w:rsid w:val="00437347"/>
    <w:rsid w:val="00437AA5"/>
    <w:rsid w:val="00443DBF"/>
    <w:rsid w:val="00445675"/>
    <w:rsid w:val="0045694B"/>
    <w:rsid w:val="004743CF"/>
    <w:rsid w:val="004A282A"/>
    <w:rsid w:val="004C3CB9"/>
    <w:rsid w:val="004D11C2"/>
    <w:rsid w:val="005406CC"/>
    <w:rsid w:val="00555EAD"/>
    <w:rsid w:val="00575816"/>
    <w:rsid w:val="00596DCF"/>
    <w:rsid w:val="005E79FF"/>
    <w:rsid w:val="006B64EA"/>
    <w:rsid w:val="006B72CA"/>
    <w:rsid w:val="00706F9A"/>
    <w:rsid w:val="00712F22"/>
    <w:rsid w:val="007438C6"/>
    <w:rsid w:val="00746A76"/>
    <w:rsid w:val="00775E3E"/>
    <w:rsid w:val="00785EAE"/>
    <w:rsid w:val="007B6646"/>
    <w:rsid w:val="007D0EA8"/>
    <w:rsid w:val="007D401F"/>
    <w:rsid w:val="00850A2F"/>
    <w:rsid w:val="0086031B"/>
    <w:rsid w:val="008663C9"/>
    <w:rsid w:val="008C6E69"/>
    <w:rsid w:val="008D1333"/>
    <w:rsid w:val="008D3F49"/>
    <w:rsid w:val="00936044"/>
    <w:rsid w:val="009A722C"/>
    <w:rsid w:val="009E0042"/>
    <w:rsid w:val="00A25E50"/>
    <w:rsid w:val="00A774ED"/>
    <w:rsid w:val="00AC4375"/>
    <w:rsid w:val="00AC64D2"/>
    <w:rsid w:val="00B119F9"/>
    <w:rsid w:val="00B1793C"/>
    <w:rsid w:val="00B573E2"/>
    <w:rsid w:val="00B94D14"/>
    <w:rsid w:val="00BA0CFD"/>
    <w:rsid w:val="00C2728F"/>
    <w:rsid w:val="00C41FDB"/>
    <w:rsid w:val="00C7415F"/>
    <w:rsid w:val="00C86758"/>
    <w:rsid w:val="00CC0E92"/>
    <w:rsid w:val="00D01897"/>
    <w:rsid w:val="00D1457F"/>
    <w:rsid w:val="00DC5CAF"/>
    <w:rsid w:val="00E22347"/>
    <w:rsid w:val="00E953CF"/>
    <w:rsid w:val="00EC2491"/>
    <w:rsid w:val="00EC3C68"/>
    <w:rsid w:val="00F055F9"/>
    <w:rsid w:val="00F077CE"/>
    <w:rsid w:val="00F26EA4"/>
    <w:rsid w:val="00FA29B1"/>
    <w:rsid w:val="00FC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ACF9"/>
  <w15:chartTrackingRefBased/>
  <w15:docId w15:val="{E6D6847B-688A-45D8-8B24-F37F1C8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CC"/>
    <w:pPr>
      <w:ind w:left="720"/>
      <w:contextualSpacing/>
    </w:pPr>
  </w:style>
  <w:style w:type="table" w:styleId="TableGrid">
    <w:name w:val="Table Grid"/>
    <w:basedOn w:val="TableNormal"/>
    <w:uiPriority w:val="59"/>
    <w:rsid w:val="005406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4ED"/>
  </w:style>
  <w:style w:type="paragraph" w:styleId="Footer">
    <w:name w:val="footer"/>
    <w:basedOn w:val="Normal"/>
    <w:link w:val="FooterChar"/>
    <w:uiPriority w:val="99"/>
    <w:unhideWhenUsed/>
    <w:rsid w:val="00A7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4ED"/>
  </w:style>
  <w:style w:type="character" w:styleId="CommentReference">
    <w:name w:val="annotation reference"/>
    <w:basedOn w:val="DefaultParagraphFont"/>
    <w:uiPriority w:val="99"/>
    <w:semiHidden/>
    <w:unhideWhenUsed/>
    <w:rsid w:val="002C6322"/>
    <w:rPr>
      <w:sz w:val="16"/>
      <w:szCs w:val="16"/>
    </w:rPr>
  </w:style>
  <w:style w:type="paragraph" w:styleId="CommentText">
    <w:name w:val="annotation text"/>
    <w:basedOn w:val="Normal"/>
    <w:link w:val="CommentTextChar"/>
    <w:uiPriority w:val="99"/>
    <w:semiHidden/>
    <w:unhideWhenUsed/>
    <w:rsid w:val="002C6322"/>
    <w:pPr>
      <w:spacing w:line="240" w:lineRule="auto"/>
    </w:pPr>
    <w:rPr>
      <w:sz w:val="20"/>
      <w:szCs w:val="20"/>
    </w:rPr>
  </w:style>
  <w:style w:type="character" w:customStyle="1" w:styleId="CommentTextChar">
    <w:name w:val="Comment Text Char"/>
    <w:basedOn w:val="DefaultParagraphFont"/>
    <w:link w:val="CommentText"/>
    <w:uiPriority w:val="99"/>
    <w:semiHidden/>
    <w:rsid w:val="002C6322"/>
    <w:rPr>
      <w:sz w:val="20"/>
      <w:szCs w:val="20"/>
    </w:rPr>
  </w:style>
  <w:style w:type="paragraph" w:styleId="CommentSubject">
    <w:name w:val="annotation subject"/>
    <w:basedOn w:val="CommentText"/>
    <w:next w:val="CommentText"/>
    <w:link w:val="CommentSubjectChar"/>
    <w:uiPriority w:val="99"/>
    <w:semiHidden/>
    <w:unhideWhenUsed/>
    <w:rsid w:val="002C6322"/>
    <w:rPr>
      <w:b/>
      <w:bCs/>
    </w:rPr>
  </w:style>
  <w:style w:type="character" w:customStyle="1" w:styleId="CommentSubjectChar">
    <w:name w:val="Comment Subject Char"/>
    <w:basedOn w:val="CommentTextChar"/>
    <w:link w:val="CommentSubject"/>
    <w:uiPriority w:val="99"/>
    <w:semiHidden/>
    <w:rsid w:val="002C6322"/>
    <w:rPr>
      <w:b/>
      <w:bCs/>
      <w:sz w:val="20"/>
      <w:szCs w:val="20"/>
    </w:rPr>
  </w:style>
  <w:style w:type="paragraph" w:styleId="BalloonText">
    <w:name w:val="Balloon Text"/>
    <w:basedOn w:val="Normal"/>
    <w:link w:val="BalloonTextChar"/>
    <w:uiPriority w:val="99"/>
    <w:semiHidden/>
    <w:unhideWhenUsed/>
    <w:rsid w:val="002C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22"/>
    <w:rPr>
      <w:rFonts w:ascii="Segoe UI" w:hAnsi="Segoe UI" w:cs="Segoe UI"/>
      <w:sz w:val="18"/>
      <w:szCs w:val="18"/>
    </w:rPr>
  </w:style>
  <w:style w:type="paragraph" w:styleId="FootnoteText">
    <w:name w:val="footnote text"/>
    <w:basedOn w:val="Normal"/>
    <w:link w:val="FootnoteTextChar"/>
    <w:uiPriority w:val="99"/>
    <w:semiHidden/>
    <w:unhideWhenUsed/>
    <w:rsid w:val="00431EC6"/>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431EC6"/>
    <w:rPr>
      <w:sz w:val="20"/>
      <w:szCs w:val="20"/>
      <w:lang w:val="en-CA"/>
    </w:rPr>
  </w:style>
  <w:style w:type="character" w:styleId="FootnoteReference">
    <w:name w:val="footnote reference"/>
    <w:basedOn w:val="DefaultParagraphFont"/>
    <w:uiPriority w:val="99"/>
    <w:semiHidden/>
    <w:unhideWhenUsed/>
    <w:rsid w:val="00431EC6"/>
    <w:rPr>
      <w:vertAlign w:val="superscript"/>
    </w:rPr>
  </w:style>
  <w:style w:type="paragraph" w:styleId="Revision">
    <w:name w:val="Revision"/>
    <w:hidden/>
    <w:uiPriority w:val="99"/>
    <w:semiHidden/>
    <w:rsid w:val="002D4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987">
      <w:bodyDiv w:val="1"/>
      <w:marLeft w:val="0"/>
      <w:marRight w:val="0"/>
      <w:marTop w:val="0"/>
      <w:marBottom w:val="0"/>
      <w:divBdr>
        <w:top w:val="none" w:sz="0" w:space="0" w:color="auto"/>
        <w:left w:val="none" w:sz="0" w:space="0" w:color="auto"/>
        <w:bottom w:val="none" w:sz="0" w:space="0" w:color="auto"/>
        <w:right w:val="none" w:sz="0" w:space="0" w:color="auto"/>
      </w:divBdr>
    </w:div>
    <w:div w:id="1368603147">
      <w:bodyDiv w:val="1"/>
      <w:marLeft w:val="0"/>
      <w:marRight w:val="0"/>
      <w:marTop w:val="0"/>
      <w:marBottom w:val="0"/>
      <w:divBdr>
        <w:top w:val="none" w:sz="0" w:space="0" w:color="auto"/>
        <w:left w:val="none" w:sz="0" w:space="0" w:color="auto"/>
        <w:bottom w:val="none" w:sz="0" w:space="0" w:color="auto"/>
        <w:right w:val="none" w:sz="0" w:space="0" w:color="auto"/>
      </w:divBdr>
    </w:div>
    <w:div w:id="1845851810">
      <w:bodyDiv w:val="1"/>
      <w:marLeft w:val="0"/>
      <w:marRight w:val="0"/>
      <w:marTop w:val="0"/>
      <w:marBottom w:val="0"/>
      <w:divBdr>
        <w:top w:val="none" w:sz="0" w:space="0" w:color="auto"/>
        <w:left w:val="none" w:sz="0" w:space="0" w:color="auto"/>
        <w:bottom w:val="none" w:sz="0" w:space="0" w:color="auto"/>
        <w:right w:val="none" w:sz="0" w:space="0" w:color="auto"/>
      </w:divBdr>
    </w:div>
    <w:div w:id="19358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64F7-4641-4358-93ED-91B3C798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Kyle Davis</cp:lastModifiedBy>
  <cp:revision>2</cp:revision>
  <cp:lastPrinted>2018-01-26T13:47:00Z</cp:lastPrinted>
  <dcterms:created xsi:type="dcterms:W3CDTF">2018-01-26T15:58:00Z</dcterms:created>
  <dcterms:modified xsi:type="dcterms:W3CDTF">2018-01-26T15:58:00Z</dcterms:modified>
</cp:coreProperties>
</file>