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A886B" w14:textId="77777777" w:rsidR="00B76415" w:rsidRPr="002747F4" w:rsidRDefault="00795EFC" w:rsidP="00B76415">
      <w:pPr>
        <w:pStyle w:val="Default"/>
        <w:jc w:val="center"/>
        <w:rPr>
          <w:rFonts w:ascii="Arial" w:hAnsi="Arial" w:cs="Arial"/>
        </w:rPr>
      </w:pPr>
      <w:r w:rsidRPr="002747F4">
        <w:rPr>
          <w:rFonts w:ascii="Arial" w:hAnsi="Arial" w:cs="Arial"/>
          <w:b/>
          <w:bCs/>
        </w:rPr>
        <w:t>West Coast Huron Energy</w:t>
      </w:r>
      <w:r w:rsidR="0003510A" w:rsidRPr="002747F4">
        <w:rPr>
          <w:rFonts w:ascii="Arial" w:hAnsi="Arial" w:cs="Arial"/>
          <w:b/>
          <w:bCs/>
        </w:rPr>
        <w:t xml:space="preserve"> Inc.</w:t>
      </w:r>
    </w:p>
    <w:p w14:paraId="04E0470B" w14:textId="77777777" w:rsidR="00B76415" w:rsidRPr="002747F4" w:rsidRDefault="00795EFC" w:rsidP="00B76415">
      <w:pPr>
        <w:pStyle w:val="Default"/>
        <w:jc w:val="center"/>
        <w:rPr>
          <w:rFonts w:ascii="Arial" w:hAnsi="Arial" w:cs="Arial"/>
          <w:b/>
          <w:bCs/>
        </w:rPr>
      </w:pPr>
      <w:r w:rsidRPr="002747F4">
        <w:rPr>
          <w:rFonts w:ascii="Arial" w:hAnsi="Arial" w:cs="Arial"/>
          <w:b/>
          <w:bCs/>
        </w:rPr>
        <w:t>EB-2017-0083</w:t>
      </w:r>
    </w:p>
    <w:p w14:paraId="2B122021" w14:textId="77777777" w:rsidR="00B76415" w:rsidRPr="002747F4" w:rsidRDefault="000E20F1" w:rsidP="000E20F1">
      <w:pPr>
        <w:pStyle w:val="Default"/>
        <w:jc w:val="center"/>
        <w:rPr>
          <w:rFonts w:ascii="Arial" w:hAnsi="Arial" w:cs="Arial"/>
          <w:b/>
          <w:bCs/>
        </w:rPr>
      </w:pPr>
      <w:r w:rsidRPr="002747F4">
        <w:rPr>
          <w:rFonts w:ascii="Arial" w:hAnsi="Arial" w:cs="Arial"/>
          <w:b/>
          <w:bCs/>
        </w:rPr>
        <w:t>OEB Staff Questions</w:t>
      </w:r>
      <w:r w:rsidR="00A05E2B">
        <w:rPr>
          <w:rFonts w:ascii="Arial" w:hAnsi="Arial" w:cs="Arial"/>
          <w:b/>
          <w:bCs/>
        </w:rPr>
        <w:t xml:space="preserve"> (Follow-Up)</w:t>
      </w:r>
    </w:p>
    <w:p w14:paraId="71674F21" w14:textId="77777777" w:rsidR="00B76415" w:rsidRPr="002747F4" w:rsidRDefault="00B76415" w:rsidP="00B76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538739" w14:textId="77777777" w:rsidR="002A4EDF" w:rsidRDefault="002A4EDF" w:rsidP="002A4ED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Question #1:</w:t>
      </w:r>
    </w:p>
    <w:p w14:paraId="56774E47" w14:textId="77777777" w:rsidR="002A4EDF" w:rsidRDefault="002A4EDF" w:rsidP="002A4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5E2B">
        <w:rPr>
          <w:rFonts w:ascii="Arial" w:hAnsi="Arial" w:cs="Arial"/>
          <w:sz w:val="24"/>
          <w:szCs w:val="24"/>
        </w:rPr>
        <w:t>eference: Response to Question 4</w:t>
      </w:r>
      <w:r>
        <w:rPr>
          <w:rFonts w:ascii="Arial" w:hAnsi="Arial" w:cs="Arial"/>
          <w:sz w:val="24"/>
          <w:szCs w:val="24"/>
        </w:rPr>
        <w:t xml:space="preserve"> from </w:t>
      </w:r>
      <w:r w:rsidR="00A05E2B">
        <w:rPr>
          <w:rFonts w:ascii="Arial" w:hAnsi="Arial" w:cs="Arial"/>
          <w:sz w:val="24"/>
          <w:szCs w:val="24"/>
        </w:rPr>
        <w:t>OEB Staff</w:t>
      </w:r>
      <w:r>
        <w:rPr>
          <w:rFonts w:ascii="Arial" w:hAnsi="Arial" w:cs="Arial"/>
          <w:sz w:val="24"/>
          <w:szCs w:val="24"/>
        </w:rPr>
        <w:t xml:space="preserve"> Questions</w:t>
      </w:r>
    </w:p>
    <w:p w14:paraId="3A02D8F4" w14:textId="77777777" w:rsidR="002A4EDF" w:rsidRDefault="00D76C89" w:rsidP="002A4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</w:t>
      </w:r>
      <w:r w:rsidR="002A4EDF">
        <w:rPr>
          <w:rFonts w:ascii="Arial" w:hAnsi="Arial" w:cs="Arial"/>
          <w:sz w:val="24"/>
          <w:szCs w:val="24"/>
        </w:rPr>
        <w:t xml:space="preserve"> response the applicant</w:t>
      </w:r>
      <w:r w:rsidR="00A05E2B">
        <w:rPr>
          <w:rFonts w:ascii="Arial" w:hAnsi="Arial" w:cs="Arial"/>
          <w:sz w:val="24"/>
          <w:szCs w:val="24"/>
        </w:rPr>
        <w:t xml:space="preserve"> has booked an adjustment to account for the difference between the actual and approved loss factors for both 2015 and 2016</w:t>
      </w:r>
      <w:r w:rsidR="002A4EDF">
        <w:rPr>
          <w:rFonts w:ascii="Arial" w:hAnsi="Arial" w:cs="Arial"/>
          <w:sz w:val="24"/>
          <w:szCs w:val="24"/>
        </w:rPr>
        <w:t>.</w:t>
      </w:r>
    </w:p>
    <w:p w14:paraId="1A49D658" w14:textId="77777777" w:rsidR="002A4EDF" w:rsidRDefault="002A4EDF" w:rsidP="002A4ED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64E2E">
        <w:rPr>
          <w:rFonts w:ascii="Arial" w:hAnsi="Arial" w:cs="Arial"/>
          <w:sz w:val="24"/>
          <w:szCs w:val="24"/>
        </w:rPr>
        <w:t xml:space="preserve">Please </w:t>
      </w:r>
      <w:r w:rsidR="00A05E2B">
        <w:rPr>
          <w:rFonts w:ascii="Arial" w:hAnsi="Arial" w:cs="Arial"/>
          <w:sz w:val="24"/>
          <w:szCs w:val="24"/>
        </w:rPr>
        <w:t>e</w:t>
      </w:r>
      <w:r w:rsidR="00F314CA">
        <w:rPr>
          <w:rFonts w:ascii="Arial" w:hAnsi="Arial" w:cs="Arial"/>
          <w:sz w:val="24"/>
          <w:szCs w:val="24"/>
        </w:rPr>
        <w:t xml:space="preserve">xplain why this adjustment </w:t>
      </w:r>
      <w:r w:rsidR="00741AA4">
        <w:rPr>
          <w:rFonts w:ascii="Arial" w:hAnsi="Arial" w:cs="Arial"/>
          <w:sz w:val="24"/>
          <w:szCs w:val="24"/>
        </w:rPr>
        <w:t>is necessary</w:t>
      </w:r>
      <w:r w:rsidR="00A05E2B">
        <w:rPr>
          <w:rFonts w:ascii="Arial" w:hAnsi="Arial" w:cs="Arial"/>
          <w:sz w:val="24"/>
          <w:szCs w:val="24"/>
        </w:rPr>
        <w:t xml:space="preserve">. Should this adjustment already </w:t>
      </w:r>
      <w:r w:rsidR="00F314CA">
        <w:rPr>
          <w:rFonts w:ascii="Arial" w:hAnsi="Arial" w:cs="Arial"/>
          <w:sz w:val="24"/>
          <w:szCs w:val="24"/>
        </w:rPr>
        <w:t>have been</w:t>
      </w:r>
      <w:r w:rsidR="00A05E2B">
        <w:rPr>
          <w:rFonts w:ascii="Arial" w:hAnsi="Arial" w:cs="Arial"/>
          <w:sz w:val="24"/>
          <w:szCs w:val="24"/>
        </w:rPr>
        <w:t xml:space="preserve"> reflected in the G/L balance?</w:t>
      </w:r>
    </w:p>
    <w:p w14:paraId="1DB0AF4F" w14:textId="77777777" w:rsidR="006267AD" w:rsidRPr="00AB271D" w:rsidRDefault="006267AD" w:rsidP="006267AD">
      <w:pPr>
        <w:rPr>
          <w:rFonts w:ascii="Arial" w:hAnsi="Arial" w:cs="Arial"/>
          <w:color w:val="FF0000"/>
          <w:sz w:val="24"/>
          <w:szCs w:val="24"/>
        </w:rPr>
      </w:pPr>
      <w:r w:rsidRPr="00AB271D">
        <w:rPr>
          <w:rFonts w:ascii="Arial" w:hAnsi="Arial" w:cs="Arial"/>
          <w:color w:val="FF0000"/>
          <w:sz w:val="24"/>
          <w:szCs w:val="24"/>
        </w:rPr>
        <w:t xml:space="preserve">In </w:t>
      </w:r>
      <w:proofErr w:type="gramStart"/>
      <w:r w:rsidRPr="00AB271D">
        <w:rPr>
          <w:rFonts w:ascii="Arial" w:hAnsi="Arial" w:cs="Arial"/>
          <w:color w:val="FF0000"/>
          <w:sz w:val="24"/>
          <w:szCs w:val="24"/>
        </w:rPr>
        <w:t>general</w:t>
      </w:r>
      <w:proofErr w:type="gramEnd"/>
      <w:r w:rsidRPr="00AB271D">
        <w:rPr>
          <w:rFonts w:ascii="Arial" w:hAnsi="Arial" w:cs="Arial"/>
          <w:color w:val="FF0000"/>
          <w:sz w:val="24"/>
          <w:szCs w:val="24"/>
        </w:rPr>
        <w:t xml:space="preserve"> the utility’s billed kwh including approved loss factor does not exactly equal the total kwh charged to the utility by the IESO.</w:t>
      </w:r>
      <w:r w:rsidR="009D2505" w:rsidRPr="00AB271D">
        <w:rPr>
          <w:rFonts w:ascii="Arial" w:hAnsi="Arial" w:cs="Arial"/>
          <w:color w:val="FF0000"/>
          <w:sz w:val="24"/>
          <w:szCs w:val="24"/>
        </w:rPr>
        <w:t xml:space="preserve"> </w:t>
      </w:r>
      <w:r w:rsidR="00D6718B" w:rsidRPr="00AB271D">
        <w:rPr>
          <w:rFonts w:ascii="Arial" w:hAnsi="Arial" w:cs="Arial"/>
          <w:color w:val="FF0000"/>
          <w:sz w:val="24"/>
          <w:szCs w:val="24"/>
        </w:rPr>
        <w:t xml:space="preserve"> This difference </w:t>
      </w:r>
      <w:r w:rsidR="00AB271D">
        <w:rPr>
          <w:rFonts w:ascii="Arial" w:hAnsi="Arial" w:cs="Arial"/>
          <w:color w:val="FF0000"/>
          <w:sz w:val="24"/>
          <w:szCs w:val="24"/>
        </w:rPr>
        <w:t xml:space="preserve">is considered to </w:t>
      </w:r>
      <w:r w:rsidR="00D6718B" w:rsidRPr="00AB271D">
        <w:rPr>
          <w:rFonts w:ascii="Arial" w:hAnsi="Arial" w:cs="Arial"/>
          <w:color w:val="FF0000"/>
          <w:sz w:val="24"/>
          <w:szCs w:val="24"/>
        </w:rPr>
        <w:t>relate to both RPP and Non-RPP customers.</w:t>
      </w:r>
    </w:p>
    <w:p w14:paraId="1E422C2A" w14:textId="0F8AF5A5" w:rsidR="00D6718B" w:rsidRPr="00AB271D" w:rsidRDefault="00D6718B" w:rsidP="006267AD">
      <w:pPr>
        <w:rPr>
          <w:rFonts w:ascii="Arial" w:hAnsi="Arial" w:cs="Arial"/>
          <w:color w:val="FF0000"/>
          <w:sz w:val="24"/>
          <w:szCs w:val="24"/>
        </w:rPr>
      </w:pPr>
      <w:r w:rsidRPr="00AB271D">
        <w:rPr>
          <w:rFonts w:ascii="Arial" w:hAnsi="Arial" w:cs="Arial"/>
          <w:color w:val="FF0000"/>
          <w:sz w:val="24"/>
          <w:szCs w:val="24"/>
        </w:rPr>
        <w:t>WCHE</w:t>
      </w:r>
      <w:r w:rsidR="00AB271D">
        <w:rPr>
          <w:rFonts w:ascii="Arial" w:hAnsi="Arial" w:cs="Arial"/>
          <w:color w:val="FF0000"/>
          <w:sz w:val="24"/>
          <w:szCs w:val="24"/>
        </w:rPr>
        <w:t>’s</w:t>
      </w:r>
      <w:r w:rsidRPr="00AB271D">
        <w:rPr>
          <w:rFonts w:ascii="Arial" w:hAnsi="Arial" w:cs="Arial"/>
          <w:color w:val="FF0000"/>
          <w:sz w:val="24"/>
          <w:szCs w:val="24"/>
        </w:rPr>
        <w:t xml:space="preserve"> methodology of subtracting Non-RPP billed kwh from the utility</w:t>
      </w:r>
      <w:r w:rsidR="00AB271D">
        <w:rPr>
          <w:rFonts w:ascii="Arial" w:hAnsi="Arial" w:cs="Arial"/>
          <w:color w:val="FF0000"/>
          <w:sz w:val="24"/>
          <w:szCs w:val="24"/>
        </w:rPr>
        <w:t>’s</w:t>
      </w:r>
      <w:r w:rsidRPr="00AB271D">
        <w:rPr>
          <w:rFonts w:ascii="Arial" w:hAnsi="Arial" w:cs="Arial"/>
          <w:color w:val="FF0000"/>
          <w:sz w:val="24"/>
          <w:szCs w:val="24"/>
        </w:rPr>
        <w:t xml:space="preserve"> total kwh to calculate RPP kwh </w:t>
      </w:r>
      <w:r w:rsidR="00AB271D">
        <w:rPr>
          <w:rFonts w:ascii="Arial" w:hAnsi="Arial" w:cs="Arial"/>
          <w:color w:val="FF0000"/>
          <w:sz w:val="24"/>
          <w:szCs w:val="24"/>
        </w:rPr>
        <w:t xml:space="preserve">did </w:t>
      </w:r>
      <w:r w:rsidRPr="00AB271D">
        <w:rPr>
          <w:rFonts w:ascii="Arial" w:hAnsi="Arial" w:cs="Arial"/>
          <w:color w:val="FF0000"/>
          <w:sz w:val="24"/>
          <w:szCs w:val="24"/>
        </w:rPr>
        <w:t>not include an allocation of the above noted difference</w:t>
      </w:r>
      <w:r w:rsidR="00AB271D">
        <w:rPr>
          <w:rFonts w:ascii="Arial" w:hAnsi="Arial" w:cs="Arial"/>
          <w:color w:val="FF0000"/>
          <w:sz w:val="24"/>
          <w:szCs w:val="24"/>
        </w:rPr>
        <w:t xml:space="preserve"> to the Non-RPP customer group and</w:t>
      </w:r>
      <w:r w:rsidR="00AB271D" w:rsidRPr="00AB271D">
        <w:rPr>
          <w:rFonts w:ascii="Arial" w:hAnsi="Arial" w:cs="Arial"/>
          <w:color w:val="FF0000"/>
          <w:sz w:val="24"/>
          <w:szCs w:val="24"/>
        </w:rPr>
        <w:t xml:space="preserve"> </w:t>
      </w:r>
      <w:r w:rsidR="00AB271D">
        <w:rPr>
          <w:rFonts w:ascii="Arial" w:hAnsi="Arial" w:cs="Arial"/>
          <w:color w:val="FF0000"/>
          <w:sz w:val="24"/>
          <w:szCs w:val="24"/>
        </w:rPr>
        <w:t>would result in the RPP group bearing any loss factor difference</w:t>
      </w:r>
      <w:r w:rsidR="00AB271D">
        <w:rPr>
          <w:rFonts w:ascii="Arial" w:hAnsi="Arial" w:cs="Arial"/>
          <w:color w:val="FF0000"/>
          <w:sz w:val="24"/>
          <w:szCs w:val="24"/>
        </w:rPr>
        <w:t xml:space="preserve">. </w:t>
      </w:r>
      <w:r w:rsidR="00AB271D">
        <w:rPr>
          <w:rFonts w:ascii="Arial" w:hAnsi="Arial" w:cs="Arial"/>
          <w:color w:val="FF0000"/>
          <w:sz w:val="24"/>
          <w:szCs w:val="24"/>
        </w:rPr>
        <w:t>This kwh split formed the basis for allocating the Class B GA expense on the IESO in the general ledger</w:t>
      </w:r>
      <w:r w:rsidR="00AB271D">
        <w:rPr>
          <w:rFonts w:ascii="Arial" w:hAnsi="Arial" w:cs="Arial"/>
          <w:color w:val="FF0000"/>
          <w:sz w:val="24"/>
          <w:szCs w:val="24"/>
        </w:rPr>
        <w:t>.   T</w:t>
      </w:r>
      <w:r w:rsidRPr="00AB271D">
        <w:rPr>
          <w:rFonts w:ascii="Arial" w:hAnsi="Arial" w:cs="Arial"/>
          <w:color w:val="FF0000"/>
          <w:sz w:val="24"/>
          <w:szCs w:val="24"/>
        </w:rPr>
        <w:t>herefore</w:t>
      </w:r>
      <w:r w:rsidR="00AB271D" w:rsidRPr="00AB271D">
        <w:rPr>
          <w:rFonts w:ascii="Arial" w:hAnsi="Arial" w:cs="Arial"/>
          <w:color w:val="FF0000"/>
          <w:sz w:val="24"/>
          <w:szCs w:val="24"/>
        </w:rPr>
        <w:t>,</w:t>
      </w:r>
      <w:r w:rsidRPr="00AB271D">
        <w:rPr>
          <w:rFonts w:ascii="Arial" w:hAnsi="Arial" w:cs="Arial"/>
          <w:color w:val="FF0000"/>
          <w:sz w:val="24"/>
          <w:szCs w:val="24"/>
        </w:rPr>
        <w:t xml:space="preserve"> the expense allocation between RPP and Non-RPP requires correction to split the </w:t>
      </w:r>
      <w:r w:rsidR="00AB271D" w:rsidRPr="00AB271D">
        <w:rPr>
          <w:rFonts w:ascii="Arial" w:hAnsi="Arial" w:cs="Arial"/>
          <w:color w:val="FF0000"/>
          <w:sz w:val="24"/>
          <w:szCs w:val="24"/>
        </w:rPr>
        <w:t>value of the loss factor difference based on the relative proportion of</w:t>
      </w:r>
      <w:r w:rsidR="00E073ED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  <w:r w:rsidR="00E073ED">
        <w:rPr>
          <w:rFonts w:ascii="Arial" w:hAnsi="Arial" w:cs="Arial"/>
          <w:color w:val="FF0000"/>
          <w:sz w:val="24"/>
          <w:szCs w:val="24"/>
        </w:rPr>
        <w:t>RPP and Non-RPP</w:t>
      </w:r>
      <w:r w:rsidR="00AB271D" w:rsidRPr="00AB271D">
        <w:rPr>
          <w:rFonts w:ascii="Arial" w:hAnsi="Arial" w:cs="Arial"/>
          <w:color w:val="FF0000"/>
          <w:sz w:val="24"/>
          <w:szCs w:val="24"/>
        </w:rPr>
        <w:t xml:space="preserve"> kwh billed.</w:t>
      </w:r>
    </w:p>
    <w:p w14:paraId="6BA4FF27" w14:textId="77777777" w:rsidR="00D6718B" w:rsidRPr="006267AD" w:rsidRDefault="00D6718B" w:rsidP="006267AD">
      <w:pPr>
        <w:rPr>
          <w:rFonts w:ascii="Arial" w:hAnsi="Arial" w:cs="Arial"/>
          <w:sz w:val="24"/>
          <w:szCs w:val="24"/>
        </w:rPr>
      </w:pPr>
    </w:p>
    <w:sectPr w:rsidR="00D6718B" w:rsidRPr="006267AD" w:rsidSect="00EA0919">
      <w:headerReference w:type="default" r:id="rId7"/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9673F" w14:textId="77777777" w:rsidR="00211002" w:rsidRDefault="00211002" w:rsidP="0003510A">
      <w:pPr>
        <w:spacing w:after="0" w:line="240" w:lineRule="auto"/>
      </w:pPr>
      <w:r>
        <w:separator/>
      </w:r>
    </w:p>
  </w:endnote>
  <w:endnote w:type="continuationSeparator" w:id="0">
    <w:p w14:paraId="010BA0FE" w14:textId="77777777" w:rsidR="00211002" w:rsidRDefault="00211002" w:rsidP="0003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D493" w14:textId="77777777" w:rsidR="0003510A" w:rsidRDefault="0003510A">
    <w:pPr>
      <w:pStyle w:val="Footer"/>
    </w:pPr>
  </w:p>
  <w:p w14:paraId="1686ED43" w14:textId="77777777" w:rsidR="0003510A" w:rsidRDefault="00035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82F71" w14:textId="77777777" w:rsidR="00211002" w:rsidRDefault="00211002" w:rsidP="0003510A">
      <w:pPr>
        <w:spacing w:after="0" w:line="240" w:lineRule="auto"/>
      </w:pPr>
      <w:r>
        <w:separator/>
      </w:r>
    </w:p>
  </w:footnote>
  <w:footnote w:type="continuationSeparator" w:id="0">
    <w:p w14:paraId="46E78ECB" w14:textId="77777777" w:rsidR="00211002" w:rsidRDefault="00211002" w:rsidP="0003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7D4C" w14:textId="77777777" w:rsidR="0003510A" w:rsidRDefault="00795EFC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West Coast Huron Energy</w:t>
    </w:r>
    <w:r w:rsidR="0003510A">
      <w:rPr>
        <w:rFonts w:ascii="Arial" w:hAnsi="Arial" w:cs="Arial"/>
        <w:bCs/>
        <w:sz w:val="22"/>
        <w:szCs w:val="22"/>
      </w:rPr>
      <w:t xml:space="preserve"> Inc.</w:t>
    </w:r>
  </w:p>
  <w:p w14:paraId="680D98A9" w14:textId="77777777" w:rsidR="0003510A" w:rsidRDefault="00795EFC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EB-2017-0083</w:t>
    </w:r>
  </w:p>
  <w:p w14:paraId="6CA6733E" w14:textId="77777777" w:rsidR="0003510A" w:rsidRDefault="0003510A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OEB Staff Questions</w:t>
    </w:r>
  </w:p>
  <w:p w14:paraId="48A00849" w14:textId="77777777" w:rsidR="0003510A" w:rsidRDefault="00A05E2B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February</w:t>
    </w:r>
    <w:r w:rsidR="00D658B7" w:rsidRPr="002A4EDF">
      <w:rPr>
        <w:rFonts w:ascii="Arial" w:hAnsi="Arial" w:cs="Arial"/>
        <w:bCs/>
        <w:sz w:val="22"/>
        <w:szCs w:val="22"/>
      </w:rPr>
      <w:t xml:space="preserve"> </w:t>
    </w:r>
    <w:r>
      <w:rPr>
        <w:rFonts w:ascii="Arial" w:hAnsi="Arial" w:cs="Arial"/>
        <w:bCs/>
        <w:sz w:val="22"/>
        <w:szCs w:val="22"/>
      </w:rPr>
      <w:t>5</w:t>
    </w:r>
    <w:r w:rsidR="00D658B7" w:rsidRPr="002A4EDF">
      <w:rPr>
        <w:rFonts w:ascii="Arial" w:hAnsi="Arial" w:cs="Arial"/>
        <w:bCs/>
        <w:sz w:val="22"/>
        <w:szCs w:val="22"/>
      </w:rPr>
      <w:t>, 2018</w:t>
    </w:r>
  </w:p>
  <w:sdt>
    <w:sdtPr>
      <w:rPr>
        <w:rFonts w:ascii="Arial" w:hAnsi="Arial" w:cs="Arial"/>
      </w:rPr>
      <w:id w:val="-1705238520"/>
      <w:docPartObj>
        <w:docPartGallery w:val="Page Numbers (Top of Page)"/>
        <w:docPartUnique/>
      </w:docPartObj>
    </w:sdtPr>
    <w:sdtEndPr/>
    <w:sdtContent>
      <w:p w14:paraId="3E6AAE9D" w14:textId="03CB161D" w:rsidR="0003510A" w:rsidRPr="0003510A" w:rsidRDefault="0003510A" w:rsidP="0003510A">
        <w:pPr>
          <w:pStyle w:val="Footer"/>
          <w:jc w:val="right"/>
          <w:rPr>
            <w:rFonts w:ascii="Arial" w:hAnsi="Arial" w:cs="Arial"/>
          </w:rPr>
        </w:pPr>
        <w:r w:rsidRPr="0003510A">
          <w:rPr>
            <w:rFonts w:ascii="Arial" w:hAnsi="Arial" w:cs="Arial"/>
          </w:rPr>
          <w:t xml:space="preserve">Page </w:t>
        </w:r>
        <w:r w:rsidRPr="0003510A">
          <w:rPr>
            <w:rFonts w:ascii="Arial" w:hAnsi="Arial" w:cs="Arial"/>
            <w:b/>
            <w:bCs/>
          </w:rPr>
          <w:fldChar w:fldCharType="begin"/>
        </w:r>
        <w:r w:rsidRPr="0003510A">
          <w:rPr>
            <w:rFonts w:ascii="Arial" w:hAnsi="Arial" w:cs="Arial"/>
            <w:b/>
            <w:bCs/>
          </w:rPr>
          <w:instrText xml:space="preserve"> PAGE </w:instrText>
        </w:r>
        <w:r w:rsidRPr="0003510A">
          <w:rPr>
            <w:rFonts w:ascii="Arial" w:hAnsi="Arial" w:cs="Arial"/>
            <w:b/>
            <w:bCs/>
          </w:rPr>
          <w:fldChar w:fldCharType="separate"/>
        </w:r>
        <w:r w:rsidR="00E073ED">
          <w:rPr>
            <w:rFonts w:ascii="Arial" w:hAnsi="Arial" w:cs="Arial"/>
            <w:b/>
            <w:bCs/>
            <w:noProof/>
          </w:rPr>
          <w:t>1</w:t>
        </w:r>
        <w:r w:rsidRPr="0003510A">
          <w:rPr>
            <w:rFonts w:ascii="Arial" w:hAnsi="Arial" w:cs="Arial"/>
            <w:b/>
            <w:bCs/>
          </w:rPr>
          <w:fldChar w:fldCharType="end"/>
        </w:r>
        <w:r w:rsidRPr="0003510A">
          <w:rPr>
            <w:rFonts w:ascii="Arial" w:hAnsi="Arial" w:cs="Arial"/>
          </w:rPr>
          <w:t xml:space="preserve"> of </w:t>
        </w:r>
        <w:r w:rsidRPr="0003510A">
          <w:rPr>
            <w:rFonts w:ascii="Arial" w:hAnsi="Arial" w:cs="Arial"/>
            <w:b/>
            <w:bCs/>
          </w:rPr>
          <w:fldChar w:fldCharType="begin"/>
        </w:r>
        <w:r w:rsidRPr="0003510A">
          <w:rPr>
            <w:rFonts w:ascii="Arial" w:hAnsi="Arial" w:cs="Arial"/>
            <w:b/>
            <w:bCs/>
          </w:rPr>
          <w:instrText xml:space="preserve"> NUMPAGES  </w:instrText>
        </w:r>
        <w:r w:rsidRPr="0003510A">
          <w:rPr>
            <w:rFonts w:ascii="Arial" w:hAnsi="Arial" w:cs="Arial"/>
            <w:b/>
            <w:bCs/>
          </w:rPr>
          <w:fldChar w:fldCharType="separate"/>
        </w:r>
        <w:r w:rsidR="00E073ED">
          <w:rPr>
            <w:rFonts w:ascii="Arial" w:hAnsi="Arial" w:cs="Arial"/>
            <w:b/>
            <w:bCs/>
            <w:noProof/>
          </w:rPr>
          <w:t>1</w:t>
        </w:r>
        <w:r w:rsidRPr="0003510A">
          <w:rPr>
            <w:rFonts w:ascii="Arial" w:hAnsi="Arial" w:cs="Arial"/>
            <w:b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BE5"/>
    <w:multiLevelType w:val="hybridMultilevel"/>
    <w:tmpl w:val="B422FBF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A77"/>
    <w:multiLevelType w:val="hybridMultilevel"/>
    <w:tmpl w:val="EAE61FD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18F1"/>
    <w:multiLevelType w:val="hybridMultilevel"/>
    <w:tmpl w:val="3202E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67F53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324B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71B06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A9E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5DC1"/>
    <w:multiLevelType w:val="hybridMultilevel"/>
    <w:tmpl w:val="3D86C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5B17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1EF4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FC4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B0A22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943FD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8209D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2416D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07DFF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712B6"/>
    <w:multiLevelType w:val="hybridMultilevel"/>
    <w:tmpl w:val="D66A2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9"/>
  </w:num>
  <w:num w:numId="5">
    <w:abstractNumId w:val="5"/>
  </w:num>
  <w:num w:numId="6">
    <w:abstractNumId w:val="8"/>
  </w:num>
  <w:num w:numId="7">
    <w:abstractNumId w:val="15"/>
  </w:num>
  <w:num w:numId="8">
    <w:abstractNumId w:val="1"/>
  </w:num>
  <w:num w:numId="9">
    <w:abstractNumId w:val="13"/>
  </w:num>
  <w:num w:numId="10">
    <w:abstractNumId w:val="10"/>
  </w:num>
  <w:num w:numId="11">
    <w:abstractNumId w:val="12"/>
  </w:num>
  <w:num w:numId="12">
    <w:abstractNumId w:val="3"/>
  </w:num>
  <w:num w:numId="13">
    <w:abstractNumId w:val="4"/>
  </w:num>
  <w:num w:numId="14">
    <w:abstractNumId w:val="2"/>
  </w:num>
  <w:num w:numId="15">
    <w:abstractNumId w:val="16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15"/>
    <w:rsid w:val="00021F3A"/>
    <w:rsid w:val="0003351F"/>
    <w:rsid w:val="0003510A"/>
    <w:rsid w:val="00044373"/>
    <w:rsid w:val="000E20F1"/>
    <w:rsid w:val="000F077B"/>
    <w:rsid w:val="00131F34"/>
    <w:rsid w:val="001440EE"/>
    <w:rsid w:val="001573CF"/>
    <w:rsid w:val="00160657"/>
    <w:rsid w:val="001E42C3"/>
    <w:rsid w:val="00211002"/>
    <w:rsid w:val="0025226F"/>
    <w:rsid w:val="0026141C"/>
    <w:rsid w:val="002747F4"/>
    <w:rsid w:val="002A297C"/>
    <w:rsid w:val="002A4EDF"/>
    <w:rsid w:val="002C04A6"/>
    <w:rsid w:val="002E550D"/>
    <w:rsid w:val="003238F7"/>
    <w:rsid w:val="0033240C"/>
    <w:rsid w:val="00351E97"/>
    <w:rsid w:val="003930EE"/>
    <w:rsid w:val="003E1611"/>
    <w:rsid w:val="0040173C"/>
    <w:rsid w:val="00401CE8"/>
    <w:rsid w:val="00412DC6"/>
    <w:rsid w:val="00564E2E"/>
    <w:rsid w:val="00583AD9"/>
    <w:rsid w:val="00596A51"/>
    <w:rsid w:val="005B0532"/>
    <w:rsid w:val="005F772C"/>
    <w:rsid w:val="0062103C"/>
    <w:rsid w:val="006267AD"/>
    <w:rsid w:val="0067012B"/>
    <w:rsid w:val="0069394A"/>
    <w:rsid w:val="006F5C94"/>
    <w:rsid w:val="00741AA4"/>
    <w:rsid w:val="00746080"/>
    <w:rsid w:val="00795EFC"/>
    <w:rsid w:val="0082187D"/>
    <w:rsid w:val="008A674F"/>
    <w:rsid w:val="008B2F8F"/>
    <w:rsid w:val="009D2505"/>
    <w:rsid w:val="009E150A"/>
    <w:rsid w:val="009E43E2"/>
    <w:rsid w:val="00A05E2B"/>
    <w:rsid w:val="00A24D72"/>
    <w:rsid w:val="00A30286"/>
    <w:rsid w:val="00AA06D9"/>
    <w:rsid w:val="00AB271D"/>
    <w:rsid w:val="00AC6D3F"/>
    <w:rsid w:val="00AD2BD5"/>
    <w:rsid w:val="00AE5FC4"/>
    <w:rsid w:val="00B0394F"/>
    <w:rsid w:val="00B10DE8"/>
    <w:rsid w:val="00B11828"/>
    <w:rsid w:val="00B25576"/>
    <w:rsid w:val="00B26916"/>
    <w:rsid w:val="00B50C33"/>
    <w:rsid w:val="00B76415"/>
    <w:rsid w:val="00B921AF"/>
    <w:rsid w:val="00C014A6"/>
    <w:rsid w:val="00C54F24"/>
    <w:rsid w:val="00C81A94"/>
    <w:rsid w:val="00CA21D0"/>
    <w:rsid w:val="00CF675A"/>
    <w:rsid w:val="00D658B7"/>
    <w:rsid w:val="00D658D8"/>
    <w:rsid w:val="00D6718B"/>
    <w:rsid w:val="00D76C89"/>
    <w:rsid w:val="00D84755"/>
    <w:rsid w:val="00E073ED"/>
    <w:rsid w:val="00E276FB"/>
    <w:rsid w:val="00E31E0C"/>
    <w:rsid w:val="00E60F13"/>
    <w:rsid w:val="00E633D6"/>
    <w:rsid w:val="00E64C45"/>
    <w:rsid w:val="00E95E56"/>
    <w:rsid w:val="00EA0919"/>
    <w:rsid w:val="00F0015E"/>
    <w:rsid w:val="00F035B6"/>
    <w:rsid w:val="00F314CA"/>
    <w:rsid w:val="00F45ABC"/>
    <w:rsid w:val="00F57689"/>
    <w:rsid w:val="00F97371"/>
    <w:rsid w:val="00FA126E"/>
    <w:rsid w:val="00FA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0D48"/>
  <w15:docId w15:val="{B7A13E7F-9B09-47C8-AFDC-549A4752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64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4373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3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0A"/>
  </w:style>
  <w:style w:type="paragraph" w:styleId="Footer">
    <w:name w:val="footer"/>
    <w:basedOn w:val="Normal"/>
    <w:link w:val="FooterChar"/>
    <w:uiPriority w:val="99"/>
    <w:unhideWhenUsed/>
    <w:rsid w:val="0003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0A"/>
  </w:style>
  <w:style w:type="paragraph" w:styleId="ListParagraph">
    <w:name w:val="List Paragraph"/>
    <w:basedOn w:val="Normal"/>
    <w:uiPriority w:val="34"/>
    <w:qFormat/>
    <w:rsid w:val="002A29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7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 Benincasa</dc:creator>
  <cp:lastModifiedBy>Deanna Hastie</cp:lastModifiedBy>
  <cp:revision>2</cp:revision>
  <dcterms:created xsi:type="dcterms:W3CDTF">2018-02-08T13:51:00Z</dcterms:created>
  <dcterms:modified xsi:type="dcterms:W3CDTF">2018-02-08T13:51:00Z</dcterms:modified>
</cp:coreProperties>
</file>