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D4" w:rsidRPr="00AB2698" w:rsidRDefault="00AB2698">
      <w:pPr>
        <w:rPr>
          <w:rFonts w:ascii="Arial" w:hAnsi="Arial" w:cs="Arial"/>
          <w:b/>
          <w:sz w:val="24"/>
          <w:szCs w:val="24"/>
          <w:u w:val="single"/>
        </w:rPr>
      </w:pPr>
      <w:r w:rsidRPr="00AB2698">
        <w:rPr>
          <w:rFonts w:ascii="Arial" w:hAnsi="Arial" w:cs="Arial"/>
          <w:b/>
          <w:sz w:val="24"/>
          <w:szCs w:val="24"/>
          <w:u w:val="single"/>
        </w:rPr>
        <w:t xml:space="preserve">VECC’s COMMENTS </w:t>
      </w:r>
      <w:r w:rsidR="001F47EA" w:rsidRPr="00AB2698">
        <w:rPr>
          <w:rFonts w:ascii="Arial" w:hAnsi="Arial" w:cs="Arial"/>
          <w:b/>
          <w:sz w:val="24"/>
          <w:szCs w:val="24"/>
          <w:u w:val="single"/>
        </w:rPr>
        <w:t>RE:</w:t>
      </w:r>
      <w:r w:rsidR="001F47EA" w:rsidRPr="00AB2698">
        <w:rPr>
          <w:rFonts w:ascii="Arial" w:hAnsi="Arial" w:cs="Arial"/>
          <w:b/>
          <w:sz w:val="24"/>
          <w:szCs w:val="24"/>
          <w:u w:val="single"/>
        </w:rPr>
        <w:tab/>
        <w:t xml:space="preserve"> DRAFT REPORT OF THE BOARD – FRAMEWORK FOR DETERMINING WIRELINE POLE ATTACHMENT CHARGES (EB-2015-0304)</w:t>
      </w:r>
    </w:p>
    <w:p w:rsidR="001F47EA" w:rsidRDefault="001F47EA" w:rsidP="001F47EA">
      <w:pPr>
        <w:spacing w:after="120" w:line="360" w:lineRule="auto"/>
        <w:rPr>
          <w:rFonts w:ascii="Arial" w:hAnsi="Arial" w:cs="Arial"/>
          <w:sz w:val="24"/>
          <w:szCs w:val="24"/>
        </w:rPr>
      </w:pPr>
    </w:p>
    <w:p w:rsidR="001F47EA" w:rsidRPr="00EB40A8" w:rsidRDefault="001F47EA" w:rsidP="001F47EA">
      <w:pPr>
        <w:pStyle w:val="ListParagraph"/>
        <w:numPr>
          <w:ilvl w:val="0"/>
          <w:numId w:val="1"/>
        </w:numPr>
        <w:spacing w:after="120" w:line="360" w:lineRule="auto"/>
        <w:contextualSpacing w:val="0"/>
        <w:rPr>
          <w:rFonts w:ascii="Arial" w:hAnsi="Arial" w:cs="Arial"/>
          <w:b/>
          <w:sz w:val="24"/>
          <w:szCs w:val="24"/>
          <w:u w:val="single"/>
        </w:rPr>
      </w:pPr>
      <w:r w:rsidRPr="00EB40A8">
        <w:rPr>
          <w:rFonts w:ascii="Arial" w:hAnsi="Arial" w:cs="Arial"/>
          <w:b/>
          <w:sz w:val="24"/>
          <w:szCs w:val="24"/>
          <w:u w:val="single"/>
        </w:rPr>
        <w:t>Introduction</w:t>
      </w:r>
    </w:p>
    <w:p w:rsidR="0032702E" w:rsidRDefault="001F47EA" w:rsidP="001F47EA">
      <w:pPr>
        <w:spacing w:after="120" w:line="360" w:lineRule="auto"/>
        <w:rPr>
          <w:rFonts w:ascii="Arial" w:hAnsi="Arial" w:cs="Arial"/>
          <w:sz w:val="24"/>
          <w:szCs w:val="24"/>
        </w:rPr>
      </w:pPr>
      <w:r>
        <w:rPr>
          <w:rFonts w:ascii="Arial" w:hAnsi="Arial" w:cs="Arial"/>
          <w:sz w:val="24"/>
          <w:szCs w:val="24"/>
        </w:rPr>
        <w:t xml:space="preserve">On December 18, 2017 the Ontario Energy Board (OEB) issued a Draft Report setting out a policy for the wireline </w:t>
      </w:r>
      <w:r w:rsidR="00026CCB">
        <w:rPr>
          <w:rFonts w:ascii="Arial" w:hAnsi="Arial" w:cs="Arial"/>
          <w:sz w:val="24"/>
          <w:szCs w:val="24"/>
        </w:rPr>
        <w:t xml:space="preserve">pole </w:t>
      </w:r>
      <w:r>
        <w:rPr>
          <w:rFonts w:ascii="Arial" w:hAnsi="Arial" w:cs="Arial"/>
          <w:sz w:val="24"/>
          <w:szCs w:val="24"/>
        </w:rPr>
        <w:t>attachment rates charged by local electricity distribution companies</w:t>
      </w:r>
      <w:r w:rsidR="0054080A">
        <w:rPr>
          <w:rFonts w:ascii="Arial" w:hAnsi="Arial" w:cs="Arial"/>
          <w:sz w:val="24"/>
          <w:szCs w:val="24"/>
        </w:rPr>
        <w:t xml:space="preserve"> (“LDCs”)</w:t>
      </w:r>
      <w:r>
        <w:rPr>
          <w:rFonts w:ascii="Arial" w:hAnsi="Arial" w:cs="Arial"/>
          <w:sz w:val="24"/>
          <w:szCs w:val="24"/>
        </w:rPr>
        <w:t xml:space="preserve"> for attachments of telecommunication and cable companies to distribution poles.  The accompanying letter invited interested stakeholders to provide comments on the Draft Report.</w:t>
      </w:r>
      <w:r w:rsidR="0032702E">
        <w:rPr>
          <w:rFonts w:ascii="Arial" w:hAnsi="Arial" w:cs="Arial"/>
          <w:sz w:val="24"/>
          <w:szCs w:val="24"/>
        </w:rPr>
        <w:t xml:space="preserve">  </w:t>
      </w:r>
    </w:p>
    <w:p w:rsidR="00B60265" w:rsidRDefault="0032702E" w:rsidP="00980DF1">
      <w:pPr>
        <w:spacing w:after="120" w:line="360" w:lineRule="auto"/>
      </w:pPr>
      <w:r w:rsidRPr="0032702E">
        <w:rPr>
          <w:rFonts w:ascii="Arial" w:hAnsi="Arial" w:cs="Arial"/>
          <w:sz w:val="24"/>
          <w:szCs w:val="24"/>
        </w:rPr>
        <w:t>The Vulnerable Energy Consumers Coalition</w:t>
      </w:r>
      <w:r>
        <w:rPr>
          <w:rFonts w:ascii="Arial" w:hAnsi="Arial" w:cs="Arial"/>
          <w:sz w:val="24"/>
          <w:szCs w:val="24"/>
        </w:rPr>
        <w:t xml:space="preserve"> (VECC) has reviewed the Draft Report</w:t>
      </w:r>
      <w:r w:rsidRPr="0032702E">
        <w:rPr>
          <w:rFonts w:ascii="Arial" w:hAnsi="Arial" w:cs="Arial"/>
          <w:sz w:val="24"/>
          <w:szCs w:val="24"/>
        </w:rPr>
        <w:t xml:space="preserve"> and offers the following comments for the Board’s consideration.  </w:t>
      </w:r>
    </w:p>
    <w:p w:rsidR="00B60265" w:rsidRDefault="004341B4" w:rsidP="000708FB">
      <w:pPr>
        <w:spacing w:after="120" w:line="360" w:lineRule="auto"/>
        <w:rPr>
          <w:rFonts w:ascii="Arial" w:hAnsi="Arial" w:cs="Arial"/>
          <w:sz w:val="24"/>
          <w:szCs w:val="24"/>
        </w:rPr>
      </w:pPr>
      <w:r w:rsidRPr="004341B4">
        <w:rPr>
          <w:rFonts w:ascii="Arial" w:hAnsi="Arial" w:cs="Arial"/>
          <w:sz w:val="24"/>
          <w:szCs w:val="24"/>
        </w:rPr>
        <w:t xml:space="preserve"> </w:t>
      </w:r>
      <w:r w:rsidR="0032702E">
        <w:rPr>
          <w:rFonts w:ascii="Arial" w:hAnsi="Arial" w:cs="Arial"/>
          <w:sz w:val="24"/>
          <w:szCs w:val="24"/>
        </w:rPr>
        <w:t>The</w:t>
      </w:r>
      <w:r w:rsidR="00174351">
        <w:rPr>
          <w:rFonts w:ascii="Arial" w:hAnsi="Arial" w:cs="Arial"/>
          <w:sz w:val="24"/>
          <w:szCs w:val="24"/>
        </w:rPr>
        <w:t xml:space="preserve"> detailed</w:t>
      </w:r>
      <w:r w:rsidR="0032702E">
        <w:rPr>
          <w:rFonts w:ascii="Arial" w:hAnsi="Arial" w:cs="Arial"/>
          <w:sz w:val="24"/>
          <w:szCs w:val="24"/>
        </w:rPr>
        <w:t xml:space="preserve"> comments </w:t>
      </w:r>
      <w:r>
        <w:rPr>
          <w:rFonts w:ascii="Arial" w:hAnsi="Arial" w:cs="Arial"/>
          <w:sz w:val="24"/>
          <w:szCs w:val="24"/>
        </w:rPr>
        <w:t xml:space="preserve">below </w:t>
      </w:r>
      <w:r w:rsidR="0032702E">
        <w:rPr>
          <w:rFonts w:ascii="Arial" w:hAnsi="Arial" w:cs="Arial"/>
          <w:sz w:val="24"/>
          <w:szCs w:val="24"/>
        </w:rPr>
        <w:t>are divided into two sections where the first addresses the Board’s proposed framework/methodology for determining the wireline attachment rate while the second addresses implementation issues.  With respect to the proposed methodology, the Draft Report does not specifically address all the elements of the methodology.  Rather</w:t>
      </w:r>
      <w:r w:rsidR="00922946">
        <w:rPr>
          <w:rFonts w:ascii="Arial" w:hAnsi="Arial" w:cs="Arial"/>
          <w:sz w:val="24"/>
          <w:szCs w:val="24"/>
        </w:rPr>
        <w:t>, for a number of the elements of the methodology,</w:t>
      </w:r>
      <w:r w:rsidR="0032702E">
        <w:rPr>
          <w:rFonts w:ascii="Arial" w:hAnsi="Arial" w:cs="Arial"/>
          <w:sz w:val="24"/>
          <w:szCs w:val="24"/>
        </w:rPr>
        <w:t xml:space="preserve"> the OEB relies on the recommendations of </w:t>
      </w:r>
      <w:proofErr w:type="spellStart"/>
      <w:r w:rsidR="00922946">
        <w:rPr>
          <w:rFonts w:ascii="Arial" w:hAnsi="Arial" w:cs="Arial"/>
          <w:sz w:val="24"/>
          <w:szCs w:val="24"/>
        </w:rPr>
        <w:t>Nordicity</w:t>
      </w:r>
      <w:proofErr w:type="spellEnd"/>
      <w:r w:rsidR="00922946">
        <w:rPr>
          <w:rFonts w:ascii="Arial" w:hAnsi="Arial" w:cs="Arial"/>
          <w:sz w:val="24"/>
          <w:szCs w:val="24"/>
        </w:rPr>
        <w:t xml:space="preserve"> and, in the Draft Report, only addresses what it deems to be specific key issues.  However, for purposes of completeness, VECC’s comments address all elements of the methodology and refer to the </w:t>
      </w:r>
      <w:proofErr w:type="spellStart"/>
      <w:r w:rsidR="00922946">
        <w:rPr>
          <w:rFonts w:ascii="Arial" w:hAnsi="Arial" w:cs="Arial"/>
          <w:sz w:val="24"/>
          <w:szCs w:val="24"/>
        </w:rPr>
        <w:t>Nordicity</w:t>
      </w:r>
      <w:proofErr w:type="spellEnd"/>
      <w:r w:rsidR="00922946">
        <w:rPr>
          <w:rFonts w:ascii="Arial" w:hAnsi="Arial" w:cs="Arial"/>
          <w:sz w:val="24"/>
          <w:szCs w:val="24"/>
        </w:rPr>
        <w:t xml:space="preserve"> Group Limited</w:t>
      </w:r>
      <w:r w:rsidR="00922946">
        <w:rPr>
          <w:rStyle w:val="FootnoteReference"/>
          <w:rFonts w:ascii="Arial" w:hAnsi="Arial" w:cs="Arial"/>
          <w:sz w:val="24"/>
          <w:szCs w:val="24"/>
        </w:rPr>
        <w:footnoteReference w:id="1"/>
      </w:r>
      <w:r w:rsidR="00922946">
        <w:rPr>
          <w:rFonts w:ascii="Arial" w:hAnsi="Arial" w:cs="Arial"/>
          <w:sz w:val="24"/>
          <w:szCs w:val="24"/>
        </w:rPr>
        <w:t xml:space="preserve"> (“</w:t>
      </w:r>
      <w:proofErr w:type="spellStart"/>
      <w:r w:rsidR="00922946">
        <w:rPr>
          <w:rFonts w:ascii="Arial" w:hAnsi="Arial" w:cs="Arial"/>
          <w:sz w:val="24"/>
          <w:szCs w:val="24"/>
        </w:rPr>
        <w:t>Nordicity</w:t>
      </w:r>
      <w:proofErr w:type="spellEnd"/>
      <w:r w:rsidR="00922946">
        <w:rPr>
          <w:rFonts w:ascii="Arial" w:hAnsi="Arial" w:cs="Arial"/>
          <w:sz w:val="24"/>
          <w:szCs w:val="24"/>
        </w:rPr>
        <w:t>”) Report and/or the OEB’s Draft Report as appropriate.</w:t>
      </w:r>
      <w:r w:rsidR="00B60265" w:rsidRPr="00B60265">
        <w:rPr>
          <w:rFonts w:ascii="Arial" w:hAnsi="Arial" w:cs="Arial"/>
          <w:sz w:val="24"/>
          <w:szCs w:val="24"/>
        </w:rPr>
        <w:t xml:space="preserve"> </w:t>
      </w:r>
    </w:p>
    <w:p w:rsidR="00B60265" w:rsidRDefault="00B60265" w:rsidP="00B60265">
      <w:pPr>
        <w:pStyle w:val="Caption"/>
      </w:pPr>
    </w:p>
    <w:p w:rsidR="001F47EA" w:rsidRDefault="001F47EA" w:rsidP="001F47EA">
      <w:pPr>
        <w:spacing w:after="120" w:line="360" w:lineRule="auto"/>
        <w:rPr>
          <w:rFonts w:ascii="Arial" w:hAnsi="Arial" w:cs="Arial"/>
          <w:sz w:val="24"/>
          <w:szCs w:val="24"/>
        </w:rPr>
      </w:pPr>
    </w:p>
    <w:p w:rsidR="004223B2" w:rsidRDefault="004223B2">
      <w:pPr>
        <w:rPr>
          <w:rFonts w:ascii="Arial" w:hAnsi="Arial" w:cs="Arial"/>
          <w:b/>
          <w:sz w:val="24"/>
          <w:szCs w:val="24"/>
          <w:u w:val="single"/>
        </w:rPr>
      </w:pPr>
      <w:r>
        <w:rPr>
          <w:rFonts w:ascii="Arial" w:hAnsi="Arial" w:cs="Arial"/>
          <w:b/>
          <w:sz w:val="24"/>
          <w:szCs w:val="24"/>
          <w:u w:val="single"/>
        </w:rPr>
        <w:br w:type="page"/>
      </w:r>
    </w:p>
    <w:p w:rsidR="00922946" w:rsidRPr="00EB40A8" w:rsidRDefault="00EB40A8" w:rsidP="00EB40A8">
      <w:pPr>
        <w:pStyle w:val="ListParagraph"/>
        <w:numPr>
          <w:ilvl w:val="0"/>
          <w:numId w:val="1"/>
        </w:numPr>
        <w:spacing w:after="120" w:line="360" w:lineRule="auto"/>
        <w:contextualSpacing w:val="0"/>
        <w:rPr>
          <w:rFonts w:ascii="Arial" w:hAnsi="Arial" w:cs="Arial"/>
          <w:b/>
          <w:sz w:val="24"/>
          <w:szCs w:val="24"/>
          <w:u w:val="single"/>
        </w:rPr>
      </w:pPr>
      <w:r w:rsidRPr="00EB40A8">
        <w:rPr>
          <w:rFonts w:ascii="Arial" w:hAnsi="Arial" w:cs="Arial"/>
          <w:b/>
          <w:sz w:val="24"/>
          <w:szCs w:val="24"/>
          <w:u w:val="single"/>
        </w:rPr>
        <w:lastRenderedPageBreak/>
        <w:t xml:space="preserve">Wireline </w:t>
      </w:r>
      <w:r w:rsidR="005A1B8D">
        <w:rPr>
          <w:rFonts w:ascii="Arial" w:hAnsi="Arial" w:cs="Arial"/>
          <w:b/>
          <w:sz w:val="24"/>
          <w:szCs w:val="24"/>
          <w:u w:val="single"/>
        </w:rPr>
        <w:t xml:space="preserve">Pole </w:t>
      </w:r>
      <w:r w:rsidRPr="00EB40A8">
        <w:rPr>
          <w:rFonts w:ascii="Arial" w:hAnsi="Arial" w:cs="Arial"/>
          <w:b/>
          <w:sz w:val="24"/>
          <w:szCs w:val="24"/>
          <w:u w:val="single"/>
        </w:rPr>
        <w:t>Attachment Rate Methodology</w:t>
      </w:r>
    </w:p>
    <w:p w:rsidR="00234072" w:rsidRDefault="00234072" w:rsidP="00EB40A8">
      <w:pPr>
        <w:pStyle w:val="ListParagraph"/>
        <w:numPr>
          <w:ilvl w:val="1"/>
          <w:numId w:val="1"/>
        </w:numPr>
        <w:spacing w:after="120" w:line="360" w:lineRule="auto"/>
        <w:contextualSpacing w:val="0"/>
        <w:rPr>
          <w:rFonts w:ascii="Arial" w:hAnsi="Arial" w:cs="Arial"/>
          <w:sz w:val="24"/>
          <w:szCs w:val="24"/>
          <w:u w:val="single"/>
        </w:rPr>
      </w:pPr>
      <w:r>
        <w:rPr>
          <w:rFonts w:ascii="Arial" w:hAnsi="Arial" w:cs="Arial"/>
          <w:sz w:val="24"/>
          <w:szCs w:val="24"/>
          <w:u w:val="single"/>
        </w:rPr>
        <w:t>Pole Population</w:t>
      </w:r>
      <w:r>
        <w:rPr>
          <w:rStyle w:val="FootnoteReference"/>
          <w:rFonts w:ascii="Arial" w:hAnsi="Arial" w:cs="Arial"/>
          <w:sz w:val="24"/>
          <w:szCs w:val="24"/>
          <w:u w:val="single"/>
        </w:rPr>
        <w:footnoteReference w:id="2"/>
      </w:r>
    </w:p>
    <w:p w:rsidR="00234072" w:rsidRDefault="00234072" w:rsidP="00234072">
      <w:pPr>
        <w:spacing w:after="120" w:line="360" w:lineRule="auto"/>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Nordicity</w:t>
      </w:r>
      <w:proofErr w:type="spellEnd"/>
      <w:r>
        <w:rPr>
          <w:rFonts w:ascii="Arial" w:hAnsi="Arial" w:cs="Arial"/>
          <w:sz w:val="24"/>
          <w:szCs w:val="24"/>
        </w:rPr>
        <w:t xml:space="preserve"> Report reviews the ten-year history of pole installation for five of the province’s larger utilities (Toronto Hydro, London Hydro, Ottawa Hydro, Hydro One and Horizon)</w:t>
      </w:r>
      <w:r w:rsidR="00F50319">
        <w:rPr>
          <w:rFonts w:ascii="Arial" w:hAnsi="Arial" w:cs="Arial"/>
          <w:sz w:val="24"/>
          <w:szCs w:val="24"/>
        </w:rPr>
        <w:t xml:space="preserve"> </w:t>
      </w:r>
      <w:r>
        <w:rPr>
          <w:rFonts w:ascii="Arial" w:hAnsi="Arial" w:cs="Arial"/>
          <w:sz w:val="24"/>
          <w:szCs w:val="24"/>
        </w:rPr>
        <w:t>and concludes:</w:t>
      </w:r>
    </w:p>
    <w:p w:rsidR="00234072" w:rsidRDefault="00BA3C1E" w:rsidP="00234072">
      <w:pPr>
        <w:pStyle w:val="ListParagraph"/>
        <w:numPr>
          <w:ilvl w:val="0"/>
          <w:numId w:val="2"/>
        </w:numPr>
        <w:spacing w:after="120" w:line="360" w:lineRule="auto"/>
        <w:rPr>
          <w:rFonts w:ascii="Arial" w:hAnsi="Arial" w:cs="Arial"/>
          <w:sz w:val="24"/>
          <w:szCs w:val="24"/>
        </w:rPr>
      </w:pPr>
      <w:r>
        <w:rPr>
          <w:rFonts w:ascii="Arial" w:hAnsi="Arial" w:cs="Arial"/>
          <w:sz w:val="24"/>
          <w:szCs w:val="24"/>
        </w:rPr>
        <w:t>“</w:t>
      </w:r>
      <w:r w:rsidR="00234072">
        <w:rPr>
          <w:rFonts w:ascii="Arial" w:hAnsi="Arial" w:cs="Arial"/>
          <w:sz w:val="24"/>
          <w:szCs w:val="24"/>
        </w:rPr>
        <w:t>There has been no significant growth</w:t>
      </w:r>
      <w:r>
        <w:rPr>
          <w:rFonts w:ascii="Arial" w:hAnsi="Arial" w:cs="Arial"/>
          <w:sz w:val="24"/>
          <w:szCs w:val="24"/>
        </w:rPr>
        <w:t xml:space="preserve"> in the pole population which would have caused significant variation in the capital cost base of the poles.”</w:t>
      </w:r>
    </w:p>
    <w:p w:rsidR="00BA3C1E" w:rsidRDefault="00BA3C1E" w:rsidP="00234072">
      <w:pPr>
        <w:pStyle w:val="ListParagraph"/>
        <w:numPr>
          <w:ilvl w:val="0"/>
          <w:numId w:val="2"/>
        </w:numPr>
        <w:spacing w:after="120" w:line="360" w:lineRule="auto"/>
        <w:rPr>
          <w:rFonts w:ascii="Arial" w:hAnsi="Arial" w:cs="Arial"/>
          <w:sz w:val="24"/>
          <w:szCs w:val="24"/>
        </w:rPr>
      </w:pPr>
      <w:r>
        <w:rPr>
          <w:rFonts w:ascii="Arial" w:hAnsi="Arial" w:cs="Arial"/>
          <w:sz w:val="24"/>
          <w:szCs w:val="24"/>
        </w:rPr>
        <w:t>“</w:t>
      </w:r>
      <w:proofErr w:type="spellStart"/>
      <w:r>
        <w:rPr>
          <w:rFonts w:ascii="Arial" w:hAnsi="Arial" w:cs="Arial"/>
          <w:sz w:val="24"/>
          <w:szCs w:val="24"/>
        </w:rPr>
        <w:t>Noridicity</w:t>
      </w:r>
      <w:proofErr w:type="spellEnd"/>
      <w:r>
        <w:rPr>
          <w:rFonts w:ascii="Arial" w:hAnsi="Arial" w:cs="Arial"/>
          <w:sz w:val="24"/>
          <w:szCs w:val="24"/>
        </w:rPr>
        <w:t xml:space="preserve"> believes any material variation in the average installed cost per pole is mainly due to replacements rather than net growth in the poles infrastructure in the province”</w:t>
      </w:r>
      <w:r w:rsidR="0054080A">
        <w:rPr>
          <w:rStyle w:val="FootnoteReference"/>
          <w:rFonts w:ascii="Arial" w:hAnsi="Arial" w:cs="Arial"/>
          <w:sz w:val="24"/>
          <w:szCs w:val="24"/>
        </w:rPr>
        <w:footnoteReference w:id="3"/>
      </w:r>
      <w:r>
        <w:rPr>
          <w:rFonts w:ascii="Arial" w:hAnsi="Arial" w:cs="Arial"/>
          <w:sz w:val="24"/>
          <w:szCs w:val="24"/>
        </w:rPr>
        <w:t>.</w:t>
      </w:r>
    </w:p>
    <w:p w:rsidR="00BA3C1E" w:rsidRDefault="00F50319" w:rsidP="00BA3C1E">
      <w:pPr>
        <w:spacing w:after="120" w:line="360" w:lineRule="auto"/>
        <w:rPr>
          <w:rFonts w:ascii="Arial" w:hAnsi="Arial" w:cs="Arial"/>
          <w:sz w:val="24"/>
          <w:szCs w:val="24"/>
        </w:rPr>
      </w:pPr>
      <w:r>
        <w:rPr>
          <w:rFonts w:ascii="Arial" w:hAnsi="Arial" w:cs="Arial"/>
          <w:sz w:val="24"/>
          <w:szCs w:val="24"/>
        </w:rPr>
        <w:t>In extrapolating the result</w:t>
      </w:r>
      <w:r w:rsidR="0054080A">
        <w:rPr>
          <w:rFonts w:ascii="Arial" w:hAnsi="Arial" w:cs="Arial"/>
          <w:sz w:val="24"/>
          <w:szCs w:val="24"/>
        </w:rPr>
        <w:t xml:space="preserve">s </w:t>
      </w:r>
      <w:r>
        <w:rPr>
          <w:rFonts w:ascii="Arial" w:hAnsi="Arial" w:cs="Arial"/>
          <w:sz w:val="24"/>
          <w:szCs w:val="24"/>
        </w:rPr>
        <w:t xml:space="preserve">from the five utilities to the province overall, </w:t>
      </w:r>
      <w:proofErr w:type="spellStart"/>
      <w:r>
        <w:rPr>
          <w:rFonts w:ascii="Arial" w:hAnsi="Arial" w:cs="Arial"/>
          <w:sz w:val="24"/>
          <w:szCs w:val="24"/>
        </w:rPr>
        <w:t>Nordicity</w:t>
      </w:r>
      <w:proofErr w:type="spellEnd"/>
      <w:r>
        <w:rPr>
          <w:rFonts w:ascii="Arial" w:hAnsi="Arial" w:cs="Arial"/>
          <w:sz w:val="24"/>
          <w:szCs w:val="24"/>
        </w:rPr>
        <w:t xml:space="preserve"> claims that the five represent over 95% of the total pole population in the province.  It is unclear to VECC how this number was determined, as to VECC’s knowledge, the total number of distribution poles owned by each distributor is not a statistic that is </w:t>
      </w:r>
      <w:r w:rsidR="00026CCB">
        <w:rPr>
          <w:rFonts w:ascii="Arial" w:hAnsi="Arial" w:cs="Arial"/>
          <w:sz w:val="24"/>
          <w:szCs w:val="24"/>
        </w:rPr>
        <w:t xml:space="preserve">regularly </w:t>
      </w:r>
      <w:r>
        <w:rPr>
          <w:rFonts w:ascii="Arial" w:hAnsi="Arial" w:cs="Arial"/>
          <w:sz w:val="24"/>
          <w:szCs w:val="24"/>
        </w:rPr>
        <w:t>reported to the OEB.  However, VECC concedes that the five distributors will account for a significant portion of the total pole population in the province.</w:t>
      </w:r>
    </w:p>
    <w:p w:rsidR="00F50319" w:rsidRPr="00BA3C1E" w:rsidRDefault="0054080A" w:rsidP="00BA3C1E">
      <w:pPr>
        <w:spacing w:after="120" w:line="360" w:lineRule="auto"/>
        <w:rPr>
          <w:rFonts w:ascii="Arial" w:hAnsi="Arial" w:cs="Arial"/>
          <w:sz w:val="24"/>
          <w:szCs w:val="24"/>
        </w:rPr>
      </w:pPr>
      <w:r>
        <w:rPr>
          <w:rFonts w:ascii="Arial" w:hAnsi="Arial" w:cs="Arial"/>
          <w:sz w:val="24"/>
          <w:szCs w:val="24"/>
        </w:rPr>
        <w:t>Of more concern to VECC is the claim that “any material variation in the average installed cost per pole is mainly due to replacements rather than net growth in the poles infrastructure in the province”.  While this may the case for five utilities that provided data and for the province, when considered in aggregate, it is not necessarily the case for other LDCs.  An example of this can be seen in the recent Settlement Proposal</w:t>
      </w:r>
      <w:r w:rsidR="004223B2">
        <w:rPr>
          <w:rStyle w:val="FootnoteReference"/>
          <w:rFonts w:ascii="Arial" w:hAnsi="Arial" w:cs="Arial"/>
          <w:sz w:val="24"/>
          <w:szCs w:val="24"/>
        </w:rPr>
        <w:footnoteReference w:id="4"/>
      </w:r>
      <w:r>
        <w:rPr>
          <w:rFonts w:ascii="Arial" w:hAnsi="Arial" w:cs="Arial"/>
          <w:sz w:val="24"/>
          <w:szCs w:val="24"/>
        </w:rPr>
        <w:t xml:space="preserve"> filed with respect to </w:t>
      </w:r>
      <w:proofErr w:type="spellStart"/>
      <w:r>
        <w:rPr>
          <w:rFonts w:ascii="Arial" w:hAnsi="Arial" w:cs="Arial"/>
          <w:sz w:val="24"/>
          <w:szCs w:val="24"/>
        </w:rPr>
        <w:t>InnPower’s</w:t>
      </w:r>
      <w:proofErr w:type="spellEnd"/>
      <w:r>
        <w:rPr>
          <w:rFonts w:ascii="Arial" w:hAnsi="Arial" w:cs="Arial"/>
          <w:sz w:val="24"/>
          <w:szCs w:val="24"/>
        </w:rPr>
        <w:t xml:space="preserve"> 2017 Rate Application (EB-2016-0085).</w:t>
      </w:r>
      <w:r w:rsidR="004223B2">
        <w:rPr>
          <w:rFonts w:ascii="Arial" w:hAnsi="Arial" w:cs="Arial"/>
          <w:sz w:val="24"/>
          <w:szCs w:val="24"/>
        </w:rPr>
        <w:t xml:space="preserve">  In VECC’s view, the Board needs to allow for such circumstances when considering applications for LDC specific rates as discussed on page 47 of the Draft Report.</w:t>
      </w:r>
    </w:p>
    <w:p w:rsidR="004223B2" w:rsidRDefault="004223B2">
      <w:pPr>
        <w:rPr>
          <w:rFonts w:ascii="Arial" w:hAnsi="Arial" w:cs="Arial"/>
          <w:sz w:val="24"/>
          <w:szCs w:val="24"/>
          <w:u w:val="single"/>
        </w:rPr>
      </w:pPr>
      <w:r>
        <w:rPr>
          <w:rFonts w:ascii="Arial" w:hAnsi="Arial" w:cs="Arial"/>
          <w:sz w:val="24"/>
          <w:szCs w:val="24"/>
          <w:u w:val="single"/>
        </w:rPr>
        <w:br w:type="page"/>
      </w:r>
    </w:p>
    <w:p w:rsidR="00EB40A8" w:rsidRPr="00EB40A8" w:rsidRDefault="00EB40A8" w:rsidP="00EB40A8">
      <w:pPr>
        <w:pStyle w:val="ListParagraph"/>
        <w:numPr>
          <w:ilvl w:val="1"/>
          <w:numId w:val="1"/>
        </w:numPr>
        <w:spacing w:after="120" w:line="360" w:lineRule="auto"/>
        <w:contextualSpacing w:val="0"/>
        <w:rPr>
          <w:rFonts w:ascii="Arial" w:hAnsi="Arial" w:cs="Arial"/>
          <w:sz w:val="24"/>
          <w:szCs w:val="24"/>
          <w:u w:val="single"/>
        </w:rPr>
      </w:pPr>
      <w:r w:rsidRPr="00EB40A8">
        <w:rPr>
          <w:rFonts w:ascii="Arial" w:hAnsi="Arial" w:cs="Arial"/>
          <w:sz w:val="24"/>
          <w:szCs w:val="24"/>
          <w:u w:val="single"/>
        </w:rPr>
        <w:lastRenderedPageBreak/>
        <w:t>Poles Structure and Space Allocation</w:t>
      </w:r>
      <w:r>
        <w:rPr>
          <w:rStyle w:val="FootnoteReference"/>
          <w:rFonts w:ascii="Arial" w:hAnsi="Arial" w:cs="Arial"/>
          <w:sz w:val="24"/>
          <w:szCs w:val="24"/>
          <w:u w:val="single"/>
        </w:rPr>
        <w:footnoteReference w:id="5"/>
      </w:r>
    </w:p>
    <w:p w:rsidR="00EB40A8" w:rsidRDefault="004223B2" w:rsidP="00EB40A8">
      <w:pPr>
        <w:spacing w:after="120" w:line="360" w:lineRule="auto"/>
        <w:rPr>
          <w:rFonts w:ascii="Arial" w:hAnsi="Arial" w:cs="Arial"/>
          <w:sz w:val="24"/>
          <w:szCs w:val="24"/>
        </w:rPr>
      </w:pPr>
      <w:r>
        <w:rPr>
          <w:rFonts w:ascii="Arial" w:hAnsi="Arial" w:cs="Arial"/>
          <w:sz w:val="24"/>
          <w:szCs w:val="24"/>
        </w:rPr>
        <w:t xml:space="preserve">For purposes of determining the wireline </w:t>
      </w:r>
      <w:r w:rsidR="005A1B8D">
        <w:rPr>
          <w:rFonts w:ascii="Arial" w:hAnsi="Arial" w:cs="Arial"/>
          <w:sz w:val="24"/>
          <w:szCs w:val="24"/>
        </w:rPr>
        <w:t xml:space="preserve">pole </w:t>
      </w:r>
      <w:r>
        <w:rPr>
          <w:rFonts w:ascii="Arial" w:hAnsi="Arial" w:cs="Arial"/>
          <w:sz w:val="24"/>
          <w:szCs w:val="24"/>
        </w:rPr>
        <w:t xml:space="preserve">attachment rate </w:t>
      </w:r>
      <w:proofErr w:type="spellStart"/>
      <w:r>
        <w:rPr>
          <w:rFonts w:ascii="Arial" w:hAnsi="Arial" w:cs="Arial"/>
          <w:sz w:val="24"/>
          <w:szCs w:val="24"/>
        </w:rPr>
        <w:t>Nordicity</w:t>
      </w:r>
      <w:proofErr w:type="spellEnd"/>
      <w:r>
        <w:rPr>
          <w:rFonts w:ascii="Arial" w:hAnsi="Arial" w:cs="Arial"/>
          <w:sz w:val="24"/>
          <w:szCs w:val="24"/>
        </w:rPr>
        <w:t xml:space="preserve"> has concluded (and the Board has accept</w:t>
      </w:r>
      <w:r w:rsidR="00026CCB">
        <w:rPr>
          <w:rFonts w:ascii="Arial" w:hAnsi="Arial" w:cs="Arial"/>
          <w:sz w:val="24"/>
          <w:szCs w:val="24"/>
        </w:rPr>
        <w:t>ed) that a 40-foot poles is fair</w:t>
      </w:r>
      <w:r>
        <w:rPr>
          <w:rFonts w:ascii="Arial" w:hAnsi="Arial" w:cs="Arial"/>
          <w:sz w:val="24"/>
          <w:szCs w:val="24"/>
        </w:rPr>
        <w:t>ly representative of a standard pole in Onta</w:t>
      </w:r>
      <w:r w:rsidR="005A1B8D">
        <w:rPr>
          <w:rFonts w:ascii="Arial" w:hAnsi="Arial" w:cs="Arial"/>
          <w:sz w:val="24"/>
          <w:szCs w:val="24"/>
        </w:rPr>
        <w:t xml:space="preserve">rio.  Furthermore, </w:t>
      </w:r>
      <w:proofErr w:type="spellStart"/>
      <w:r w:rsidR="005A1B8D">
        <w:rPr>
          <w:rFonts w:ascii="Arial" w:hAnsi="Arial" w:cs="Arial"/>
          <w:sz w:val="24"/>
          <w:szCs w:val="24"/>
        </w:rPr>
        <w:t>Nordicity</w:t>
      </w:r>
      <w:proofErr w:type="spellEnd"/>
      <w:r w:rsidR="005A1B8D">
        <w:rPr>
          <w:rFonts w:ascii="Arial" w:hAnsi="Arial" w:cs="Arial"/>
          <w:sz w:val="24"/>
          <w:szCs w:val="24"/>
        </w:rPr>
        <w:t xml:space="preserve"> </w:t>
      </w:r>
      <w:r>
        <w:rPr>
          <w:rFonts w:ascii="Arial" w:hAnsi="Arial" w:cs="Arial"/>
          <w:sz w:val="24"/>
          <w:szCs w:val="24"/>
        </w:rPr>
        <w:t xml:space="preserve">and the </w:t>
      </w:r>
      <w:r w:rsidR="005A1B8D">
        <w:rPr>
          <w:rFonts w:ascii="Arial" w:hAnsi="Arial" w:cs="Arial"/>
          <w:sz w:val="24"/>
          <w:szCs w:val="24"/>
        </w:rPr>
        <w:t>Board</w:t>
      </w:r>
      <w:r>
        <w:rPr>
          <w:rFonts w:ascii="Arial" w:hAnsi="Arial" w:cs="Arial"/>
          <w:sz w:val="24"/>
          <w:szCs w:val="24"/>
        </w:rPr>
        <w:t xml:space="preserve"> have adopted the pole specifications (in terms of the breakdown between buried space, clearance space, communication space, separation space and power space) as used in the Board’s 2005 Decision.</w:t>
      </w:r>
    </w:p>
    <w:p w:rsidR="005A1B8D" w:rsidRDefault="005A1B8D" w:rsidP="00EB40A8">
      <w:pPr>
        <w:spacing w:after="120" w:line="360" w:lineRule="auto"/>
        <w:rPr>
          <w:rFonts w:ascii="Arial" w:hAnsi="Arial" w:cs="Arial"/>
          <w:sz w:val="24"/>
          <w:szCs w:val="24"/>
        </w:rPr>
      </w:pPr>
      <w:r>
        <w:rPr>
          <w:rFonts w:ascii="Arial" w:hAnsi="Arial" w:cs="Arial"/>
          <w:sz w:val="24"/>
          <w:szCs w:val="24"/>
        </w:rPr>
        <w:t xml:space="preserve">Analysis by performed by </w:t>
      </w:r>
      <w:proofErr w:type="spellStart"/>
      <w:r>
        <w:rPr>
          <w:rFonts w:ascii="Arial" w:hAnsi="Arial" w:cs="Arial"/>
          <w:sz w:val="24"/>
          <w:szCs w:val="24"/>
        </w:rPr>
        <w:t>Nordicity</w:t>
      </w:r>
      <w:proofErr w:type="spellEnd"/>
      <w:r>
        <w:rPr>
          <w:rFonts w:ascii="Arial" w:hAnsi="Arial" w:cs="Arial"/>
          <w:sz w:val="24"/>
          <w:szCs w:val="24"/>
        </w:rPr>
        <w:t xml:space="preserve"> on data provided by the Hydro One, Hydro Ottawa, London Hydro and Horizon found that close to 75% of these utilities’ poles were sized in the range of 35’ to 45’ and that breakdown of the space segments was reasonably close to those used in the Board’s 2005 Decision.  Based on this analysis, VECC agrees that a 40-foot poles with the same space segment assumptions as used in the Board’s 2005 Decision is reasonably representative and therefore appropriate to use for purposes of determining the wireline pole attachment rate.</w:t>
      </w:r>
    </w:p>
    <w:p w:rsidR="00026CCB" w:rsidRDefault="00026CCB" w:rsidP="00EB40A8">
      <w:pPr>
        <w:spacing w:after="120" w:line="360" w:lineRule="auto"/>
        <w:rPr>
          <w:rFonts w:ascii="Arial" w:hAnsi="Arial" w:cs="Arial"/>
          <w:sz w:val="24"/>
          <w:szCs w:val="24"/>
        </w:rPr>
      </w:pPr>
      <w:r>
        <w:rPr>
          <w:rFonts w:ascii="Arial" w:hAnsi="Arial" w:cs="Arial"/>
          <w:sz w:val="24"/>
          <w:szCs w:val="24"/>
        </w:rPr>
        <w:t>As one of its key issues the Board’s Draft Report addresses</w:t>
      </w:r>
      <w:r>
        <w:rPr>
          <w:rStyle w:val="FootnoteReference"/>
          <w:rFonts w:ascii="Arial" w:hAnsi="Arial" w:cs="Arial"/>
          <w:sz w:val="24"/>
          <w:szCs w:val="24"/>
        </w:rPr>
        <w:footnoteReference w:id="6"/>
      </w:r>
      <w:r>
        <w:rPr>
          <w:rFonts w:ascii="Arial" w:hAnsi="Arial" w:cs="Arial"/>
          <w:sz w:val="24"/>
          <w:szCs w:val="24"/>
        </w:rPr>
        <w:t xml:space="preserve"> the treatment of the separation space and concludes that it should be considered part of the communication space for allocating indirect costs as, according to ESA and CSA standards, the separation space is needed to ensure the safety of communication workers.  VECC agrees with this treatment.</w:t>
      </w:r>
    </w:p>
    <w:p w:rsidR="005A1B8D" w:rsidRPr="005A1B8D" w:rsidRDefault="005A1B8D" w:rsidP="005A1B8D">
      <w:pPr>
        <w:pStyle w:val="ListParagraph"/>
        <w:numPr>
          <w:ilvl w:val="1"/>
          <w:numId w:val="1"/>
        </w:numPr>
        <w:spacing w:after="120" w:line="360" w:lineRule="auto"/>
        <w:rPr>
          <w:rFonts w:ascii="Arial" w:hAnsi="Arial" w:cs="Arial"/>
          <w:sz w:val="24"/>
          <w:szCs w:val="24"/>
          <w:u w:val="single"/>
        </w:rPr>
      </w:pPr>
      <w:r w:rsidRPr="005A1B8D">
        <w:rPr>
          <w:rFonts w:ascii="Arial" w:hAnsi="Arial" w:cs="Arial"/>
          <w:sz w:val="24"/>
          <w:szCs w:val="24"/>
          <w:u w:val="single"/>
        </w:rPr>
        <w:t>Costing Approach</w:t>
      </w:r>
      <w:r>
        <w:rPr>
          <w:rStyle w:val="FootnoteReference"/>
          <w:rFonts w:ascii="Arial" w:hAnsi="Arial" w:cs="Arial"/>
          <w:sz w:val="24"/>
          <w:szCs w:val="24"/>
          <w:u w:val="single"/>
        </w:rPr>
        <w:footnoteReference w:id="7"/>
      </w:r>
    </w:p>
    <w:p w:rsidR="005A1B8D" w:rsidRDefault="005A1B8D" w:rsidP="005A1B8D">
      <w:pPr>
        <w:spacing w:after="120" w:line="360" w:lineRule="auto"/>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Nordicity</w:t>
      </w:r>
      <w:proofErr w:type="spellEnd"/>
      <w:r>
        <w:rPr>
          <w:rFonts w:ascii="Arial" w:hAnsi="Arial" w:cs="Arial"/>
          <w:sz w:val="24"/>
          <w:szCs w:val="24"/>
        </w:rPr>
        <w:t xml:space="preserve"> Report identifies three possible “costing approaches” for determining the cost base for the wireline pole attachment rate:  </w:t>
      </w:r>
      <w:proofErr w:type="spellStart"/>
      <w:r>
        <w:rPr>
          <w:rFonts w:ascii="Arial" w:hAnsi="Arial" w:cs="Arial"/>
          <w:sz w:val="24"/>
          <w:szCs w:val="24"/>
        </w:rPr>
        <w:t>i</w:t>
      </w:r>
      <w:proofErr w:type="spellEnd"/>
      <w:r>
        <w:rPr>
          <w:rFonts w:ascii="Arial" w:hAnsi="Arial" w:cs="Arial"/>
          <w:sz w:val="24"/>
          <w:szCs w:val="24"/>
        </w:rPr>
        <w:t>) Historical Cost, ii) Forward Looking/Replacement Cost and iii) Standard Cost (Benchmarking).</w:t>
      </w:r>
      <w:r w:rsidR="000B1B7F">
        <w:rPr>
          <w:rFonts w:ascii="Arial" w:hAnsi="Arial" w:cs="Arial"/>
          <w:sz w:val="24"/>
          <w:szCs w:val="24"/>
        </w:rPr>
        <w:t xml:space="preserve">  </w:t>
      </w:r>
      <w:proofErr w:type="spellStart"/>
      <w:r w:rsidR="000B1B7F">
        <w:rPr>
          <w:rFonts w:ascii="Arial" w:hAnsi="Arial" w:cs="Arial"/>
          <w:sz w:val="24"/>
          <w:szCs w:val="24"/>
        </w:rPr>
        <w:t>Nordicity</w:t>
      </w:r>
      <w:proofErr w:type="spellEnd"/>
      <w:r w:rsidR="000B1B7F">
        <w:rPr>
          <w:rFonts w:ascii="Arial" w:hAnsi="Arial" w:cs="Arial"/>
          <w:sz w:val="24"/>
          <w:szCs w:val="24"/>
        </w:rPr>
        <w:t xml:space="preserve"> also notes</w:t>
      </w:r>
      <w:r w:rsidR="000B1B7F">
        <w:rPr>
          <w:rStyle w:val="FootnoteReference"/>
          <w:rFonts w:ascii="Arial" w:hAnsi="Arial" w:cs="Arial"/>
          <w:sz w:val="24"/>
          <w:szCs w:val="24"/>
        </w:rPr>
        <w:footnoteReference w:id="8"/>
      </w:r>
      <w:r w:rsidR="000B1B7F">
        <w:rPr>
          <w:rFonts w:ascii="Arial" w:hAnsi="Arial" w:cs="Arial"/>
          <w:sz w:val="24"/>
          <w:szCs w:val="24"/>
        </w:rPr>
        <w:t xml:space="preserve"> that “Historical Cost”</w:t>
      </w:r>
      <w:r w:rsidR="00444170">
        <w:rPr>
          <w:rFonts w:ascii="Arial" w:hAnsi="Arial" w:cs="Arial"/>
          <w:sz w:val="24"/>
          <w:szCs w:val="24"/>
        </w:rPr>
        <w:t xml:space="preserve"> which </w:t>
      </w:r>
      <w:r w:rsidR="000B1B7F">
        <w:rPr>
          <w:rFonts w:ascii="Arial" w:hAnsi="Arial" w:cs="Arial"/>
          <w:sz w:val="24"/>
          <w:szCs w:val="24"/>
        </w:rPr>
        <w:t>refers to original or actual book value</w:t>
      </w:r>
      <w:r w:rsidR="00444170">
        <w:rPr>
          <w:rFonts w:ascii="Arial" w:hAnsi="Arial" w:cs="Arial"/>
          <w:sz w:val="24"/>
          <w:szCs w:val="24"/>
        </w:rPr>
        <w:t>,</w:t>
      </w:r>
      <w:r w:rsidR="006D147A">
        <w:rPr>
          <w:rFonts w:ascii="Arial" w:hAnsi="Arial" w:cs="Arial"/>
          <w:sz w:val="24"/>
          <w:szCs w:val="24"/>
        </w:rPr>
        <w:t xml:space="preserve"> can be based on</w:t>
      </w:r>
      <w:r w:rsidR="000B1B7F">
        <w:rPr>
          <w:rFonts w:ascii="Arial" w:hAnsi="Arial" w:cs="Arial"/>
          <w:sz w:val="24"/>
          <w:szCs w:val="24"/>
        </w:rPr>
        <w:t xml:space="preserve"> such costs as experienced in previous years or as determined for future years based on budget estimates.</w:t>
      </w:r>
    </w:p>
    <w:p w:rsidR="000B1B7F" w:rsidRDefault="006D147A" w:rsidP="00BD0BF8">
      <w:pPr>
        <w:spacing w:after="120" w:line="360" w:lineRule="auto"/>
        <w:rPr>
          <w:rFonts w:ascii="Arial" w:hAnsi="Arial" w:cs="Arial"/>
          <w:sz w:val="24"/>
          <w:szCs w:val="24"/>
        </w:rPr>
      </w:pPr>
      <w:r>
        <w:rPr>
          <w:rFonts w:ascii="Arial" w:hAnsi="Arial" w:cs="Arial"/>
          <w:sz w:val="24"/>
          <w:szCs w:val="24"/>
        </w:rPr>
        <w:lastRenderedPageBreak/>
        <w:t>In its Report</w:t>
      </w:r>
      <w:r>
        <w:rPr>
          <w:rStyle w:val="FootnoteReference"/>
          <w:rFonts w:ascii="Arial" w:hAnsi="Arial" w:cs="Arial"/>
          <w:sz w:val="24"/>
          <w:szCs w:val="24"/>
        </w:rPr>
        <w:footnoteReference w:id="9"/>
      </w:r>
      <w:r>
        <w:rPr>
          <w:rFonts w:ascii="Arial" w:hAnsi="Arial" w:cs="Arial"/>
          <w:sz w:val="24"/>
          <w:szCs w:val="24"/>
        </w:rPr>
        <w:t xml:space="preserve"> </w:t>
      </w:r>
      <w:proofErr w:type="spellStart"/>
      <w:r>
        <w:rPr>
          <w:rFonts w:ascii="Arial" w:hAnsi="Arial" w:cs="Arial"/>
          <w:sz w:val="24"/>
          <w:szCs w:val="24"/>
        </w:rPr>
        <w:t>Nordicity</w:t>
      </w:r>
      <w:proofErr w:type="spellEnd"/>
      <w:r>
        <w:rPr>
          <w:rFonts w:ascii="Arial" w:hAnsi="Arial" w:cs="Arial"/>
          <w:sz w:val="24"/>
          <w:szCs w:val="24"/>
        </w:rPr>
        <w:t xml:space="preserve"> rejects the position put forward by the rate payer representatives that the costs should be based on the same forecast costs are used by the Board in setting distribution rates.  Rather, i</w:t>
      </w:r>
      <w:r w:rsidR="000B1B7F">
        <w:rPr>
          <w:rFonts w:ascii="Arial" w:hAnsi="Arial" w:cs="Arial"/>
          <w:sz w:val="24"/>
          <w:szCs w:val="24"/>
        </w:rPr>
        <w:t>n its proposed methodology</w:t>
      </w:r>
      <w:r>
        <w:rPr>
          <w:rFonts w:ascii="Arial" w:hAnsi="Arial" w:cs="Arial"/>
          <w:sz w:val="24"/>
          <w:szCs w:val="24"/>
        </w:rPr>
        <w:t>,</w:t>
      </w:r>
      <w:r w:rsidR="000B1B7F">
        <w:rPr>
          <w:rFonts w:ascii="Arial" w:hAnsi="Arial" w:cs="Arial"/>
          <w:sz w:val="24"/>
          <w:szCs w:val="24"/>
        </w:rPr>
        <w:t xml:space="preserve"> </w:t>
      </w:r>
      <w:proofErr w:type="spellStart"/>
      <w:r w:rsidR="000B1B7F">
        <w:rPr>
          <w:rFonts w:ascii="Arial" w:hAnsi="Arial" w:cs="Arial"/>
          <w:sz w:val="24"/>
          <w:szCs w:val="24"/>
        </w:rPr>
        <w:t>Nordicity</w:t>
      </w:r>
      <w:proofErr w:type="spellEnd"/>
      <w:r w:rsidR="000B1B7F">
        <w:rPr>
          <w:rFonts w:ascii="Arial" w:hAnsi="Arial" w:cs="Arial"/>
          <w:sz w:val="24"/>
          <w:szCs w:val="24"/>
        </w:rPr>
        <w:t xml:space="preserve"> has used an average historical </w:t>
      </w:r>
      <w:r w:rsidR="00BD0BF8">
        <w:rPr>
          <w:rFonts w:ascii="Arial" w:hAnsi="Arial" w:cs="Arial"/>
          <w:sz w:val="24"/>
          <w:szCs w:val="24"/>
        </w:rPr>
        <w:t xml:space="preserve">embedded </w:t>
      </w:r>
      <w:r w:rsidR="000B1B7F">
        <w:rPr>
          <w:rFonts w:ascii="Arial" w:hAnsi="Arial" w:cs="Arial"/>
          <w:sz w:val="24"/>
          <w:szCs w:val="24"/>
        </w:rPr>
        <w:t>cost</w:t>
      </w:r>
      <w:r w:rsidR="00BD0BF8">
        <w:rPr>
          <w:rFonts w:ascii="Arial" w:hAnsi="Arial" w:cs="Arial"/>
          <w:sz w:val="24"/>
          <w:szCs w:val="24"/>
        </w:rPr>
        <w:t xml:space="preserve"> of a pole calculated over the eleven year period 2005-2015</w:t>
      </w:r>
      <w:r w:rsidR="00444170">
        <w:rPr>
          <w:rStyle w:val="FootnoteReference"/>
          <w:rFonts w:ascii="Arial" w:hAnsi="Arial" w:cs="Arial"/>
          <w:sz w:val="24"/>
          <w:szCs w:val="24"/>
        </w:rPr>
        <w:footnoteReference w:id="10"/>
      </w:r>
      <w:r w:rsidR="000B1B7F">
        <w:rPr>
          <w:rFonts w:ascii="Arial" w:hAnsi="Arial" w:cs="Arial"/>
          <w:sz w:val="24"/>
          <w:szCs w:val="24"/>
        </w:rPr>
        <w:t>.</w:t>
      </w:r>
    </w:p>
    <w:p w:rsidR="00154ACA" w:rsidRDefault="00154ACA" w:rsidP="00EB40A8">
      <w:pPr>
        <w:spacing w:after="120" w:line="360" w:lineRule="auto"/>
        <w:rPr>
          <w:rFonts w:ascii="Arial" w:hAnsi="Arial" w:cs="Arial"/>
          <w:sz w:val="24"/>
          <w:szCs w:val="24"/>
        </w:rPr>
      </w:pPr>
      <w:r>
        <w:rPr>
          <w:rFonts w:ascii="Arial" w:hAnsi="Arial" w:cs="Arial"/>
          <w:sz w:val="24"/>
          <w:szCs w:val="24"/>
        </w:rPr>
        <w:t xml:space="preserve">In its Draft Report, the Board has proposed a variation of </w:t>
      </w:r>
      <w:proofErr w:type="spellStart"/>
      <w:r>
        <w:rPr>
          <w:rFonts w:ascii="Arial" w:hAnsi="Arial" w:cs="Arial"/>
          <w:sz w:val="24"/>
          <w:szCs w:val="24"/>
        </w:rPr>
        <w:t>Nordicity</w:t>
      </w:r>
      <w:proofErr w:type="spellEnd"/>
      <w:r>
        <w:rPr>
          <w:rFonts w:ascii="Arial" w:hAnsi="Arial" w:cs="Arial"/>
          <w:sz w:val="24"/>
          <w:szCs w:val="24"/>
        </w:rPr>
        <w:t xml:space="preserve"> approach </w:t>
      </w:r>
      <w:r w:rsidR="00656C1B">
        <w:rPr>
          <w:rFonts w:ascii="Arial" w:hAnsi="Arial" w:cs="Arial"/>
          <w:sz w:val="24"/>
          <w:szCs w:val="24"/>
        </w:rPr>
        <w:t>whereby:</w:t>
      </w:r>
    </w:p>
    <w:p w:rsidR="00656C1B" w:rsidRDefault="00656C1B" w:rsidP="00656C1B">
      <w:pPr>
        <w:pStyle w:val="ListParagraph"/>
        <w:numPr>
          <w:ilvl w:val="0"/>
          <w:numId w:val="4"/>
        </w:numPr>
        <w:spacing w:after="120" w:line="360" w:lineRule="auto"/>
        <w:rPr>
          <w:rFonts w:ascii="Arial" w:hAnsi="Arial" w:cs="Arial"/>
          <w:sz w:val="24"/>
          <w:szCs w:val="24"/>
        </w:rPr>
      </w:pPr>
      <w:r>
        <w:rPr>
          <w:rFonts w:ascii="Arial" w:hAnsi="Arial" w:cs="Arial"/>
          <w:sz w:val="24"/>
          <w:szCs w:val="24"/>
        </w:rPr>
        <w:t>The embedded cost of the pole is based on a six-year historical average (2010-2015)</w:t>
      </w:r>
      <w:r>
        <w:rPr>
          <w:rStyle w:val="FootnoteReference"/>
          <w:rFonts w:ascii="Arial" w:hAnsi="Arial" w:cs="Arial"/>
          <w:sz w:val="24"/>
          <w:szCs w:val="24"/>
        </w:rPr>
        <w:footnoteReference w:id="11"/>
      </w:r>
      <w:r w:rsidR="00665BF2">
        <w:rPr>
          <w:rFonts w:ascii="Arial" w:hAnsi="Arial" w:cs="Arial"/>
          <w:sz w:val="24"/>
          <w:szCs w:val="24"/>
        </w:rPr>
        <w:t xml:space="preserve"> as the Board considered the six most recent years to be more reflective of current LDC pole costs.</w:t>
      </w:r>
    </w:p>
    <w:p w:rsidR="00A23CBE" w:rsidRDefault="00A23CBE" w:rsidP="00656C1B">
      <w:pPr>
        <w:pStyle w:val="ListParagraph"/>
        <w:numPr>
          <w:ilvl w:val="0"/>
          <w:numId w:val="4"/>
        </w:numPr>
        <w:spacing w:after="120" w:line="360" w:lineRule="auto"/>
        <w:rPr>
          <w:rFonts w:ascii="Arial" w:hAnsi="Arial" w:cs="Arial"/>
          <w:sz w:val="24"/>
          <w:szCs w:val="24"/>
        </w:rPr>
      </w:pPr>
      <w:r>
        <w:rPr>
          <w:rFonts w:ascii="Arial" w:hAnsi="Arial" w:cs="Arial"/>
          <w:sz w:val="24"/>
          <w:szCs w:val="24"/>
        </w:rPr>
        <w:t>The resulting costs are escalated to 2018 values using the Board’s inflation factors for incentive rate setting for 2015/16, 2016/17 and 2017/18</w:t>
      </w:r>
      <w:r>
        <w:rPr>
          <w:rStyle w:val="FootnoteReference"/>
          <w:rFonts w:ascii="Arial" w:hAnsi="Arial" w:cs="Arial"/>
          <w:sz w:val="24"/>
          <w:szCs w:val="24"/>
        </w:rPr>
        <w:footnoteReference w:id="12"/>
      </w:r>
      <w:r>
        <w:rPr>
          <w:rFonts w:ascii="Arial" w:hAnsi="Arial" w:cs="Arial"/>
          <w:sz w:val="24"/>
          <w:szCs w:val="24"/>
        </w:rPr>
        <w:t>.</w:t>
      </w:r>
    </w:p>
    <w:p w:rsidR="00665BF2" w:rsidRDefault="00665BF2" w:rsidP="00665BF2">
      <w:pPr>
        <w:spacing w:after="120" w:line="360" w:lineRule="auto"/>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Nordicity</w:t>
      </w:r>
      <w:proofErr w:type="spellEnd"/>
      <w:r>
        <w:rPr>
          <w:rFonts w:ascii="Arial" w:hAnsi="Arial" w:cs="Arial"/>
          <w:sz w:val="24"/>
          <w:szCs w:val="24"/>
        </w:rPr>
        <w:t xml:space="preserve"> Report set</w:t>
      </w:r>
      <w:r w:rsidR="006D147A">
        <w:rPr>
          <w:rFonts w:ascii="Arial" w:hAnsi="Arial" w:cs="Arial"/>
          <w:sz w:val="24"/>
          <w:szCs w:val="24"/>
        </w:rPr>
        <w:t>s</w:t>
      </w:r>
      <w:r>
        <w:rPr>
          <w:rFonts w:ascii="Arial" w:hAnsi="Arial" w:cs="Arial"/>
          <w:sz w:val="24"/>
          <w:szCs w:val="24"/>
        </w:rPr>
        <w:t xml:space="preserve"> out</w:t>
      </w:r>
      <w:r w:rsidR="006D147A">
        <w:rPr>
          <w:rStyle w:val="FootnoteReference"/>
          <w:rFonts w:ascii="Arial" w:hAnsi="Arial" w:cs="Arial"/>
          <w:sz w:val="24"/>
          <w:szCs w:val="24"/>
        </w:rPr>
        <w:footnoteReference w:id="13"/>
      </w:r>
      <w:r>
        <w:rPr>
          <w:rFonts w:ascii="Arial" w:hAnsi="Arial" w:cs="Arial"/>
          <w:sz w:val="24"/>
          <w:szCs w:val="24"/>
        </w:rPr>
        <w:t xml:space="preserve"> five reason</w:t>
      </w:r>
      <w:r w:rsidR="003B3945">
        <w:rPr>
          <w:rFonts w:ascii="Arial" w:hAnsi="Arial" w:cs="Arial"/>
          <w:sz w:val="24"/>
          <w:szCs w:val="24"/>
        </w:rPr>
        <w:t>s for adopting</w:t>
      </w:r>
      <w:r>
        <w:rPr>
          <w:rFonts w:ascii="Arial" w:hAnsi="Arial" w:cs="Arial"/>
          <w:sz w:val="24"/>
          <w:szCs w:val="24"/>
        </w:rPr>
        <w:t xml:space="preserve"> an historical average (as opposed to using forecast embedded costs).  These reasons are set out below along with VECC’s comments regarding the validity of each.</w:t>
      </w:r>
    </w:p>
    <w:p w:rsidR="00665BF2" w:rsidRPr="006D147A" w:rsidRDefault="00665BF2" w:rsidP="00665BF2">
      <w:pPr>
        <w:pStyle w:val="ListParagraph"/>
        <w:numPr>
          <w:ilvl w:val="0"/>
          <w:numId w:val="5"/>
        </w:numPr>
        <w:spacing w:after="120" w:line="360" w:lineRule="auto"/>
        <w:rPr>
          <w:rFonts w:ascii="Arial" w:hAnsi="Arial" w:cs="Arial"/>
          <w:i/>
          <w:sz w:val="24"/>
          <w:szCs w:val="24"/>
        </w:rPr>
      </w:pPr>
      <w:r w:rsidRPr="006D147A">
        <w:rPr>
          <w:rFonts w:ascii="Arial" w:hAnsi="Arial" w:cs="Arial"/>
          <w:i/>
          <w:sz w:val="24"/>
          <w:szCs w:val="24"/>
        </w:rPr>
        <w:t>Expenditure estimates of planned replacements lack objectivity, reliability and verifiabili</w:t>
      </w:r>
      <w:r w:rsidR="00041A1D" w:rsidRPr="006D147A">
        <w:rPr>
          <w:rFonts w:ascii="Arial" w:hAnsi="Arial" w:cs="Arial"/>
          <w:i/>
          <w:sz w:val="24"/>
          <w:szCs w:val="24"/>
        </w:rPr>
        <w:t>ty compared to incurred costs.</w:t>
      </w:r>
    </w:p>
    <w:p w:rsidR="006D147A" w:rsidRDefault="006D147A" w:rsidP="00100B92">
      <w:pPr>
        <w:spacing w:after="120" w:line="360" w:lineRule="auto"/>
        <w:ind w:left="360"/>
        <w:rPr>
          <w:rFonts w:ascii="Arial" w:hAnsi="Arial" w:cs="Arial"/>
          <w:sz w:val="24"/>
          <w:szCs w:val="24"/>
        </w:rPr>
      </w:pPr>
      <w:r>
        <w:rPr>
          <w:rFonts w:ascii="Arial" w:hAnsi="Arial" w:cs="Arial"/>
          <w:sz w:val="24"/>
          <w:szCs w:val="24"/>
        </w:rPr>
        <w:t xml:space="preserve">VECC notes </w:t>
      </w:r>
      <w:r w:rsidR="00026CCB">
        <w:rPr>
          <w:rFonts w:ascii="Arial" w:hAnsi="Arial" w:cs="Arial"/>
          <w:sz w:val="24"/>
          <w:szCs w:val="24"/>
        </w:rPr>
        <w:t>that the (forecast) expenditure</w:t>
      </w:r>
      <w:r>
        <w:rPr>
          <w:rFonts w:ascii="Arial" w:hAnsi="Arial" w:cs="Arial"/>
          <w:sz w:val="24"/>
          <w:szCs w:val="24"/>
        </w:rPr>
        <w:t xml:space="preserve"> estimate</w:t>
      </w:r>
      <w:r w:rsidR="00026CCB">
        <w:rPr>
          <w:rFonts w:ascii="Arial" w:hAnsi="Arial" w:cs="Arial"/>
          <w:sz w:val="24"/>
          <w:szCs w:val="24"/>
        </w:rPr>
        <w:t>s</w:t>
      </w:r>
      <w:r>
        <w:rPr>
          <w:rFonts w:ascii="Arial" w:hAnsi="Arial" w:cs="Arial"/>
          <w:sz w:val="24"/>
          <w:szCs w:val="24"/>
        </w:rPr>
        <w:t xml:space="preserve"> </w:t>
      </w:r>
      <w:r w:rsidR="00026CCB">
        <w:rPr>
          <w:rFonts w:ascii="Arial" w:hAnsi="Arial" w:cs="Arial"/>
          <w:sz w:val="24"/>
          <w:szCs w:val="24"/>
        </w:rPr>
        <w:t xml:space="preserve">that </w:t>
      </w:r>
      <w:r>
        <w:rPr>
          <w:rFonts w:ascii="Arial" w:hAnsi="Arial" w:cs="Arial"/>
          <w:sz w:val="24"/>
          <w:szCs w:val="24"/>
        </w:rPr>
        <w:t>would be used to determine the wireline pole attachment rate are the same estimates the Board would be using to determine the distribution rates applicable to the utility’s distribution service customers.  In VECC’s view if the Board, in approving distribution rates for a forward test year, has determined that the underlying forecasts/estimates have been appropriately tested and deemed to be sufficiently objective and reliable to form the basis for “just and reasonable” distribution service rates then they should be acceptable for purposes of establishing the wireline pole attachment rate.</w:t>
      </w:r>
    </w:p>
    <w:p w:rsidR="006D147A" w:rsidRPr="006D147A" w:rsidRDefault="006D147A" w:rsidP="006D147A">
      <w:pPr>
        <w:pStyle w:val="ListParagraph"/>
        <w:numPr>
          <w:ilvl w:val="0"/>
          <w:numId w:val="5"/>
        </w:numPr>
        <w:spacing w:after="120" w:line="360" w:lineRule="auto"/>
        <w:rPr>
          <w:rFonts w:ascii="Arial" w:hAnsi="Arial" w:cs="Arial"/>
          <w:i/>
          <w:sz w:val="24"/>
          <w:szCs w:val="24"/>
        </w:rPr>
      </w:pPr>
      <w:r w:rsidRPr="006D147A">
        <w:rPr>
          <w:rFonts w:ascii="Arial" w:hAnsi="Arial" w:cs="Arial"/>
          <w:i/>
          <w:sz w:val="24"/>
          <w:szCs w:val="24"/>
        </w:rPr>
        <w:lastRenderedPageBreak/>
        <w:t>The cost of poles is not subject to factors, other than inflation, that may cause significant cost increases and decreases over time such as technological changes, techniques of installation and maintenance, and so forth.</w:t>
      </w:r>
    </w:p>
    <w:p w:rsidR="006D147A" w:rsidRDefault="006D147A" w:rsidP="00100B92">
      <w:pPr>
        <w:spacing w:after="120" w:line="360" w:lineRule="auto"/>
        <w:ind w:left="360"/>
        <w:rPr>
          <w:rFonts w:ascii="Arial" w:hAnsi="Arial" w:cs="Arial"/>
          <w:sz w:val="24"/>
          <w:szCs w:val="24"/>
        </w:rPr>
      </w:pPr>
      <w:r>
        <w:rPr>
          <w:rFonts w:ascii="Arial" w:hAnsi="Arial" w:cs="Arial"/>
          <w:sz w:val="24"/>
          <w:szCs w:val="24"/>
        </w:rPr>
        <w:t xml:space="preserve">VECC </w:t>
      </w:r>
      <w:r w:rsidR="003453E2">
        <w:rPr>
          <w:rFonts w:ascii="Arial" w:hAnsi="Arial" w:cs="Arial"/>
          <w:sz w:val="24"/>
          <w:szCs w:val="24"/>
        </w:rPr>
        <w:t xml:space="preserve">notes that the 4.8% annual increase in the overall cost per pole over the 2005-2015 period referenced by </w:t>
      </w:r>
      <w:proofErr w:type="spellStart"/>
      <w:r w:rsidR="003453E2">
        <w:rPr>
          <w:rFonts w:ascii="Arial" w:hAnsi="Arial" w:cs="Arial"/>
          <w:sz w:val="24"/>
          <w:szCs w:val="24"/>
        </w:rPr>
        <w:t>Nordicity</w:t>
      </w:r>
      <w:proofErr w:type="spellEnd"/>
      <w:r w:rsidR="003453E2">
        <w:rPr>
          <w:rStyle w:val="FootnoteReference"/>
          <w:rFonts w:ascii="Arial" w:hAnsi="Arial" w:cs="Arial"/>
          <w:sz w:val="24"/>
          <w:szCs w:val="24"/>
        </w:rPr>
        <w:footnoteReference w:id="14"/>
      </w:r>
      <w:r w:rsidR="003453E2">
        <w:rPr>
          <w:rFonts w:ascii="Arial" w:hAnsi="Arial" w:cs="Arial"/>
          <w:sz w:val="24"/>
          <w:szCs w:val="24"/>
        </w:rPr>
        <w:t xml:space="preserve"> is almost three times </w:t>
      </w:r>
      <w:r w:rsidR="00865C49">
        <w:rPr>
          <w:rFonts w:ascii="Arial" w:hAnsi="Arial" w:cs="Arial"/>
          <w:sz w:val="24"/>
          <w:szCs w:val="24"/>
        </w:rPr>
        <w:t>the inflation rate</w:t>
      </w:r>
      <w:r w:rsidR="003453E2">
        <w:rPr>
          <w:rFonts w:ascii="Arial" w:hAnsi="Arial" w:cs="Arial"/>
          <w:sz w:val="24"/>
          <w:szCs w:val="24"/>
        </w:rPr>
        <w:t xml:space="preserve"> over the same period </w:t>
      </w:r>
      <w:r w:rsidR="00865C49">
        <w:rPr>
          <w:rFonts w:ascii="Arial" w:hAnsi="Arial" w:cs="Arial"/>
          <w:sz w:val="24"/>
          <w:szCs w:val="24"/>
        </w:rPr>
        <w:t xml:space="preserve">as </w:t>
      </w:r>
      <w:r w:rsidR="003453E2">
        <w:rPr>
          <w:rFonts w:ascii="Arial" w:hAnsi="Arial" w:cs="Arial"/>
          <w:sz w:val="24"/>
          <w:szCs w:val="24"/>
        </w:rPr>
        <w:t xml:space="preserve">used by </w:t>
      </w:r>
      <w:proofErr w:type="spellStart"/>
      <w:r w:rsidR="00865C49">
        <w:rPr>
          <w:rFonts w:ascii="Arial" w:hAnsi="Arial" w:cs="Arial"/>
          <w:sz w:val="24"/>
          <w:szCs w:val="24"/>
        </w:rPr>
        <w:t>Nordicity</w:t>
      </w:r>
      <w:proofErr w:type="spellEnd"/>
      <w:r w:rsidR="00865C49">
        <w:rPr>
          <w:rStyle w:val="FootnoteReference"/>
          <w:rFonts w:ascii="Arial" w:hAnsi="Arial" w:cs="Arial"/>
          <w:sz w:val="24"/>
          <w:szCs w:val="24"/>
        </w:rPr>
        <w:footnoteReference w:id="15"/>
      </w:r>
      <w:r w:rsidR="00865C49">
        <w:rPr>
          <w:rFonts w:ascii="Arial" w:hAnsi="Arial" w:cs="Arial"/>
          <w:sz w:val="24"/>
          <w:szCs w:val="24"/>
        </w:rPr>
        <w:t xml:space="preserve">.  In VECC’s view this highlights two points.  The first is that use of an historical average </w:t>
      </w:r>
      <w:r w:rsidR="005103D1">
        <w:rPr>
          <w:rFonts w:ascii="Arial" w:hAnsi="Arial" w:cs="Arial"/>
          <w:sz w:val="24"/>
          <w:szCs w:val="24"/>
        </w:rPr>
        <w:t xml:space="preserve">over the period 2005-2015 (or the 2010-2015 period used by the OEB) as a representation of 2015 costs totally ignores the fact that there was significant inflation in the cost per pole over the period.  The second point is that, if one wants to account for inflation, CPI is not the appropriate adjustment factor.  </w:t>
      </w:r>
    </w:p>
    <w:p w:rsidR="005103D1" w:rsidRPr="005103D1" w:rsidRDefault="005103D1" w:rsidP="005103D1">
      <w:pPr>
        <w:pStyle w:val="ListParagraph"/>
        <w:numPr>
          <w:ilvl w:val="0"/>
          <w:numId w:val="5"/>
        </w:numPr>
        <w:spacing w:after="120" w:line="360" w:lineRule="auto"/>
        <w:rPr>
          <w:rFonts w:ascii="Arial" w:hAnsi="Arial" w:cs="Arial"/>
          <w:i/>
          <w:sz w:val="24"/>
          <w:szCs w:val="24"/>
        </w:rPr>
      </w:pPr>
      <w:r w:rsidRPr="005103D1">
        <w:rPr>
          <w:rFonts w:ascii="Arial" w:hAnsi="Arial" w:cs="Arial"/>
          <w:i/>
          <w:sz w:val="24"/>
          <w:szCs w:val="24"/>
        </w:rPr>
        <w:t>Regulatory precedents to date do not provide support to include forward-looking cost estimates in pole attachment rate calculations.</w:t>
      </w:r>
    </w:p>
    <w:p w:rsidR="005103D1" w:rsidRDefault="00D93687" w:rsidP="00100B92">
      <w:pPr>
        <w:spacing w:after="120" w:line="360" w:lineRule="auto"/>
        <w:ind w:left="360"/>
        <w:rPr>
          <w:rFonts w:ascii="Arial" w:hAnsi="Arial" w:cs="Arial"/>
          <w:sz w:val="24"/>
          <w:szCs w:val="24"/>
        </w:rPr>
      </w:pPr>
      <w:r>
        <w:rPr>
          <w:rFonts w:ascii="Arial" w:hAnsi="Arial" w:cs="Arial"/>
          <w:sz w:val="24"/>
          <w:szCs w:val="24"/>
        </w:rPr>
        <w:t>While there may be no regulatory precedents for setting wireline pole attachment rates using forward looking cost estimates, it is common practice on both Ontario and other Canadian jurisdictions to set rates electricity rates</w:t>
      </w:r>
      <w:r w:rsidR="00026CCB">
        <w:rPr>
          <w:rFonts w:ascii="Arial" w:hAnsi="Arial" w:cs="Arial"/>
          <w:sz w:val="24"/>
          <w:szCs w:val="24"/>
        </w:rPr>
        <w:t xml:space="preserve"> for other distribution services</w:t>
      </w:r>
      <w:r>
        <w:rPr>
          <w:rFonts w:ascii="Arial" w:hAnsi="Arial" w:cs="Arial"/>
          <w:sz w:val="24"/>
          <w:szCs w:val="24"/>
        </w:rPr>
        <w:t xml:space="preserve"> using such estimates.</w:t>
      </w:r>
    </w:p>
    <w:p w:rsidR="00D93687" w:rsidRPr="00D93687" w:rsidRDefault="00D93687" w:rsidP="00D93687">
      <w:pPr>
        <w:pStyle w:val="ListParagraph"/>
        <w:numPr>
          <w:ilvl w:val="0"/>
          <w:numId w:val="5"/>
        </w:numPr>
        <w:spacing w:after="120" w:line="360" w:lineRule="auto"/>
        <w:rPr>
          <w:rFonts w:ascii="Arial" w:hAnsi="Arial" w:cs="Arial"/>
          <w:i/>
          <w:sz w:val="24"/>
          <w:szCs w:val="24"/>
        </w:rPr>
      </w:pPr>
      <w:r w:rsidRPr="00D93687">
        <w:rPr>
          <w:rFonts w:ascii="Arial" w:hAnsi="Arial" w:cs="Arial"/>
          <w:i/>
          <w:sz w:val="24"/>
          <w:szCs w:val="24"/>
        </w:rPr>
        <w:t>The 10-year (2005-2015) actual data presented in Section 6 provide a reasonable long term view of the trends in the cost structure of poles in Ontario and do not indicate any extraordinary variation in year-over-year historical cost of poles.</w:t>
      </w:r>
    </w:p>
    <w:p w:rsidR="00D93687" w:rsidRDefault="00D93687" w:rsidP="00100B92">
      <w:pPr>
        <w:spacing w:after="120" w:line="360" w:lineRule="auto"/>
        <w:ind w:left="360"/>
        <w:rPr>
          <w:rFonts w:ascii="Arial" w:hAnsi="Arial" w:cs="Arial"/>
          <w:sz w:val="24"/>
          <w:szCs w:val="24"/>
        </w:rPr>
      </w:pPr>
      <w:r>
        <w:rPr>
          <w:rFonts w:ascii="Arial" w:hAnsi="Arial" w:cs="Arial"/>
          <w:sz w:val="24"/>
          <w:szCs w:val="24"/>
        </w:rPr>
        <w:t>VECC agre</w:t>
      </w:r>
      <w:r w:rsidR="002E683A">
        <w:rPr>
          <w:rFonts w:ascii="Arial" w:hAnsi="Arial" w:cs="Arial"/>
          <w:sz w:val="24"/>
          <w:szCs w:val="24"/>
        </w:rPr>
        <w:t xml:space="preserve">es with this point.  However, while there is no “extraordinary variation” in the year to year cost of poles, there is (as noted in point (ii) above) a fairly constant increase in the year to year historical cost of poles such that a 10 year average does not reflect the “cost” as of the end of the period concerned.  As a result, applying a simple inflationary adjustment based on cost changes between 2015 and 2018 (as </w:t>
      </w:r>
      <w:r w:rsidR="002E683A">
        <w:rPr>
          <w:rFonts w:ascii="Arial" w:hAnsi="Arial" w:cs="Arial"/>
          <w:sz w:val="24"/>
          <w:szCs w:val="24"/>
        </w:rPr>
        <w:lastRenderedPageBreak/>
        <w:t>proposed by the OEB’s Draft Report) to the average does not adequately account for inflation.</w:t>
      </w:r>
    </w:p>
    <w:p w:rsidR="002E683A" w:rsidRPr="002E683A" w:rsidRDefault="002E683A" w:rsidP="002E683A">
      <w:pPr>
        <w:pStyle w:val="ListParagraph"/>
        <w:numPr>
          <w:ilvl w:val="0"/>
          <w:numId w:val="5"/>
        </w:numPr>
        <w:spacing w:after="120" w:line="360" w:lineRule="auto"/>
        <w:rPr>
          <w:rFonts w:ascii="Arial" w:hAnsi="Arial" w:cs="Arial"/>
          <w:i/>
          <w:sz w:val="24"/>
          <w:szCs w:val="24"/>
        </w:rPr>
      </w:pPr>
      <w:r w:rsidRPr="002E683A">
        <w:rPr>
          <w:rFonts w:ascii="Arial" w:hAnsi="Arial" w:cs="Arial"/>
          <w:i/>
          <w:sz w:val="24"/>
          <w:szCs w:val="24"/>
        </w:rPr>
        <w:t>Based on historical trends an annual adjustment factor may be use to account for inflation and normal replacements.</w:t>
      </w:r>
    </w:p>
    <w:p w:rsidR="002E683A" w:rsidRPr="002E683A" w:rsidRDefault="002E683A" w:rsidP="00100B92">
      <w:pPr>
        <w:spacing w:after="120" w:line="360" w:lineRule="auto"/>
        <w:ind w:left="360"/>
        <w:rPr>
          <w:rFonts w:ascii="Arial" w:hAnsi="Arial" w:cs="Arial"/>
          <w:sz w:val="24"/>
          <w:szCs w:val="24"/>
        </w:rPr>
      </w:pPr>
      <w:r>
        <w:rPr>
          <w:rFonts w:ascii="Arial" w:hAnsi="Arial" w:cs="Arial"/>
          <w:sz w:val="24"/>
          <w:szCs w:val="24"/>
        </w:rPr>
        <w:t>Again, VECC agrees with this point.  However, VECC notes that while the discussion of this issue suggests</w:t>
      </w:r>
      <w:r>
        <w:rPr>
          <w:rStyle w:val="FootnoteReference"/>
          <w:rFonts w:ascii="Arial" w:hAnsi="Arial" w:cs="Arial"/>
          <w:sz w:val="24"/>
          <w:szCs w:val="24"/>
        </w:rPr>
        <w:footnoteReference w:id="16"/>
      </w:r>
      <w:r>
        <w:rPr>
          <w:rFonts w:ascii="Arial" w:hAnsi="Arial" w:cs="Arial"/>
          <w:sz w:val="24"/>
          <w:szCs w:val="24"/>
        </w:rPr>
        <w:t xml:space="preserve"> that an inflation adjustment factor of 4.8% per annum may be used to adjust the pole attachment rate annually, </w:t>
      </w:r>
      <w:proofErr w:type="spellStart"/>
      <w:r>
        <w:rPr>
          <w:rFonts w:ascii="Arial" w:hAnsi="Arial" w:cs="Arial"/>
          <w:sz w:val="24"/>
          <w:szCs w:val="24"/>
        </w:rPr>
        <w:t>Nordicity’s</w:t>
      </w:r>
      <w:proofErr w:type="spellEnd"/>
      <w:r>
        <w:rPr>
          <w:rFonts w:ascii="Arial" w:hAnsi="Arial" w:cs="Arial"/>
          <w:sz w:val="24"/>
          <w:szCs w:val="24"/>
        </w:rPr>
        <w:t xml:space="preserve"> final recommendations do not call for any such adjustment and the OEB’s Draft </w:t>
      </w:r>
      <w:proofErr w:type="spellStart"/>
      <w:r>
        <w:rPr>
          <w:rFonts w:ascii="Arial" w:hAnsi="Arial" w:cs="Arial"/>
          <w:sz w:val="24"/>
          <w:szCs w:val="24"/>
        </w:rPr>
        <w:t>WorkForm</w:t>
      </w:r>
      <w:proofErr w:type="spellEnd"/>
      <w:r>
        <w:rPr>
          <w:rStyle w:val="FootnoteReference"/>
          <w:rFonts w:ascii="Arial" w:hAnsi="Arial" w:cs="Arial"/>
          <w:sz w:val="24"/>
          <w:szCs w:val="24"/>
        </w:rPr>
        <w:footnoteReference w:id="17"/>
      </w:r>
      <w:r>
        <w:rPr>
          <w:rFonts w:ascii="Arial" w:hAnsi="Arial" w:cs="Arial"/>
          <w:sz w:val="24"/>
          <w:szCs w:val="24"/>
        </w:rPr>
        <w:t xml:space="preserve"> uses an inflation adjustment factor that is less than half of this value.  </w:t>
      </w:r>
      <w:r w:rsidR="00D948FD">
        <w:rPr>
          <w:rFonts w:ascii="Arial" w:hAnsi="Arial" w:cs="Arial"/>
          <w:sz w:val="24"/>
          <w:szCs w:val="24"/>
        </w:rPr>
        <w:t xml:space="preserve">Equally important, neither the </w:t>
      </w:r>
      <w:proofErr w:type="spellStart"/>
      <w:r w:rsidR="00D948FD">
        <w:rPr>
          <w:rFonts w:ascii="Arial" w:hAnsi="Arial" w:cs="Arial"/>
          <w:sz w:val="24"/>
          <w:szCs w:val="24"/>
        </w:rPr>
        <w:t>Nordicity</w:t>
      </w:r>
      <w:proofErr w:type="spellEnd"/>
      <w:r w:rsidR="00D948FD">
        <w:rPr>
          <w:rFonts w:ascii="Arial" w:hAnsi="Arial" w:cs="Arial"/>
          <w:sz w:val="24"/>
          <w:szCs w:val="24"/>
        </w:rPr>
        <w:t xml:space="preserve"> Report nor the OEB’s Draft Report/</w:t>
      </w:r>
      <w:proofErr w:type="spellStart"/>
      <w:r w:rsidR="00D948FD">
        <w:rPr>
          <w:rFonts w:ascii="Arial" w:hAnsi="Arial" w:cs="Arial"/>
          <w:sz w:val="24"/>
          <w:szCs w:val="24"/>
        </w:rPr>
        <w:t>WorkForm</w:t>
      </w:r>
      <w:proofErr w:type="spellEnd"/>
      <w:r w:rsidR="00D948FD">
        <w:rPr>
          <w:rFonts w:ascii="Arial" w:hAnsi="Arial" w:cs="Arial"/>
          <w:sz w:val="24"/>
          <w:szCs w:val="24"/>
        </w:rPr>
        <w:t xml:space="preserve"> make any adjustment to the average historical cost values used in order to account for inflation over the period used to calculate the average.</w:t>
      </w:r>
    </w:p>
    <w:p w:rsidR="00B632D9" w:rsidRDefault="00100B92" w:rsidP="00D93687">
      <w:pPr>
        <w:spacing w:after="120" w:line="360" w:lineRule="auto"/>
        <w:rPr>
          <w:rFonts w:ascii="Arial" w:hAnsi="Arial" w:cs="Arial"/>
          <w:sz w:val="24"/>
          <w:szCs w:val="24"/>
        </w:rPr>
      </w:pPr>
      <w:r>
        <w:rPr>
          <w:rFonts w:ascii="Arial" w:hAnsi="Arial" w:cs="Arial"/>
          <w:sz w:val="24"/>
          <w:szCs w:val="24"/>
        </w:rPr>
        <w:t xml:space="preserve">VECC recognizes that for purposes of establishing a Provincial Rate it is likely necessary to rely on historical previous years’ costs.  </w:t>
      </w:r>
    </w:p>
    <w:p w:rsidR="00B632D9" w:rsidRDefault="00B632D9" w:rsidP="00B632D9">
      <w:pPr>
        <w:spacing w:after="120" w:line="360" w:lineRule="auto"/>
        <w:rPr>
          <w:rFonts w:ascii="Arial" w:hAnsi="Arial" w:cs="Arial"/>
          <w:sz w:val="24"/>
          <w:szCs w:val="24"/>
        </w:rPr>
      </w:pPr>
      <w:r>
        <w:rPr>
          <w:rFonts w:ascii="Arial" w:hAnsi="Arial" w:cs="Arial"/>
          <w:sz w:val="24"/>
          <w:szCs w:val="24"/>
        </w:rPr>
        <w:t xml:space="preserve">However, the proposed methodology fails to properly account for rising costs by using the wrong base (determining the 2015 value based on a six year historical average) and wrong exponent (the inflation factor for incentive rate setting rather than historically observed inflation).  As the following graph illustrates this results in a substantial and growing error relative to an exponential growth model which would explain 99.5% of variation in costs over the 10 year period.  Indeed, had the same approach been applied to produce and estimate for 2013 based on 2005-2010 data, it would be projecting costs 19% lower than those observed in the first year of the model (2013) and 24% lower by </w:t>
      </w:r>
      <w:proofErr w:type="gramStart"/>
      <w:r>
        <w:rPr>
          <w:rFonts w:ascii="Arial" w:hAnsi="Arial" w:cs="Arial"/>
          <w:sz w:val="24"/>
          <w:szCs w:val="24"/>
        </w:rPr>
        <w:t>2015.</w:t>
      </w:r>
      <w:proofErr w:type="gramEnd"/>
    </w:p>
    <w:p w:rsidR="00B632D9" w:rsidRDefault="00D27118" w:rsidP="00B632D9">
      <w:pPr>
        <w:keepNext/>
        <w:spacing w:after="120" w:line="360" w:lineRule="auto"/>
      </w:pPr>
      <w:r>
        <w:rPr>
          <w:noProof/>
          <w:lang w:val="en-US"/>
        </w:rPr>
        <w:lastRenderedPageBreak/>
        <w:drawing>
          <wp:inline distT="0" distB="0" distL="0" distR="0">
            <wp:extent cx="5943600" cy="3629025"/>
            <wp:effectExtent l="0" t="0" r="0" b="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632D9" w:rsidRDefault="00B632D9" w:rsidP="00B632D9">
      <w:pPr>
        <w:pStyle w:val="Caption"/>
      </w:pPr>
      <w:r>
        <w:t xml:space="preserve">Figure </w:t>
      </w:r>
      <w:r w:rsidR="00CC5EEB">
        <w:fldChar w:fldCharType="begin"/>
      </w:r>
      <w:r>
        <w:instrText xml:space="preserve"> SEQ Figure \* ARABIC </w:instrText>
      </w:r>
      <w:r w:rsidR="00CC5EEB">
        <w:fldChar w:fldCharType="separate"/>
      </w:r>
      <w:r>
        <w:rPr>
          <w:noProof/>
        </w:rPr>
        <w:t>1</w:t>
      </w:r>
      <w:r w:rsidR="00CC5EEB">
        <w:fldChar w:fldCharType="end"/>
      </w:r>
      <w:r>
        <w:t>: The growing error between the cost projections being used by the Board and those expected based on a strong exponential model</w:t>
      </w:r>
    </w:p>
    <w:p w:rsidR="00B632D9" w:rsidRDefault="00B632D9" w:rsidP="00B632D9">
      <w:pPr>
        <w:spacing w:after="120" w:line="360" w:lineRule="auto"/>
        <w:rPr>
          <w:rFonts w:ascii="Arial" w:hAnsi="Arial" w:cs="Arial"/>
          <w:sz w:val="24"/>
          <w:szCs w:val="24"/>
        </w:rPr>
      </w:pPr>
    </w:p>
    <w:p w:rsidR="00B632D9" w:rsidRDefault="00B632D9" w:rsidP="00D93687">
      <w:pPr>
        <w:spacing w:after="120" w:line="360" w:lineRule="auto"/>
        <w:rPr>
          <w:rFonts w:ascii="Arial" w:hAnsi="Arial" w:cs="Arial"/>
          <w:sz w:val="24"/>
          <w:szCs w:val="24"/>
        </w:rPr>
      </w:pPr>
    </w:p>
    <w:p w:rsidR="00100B92" w:rsidRDefault="008F0410" w:rsidP="00D93687">
      <w:pPr>
        <w:spacing w:after="120" w:line="360" w:lineRule="auto"/>
        <w:rPr>
          <w:rFonts w:ascii="Arial" w:hAnsi="Arial" w:cs="Arial"/>
          <w:sz w:val="24"/>
          <w:szCs w:val="24"/>
        </w:rPr>
      </w:pPr>
      <w:r>
        <w:rPr>
          <w:rFonts w:ascii="Arial" w:hAnsi="Arial" w:cs="Arial"/>
          <w:sz w:val="24"/>
          <w:szCs w:val="24"/>
        </w:rPr>
        <w:t>I</w:t>
      </w:r>
      <w:r w:rsidR="00100B92">
        <w:rPr>
          <w:rFonts w:ascii="Arial" w:hAnsi="Arial" w:cs="Arial"/>
          <w:sz w:val="24"/>
          <w:szCs w:val="24"/>
        </w:rPr>
        <w:t>f an average historical cost is going to be used (such as the 2010-2015 historical average proposed in the OEB’s Draft Report) then:</w:t>
      </w:r>
    </w:p>
    <w:p w:rsidR="002E683A" w:rsidRDefault="00100B92" w:rsidP="00100B92">
      <w:pPr>
        <w:pStyle w:val="ListParagraph"/>
        <w:numPr>
          <w:ilvl w:val="0"/>
          <w:numId w:val="6"/>
        </w:numPr>
        <w:spacing w:after="120" w:line="360" w:lineRule="auto"/>
        <w:rPr>
          <w:rFonts w:ascii="Arial" w:hAnsi="Arial" w:cs="Arial"/>
          <w:sz w:val="24"/>
          <w:szCs w:val="24"/>
        </w:rPr>
      </w:pPr>
      <w:r>
        <w:rPr>
          <w:rFonts w:ascii="Arial" w:hAnsi="Arial" w:cs="Arial"/>
          <w:sz w:val="24"/>
          <w:szCs w:val="24"/>
        </w:rPr>
        <w:t>I</w:t>
      </w:r>
      <w:r w:rsidRPr="00100B92">
        <w:rPr>
          <w:rFonts w:ascii="Arial" w:hAnsi="Arial" w:cs="Arial"/>
          <w:sz w:val="24"/>
          <w:szCs w:val="24"/>
        </w:rPr>
        <w:t xml:space="preserve">t is necessary to adjust </w:t>
      </w:r>
      <w:r w:rsidR="00026CCB">
        <w:rPr>
          <w:rFonts w:ascii="Arial" w:hAnsi="Arial" w:cs="Arial"/>
          <w:sz w:val="24"/>
          <w:szCs w:val="24"/>
        </w:rPr>
        <w:t xml:space="preserve">the </w:t>
      </w:r>
      <w:r w:rsidRPr="00100B92">
        <w:rPr>
          <w:rFonts w:ascii="Arial" w:hAnsi="Arial" w:cs="Arial"/>
          <w:sz w:val="24"/>
          <w:szCs w:val="24"/>
        </w:rPr>
        <w:t xml:space="preserve">average to account for the inflation that </w:t>
      </w:r>
      <w:r w:rsidR="00B12157">
        <w:rPr>
          <w:rFonts w:ascii="Arial" w:hAnsi="Arial" w:cs="Arial"/>
          <w:sz w:val="24"/>
          <w:szCs w:val="24"/>
        </w:rPr>
        <w:t xml:space="preserve">occurred during the historical period used to calculate the average.  Furthermore, as suggested by </w:t>
      </w:r>
      <w:proofErr w:type="spellStart"/>
      <w:r w:rsidR="00B12157">
        <w:rPr>
          <w:rFonts w:ascii="Arial" w:hAnsi="Arial" w:cs="Arial"/>
          <w:sz w:val="24"/>
          <w:szCs w:val="24"/>
        </w:rPr>
        <w:t>Nordicity</w:t>
      </w:r>
      <w:proofErr w:type="spellEnd"/>
      <w:r w:rsidR="00B12157">
        <w:rPr>
          <w:rStyle w:val="FootnoteReference"/>
          <w:rFonts w:ascii="Arial" w:hAnsi="Arial" w:cs="Arial"/>
          <w:sz w:val="24"/>
          <w:szCs w:val="24"/>
        </w:rPr>
        <w:footnoteReference w:id="18"/>
      </w:r>
      <w:r w:rsidR="00B12157">
        <w:rPr>
          <w:rFonts w:ascii="Arial" w:hAnsi="Arial" w:cs="Arial"/>
          <w:sz w:val="24"/>
          <w:szCs w:val="24"/>
        </w:rPr>
        <w:t xml:space="preserve">, the appropriate adjustment factor to use would be the actual inflation in the cost per pole experienced over the period.  In the case of the 2010-2015 period proposed in the OEB’s Draft Report, the average increase in cost per pole is 5% per annum.  </w:t>
      </w:r>
      <w:r w:rsidR="00026CCB">
        <w:rPr>
          <w:rFonts w:ascii="Arial" w:hAnsi="Arial" w:cs="Arial"/>
          <w:sz w:val="24"/>
          <w:szCs w:val="24"/>
        </w:rPr>
        <w:t>I</w:t>
      </w:r>
      <w:r w:rsidR="00B12157">
        <w:rPr>
          <w:rFonts w:ascii="Arial" w:hAnsi="Arial" w:cs="Arial"/>
          <w:sz w:val="24"/>
          <w:szCs w:val="24"/>
        </w:rPr>
        <w:t>f</w:t>
      </w:r>
      <w:r w:rsidR="00026CCB">
        <w:rPr>
          <w:rFonts w:ascii="Arial" w:hAnsi="Arial" w:cs="Arial"/>
          <w:sz w:val="24"/>
          <w:szCs w:val="24"/>
        </w:rPr>
        <w:t>,</w:t>
      </w:r>
      <w:r w:rsidR="00B12157">
        <w:rPr>
          <w:rFonts w:ascii="Arial" w:hAnsi="Arial" w:cs="Arial"/>
          <w:sz w:val="24"/>
          <w:szCs w:val="24"/>
        </w:rPr>
        <w:t xml:space="preserve"> as suggested by </w:t>
      </w:r>
      <w:proofErr w:type="spellStart"/>
      <w:r w:rsidR="00B12157">
        <w:rPr>
          <w:rFonts w:ascii="Arial" w:hAnsi="Arial" w:cs="Arial"/>
          <w:sz w:val="24"/>
          <w:szCs w:val="24"/>
        </w:rPr>
        <w:t>Nordicity</w:t>
      </w:r>
      <w:proofErr w:type="spellEnd"/>
      <w:r w:rsidR="00026CCB">
        <w:rPr>
          <w:rFonts w:ascii="Arial" w:hAnsi="Arial" w:cs="Arial"/>
          <w:sz w:val="24"/>
          <w:szCs w:val="24"/>
        </w:rPr>
        <w:t>,</w:t>
      </w:r>
      <w:r w:rsidR="00B12157">
        <w:rPr>
          <w:rFonts w:ascii="Arial" w:hAnsi="Arial" w:cs="Arial"/>
          <w:sz w:val="24"/>
          <w:szCs w:val="24"/>
        </w:rPr>
        <w:t xml:space="preserve"> there is no abnormality</w:t>
      </w:r>
      <w:r w:rsidR="00026CCB">
        <w:rPr>
          <w:rFonts w:ascii="Arial" w:hAnsi="Arial" w:cs="Arial"/>
          <w:sz w:val="24"/>
          <w:szCs w:val="24"/>
        </w:rPr>
        <w:t xml:space="preserve"> in</w:t>
      </w:r>
      <w:r w:rsidR="00B12157">
        <w:rPr>
          <w:rFonts w:ascii="Arial" w:hAnsi="Arial" w:cs="Arial"/>
          <w:sz w:val="24"/>
          <w:szCs w:val="24"/>
        </w:rPr>
        <w:t xml:space="preserve"> the historical costs other than inflationary trends, then in VECC’s view</w:t>
      </w:r>
      <w:r w:rsidR="00026CCB">
        <w:rPr>
          <w:rFonts w:ascii="Arial" w:hAnsi="Arial" w:cs="Arial"/>
          <w:sz w:val="24"/>
          <w:szCs w:val="24"/>
        </w:rPr>
        <w:t>,</w:t>
      </w:r>
      <w:r w:rsidR="00B12157">
        <w:rPr>
          <w:rFonts w:ascii="Arial" w:hAnsi="Arial" w:cs="Arial"/>
          <w:sz w:val="24"/>
          <w:szCs w:val="24"/>
        </w:rPr>
        <w:t xml:space="preserve"> a simpler approach would be to use the most recently available historical </w:t>
      </w:r>
      <w:r w:rsidR="00B12157">
        <w:rPr>
          <w:rFonts w:ascii="Arial" w:hAnsi="Arial" w:cs="Arial"/>
          <w:sz w:val="24"/>
          <w:szCs w:val="24"/>
        </w:rPr>
        <w:lastRenderedPageBreak/>
        <w:t>year as the starting points (as opposed to an average).  In this case that would be the 2015 cost data.</w:t>
      </w:r>
    </w:p>
    <w:p w:rsidR="00B12157" w:rsidRPr="00100B92" w:rsidRDefault="00B12157" w:rsidP="00100B92">
      <w:pPr>
        <w:pStyle w:val="ListParagraph"/>
        <w:numPr>
          <w:ilvl w:val="0"/>
          <w:numId w:val="6"/>
        </w:numPr>
        <w:spacing w:after="120" w:line="360" w:lineRule="auto"/>
        <w:rPr>
          <w:rFonts w:ascii="Arial" w:hAnsi="Arial" w:cs="Arial"/>
          <w:sz w:val="24"/>
          <w:szCs w:val="24"/>
        </w:rPr>
      </w:pPr>
      <w:r>
        <w:rPr>
          <w:rFonts w:ascii="Arial" w:hAnsi="Arial" w:cs="Arial"/>
          <w:sz w:val="24"/>
          <w:szCs w:val="24"/>
        </w:rPr>
        <w:t>It is also necessary to account for the inflation that would have occurred between the end of the historical period (i.e., 2015</w:t>
      </w:r>
      <w:r w:rsidR="006645A0">
        <w:rPr>
          <w:rFonts w:ascii="Arial" w:hAnsi="Arial" w:cs="Arial"/>
          <w:sz w:val="24"/>
          <w:szCs w:val="24"/>
        </w:rPr>
        <w:t>)</w:t>
      </w:r>
      <w:r>
        <w:rPr>
          <w:rFonts w:ascii="Arial" w:hAnsi="Arial" w:cs="Arial"/>
          <w:sz w:val="24"/>
          <w:szCs w:val="24"/>
        </w:rPr>
        <w:t xml:space="preserve"> and 2018 - the year for which the Provincial Rate is being determined).  In this case VECC submits that the use of the historical inflation rate for pole costs (as suggested by </w:t>
      </w:r>
      <w:proofErr w:type="spellStart"/>
      <w:r>
        <w:rPr>
          <w:rFonts w:ascii="Arial" w:hAnsi="Arial" w:cs="Arial"/>
          <w:sz w:val="24"/>
          <w:szCs w:val="24"/>
        </w:rPr>
        <w:t>Nordicity</w:t>
      </w:r>
      <w:proofErr w:type="spellEnd"/>
      <w:r>
        <w:rPr>
          <w:rFonts w:ascii="Arial" w:hAnsi="Arial" w:cs="Arial"/>
          <w:sz w:val="24"/>
          <w:szCs w:val="24"/>
        </w:rPr>
        <w:t>) is more appropriate than the CPI or the inflation factor used for the OEB’s incentive rate program.</w:t>
      </w:r>
    </w:p>
    <w:p w:rsidR="005103D1" w:rsidRPr="005103D1" w:rsidRDefault="00B12157" w:rsidP="005103D1">
      <w:pPr>
        <w:spacing w:after="120" w:line="360" w:lineRule="auto"/>
        <w:rPr>
          <w:rFonts w:ascii="Arial" w:hAnsi="Arial" w:cs="Arial"/>
          <w:sz w:val="24"/>
          <w:szCs w:val="24"/>
        </w:rPr>
      </w:pPr>
      <w:r>
        <w:rPr>
          <w:rFonts w:ascii="Arial" w:hAnsi="Arial" w:cs="Arial"/>
          <w:sz w:val="24"/>
          <w:szCs w:val="24"/>
        </w:rPr>
        <w:t xml:space="preserve">However, in VECC’s view while the above approach is acceptable for purposes of establishing the initial Provincial Rate, utilities should be directed, as part of their next cost of service (rebasing) application to determine a wireline </w:t>
      </w:r>
      <w:r w:rsidR="00026CCB">
        <w:rPr>
          <w:rFonts w:ascii="Arial" w:hAnsi="Arial" w:cs="Arial"/>
          <w:sz w:val="24"/>
          <w:szCs w:val="24"/>
        </w:rPr>
        <w:t xml:space="preserve">pole </w:t>
      </w:r>
      <w:r>
        <w:rPr>
          <w:rFonts w:ascii="Arial" w:hAnsi="Arial" w:cs="Arial"/>
          <w:sz w:val="24"/>
          <w:szCs w:val="24"/>
        </w:rPr>
        <w:t>attachment rate based on their forecast cost structure and pole attachment parameters.</w:t>
      </w:r>
      <w:r w:rsidR="00026CCB">
        <w:rPr>
          <w:rFonts w:ascii="Arial" w:hAnsi="Arial" w:cs="Arial"/>
          <w:sz w:val="24"/>
          <w:szCs w:val="24"/>
        </w:rPr>
        <w:t xml:space="preserve">  Failing this, utilities should be directed as part of their next cost of service (rebasing) application to determine a wireline pole attachment rate based on their most recently reported costs and pole attachment parameters and then apply an inflation adjustment.</w:t>
      </w:r>
    </w:p>
    <w:p w:rsidR="005103D1" w:rsidRPr="0086788C" w:rsidRDefault="0086788C" w:rsidP="0086788C">
      <w:pPr>
        <w:pStyle w:val="ListParagraph"/>
        <w:numPr>
          <w:ilvl w:val="1"/>
          <w:numId w:val="1"/>
        </w:numPr>
        <w:spacing w:after="120" w:line="360" w:lineRule="auto"/>
        <w:rPr>
          <w:rFonts w:ascii="Arial" w:hAnsi="Arial" w:cs="Arial"/>
          <w:sz w:val="24"/>
          <w:szCs w:val="24"/>
          <w:u w:val="single"/>
        </w:rPr>
      </w:pPr>
      <w:proofErr w:type="spellStart"/>
      <w:r w:rsidRPr="0086788C">
        <w:rPr>
          <w:rFonts w:ascii="Arial" w:hAnsi="Arial" w:cs="Arial"/>
          <w:sz w:val="24"/>
          <w:szCs w:val="24"/>
          <w:u w:val="single"/>
        </w:rPr>
        <w:t>Attachers</w:t>
      </w:r>
      <w:proofErr w:type="spellEnd"/>
      <w:r w:rsidRPr="0086788C">
        <w:rPr>
          <w:rFonts w:ascii="Arial" w:hAnsi="Arial" w:cs="Arial"/>
          <w:sz w:val="24"/>
          <w:szCs w:val="24"/>
          <w:u w:val="single"/>
        </w:rPr>
        <w:t xml:space="preserve"> vs. Attachments</w:t>
      </w:r>
      <w:r>
        <w:rPr>
          <w:rStyle w:val="FootnoteReference"/>
          <w:rFonts w:ascii="Arial" w:hAnsi="Arial" w:cs="Arial"/>
          <w:sz w:val="24"/>
          <w:szCs w:val="24"/>
          <w:u w:val="single"/>
        </w:rPr>
        <w:footnoteReference w:id="19"/>
      </w:r>
      <w:r w:rsidRPr="0086788C">
        <w:rPr>
          <w:rFonts w:ascii="Arial" w:hAnsi="Arial" w:cs="Arial"/>
          <w:sz w:val="24"/>
          <w:szCs w:val="24"/>
          <w:u w:val="single"/>
        </w:rPr>
        <w:t xml:space="preserve"> </w:t>
      </w:r>
    </w:p>
    <w:p w:rsidR="0086788C" w:rsidRDefault="00552671" w:rsidP="0086788C">
      <w:pPr>
        <w:spacing w:after="120" w:line="360" w:lineRule="auto"/>
        <w:rPr>
          <w:rFonts w:ascii="Arial" w:hAnsi="Arial" w:cs="Arial"/>
          <w:sz w:val="24"/>
          <w:szCs w:val="24"/>
        </w:rPr>
      </w:pPr>
      <w:r>
        <w:rPr>
          <w:rFonts w:ascii="Arial" w:hAnsi="Arial" w:cs="Arial"/>
          <w:sz w:val="24"/>
          <w:szCs w:val="24"/>
        </w:rPr>
        <w:t xml:space="preserve">The current wireline attachment rate is charge per </w:t>
      </w:r>
      <w:proofErr w:type="spellStart"/>
      <w:r>
        <w:rPr>
          <w:rFonts w:ascii="Arial" w:hAnsi="Arial" w:cs="Arial"/>
          <w:sz w:val="24"/>
          <w:szCs w:val="24"/>
        </w:rPr>
        <w:t>attacher</w:t>
      </w:r>
      <w:proofErr w:type="spellEnd"/>
      <w:r>
        <w:rPr>
          <w:rFonts w:ascii="Arial" w:hAnsi="Arial" w:cs="Arial"/>
          <w:sz w:val="24"/>
          <w:szCs w:val="24"/>
        </w:rPr>
        <w:t xml:space="preserve"> (i.e., each entity with attachments on the pole) and not per physical attachment to the pole,  </w:t>
      </w:r>
      <w:proofErr w:type="spellStart"/>
      <w:r>
        <w:rPr>
          <w:rFonts w:ascii="Arial" w:hAnsi="Arial" w:cs="Arial"/>
          <w:sz w:val="24"/>
          <w:szCs w:val="24"/>
        </w:rPr>
        <w:t>Nordicity</w:t>
      </w:r>
      <w:proofErr w:type="spellEnd"/>
      <w:r>
        <w:rPr>
          <w:rFonts w:ascii="Arial" w:hAnsi="Arial" w:cs="Arial"/>
          <w:sz w:val="24"/>
          <w:szCs w:val="24"/>
        </w:rPr>
        <w:t xml:space="preserve"> concluded that LDCs do not all currently have the capability to provide the number of attachments on their poles and therefore proposed to continue to use </w:t>
      </w:r>
      <w:proofErr w:type="spellStart"/>
      <w:r>
        <w:rPr>
          <w:rFonts w:ascii="Arial" w:hAnsi="Arial" w:cs="Arial"/>
          <w:sz w:val="24"/>
          <w:szCs w:val="24"/>
        </w:rPr>
        <w:t>attachers</w:t>
      </w:r>
      <w:proofErr w:type="spellEnd"/>
      <w:r>
        <w:rPr>
          <w:rFonts w:ascii="Arial" w:hAnsi="Arial" w:cs="Arial"/>
          <w:sz w:val="24"/>
          <w:szCs w:val="24"/>
        </w:rPr>
        <w:t xml:space="preserve"> as the basis for billing.  In its Draft Report, the OEB also adopted “</w:t>
      </w:r>
      <w:proofErr w:type="spellStart"/>
      <w:r>
        <w:rPr>
          <w:rFonts w:ascii="Arial" w:hAnsi="Arial" w:cs="Arial"/>
          <w:sz w:val="24"/>
          <w:szCs w:val="24"/>
        </w:rPr>
        <w:t>attachers</w:t>
      </w:r>
      <w:proofErr w:type="spellEnd"/>
      <w:r>
        <w:rPr>
          <w:rFonts w:ascii="Arial" w:hAnsi="Arial" w:cs="Arial"/>
          <w:sz w:val="24"/>
          <w:szCs w:val="24"/>
        </w:rPr>
        <w:t>” as the billing determinant.</w:t>
      </w:r>
    </w:p>
    <w:p w:rsidR="00552671" w:rsidRDefault="00552671" w:rsidP="0086788C">
      <w:pPr>
        <w:spacing w:after="120" w:line="360" w:lineRule="auto"/>
        <w:rPr>
          <w:rFonts w:ascii="Arial" w:hAnsi="Arial" w:cs="Arial"/>
          <w:sz w:val="24"/>
          <w:szCs w:val="24"/>
        </w:rPr>
      </w:pPr>
      <w:r>
        <w:rPr>
          <w:rFonts w:ascii="Arial" w:hAnsi="Arial" w:cs="Arial"/>
          <w:sz w:val="24"/>
          <w:szCs w:val="24"/>
        </w:rPr>
        <w:t xml:space="preserve">Given the current lack of data on number of attachments, VECC agrees with the continuing use of number of </w:t>
      </w:r>
      <w:proofErr w:type="spellStart"/>
      <w:r>
        <w:rPr>
          <w:rFonts w:ascii="Arial" w:hAnsi="Arial" w:cs="Arial"/>
          <w:sz w:val="24"/>
          <w:szCs w:val="24"/>
        </w:rPr>
        <w:t>attachers</w:t>
      </w:r>
      <w:proofErr w:type="spellEnd"/>
      <w:r>
        <w:rPr>
          <w:rFonts w:ascii="Arial" w:hAnsi="Arial" w:cs="Arial"/>
          <w:sz w:val="24"/>
          <w:szCs w:val="24"/>
        </w:rPr>
        <w:t xml:space="preserve"> as the billing determinant.</w:t>
      </w:r>
    </w:p>
    <w:p w:rsidR="00D249B3" w:rsidRDefault="00D11F0B" w:rsidP="0086788C">
      <w:pPr>
        <w:spacing w:after="120" w:line="360" w:lineRule="auto"/>
        <w:rPr>
          <w:rFonts w:ascii="Arial" w:hAnsi="Arial" w:cs="Arial"/>
          <w:sz w:val="24"/>
          <w:szCs w:val="24"/>
        </w:rPr>
      </w:pPr>
      <w:r>
        <w:rPr>
          <w:rFonts w:ascii="Arial" w:hAnsi="Arial" w:cs="Arial"/>
          <w:sz w:val="24"/>
          <w:szCs w:val="24"/>
        </w:rPr>
        <w:t>T</w:t>
      </w:r>
      <w:r w:rsidR="00D249B3">
        <w:rPr>
          <w:rFonts w:ascii="Arial" w:hAnsi="Arial" w:cs="Arial"/>
          <w:sz w:val="24"/>
          <w:szCs w:val="24"/>
        </w:rPr>
        <w:t>he OEB Draft Report</w:t>
      </w:r>
      <w:r w:rsidR="00286727">
        <w:rPr>
          <w:rStyle w:val="FootnoteReference"/>
          <w:rFonts w:ascii="Arial" w:hAnsi="Arial" w:cs="Arial"/>
          <w:sz w:val="24"/>
          <w:szCs w:val="24"/>
        </w:rPr>
        <w:footnoteReference w:id="20"/>
      </w:r>
      <w:r w:rsidR="00D249B3">
        <w:rPr>
          <w:rFonts w:ascii="Arial" w:hAnsi="Arial" w:cs="Arial"/>
          <w:sz w:val="24"/>
          <w:szCs w:val="24"/>
        </w:rPr>
        <w:t xml:space="preserve"> indicates that the Board will require LDCs to begin collecting and tracking attachment data.  VECC supports this initiative as, in the long run, attachments as opposed to </w:t>
      </w:r>
      <w:proofErr w:type="spellStart"/>
      <w:r w:rsidR="00D249B3">
        <w:rPr>
          <w:rFonts w:ascii="Arial" w:hAnsi="Arial" w:cs="Arial"/>
          <w:sz w:val="24"/>
          <w:szCs w:val="24"/>
        </w:rPr>
        <w:t>attachers</w:t>
      </w:r>
      <w:proofErr w:type="spellEnd"/>
      <w:r w:rsidR="00D249B3">
        <w:rPr>
          <w:rFonts w:ascii="Arial" w:hAnsi="Arial" w:cs="Arial"/>
          <w:sz w:val="24"/>
          <w:szCs w:val="24"/>
        </w:rPr>
        <w:t xml:space="preserve"> is likely the better reflects a third party’s usage of the pole.</w:t>
      </w:r>
    </w:p>
    <w:p w:rsidR="00552671" w:rsidRPr="00552671" w:rsidRDefault="00552671" w:rsidP="00552671">
      <w:pPr>
        <w:pStyle w:val="ListParagraph"/>
        <w:numPr>
          <w:ilvl w:val="1"/>
          <w:numId w:val="1"/>
        </w:numPr>
        <w:spacing w:after="120" w:line="360" w:lineRule="auto"/>
        <w:rPr>
          <w:rFonts w:ascii="Arial" w:hAnsi="Arial" w:cs="Arial"/>
          <w:sz w:val="24"/>
          <w:szCs w:val="24"/>
          <w:u w:val="single"/>
        </w:rPr>
      </w:pPr>
      <w:r w:rsidRPr="00552671">
        <w:rPr>
          <w:rFonts w:ascii="Arial" w:hAnsi="Arial" w:cs="Arial"/>
          <w:sz w:val="24"/>
          <w:szCs w:val="24"/>
          <w:u w:val="single"/>
        </w:rPr>
        <w:lastRenderedPageBreak/>
        <w:t xml:space="preserve">Number of </w:t>
      </w:r>
      <w:proofErr w:type="spellStart"/>
      <w:r w:rsidRPr="00552671">
        <w:rPr>
          <w:rFonts w:ascii="Arial" w:hAnsi="Arial" w:cs="Arial"/>
          <w:sz w:val="24"/>
          <w:szCs w:val="24"/>
          <w:u w:val="single"/>
        </w:rPr>
        <w:t>Attachers</w:t>
      </w:r>
      <w:proofErr w:type="spellEnd"/>
      <w:r>
        <w:rPr>
          <w:rStyle w:val="FootnoteReference"/>
          <w:rFonts w:ascii="Arial" w:hAnsi="Arial" w:cs="Arial"/>
          <w:sz w:val="24"/>
          <w:szCs w:val="24"/>
          <w:u w:val="single"/>
        </w:rPr>
        <w:footnoteReference w:id="21"/>
      </w:r>
    </w:p>
    <w:p w:rsidR="00552671" w:rsidRDefault="00ED62C1" w:rsidP="00552671">
      <w:pPr>
        <w:spacing w:after="120" w:line="360" w:lineRule="auto"/>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Nordicity</w:t>
      </w:r>
      <w:proofErr w:type="spellEnd"/>
      <w:r>
        <w:rPr>
          <w:rFonts w:ascii="Arial" w:hAnsi="Arial" w:cs="Arial"/>
          <w:sz w:val="24"/>
          <w:szCs w:val="24"/>
        </w:rPr>
        <w:t xml:space="preserve"> Report concludes that it is more appropriate to base the number of </w:t>
      </w:r>
      <w:proofErr w:type="spellStart"/>
      <w:r>
        <w:rPr>
          <w:rFonts w:ascii="Arial" w:hAnsi="Arial" w:cs="Arial"/>
          <w:sz w:val="24"/>
          <w:szCs w:val="24"/>
        </w:rPr>
        <w:t>attachers</w:t>
      </w:r>
      <w:proofErr w:type="spellEnd"/>
      <w:r>
        <w:rPr>
          <w:rFonts w:ascii="Arial" w:hAnsi="Arial" w:cs="Arial"/>
          <w:sz w:val="24"/>
          <w:szCs w:val="24"/>
        </w:rPr>
        <w:t xml:space="preserve"> on the actual number of </w:t>
      </w:r>
      <w:proofErr w:type="spellStart"/>
      <w:r>
        <w:rPr>
          <w:rFonts w:ascii="Arial" w:hAnsi="Arial" w:cs="Arial"/>
          <w:sz w:val="24"/>
          <w:szCs w:val="24"/>
        </w:rPr>
        <w:t>attachers</w:t>
      </w:r>
      <w:proofErr w:type="spellEnd"/>
      <w:r>
        <w:rPr>
          <w:rFonts w:ascii="Arial" w:hAnsi="Arial" w:cs="Arial"/>
          <w:sz w:val="24"/>
          <w:szCs w:val="24"/>
        </w:rPr>
        <w:t xml:space="preserve"> as opposed to a presumptive average.  Based on the data provided by four utilities (Hydro One, Hydro Ottawa, London Hydro and Horizon), </w:t>
      </w:r>
      <w:proofErr w:type="spellStart"/>
      <w:r>
        <w:rPr>
          <w:rFonts w:ascii="Arial" w:hAnsi="Arial" w:cs="Arial"/>
          <w:sz w:val="24"/>
          <w:szCs w:val="24"/>
        </w:rPr>
        <w:t>Nordicity</w:t>
      </w:r>
      <w:proofErr w:type="spellEnd"/>
      <w:r>
        <w:rPr>
          <w:rFonts w:ascii="Arial" w:hAnsi="Arial" w:cs="Arial"/>
          <w:sz w:val="24"/>
          <w:szCs w:val="24"/>
        </w:rPr>
        <w:t xml:space="preserve"> has determined that the avera</w:t>
      </w:r>
      <w:r w:rsidR="000B02FC">
        <w:rPr>
          <w:rFonts w:ascii="Arial" w:hAnsi="Arial" w:cs="Arial"/>
          <w:sz w:val="24"/>
          <w:szCs w:val="24"/>
        </w:rPr>
        <w:t xml:space="preserve">ge number of </w:t>
      </w:r>
      <w:proofErr w:type="spellStart"/>
      <w:r w:rsidR="000B02FC">
        <w:rPr>
          <w:rFonts w:ascii="Arial" w:hAnsi="Arial" w:cs="Arial"/>
          <w:sz w:val="24"/>
          <w:szCs w:val="24"/>
        </w:rPr>
        <w:t>attachers</w:t>
      </w:r>
      <w:proofErr w:type="spellEnd"/>
      <w:r w:rsidR="000B02FC">
        <w:rPr>
          <w:rFonts w:ascii="Arial" w:hAnsi="Arial" w:cs="Arial"/>
          <w:sz w:val="24"/>
          <w:szCs w:val="24"/>
        </w:rPr>
        <w:t xml:space="preserve"> per pole</w:t>
      </w:r>
      <w:r>
        <w:rPr>
          <w:rFonts w:ascii="Arial" w:hAnsi="Arial" w:cs="Arial"/>
          <w:sz w:val="24"/>
          <w:szCs w:val="24"/>
        </w:rPr>
        <w:t xml:space="preserve"> with wireline attachments (excluding power) is 1.3</w:t>
      </w:r>
      <w:r>
        <w:rPr>
          <w:rStyle w:val="FootnoteReference"/>
          <w:rFonts w:ascii="Arial" w:hAnsi="Arial" w:cs="Arial"/>
          <w:sz w:val="24"/>
          <w:szCs w:val="24"/>
        </w:rPr>
        <w:footnoteReference w:id="22"/>
      </w:r>
      <w:r>
        <w:rPr>
          <w:rFonts w:ascii="Arial" w:hAnsi="Arial" w:cs="Arial"/>
          <w:sz w:val="24"/>
          <w:szCs w:val="24"/>
        </w:rPr>
        <w:t xml:space="preserve">.  </w:t>
      </w:r>
      <w:proofErr w:type="spellStart"/>
      <w:r>
        <w:rPr>
          <w:rFonts w:ascii="Arial" w:hAnsi="Arial" w:cs="Arial"/>
          <w:sz w:val="24"/>
          <w:szCs w:val="24"/>
        </w:rPr>
        <w:t>Nordicity</w:t>
      </w:r>
      <w:proofErr w:type="spellEnd"/>
      <w:r>
        <w:rPr>
          <w:rFonts w:ascii="Arial" w:hAnsi="Arial" w:cs="Arial"/>
          <w:sz w:val="24"/>
          <w:szCs w:val="24"/>
        </w:rPr>
        <w:t xml:space="preserve"> also assumes that all o</w:t>
      </w:r>
      <w:r w:rsidR="00E41453">
        <w:rPr>
          <w:rFonts w:ascii="Arial" w:hAnsi="Arial" w:cs="Arial"/>
          <w:sz w:val="24"/>
          <w:szCs w:val="24"/>
        </w:rPr>
        <w:t>f</w:t>
      </w:r>
      <w:r>
        <w:rPr>
          <w:rFonts w:ascii="Arial" w:hAnsi="Arial" w:cs="Arial"/>
          <w:sz w:val="24"/>
          <w:szCs w:val="24"/>
        </w:rPr>
        <w:t xml:space="preserve"> these </w:t>
      </w:r>
      <w:proofErr w:type="spellStart"/>
      <w:r>
        <w:rPr>
          <w:rFonts w:ascii="Arial" w:hAnsi="Arial" w:cs="Arial"/>
          <w:sz w:val="24"/>
          <w:szCs w:val="24"/>
        </w:rPr>
        <w:t>attachers</w:t>
      </w:r>
      <w:proofErr w:type="spellEnd"/>
      <w:r>
        <w:rPr>
          <w:rFonts w:ascii="Arial" w:hAnsi="Arial" w:cs="Arial"/>
          <w:sz w:val="24"/>
          <w:szCs w:val="24"/>
        </w:rPr>
        <w:t xml:space="preserve"> are located in the communications space</w:t>
      </w:r>
      <w:r>
        <w:rPr>
          <w:rStyle w:val="FootnoteReference"/>
          <w:rFonts w:ascii="Arial" w:hAnsi="Arial" w:cs="Arial"/>
          <w:sz w:val="24"/>
          <w:szCs w:val="24"/>
        </w:rPr>
        <w:footnoteReference w:id="23"/>
      </w:r>
      <w:r>
        <w:rPr>
          <w:rFonts w:ascii="Arial" w:hAnsi="Arial" w:cs="Arial"/>
          <w:sz w:val="24"/>
          <w:szCs w:val="24"/>
        </w:rPr>
        <w:t>.</w:t>
      </w:r>
      <w:r w:rsidR="00075882">
        <w:rPr>
          <w:rFonts w:ascii="Arial" w:hAnsi="Arial" w:cs="Arial"/>
          <w:sz w:val="24"/>
          <w:szCs w:val="24"/>
        </w:rPr>
        <w:t xml:space="preserve">  The OEB Draft Report has adopted the 1.3 value for purposes of determining the Provincial Rate.</w:t>
      </w:r>
    </w:p>
    <w:p w:rsidR="00ED62C1" w:rsidRDefault="00075882" w:rsidP="00552671">
      <w:pPr>
        <w:spacing w:after="120" w:line="360" w:lineRule="auto"/>
        <w:rPr>
          <w:rFonts w:ascii="Arial" w:hAnsi="Arial" w:cs="Arial"/>
          <w:sz w:val="24"/>
          <w:szCs w:val="24"/>
        </w:rPr>
      </w:pPr>
      <w:r>
        <w:rPr>
          <w:rFonts w:ascii="Arial" w:hAnsi="Arial" w:cs="Arial"/>
          <w:sz w:val="24"/>
          <w:szCs w:val="24"/>
        </w:rPr>
        <w:t xml:space="preserve">It is understood that the 1.3 includes not only cable and telephone related </w:t>
      </w:r>
      <w:proofErr w:type="spellStart"/>
      <w:r>
        <w:rPr>
          <w:rFonts w:ascii="Arial" w:hAnsi="Arial" w:cs="Arial"/>
          <w:sz w:val="24"/>
          <w:szCs w:val="24"/>
        </w:rPr>
        <w:t>attachers</w:t>
      </w:r>
      <w:proofErr w:type="spellEnd"/>
      <w:r>
        <w:rPr>
          <w:rFonts w:ascii="Arial" w:hAnsi="Arial" w:cs="Arial"/>
          <w:sz w:val="24"/>
          <w:szCs w:val="24"/>
        </w:rPr>
        <w:t xml:space="preserve"> but also municipal </w:t>
      </w:r>
      <w:r w:rsidR="00D11F0B">
        <w:rPr>
          <w:rFonts w:ascii="Arial" w:hAnsi="Arial" w:cs="Arial"/>
          <w:sz w:val="24"/>
          <w:szCs w:val="24"/>
        </w:rPr>
        <w:t>street</w:t>
      </w:r>
      <w:r>
        <w:rPr>
          <w:rFonts w:ascii="Arial" w:hAnsi="Arial" w:cs="Arial"/>
          <w:sz w:val="24"/>
          <w:szCs w:val="24"/>
        </w:rPr>
        <w:t>light</w:t>
      </w:r>
      <w:r w:rsidR="00D11F0B">
        <w:rPr>
          <w:rFonts w:ascii="Arial" w:hAnsi="Arial" w:cs="Arial"/>
          <w:sz w:val="24"/>
          <w:szCs w:val="24"/>
        </w:rPr>
        <w:t>s</w:t>
      </w:r>
      <w:r>
        <w:rPr>
          <w:rFonts w:ascii="Arial" w:hAnsi="Arial" w:cs="Arial"/>
          <w:sz w:val="24"/>
          <w:szCs w:val="24"/>
        </w:rPr>
        <w:t xml:space="preserve"> and traffic light attachments</w:t>
      </w:r>
      <w:r w:rsidR="008655B3">
        <w:rPr>
          <w:rStyle w:val="FootnoteReference"/>
          <w:rFonts w:ascii="Arial" w:hAnsi="Arial" w:cs="Arial"/>
          <w:sz w:val="24"/>
          <w:szCs w:val="24"/>
        </w:rPr>
        <w:footnoteReference w:id="24"/>
      </w:r>
      <w:r>
        <w:rPr>
          <w:rFonts w:ascii="Arial" w:hAnsi="Arial" w:cs="Arial"/>
          <w:sz w:val="24"/>
          <w:szCs w:val="24"/>
        </w:rPr>
        <w:t xml:space="preserve"> as well as, in some instances, power line attachments by the distributors (and power generators).  This gives rise to a number of issues</w:t>
      </w:r>
      <w:r w:rsidR="008655B3">
        <w:rPr>
          <w:rFonts w:ascii="Arial" w:hAnsi="Arial" w:cs="Arial"/>
          <w:sz w:val="24"/>
          <w:szCs w:val="24"/>
        </w:rPr>
        <w:t>.</w:t>
      </w:r>
    </w:p>
    <w:p w:rsidR="00391340" w:rsidRDefault="008655B3" w:rsidP="00552671">
      <w:pPr>
        <w:spacing w:after="120" w:line="360" w:lineRule="auto"/>
        <w:rPr>
          <w:rFonts w:ascii="Arial" w:hAnsi="Arial" w:cs="Arial"/>
          <w:sz w:val="24"/>
          <w:szCs w:val="24"/>
        </w:rPr>
      </w:pPr>
      <w:r>
        <w:rPr>
          <w:rFonts w:ascii="Arial" w:hAnsi="Arial" w:cs="Arial"/>
          <w:sz w:val="24"/>
          <w:szCs w:val="24"/>
        </w:rPr>
        <w:t xml:space="preserve">First, not all of the non-telecom attachments will be located in the communications space.  Clearly, the power lines attachments by other utilities will be located in the power space.  Also, it is </w:t>
      </w:r>
      <w:proofErr w:type="gramStart"/>
      <w:r>
        <w:rPr>
          <w:rFonts w:ascii="Arial" w:hAnsi="Arial" w:cs="Arial"/>
          <w:sz w:val="24"/>
          <w:szCs w:val="24"/>
        </w:rPr>
        <w:t>VECC’s understanding</w:t>
      </w:r>
      <w:proofErr w:type="gramEnd"/>
      <w:r>
        <w:rPr>
          <w:rFonts w:ascii="Arial" w:hAnsi="Arial" w:cs="Arial"/>
          <w:sz w:val="24"/>
          <w:szCs w:val="24"/>
        </w:rPr>
        <w:t xml:space="preserve"> that streetlight attachments are frequently located in the power space.  This has implications for the allocation of the indirect costs as it will reduce the number of </w:t>
      </w:r>
      <w:proofErr w:type="spellStart"/>
      <w:r>
        <w:rPr>
          <w:rFonts w:ascii="Arial" w:hAnsi="Arial" w:cs="Arial"/>
          <w:sz w:val="24"/>
          <w:szCs w:val="24"/>
        </w:rPr>
        <w:t>attachers</w:t>
      </w:r>
      <w:proofErr w:type="spellEnd"/>
      <w:r>
        <w:rPr>
          <w:rFonts w:ascii="Arial" w:hAnsi="Arial" w:cs="Arial"/>
          <w:sz w:val="24"/>
          <w:szCs w:val="24"/>
        </w:rPr>
        <w:t xml:space="preserve"> sharing the communications (and separation) space to something less than 1.3</w:t>
      </w:r>
      <w:r w:rsidR="00D11F0B">
        <w:rPr>
          <w:rFonts w:ascii="Arial" w:hAnsi="Arial" w:cs="Arial"/>
          <w:sz w:val="24"/>
          <w:szCs w:val="24"/>
        </w:rPr>
        <w:t xml:space="preserve">. </w:t>
      </w:r>
      <w:r w:rsidR="00E6685B">
        <w:rPr>
          <w:rFonts w:ascii="Arial" w:hAnsi="Arial" w:cs="Arial"/>
          <w:sz w:val="24"/>
          <w:szCs w:val="24"/>
        </w:rPr>
        <w:t xml:space="preserve"> </w:t>
      </w:r>
      <w:r w:rsidR="00391340">
        <w:rPr>
          <w:rFonts w:ascii="Arial" w:hAnsi="Arial" w:cs="Arial"/>
          <w:sz w:val="24"/>
          <w:szCs w:val="24"/>
        </w:rPr>
        <w:t>VECC also notes that the issue is not trivial as utilities can have a significant number of streetlight attachments</w:t>
      </w:r>
      <w:r w:rsidR="00E41453">
        <w:rPr>
          <w:rStyle w:val="FootnoteReference"/>
          <w:rFonts w:ascii="Arial" w:hAnsi="Arial" w:cs="Arial"/>
          <w:sz w:val="24"/>
          <w:szCs w:val="24"/>
        </w:rPr>
        <w:footnoteReference w:id="25"/>
      </w:r>
      <w:r w:rsidR="00E41453">
        <w:rPr>
          <w:rFonts w:ascii="Arial" w:hAnsi="Arial" w:cs="Arial"/>
          <w:sz w:val="24"/>
          <w:szCs w:val="24"/>
        </w:rPr>
        <w:t>.</w:t>
      </w:r>
    </w:p>
    <w:p w:rsidR="008655B3" w:rsidRDefault="00E6685B" w:rsidP="00552671">
      <w:pPr>
        <w:spacing w:after="120" w:line="360" w:lineRule="auto"/>
        <w:rPr>
          <w:rFonts w:ascii="Arial" w:hAnsi="Arial" w:cs="Arial"/>
          <w:sz w:val="24"/>
          <w:szCs w:val="24"/>
        </w:rPr>
      </w:pPr>
      <w:r>
        <w:rPr>
          <w:rFonts w:ascii="Arial" w:hAnsi="Arial" w:cs="Arial"/>
          <w:sz w:val="24"/>
          <w:szCs w:val="24"/>
        </w:rPr>
        <w:t>VECC does not have access to the detailed data response</w:t>
      </w:r>
      <w:r w:rsidR="00391340">
        <w:rPr>
          <w:rFonts w:ascii="Arial" w:hAnsi="Arial" w:cs="Arial"/>
          <w:sz w:val="24"/>
          <w:szCs w:val="24"/>
        </w:rPr>
        <w:t>s</w:t>
      </w:r>
      <w:r>
        <w:rPr>
          <w:rFonts w:ascii="Arial" w:hAnsi="Arial" w:cs="Arial"/>
          <w:sz w:val="24"/>
          <w:szCs w:val="24"/>
        </w:rPr>
        <w:t xml:space="preserve"> provide</w:t>
      </w:r>
      <w:r w:rsidR="00D11F0B">
        <w:rPr>
          <w:rFonts w:ascii="Arial" w:hAnsi="Arial" w:cs="Arial"/>
          <w:sz w:val="24"/>
          <w:szCs w:val="24"/>
        </w:rPr>
        <w:t>d</w:t>
      </w:r>
      <w:r>
        <w:rPr>
          <w:rFonts w:ascii="Arial" w:hAnsi="Arial" w:cs="Arial"/>
          <w:sz w:val="24"/>
          <w:szCs w:val="24"/>
        </w:rPr>
        <w:t xml:space="preserve"> to </w:t>
      </w:r>
      <w:proofErr w:type="spellStart"/>
      <w:r>
        <w:rPr>
          <w:rFonts w:ascii="Arial" w:hAnsi="Arial" w:cs="Arial"/>
          <w:sz w:val="24"/>
          <w:szCs w:val="24"/>
        </w:rPr>
        <w:t>Nordicity</w:t>
      </w:r>
      <w:proofErr w:type="spellEnd"/>
      <w:r>
        <w:rPr>
          <w:rFonts w:ascii="Arial" w:hAnsi="Arial" w:cs="Arial"/>
          <w:sz w:val="24"/>
          <w:szCs w:val="24"/>
        </w:rPr>
        <w:t xml:space="preserve"> by the four utilities regarding the number of </w:t>
      </w:r>
      <w:proofErr w:type="spellStart"/>
      <w:r>
        <w:rPr>
          <w:rFonts w:ascii="Arial" w:hAnsi="Arial" w:cs="Arial"/>
          <w:sz w:val="24"/>
          <w:szCs w:val="24"/>
        </w:rPr>
        <w:t>attachers</w:t>
      </w:r>
      <w:proofErr w:type="spellEnd"/>
      <w:r>
        <w:rPr>
          <w:rFonts w:ascii="Arial" w:hAnsi="Arial" w:cs="Arial"/>
          <w:sz w:val="24"/>
          <w:szCs w:val="24"/>
        </w:rPr>
        <w:t xml:space="preserve"> per pole and therefore it is not clear if the number of </w:t>
      </w:r>
      <w:proofErr w:type="spellStart"/>
      <w:r>
        <w:rPr>
          <w:rFonts w:ascii="Arial" w:hAnsi="Arial" w:cs="Arial"/>
          <w:sz w:val="24"/>
          <w:szCs w:val="24"/>
        </w:rPr>
        <w:t>attachers</w:t>
      </w:r>
      <w:proofErr w:type="spellEnd"/>
      <w:r>
        <w:rPr>
          <w:rFonts w:ascii="Arial" w:hAnsi="Arial" w:cs="Arial"/>
          <w:sz w:val="24"/>
          <w:szCs w:val="24"/>
        </w:rPr>
        <w:t xml:space="preserve"> using the communication space can be readily identified.  </w:t>
      </w:r>
      <w:r w:rsidR="00E41453">
        <w:rPr>
          <w:rFonts w:ascii="Arial" w:hAnsi="Arial" w:cs="Arial"/>
          <w:sz w:val="24"/>
          <w:szCs w:val="24"/>
        </w:rPr>
        <w:t xml:space="preserve">If calculation of the number of </w:t>
      </w:r>
      <w:proofErr w:type="spellStart"/>
      <w:r w:rsidR="00E41453">
        <w:rPr>
          <w:rFonts w:ascii="Arial" w:hAnsi="Arial" w:cs="Arial"/>
          <w:sz w:val="24"/>
          <w:szCs w:val="24"/>
        </w:rPr>
        <w:t>attachers</w:t>
      </w:r>
      <w:proofErr w:type="spellEnd"/>
      <w:r w:rsidR="00E41453">
        <w:rPr>
          <w:rFonts w:ascii="Arial" w:hAnsi="Arial" w:cs="Arial"/>
          <w:sz w:val="24"/>
          <w:szCs w:val="24"/>
        </w:rPr>
        <w:t xml:space="preserve">, the allocation of indirect costs and the ultimate determination of the Provincial Rate cannot be adjusted to account for this issue, it simply provides further support for VECC’s earlier submission that individual utilities </w:t>
      </w:r>
      <w:r w:rsidR="00E41453">
        <w:rPr>
          <w:rFonts w:ascii="Arial" w:hAnsi="Arial" w:cs="Arial"/>
          <w:sz w:val="24"/>
          <w:szCs w:val="24"/>
        </w:rPr>
        <w:lastRenderedPageBreak/>
        <w:t>should be required (as part of their next rebasing application) to derived a utility specific wireline pole attachment rate based on their specific circumstances.</w:t>
      </w:r>
    </w:p>
    <w:p w:rsidR="005856AC" w:rsidRDefault="008655B3" w:rsidP="00552671">
      <w:pPr>
        <w:spacing w:after="120" w:line="360" w:lineRule="auto"/>
        <w:rPr>
          <w:rFonts w:ascii="Arial" w:hAnsi="Arial" w:cs="Arial"/>
          <w:sz w:val="24"/>
          <w:szCs w:val="24"/>
        </w:rPr>
      </w:pPr>
      <w:r>
        <w:rPr>
          <w:rFonts w:ascii="Arial" w:hAnsi="Arial" w:cs="Arial"/>
          <w:sz w:val="24"/>
          <w:szCs w:val="24"/>
        </w:rPr>
        <w:t xml:space="preserve">The second issue is that not all of these </w:t>
      </w:r>
      <w:proofErr w:type="spellStart"/>
      <w:r>
        <w:rPr>
          <w:rFonts w:ascii="Arial" w:hAnsi="Arial" w:cs="Arial"/>
          <w:sz w:val="24"/>
          <w:szCs w:val="24"/>
        </w:rPr>
        <w:t>attachers</w:t>
      </w:r>
      <w:proofErr w:type="spellEnd"/>
      <w:r>
        <w:rPr>
          <w:rFonts w:ascii="Arial" w:hAnsi="Arial" w:cs="Arial"/>
          <w:sz w:val="24"/>
          <w:szCs w:val="24"/>
        </w:rPr>
        <w:t xml:space="preserve"> actually pay </w:t>
      </w:r>
      <w:r w:rsidR="00E6685B">
        <w:rPr>
          <w:rFonts w:ascii="Arial" w:hAnsi="Arial" w:cs="Arial"/>
          <w:sz w:val="24"/>
          <w:szCs w:val="24"/>
        </w:rPr>
        <w:t xml:space="preserve">their host utility for being able to attach to the distribution poles.  This is particularly true </w:t>
      </w:r>
      <w:r w:rsidR="00D11F0B">
        <w:rPr>
          <w:rFonts w:ascii="Arial" w:hAnsi="Arial" w:cs="Arial"/>
          <w:sz w:val="24"/>
          <w:szCs w:val="24"/>
        </w:rPr>
        <w:t>in the case of municipal street</w:t>
      </w:r>
      <w:r w:rsidR="00E6685B">
        <w:rPr>
          <w:rFonts w:ascii="Arial" w:hAnsi="Arial" w:cs="Arial"/>
          <w:sz w:val="24"/>
          <w:szCs w:val="24"/>
        </w:rPr>
        <w:t xml:space="preserve">light attachments.  The question then arises as to whether, given the fact these </w:t>
      </w:r>
      <w:proofErr w:type="spellStart"/>
      <w:r w:rsidR="00E6685B">
        <w:rPr>
          <w:rFonts w:ascii="Arial" w:hAnsi="Arial" w:cs="Arial"/>
          <w:sz w:val="24"/>
          <w:szCs w:val="24"/>
        </w:rPr>
        <w:t>attachers</w:t>
      </w:r>
      <w:proofErr w:type="spellEnd"/>
      <w:r w:rsidR="00E6685B">
        <w:rPr>
          <w:rFonts w:ascii="Arial" w:hAnsi="Arial" w:cs="Arial"/>
          <w:sz w:val="24"/>
          <w:szCs w:val="24"/>
        </w:rPr>
        <w:t xml:space="preserve"> do not pay, should they be included in the </w:t>
      </w:r>
      <w:proofErr w:type="spellStart"/>
      <w:r w:rsidR="00E6685B">
        <w:rPr>
          <w:rFonts w:ascii="Arial" w:hAnsi="Arial" w:cs="Arial"/>
          <w:sz w:val="24"/>
          <w:szCs w:val="24"/>
        </w:rPr>
        <w:t>attacher</w:t>
      </w:r>
      <w:proofErr w:type="spellEnd"/>
      <w:r w:rsidR="00E6685B">
        <w:rPr>
          <w:rFonts w:ascii="Arial" w:hAnsi="Arial" w:cs="Arial"/>
          <w:sz w:val="24"/>
          <w:szCs w:val="24"/>
        </w:rPr>
        <w:t xml:space="preserve"> count used in determining the wireline pole attachment rate.  Although identified as an issue at the first PAWG meeting</w:t>
      </w:r>
      <w:r w:rsidR="00E6685B">
        <w:rPr>
          <w:rStyle w:val="FootnoteReference"/>
          <w:rFonts w:ascii="Arial" w:hAnsi="Arial" w:cs="Arial"/>
          <w:sz w:val="24"/>
          <w:szCs w:val="24"/>
        </w:rPr>
        <w:footnoteReference w:id="26"/>
      </w:r>
      <w:r w:rsidR="00E6685B">
        <w:rPr>
          <w:rFonts w:ascii="Arial" w:hAnsi="Arial" w:cs="Arial"/>
          <w:sz w:val="24"/>
          <w:szCs w:val="24"/>
        </w:rPr>
        <w:t xml:space="preserve">, this issue was not addressed in either the </w:t>
      </w:r>
      <w:proofErr w:type="spellStart"/>
      <w:r w:rsidR="00E6685B">
        <w:rPr>
          <w:rFonts w:ascii="Arial" w:hAnsi="Arial" w:cs="Arial"/>
          <w:sz w:val="24"/>
          <w:szCs w:val="24"/>
        </w:rPr>
        <w:t>Nordicity</w:t>
      </w:r>
      <w:proofErr w:type="spellEnd"/>
      <w:r w:rsidR="00E6685B">
        <w:rPr>
          <w:rFonts w:ascii="Arial" w:hAnsi="Arial" w:cs="Arial"/>
          <w:sz w:val="24"/>
          <w:szCs w:val="24"/>
        </w:rPr>
        <w:t xml:space="preserve"> Report or the OEB’s Draft Report.</w:t>
      </w:r>
      <w:r w:rsidR="00E41453">
        <w:rPr>
          <w:rFonts w:ascii="Arial" w:hAnsi="Arial" w:cs="Arial"/>
          <w:sz w:val="24"/>
          <w:szCs w:val="24"/>
        </w:rPr>
        <w:t xml:space="preserve">  </w:t>
      </w:r>
    </w:p>
    <w:p w:rsidR="008655B3" w:rsidRPr="00552671" w:rsidRDefault="005856AC" w:rsidP="00552671">
      <w:pPr>
        <w:spacing w:after="120" w:line="360" w:lineRule="auto"/>
        <w:rPr>
          <w:rFonts w:ascii="Arial" w:hAnsi="Arial" w:cs="Arial"/>
          <w:sz w:val="24"/>
          <w:szCs w:val="24"/>
        </w:rPr>
      </w:pPr>
      <w:r>
        <w:rPr>
          <w:rFonts w:ascii="Arial" w:hAnsi="Arial" w:cs="Arial"/>
          <w:sz w:val="24"/>
          <w:szCs w:val="24"/>
        </w:rPr>
        <w:t>In VECC’s view this issue is similar to the issue discussed in the Board’s Draft Report</w:t>
      </w:r>
      <w:r>
        <w:rPr>
          <w:rStyle w:val="FootnoteReference"/>
          <w:rFonts w:ascii="Arial" w:hAnsi="Arial" w:cs="Arial"/>
          <w:sz w:val="24"/>
          <w:szCs w:val="24"/>
        </w:rPr>
        <w:footnoteReference w:id="27"/>
      </w:r>
      <w:r>
        <w:rPr>
          <w:rFonts w:ascii="Arial" w:hAnsi="Arial" w:cs="Arial"/>
          <w:sz w:val="24"/>
          <w:szCs w:val="24"/>
        </w:rPr>
        <w:t xml:space="preserve"> regarding the treatment of the Bell Canada Agreements with LDCs and the resolution depends on whether there is some form (either formal or informal) of cost sharing arrangement between the utility and municipality re</w:t>
      </w:r>
      <w:r w:rsidR="00D11F0B">
        <w:rPr>
          <w:rFonts w:ascii="Arial" w:hAnsi="Arial" w:cs="Arial"/>
          <w:sz w:val="24"/>
          <w:szCs w:val="24"/>
        </w:rPr>
        <w:t>garding the treatment of street</w:t>
      </w:r>
      <w:r>
        <w:rPr>
          <w:rFonts w:ascii="Arial" w:hAnsi="Arial" w:cs="Arial"/>
          <w:sz w:val="24"/>
          <w:szCs w:val="24"/>
        </w:rPr>
        <w:t xml:space="preserve">lights.  </w:t>
      </w:r>
      <w:r w:rsidR="00E41453">
        <w:rPr>
          <w:rFonts w:ascii="Arial" w:hAnsi="Arial" w:cs="Arial"/>
          <w:sz w:val="24"/>
          <w:szCs w:val="24"/>
        </w:rPr>
        <w:t>This is an issue that needs to be addressed on a utility by utility basis and again points to the need for individual utilities to apply for a utility specific wireline pole attachment rate as part of their next rebasing application.</w:t>
      </w:r>
    </w:p>
    <w:p w:rsidR="00552671" w:rsidRPr="005856AC" w:rsidRDefault="005856AC" w:rsidP="005856AC">
      <w:pPr>
        <w:pStyle w:val="ListParagraph"/>
        <w:numPr>
          <w:ilvl w:val="1"/>
          <w:numId w:val="1"/>
        </w:numPr>
        <w:spacing w:after="120" w:line="360" w:lineRule="auto"/>
        <w:rPr>
          <w:rFonts w:ascii="Arial" w:hAnsi="Arial" w:cs="Arial"/>
          <w:sz w:val="24"/>
          <w:szCs w:val="24"/>
          <w:u w:val="single"/>
        </w:rPr>
      </w:pPr>
      <w:r w:rsidRPr="005856AC">
        <w:rPr>
          <w:rFonts w:ascii="Arial" w:hAnsi="Arial" w:cs="Arial"/>
          <w:sz w:val="24"/>
          <w:szCs w:val="24"/>
          <w:u w:val="single"/>
        </w:rPr>
        <w:t>Direct Administration Costs</w:t>
      </w:r>
      <w:r>
        <w:rPr>
          <w:rStyle w:val="FootnoteReference"/>
          <w:rFonts w:ascii="Arial" w:hAnsi="Arial" w:cs="Arial"/>
          <w:sz w:val="24"/>
          <w:szCs w:val="24"/>
          <w:u w:val="single"/>
        </w:rPr>
        <w:footnoteReference w:id="28"/>
      </w:r>
    </w:p>
    <w:p w:rsidR="005856AC" w:rsidRDefault="005856AC" w:rsidP="005856AC">
      <w:pPr>
        <w:spacing w:after="120" w:line="360" w:lineRule="auto"/>
        <w:rPr>
          <w:rFonts w:ascii="Arial" w:hAnsi="Arial" w:cs="Arial"/>
          <w:sz w:val="24"/>
          <w:szCs w:val="24"/>
        </w:rPr>
      </w:pPr>
      <w:r w:rsidRPr="005856AC">
        <w:rPr>
          <w:rFonts w:ascii="Arial" w:hAnsi="Arial" w:cs="Arial"/>
          <w:sz w:val="24"/>
          <w:szCs w:val="24"/>
        </w:rPr>
        <w:t>For Administration costs</w:t>
      </w:r>
      <w:r>
        <w:rPr>
          <w:rFonts w:ascii="Arial" w:hAnsi="Arial" w:cs="Arial"/>
          <w:sz w:val="24"/>
          <w:szCs w:val="24"/>
        </w:rPr>
        <w:t xml:space="preserve">, the </w:t>
      </w:r>
      <w:proofErr w:type="spellStart"/>
      <w:r>
        <w:rPr>
          <w:rFonts w:ascii="Arial" w:hAnsi="Arial" w:cs="Arial"/>
          <w:sz w:val="24"/>
          <w:szCs w:val="24"/>
        </w:rPr>
        <w:t>Nordicity</w:t>
      </w:r>
      <w:proofErr w:type="spellEnd"/>
      <w:r>
        <w:rPr>
          <w:rFonts w:ascii="Arial" w:hAnsi="Arial" w:cs="Arial"/>
          <w:sz w:val="24"/>
          <w:szCs w:val="24"/>
        </w:rPr>
        <w:t xml:space="preserve"> Report</w:t>
      </w:r>
      <w:r>
        <w:rPr>
          <w:rStyle w:val="FootnoteReference"/>
          <w:rFonts w:ascii="Arial" w:hAnsi="Arial" w:cs="Arial"/>
          <w:sz w:val="24"/>
          <w:szCs w:val="24"/>
        </w:rPr>
        <w:footnoteReference w:id="29"/>
      </w:r>
      <w:r w:rsidRPr="005856AC">
        <w:rPr>
          <w:rFonts w:ascii="Arial" w:hAnsi="Arial" w:cs="Arial"/>
          <w:sz w:val="24"/>
          <w:szCs w:val="24"/>
        </w:rPr>
        <w:t xml:space="preserve"> uses the average of:  </w:t>
      </w:r>
      <w:proofErr w:type="spellStart"/>
      <w:r w:rsidRPr="005856AC">
        <w:rPr>
          <w:rFonts w:ascii="Arial" w:hAnsi="Arial" w:cs="Arial"/>
          <w:sz w:val="24"/>
          <w:szCs w:val="24"/>
        </w:rPr>
        <w:t>i</w:t>
      </w:r>
      <w:proofErr w:type="spellEnd"/>
      <w:r w:rsidRPr="005856AC">
        <w:rPr>
          <w:rFonts w:ascii="Arial" w:hAnsi="Arial" w:cs="Arial"/>
          <w:sz w:val="24"/>
          <w:szCs w:val="24"/>
        </w:rPr>
        <w:t>) the cost in the 2005 Decision adjusted for inflation to 2015 and ii) the Toronto 2012 Administration costs adjusted for inflation to 2015.</w:t>
      </w:r>
      <w:r>
        <w:rPr>
          <w:rFonts w:ascii="Arial" w:hAnsi="Arial" w:cs="Arial"/>
          <w:sz w:val="24"/>
          <w:szCs w:val="24"/>
        </w:rPr>
        <w:t xml:space="preserve">  In contrast, the OEB’s Draft Report uses the </w:t>
      </w:r>
      <w:r w:rsidR="007066D4">
        <w:rPr>
          <w:rFonts w:ascii="Arial" w:hAnsi="Arial" w:cs="Arial"/>
          <w:sz w:val="24"/>
          <w:szCs w:val="24"/>
        </w:rPr>
        <w:t>average of the Administration cost reported for Toronto Hydro, Ottawa Hydro and Hydro One in their respective applications.   Also, the OEB’s Draft Report escalates t</w:t>
      </w:r>
      <w:r w:rsidR="007066D4" w:rsidRPr="007066D4">
        <w:rPr>
          <w:rFonts w:ascii="Arial" w:hAnsi="Arial" w:cs="Arial"/>
          <w:sz w:val="24"/>
          <w:szCs w:val="24"/>
        </w:rPr>
        <w:t xml:space="preserve">he resulting costs to </w:t>
      </w:r>
      <w:r w:rsidR="007066D4">
        <w:rPr>
          <w:rFonts w:ascii="Arial" w:hAnsi="Arial" w:cs="Arial"/>
          <w:sz w:val="24"/>
          <w:szCs w:val="24"/>
        </w:rPr>
        <w:t>a 2018 value</w:t>
      </w:r>
      <w:r w:rsidR="007066D4" w:rsidRPr="007066D4">
        <w:rPr>
          <w:rFonts w:ascii="Arial" w:hAnsi="Arial" w:cs="Arial"/>
          <w:sz w:val="24"/>
          <w:szCs w:val="24"/>
        </w:rPr>
        <w:t xml:space="preserve"> using the Board’s inflation factors for incentive rate setting f</w:t>
      </w:r>
      <w:r w:rsidR="007066D4">
        <w:rPr>
          <w:rFonts w:ascii="Arial" w:hAnsi="Arial" w:cs="Arial"/>
          <w:sz w:val="24"/>
          <w:szCs w:val="24"/>
        </w:rPr>
        <w:t>or 2015/16, 2016/17 and 2017/18</w:t>
      </w:r>
      <w:r w:rsidR="007066D4" w:rsidRPr="007066D4">
        <w:rPr>
          <w:rFonts w:ascii="Arial" w:hAnsi="Arial" w:cs="Arial"/>
          <w:sz w:val="24"/>
          <w:szCs w:val="24"/>
        </w:rPr>
        <w:t>.</w:t>
      </w:r>
    </w:p>
    <w:p w:rsidR="007066D4" w:rsidRDefault="007066D4" w:rsidP="005856AC">
      <w:pPr>
        <w:spacing w:after="120" w:line="360" w:lineRule="auto"/>
        <w:rPr>
          <w:rFonts w:ascii="Arial" w:hAnsi="Arial" w:cs="Arial"/>
          <w:sz w:val="24"/>
          <w:szCs w:val="24"/>
        </w:rPr>
      </w:pPr>
      <w:r>
        <w:rPr>
          <w:rFonts w:ascii="Arial" w:hAnsi="Arial" w:cs="Arial"/>
          <w:sz w:val="24"/>
          <w:szCs w:val="24"/>
        </w:rPr>
        <w:t xml:space="preserve">In VECC’s view the approach used by the OEB is preferable to that of </w:t>
      </w:r>
      <w:proofErr w:type="spellStart"/>
      <w:r>
        <w:rPr>
          <w:rFonts w:ascii="Arial" w:hAnsi="Arial" w:cs="Arial"/>
          <w:sz w:val="24"/>
          <w:szCs w:val="24"/>
        </w:rPr>
        <w:t>Nordicity</w:t>
      </w:r>
      <w:proofErr w:type="spellEnd"/>
      <w:r>
        <w:rPr>
          <w:rFonts w:ascii="Arial" w:hAnsi="Arial" w:cs="Arial"/>
          <w:sz w:val="24"/>
          <w:szCs w:val="24"/>
        </w:rPr>
        <w:t>.  However there are still a couple of issues that nee</w:t>
      </w:r>
      <w:r w:rsidR="000F0847">
        <w:rPr>
          <w:rFonts w:ascii="Arial" w:hAnsi="Arial" w:cs="Arial"/>
          <w:sz w:val="24"/>
          <w:szCs w:val="24"/>
        </w:rPr>
        <w:t xml:space="preserve">d to be addressed.  First, the OEB’s calculation (as set out in the Draft </w:t>
      </w:r>
      <w:proofErr w:type="spellStart"/>
      <w:r w:rsidR="000F0847">
        <w:rPr>
          <w:rFonts w:ascii="Arial" w:hAnsi="Arial" w:cs="Arial"/>
          <w:sz w:val="24"/>
          <w:szCs w:val="24"/>
        </w:rPr>
        <w:t>WorkForm</w:t>
      </w:r>
      <w:proofErr w:type="spellEnd"/>
      <w:r w:rsidR="000F0847">
        <w:rPr>
          <w:rFonts w:ascii="Arial" w:hAnsi="Arial" w:cs="Arial"/>
          <w:sz w:val="24"/>
          <w:szCs w:val="24"/>
        </w:rPr>
        <w:t xml:space="preserve">) appears to use a weighted average </w:t>
      </w:r>
      <w:r w:rsidR="000F0847">
        <w:rPr>
          <w:rFonts w:ascii="Arial" w:hAnsi="Arial" w:cs="Arial"/>
          <w:sz w:val="24"/>
          <w:szCs w:val="24"/>
        </w:rPr>
        <w:lastRenderedPageBreak/>
        <w:t xml:space="preserve">based on the number of </w:t>
      </w:r>
      <w:proofErr w:type="spellStart"/>
      <w:r w:rsidR="000F0847">
        <w:rPr>
          <w:rFonts w:ascii="Arial" w:hAnsi="Arial" w:cs="Arial"/>
          <w:sz w:val="24"/>
          <w:szCs w:val="24"/>
        </w:rPr>
        <w:t>attachers</w:t>
      </w:r>
      <w:proofErr w:type="spellEnd"/>
      <w:r w:rsidR="000F0847">
        <w:rPr>
          <w:rFonts w:ascii="Arial" w:hAnsi="Arial" w:cs="Arial"/>
          <w:sz w:val="24"/>
          <w:szCs w:val="24"/>
        </w:rPr>
        <w:t xml:space="preserve"> in each utility.  It is not at all clear to VECC that this is the appropriate approach as opposed to</w:t>
      </w:r>
      <w:r w:rsidR="00D11F0B">
        <w:rPr>
          <w:rFonts w:ascii="Arial" w:hAnsi="Arial" w:cs="Arial"/>
          <w:sz w:val="24"/>
          <w:szCs w:val="24"/>
        </w:rPr>
        <w:t xml:space="preserve">:  </w:t>
      </w:r>
      <w:proofErr w:type="spellStart"/>
      <w:r w:rsidR="00D11F0B">
        <w:rPr>
          <w:rFonts w:ascii="Arial" w:hAnsi="Arial" w:cs="Arial"/>
          <w:sz w:val="24"/>
          <w:szCs w:val="24"/>
        </w:rPr>
        <w:t>i</w:t>
      </w:r>
      <w:proofErr w:type="spellEnd"/>
      <w:r w:rsidR="00D11F0B">
        <w:rPr>
          <w:rFonts w:ascii="Arial" w:hAnsi="Arial" w:cs="Arial"/>
          <w:sz w:val="24"/>
          <w:szCs w:val="24"/>
        </w:rPr>
        <w:t xml:space="preserve">) </w:t>
      </w:r>
      <w:r w:rsidR="000F0847">
        <w:rPr>
          <w:rFonts w:ascii="Arial" w:hAnsi="Arial" w:cs="Arial"/>
          <w:sz w:val="24"/>
          <w:szCs w:val="24"/>
        </w:rPr>
        <w:t xml:space="preserve"> a simple average of the three administration costs (each expressed per </w:t>
      </w:r>
      <w:proofErr w:type="spellStart"/>
      <w:r w:rsidR="000F0847">
        <w:rPr>
          <w:rFonts w:ascii="Arial" w:hAnsi="Arial" w:cs="Arial"/>
          <w:sz w:val="24"/>
          <w:szCs w:val="24"/>
        </w:rPr>
        <w:t>attacher</w:t>
      </w:r>
      <w:proofErr w:type="spellEnd"/>
      <w:r w:rsidR="000F0847">
        <w:rPr>
          <w:rFonts w:ascii="Arial" w:hAnsi="Arial" w:cs="Arial"/>
          <w:sz w:val="24"/>
          <w:szCs w:val="24"/>
        </w:rPr>
        <w:t xml:space="preserve"> per pole)</w:t>
      </w:r>
      <w:r w:rsidR="00D11F0B">
        <w:rPr>
          <w:rFonts w:ascii="Arial" w:hAnsi="Arial" w:cs="Arial"/>
          <w:sz w:val="24"/>
          <w:szCs w:val="24"/>
        </w:rPr>
        <w:t xml:space="preserve"> or ii) a calculation based on the total Administration cost for these utilities divided by the total number of pole </w:t>
      </w:r>
      <w:proofErr w:type="spellStart"/>
      <w:r w:rsidR="00D11F0B">
        <w:rPr>
          <w:rFonts w:ascii="Arial" w:hAnsi="Arial" w:cs="Arial"/>
          <w:sz w:val="24"/>
          <w:szCs w:val="24"/>
        </w:rPr>
        <w:t>attachers</w:t>
      </w:r>
      <w:proofErr w:type="spellEnd"/>
      <w:r w:rsidR="00D11F0B">
        <w:rPr>
          <w:rFonts w:ascii="Arial" w:hAnsi="Arial" w:cs="Arial"/>
          <w:sz w:val="24"/>
          <w:szCs w:val="24"/>
        </w:rPr>
        <w:t>.</w:t>
      </w:r>
    </w:p>
    <w:p w:rsidR="000F0847" w:rsidRDefault="000F0847" w:rsidP="005856AC">
      <w:pPr>
        <w:spacing w:after="120" w:line="360" w:lineRule="auto"/>
        <w:rPr>
          <w:rFonts w:ascii="Arial" w:hAnsi="Arial" w:cs="Arial"/>
          <w:sz w:val="24"/>
          <w:szCs w:val="24"/>
        </w:rPr>
      </w:pPr>
      <w:r>
        <w:rPr>
          <w:rFonts w:ascii="Arial" w:hAnsi="Arial" w:cs="Arial"/>
          <w:sz w:val="24"/>
          <w:szCs w:val="24"/>
        </w:rPr>
        <w:t>Also, it is not immediately clear to VECC that the values in each Application were derived using 2015 costs and therefore a common inflation factor is applicable.  However, this is matter than can be readily verified and corrected as needed.</w:t>
      </w:r>
    </w:p>
    <w:p w:rsidR="000F0847" w:rsidRPr="000F0847" w:rsidRDefault="005A5397" w:rsidP="000F0847">
      <w:pPr>
        <w:pStyle w:val="ListParagraph"/>
        <w:numPr>
          <w:ilvl w:val="1"/>
          <w:numId w:val="1"/>
        </w:numPr>
        <w:spacing w:after="120" w:line="360" w:lineRule="auto"/>
        <w:rPr>
          <w:rFonts w:ascii="Arial" w:hAnsi="Arial" w:cs="Arial"/>
          <w:sz w:val="24"/>
          <w:szCs w:val="24"/>
          <w:u w:val="single"/>
        </w:rPr>
      </w:pPr>
      <w:r>
        <w:rPr>
          <w:rFonts w:ascii="Arial" w:hAnsi="Arial" w:cs="Arial"/>
          <w:sz w:val="24"/>
          <w:szCs w:val="24"/>
          <w:u w:val="single"/>
        </w:rPr>
        <w:t xml:space="preserve">Direct </w:t>
      </w:r>
      <w:r w:rsidR="000F0847" w:rsidRPr="000F0847">
        <w:rPr>
          <w:rFonts w:ascii="Arial" w:hAnsi="Arial" w:cs="Arial"/>
          <w:sz w:val="24"/>
          <w:szCs w:val="24"/>
          <w:u w:val="single"/>
        </w:rPr>
        <w:t>Loss of Productivity</w:t>
      </w:r>
      <w:r>
        <w:rPr>
          <w:rFonts w:ascii="Arial" w:hAnsi="Arial" w:cs="Arial"/>
          <w:sz w:val="24"/>
          <w:szCs w:val="24"/>
          <w:u w:val="single"/>
        </w:rPr>
        <w:t xml:space="preserve"> Costs</w:t>
      </w:r>
      <w:r w:rsidR="00FF7050">
        <w:rPr>
          <w:rStyle w:val="FootnoteReference"/>
          <w:rFonts w:ascii="Arial" w:hAnsi="Arial" w:cs="Arial"/>
          <w:sz w:val="24"/>
          <w:szCs w:val="24"/>
          <w:u w:val="single"/>
        </w:rPr>
        <w:footnoteReference w:id="30"/>
      </w:r>
    </w:p>
    <w:p w:rsidR="000F0847" w:rsidRDefault="00FF7050" w:rsidP="000F0847">
      <w:pPr>
        <w:spacing w:after="120" w:line="360" w:lineRule="auto"/>
        <w:rPr>
          <w:rFonts w:ascii="Arial" w:hAnsi="Arial" w:cs="Arial"/>
          <w:sz w:val="24"/>
          <w:szCs w:val="24"/>
        </w:rPr>
      </w:pPr>
      <w:r>
        <w:rPr>
          <w:rFonts w:ascii="Arial" w:hAnsi="Arial" w:cs="Arial"/>
          <w:sz w:val="24"/>
          <w:szCs w:val="24"/>
        </w:rPr>
        <w:t xml:space="preserve">In its report </w:t>
      </w:r>
      <w:proofErr w:type="spellStart"/>
      <w:r>
        <w:rPr>
          <w:rFonts w:ascii="Arial" w:hAnsi="Arial" w:cs="Arial"/>
          <w:sz w:val="24"/>
          <w:szCs w:val="24"/>
        </w:rPr>
        <w:t>Nordicity</w:t>
      </w:r>
      <w:proofErr w:type="spellEnd"/>
      <w:r>
        <w:rPr>
          <w:rFonts w:ascii="Arial" w:hAnsi="Arial" w:cs="Arial"/>
          <w:sz w:val="24"/>
          <w:szCs w:val="24"/>
        </w:rPr>
        <w:t xml:space="preserve"> does not include any costs for Loss of Productivity but rather assumes that these costs will be captured if there is proper inclusion of the maintenance costs recorded in Accounts #5120 and #5135 as part of indirect costs of a pole</w:t>
      </w:r>
      <w:r>
        <w:rPr>
          <w:rStyle w:val="FootnoteReference"/>
          <w:rFonts w:ascii="Arial" w:hAnsi="Arial" w:cs="Arial"/>
          <w:sz w:val="24"/>
          <w:szCs w:val="24"/>
        </w:rPr>
        <w:footnoteReference w:id="31"/>
      </w:r>
      <w:r>
        <w:rPr>
          <w:rFonts w:ascii="Arial" w:hAnsi="Arial" w:cs="Arial"/>
          <w:sz w:val="24"/>
          <w:szCs w:val="24"/>
        </w:rPr>
        <w:t>.  In contrast, the OEB’s Draft Report specifically includes Loss of Productivity costs based on the values used in the Hydro One and Ottawa Hydro applications</w:t>
      </w:r>
      <w:r>
        <w:rPr>
          <w:rStyle w:val="FootnoteReference"/>
          <w:rFonts w:ascii="Arial" w:hAnsi="Arial" w:cs="Arial"/>
          <w:sz w:val="24"/>
          <w:szCs w:val="24"/>
        </w:rPr>
        <w:footnoteReference w:id="32"/>
      </w:r>
      <w:r>
        <w:rPr>
          <w:rFonts w:ascii="Arial" w:hAnsi="Arial" w:cs="Arial"/>
          <w:sz w:val="24"/>
          <w:szCs w:val="24"/>
        </w:rPr>
        <w:t xml:space="preserve">.  Again, the </w:t>
      </w:r>
      <w:r w:rsidRPr="00FF7050">
        <w:rPr>
          <w:rFonts w:ascii="Arial" w:hAnsi="Arial" w:cs="Arial"/>
          <w:sz w:val="24"/>
          <w:szCs w:val="24"/>
        </w:rPr>
        <w:t>OEB’s Draft Report escalates the resulting costs to a 2018 value using the Board’s inflation factors for incentive rate setting for 2015/16, 2016/17 and 2017/18.</w:t>
      </w:r>
    </w:p>
    <w:p w:rsidR="00FF7050" w:rsidRDefault="00FF7050" w:rsidP="000F0847">
      <w:pPr>
        <w:spacing w:after="120" w:line="360" w:lineRule="auto"/>
        <w:rPr>
          <w:rFonts w:ascii="Arial" w:hAnsi="Arial" w:cs="Arial"/>
          <w:sz w:val="24"/>
          <w:szCs w:val="24"/>
        </w:rPr>
      </w:pPr>
      <w:r>
        <w:rPr>
          <w:rFonts w:ascii="Arial" w:hAnsi="Arial" w:cs="Arial"/>
          <w:sz w:val="24"/>
          <w:szCs w:val="24"/>
        </w:rPr>
        <w:t xml:space="preserve">VECC notes that Loss of Productivity costs are typically based on incremental costs associated with pole replacement due to the presence of wireline attachments as well as dealing with trees on wires and wires down calls that are related to wireline attachments.  </w:t>
      </w:r>
      <w:r w:rsidR="00A931A9">
        <w:rPr>
          <w:rFonts w:ascii="Arial" w:hAnsi="Arial" w:cs="Arial"/>
          <w:sz w:val="24"/>
          <w:szCs w:val="24"/>
        </w:rPr>
        <w:t xml:space="preserve">The first of these costs categories (i.e., incremental pole replacement costs) </w:t>
      </w:r>
      <w:r w:rsidR="00D11F0B">
        <w:rPr>
          <w:rFonts w:ascii="Arial" w:hAnsi="Arial" w:cs="Arial"/>
          <w:sz w:val="24"/>
          <w:szCs w:val="24"/>
        </w:rPr>
        <w:t xml:space="preserve">is likely </w:t>
      </w:r>
      <w:r w:rsidR="00A931A9">
        <w:rPr>
          <w:rFonts w:ascii="Arial" w:hAnsi="Arial" w:cs="Arial"/>
          <w:sz w:val="24"/>
          <w:szCs w:val="24"/>
        </w:rPr>
        <w:t xml:space="preserve">captured in pole maintenance account (Account #5120) and therefore </w:t>
      </w:r>
      <w:r w:rsidR="00D11F0B">
        <w:rPr>
          <w:rFonts w:ascii="Arial" w:hAnsi="Arial" w:cs="Arial"/>
          <w:sz w:val="24"/>
          <w:szCs w:val="24"/>
        </w:rPr>
        <w:t xml:space="preserve">could </w:t>
      </w:r>
      <w:r w:rsidR="00A931A9">
        <w:rPr>
          <w:rFonts w:ascii="Arial" w:hAnsi="Arial" w:cs="Arial"/>
          <w:sz w:val="24"/>
          <w:szCs w:val="24"/>
        </w:rPr>
        <w:t xml:space="preserve">give rise to </w:t>
      </w:r>
      <w:r w:rsidR="00D11F0B">
        <w:rPr>
          <w:rFonts w:ascii="Arial" w:hAnsi="Arial" w:cs="Arial"/>
          <w:sz w:val="24"/>
          <w:szCs w:val="24"/>
        </w:rPr>
        <w:t xml:space="preserve">the </w:t>
      </w:r>
      <w:r w:rsidR="00A931A9">
        <w:rPr>
          <w:rFonts w:ascii="Arial" w:hAnsi="Arial" w:cs="Arial"/>
          <w:sz w:val="24"/>
          <w:szCs w:val="24"/>
        </w:rPr>
        <w:t>concerns about double counting</w:t>
      </w:r>
      <w:r w:rsidR="00D11F0B">
        <w:rPr>
          <w:rFonts w:ascii="Arial" w:hAnsi="Arial" w:cs="Arial"/>
          <w:sz w:val="24"/>
          <w:szCs w:val="24"/>
        </w:rPr>
        <w:t xml:space="preserve"> expressed by </w:t>
      </w:r>
      <w:proofErr w:type="spellStart"/>
      <w:r w:rsidR="00D11F0B">
        <w:rPr>
          <w:rFonts w:ascii="Arial" w:hAnsi="Arial" w:cs="Arial"/>
          <w:sz w:val="24"/>
          <w:szCs w:val="24"/>
        </w:rPr>
        <w:t>Nordicity</w:t>
      </w:r>
      <w:proofErr w:type="spellEnd"/>
      <w:r w:rsidR="00A931A9">
        <w:rPr>
          <w:rFonts w:ascii="Arial" w:hAnsi="Arial" w:cs="Arial"/>
          <w:sz w:val="24"/>
          <w:szCs w:val="24"/>
        </w:rPr>
        <w:t>.  However, the costs for the last two activities are more likely be recorded in Account #5125 (Maintenance of Overhead Conductors and Devices) and therefore there is no concern about double counting and allowance for these cost needs to be made as part of the Loss of Productivity.</w:t>
      </w:r>
    </w:p>
    <w:p w:rsidR="00A931A9" w:rsidRDefault="00A931A9" w:rsidP="000F0847">
      <w:pPr>
        <w:spacing w:after="120" w:line="360" w:lineRule="auto"/>
        <w:rPr>
          <w:rFonts w:ascii="Arial" w:hAnsi="Arial" w:cs="Arial"/>
          <w:sz w:val="24"/>
          <w:szCs w:val="24"/>
        </w:rPr>
      </w:pPr>
      <w:r>
        <w:rPr>
          <w:rFonts w:ascii="Arial" w:hAnsi="Arial" w:cs="Arial"/>
          <w:sz w:val="24"/>
          <w:szCs w:val="24"/>
        </w:rPr>
        <w:lastRenderedPageBreak/>
        <w:t>With respect to the Board’s Draft Report treatment of these costs, VECC’s concerns are similar to those outline</w:t>
      </w:r>
      <w:r w:rsidR="00D11F0B">
        <w:rPr>
          <w:rFonts w:ascii="Arial" w:hAnsi="Arial" w:cs="Arial"/>
          <w:sz w:val="24"/>
          <w:szCs w:val="24"/>
        </w:rPr>
        <w:t>d</w:t>
      </w:r>
      <w:r>
        <w:rPr>
          <w:rFonts w:ascii="Arial" w:hAnsi="Arial" w:cs="Arial"/>
          <w:sz w:val="24"/>
          <w:szCs w:val="24"/>
        </w:rPr>
        <w:t xml:space="preserve"> above under the discussion of Administration costs – namely the appropriateness of using a weighted average and the need to confirm the initial values were all based on 2015 costs.</w:t>
      </w:r>
    </w:p>
    <w:p w:rsidR="00A931A9" w:rsidRPr="005A5397" w:rsidRDefault="005A5397" w:rsidP="005A5397">
      <w:pPr>
        <w:pStyle w:val="ListParagraph"/>
        <w:numPr>
          <w:ilvl w:val="1"/>
          <w:numId w:val="1"/>
        </w:numPr>
        <w:spacing w:after="120" w:line="360" w:lineRule="auto"/>
        <w:rPr>
          <w:rFonts w:ascii="Arial" w:hAnsi="Arial" w:cs="Arial"/>
          <w:sz w:val="24"/>
          <w:szCs w:val="24"/>
          <w:u w:val="single"/>
        </w:rPr>
      </w:pPr>
      <w:r w:rsidRPr="005A5397">
        <w:rPr>
          <w:rFonts w:ascii="Arial" w:hAnsi="Arial" w:cs="Arial"/>
          <w:sz w:val="24"/>
          <w:szCs w:val="24"/>
          <w:u w:val="single"/>
        </w:rPr>
        <w:t>Indirect Capital Costs</w:t>
      </w:r>
      <w:r>
        <w:rPr>
          <w:rStyle w:val="FootnoteReference"/>
          <w:rFonts w:ascii="Arial" w:hAnsi="Arial" w:cs="Arial"/>
          <w:sz w:val="24"/>
          <w:szCs w:val="24"/>
          <w:u w:val="single"/>
        </w:rPr>
        <w:footnoteReference w:id="33"/>
      </w:r>
    </w:p>
    <w:p w:rsidR="005A5397" w:rsidRDefault="005A5397" w:rsidP="005A5397">
      <w:pPr>
        <w:spacing w:after="120" w:line="360" w:lineRule="auto"/>
        <w:rPr>
          <w:rFonts w:ascii="Arial" w:hAnsi="Arial" w:cs="Arial"/>
          <w:sz w:val="24"/>
          <w:szCs w:val="24"/>
        </w:rPr>
      </w:pPr>
      <w:r>
        <w:rPr>
          <w:rFonts w:ascii="Arial" w:hAnsi="Arial" w:cs="Arial"/>
          <w:sz w:val="24"/>
          <w:szCs w:val="24"/>
        </w:rPr>
        <w:t xml:space="preserve">Indirect capital costs consist of depreciation and carrying costs (i.e., interest, return on equity and taxes) associated with the pole.  </w:t>
      </w:r>
    </w:p>
    <w:p w:rsidR="00A931A9" w:rsidRDefault="005A5397" w:rsidP="000F0847">
      <w:pPr>
        <w:spacing w:after="120" w:line="360" w:lineRule="auto"/>
        <w:rPr>
          <w:rFonts w:ascii="Arial" w:hAnsi="Arial" w:cs="Arial"/>
          <w:sz w:val="24"/>
          <w:szCs w:val="24"/>
        </w:rPr>
      </w:pPr>
      <w:proofErr w:type="spellStart"/>
      <w:r>
        <w:rPr>
          <w:rFonts w:ascii="Arial" w:hAnsi="Arial" w:cs="Arial"/>
          <w:sz w:val="24"/>
          <w:szCs w:val="24"/>
        </w:rPr>
        <w:t>Nordicity</w:t>
      </w:r>
      <w:proofErr w:type="spellEnd"/>
      <w:r>
        <w:rPr>
          <w:rFonts w:ascii="Arial" w:hAnsi="Arial" w:cs="Arial"/>
          <w:sz w:val="24"/>
          <w:szCs w:val="24"/>
        </w:rPr>
        <w:t xml:space="preserve"> calculates the depreciation per pole by applying a deprecation rate of 2.5% to the average embedded (i.e., gross book value) per pole as determined in section 2.3</w:t>
      </w:r>
      <w:r w:rsidR="00D11F0B">
        <w:rPr>
          <w:rFonts w:ascii="Arial" w:hAnsi="Arial" w:cs="Arial"/>
          <w:sz w:val="24"/>
          <w:szCs w:val="24"/>
        </w:rPr>
        <w:t xml:space="preserve"> above</w:t>
      </w:r>
      <w:r>
        <w:rPr>
          <w:rFonts w:ascii="Arial" w:hAnsi="Arial" w:cs="Arial"/>
          <w:sz w:val="24"/>
          <w:szCs w:val="24"/>
        </w:rPr>
        <w:t xml:space="preserve">.  The carrying cost is determined by applying the </w:t>
      </w:r>
      <w:r w:rsidR="00282877">
        <w:rPr>
          <w:rFonts w:ascii="Arial" w:hAnsi="Arial" w:cs="Arial"/>
          <w:sz w:val="24"/>
          <w:szCs w:val="24"/>
        </w:rPr>
        <w:t xml:space="preserve">weighted </w:t>
      </w:r>
      <w:r>
        <w:rPr>
          <w:rFonts w:ascii="Arial" w:hAnsi="Arial" w:cs="Arial"/>
          <w:sz w:val="24"/>
          <w:szCs w:val="24"/>
        </w:rPr>
        <w:t xml:space="preserve">average carrying cost </w:t>
      </w:r>
      <w:r w:rsidR="002E0795">
        <w:rPr>
          <w:rFonts w:ascii="Arial" w:hAnsi="Arial" w:cs="Arial"/>
          <w:sz w:val="24"/>
          <w:szCs w:val="24"/>
        </w:rPr>
        <w:t>over the period 2005-2015 for the four utilities – Toronto Hydro, Ottawa Hydro, Hydro One and Ottawa Hydro</w:t>
      </w:r>
      <w:r w:rsidR="00282877">
        <w:rPr>
          <w:rStyle w:val="FootnoteReference"/>
          <w:rFonts w:ascii="Arial" w:hAnsi="Arial" w:cs="Arial"/>
          <w:sz w:val="24"/>
          <w:szCs w:val="24"/>
        </w:rPr>
        <w:footnoteReference w:id="34"/>
      </w:r>
      <w:r w:rsidR="002E0795">
        <w:rPr>
          <w:rFonts w:ascii="Arial" w:hAnsi="Arial" w:cs="Arial"/>
          <w:sz w:val="24"/>
          <w:szCs w:val="24"/>
        </w:rPr>
        <w:t>.</w:t>
      </w:r>
    </w:p>
    <w:p w:rsidR="002E0795" w:rsidRDefault="002E0795" w:rsidP="000F0847">
      <w:pPr>
        <w:spacing w:after="120" w:line="360" w:lineRule="auto"/>
        <w:rPr>
          <w:rFonts w:ascii="Arial" w:hAnsi="Arial" w:cs="Arial"/>
          <w:sz w:val="24"/>
          <w:szCs w:val="24"/>
        </w:rPr>
      </w:pPr>
      <w:r>
        <w:rPr>
          <w:rFonts w:ascii="Arial" w:hAnsi="Arial" w:cs="Arial"/>
          <w:sz w:val="24"/>
          <w:szCs w:val="24"/>
        </w:rPr>
        <w:t>In contrast the OEB’s Draft Report</w:t>
      </w:r>
      <w:r w:rsidR="00282877">
        <w:rPr>
          <w:rFonts w:ascii="Arial" w:hAnsi="Arial" w:cs="Arial"/>
          <w:sz w:val="24"/>
          <w:szCs w:val="24"/>
        </w:rPr>
        <w:t xml:space="preserve"> uses a deprecation rate of 1.91%based on a weighted average of the historical depreciation rates used the four utilities - Toronto Hydro, Ottawa Hydro, Hydro One and Ottawa Hydro – over the period 2010-2015.  For carrying costs, the Draft Report similarly uses the weighted average carrying cost over the period 2010-2015 for the four utilities – Toronto Hydro, Ottawa Hydro, Hydro One and </w:t>
      </w:r>
      <w:r w:rsidR="003816A0">
        <w:rPr>
          <w:rFonts w:ascii="Arial" w:hAnsi="Arial" w:cs="Arial"/>
          <w:sz w:val="24"/>
          <w:szCs w:val="24"/>
        </w:rPr>
        <w:t>Horizon</w:t>
      </w:r>
      <w:r w:rsidR="00282877">
        <w:rPr>
          <w:rStyle w:val="FootnoteReference"/>
          <w:rFonts w:ascii="Arial" w:hAnsi="Arial" w:cs="Arial"/>
          <w:sz w:val="24"/>
          <w:szCs w:val="24"/>
        </w:rPr>
        <w:footnoteReference w:id="35"/>
      </w:r>
      <w:r w:rsidR="00282877">
        <w:rPr>
          <w:rFonts w:ascii="Arial" w:hAnsi="Arial" w:cs="Arial"/>
          <w:sz w:val="24"/>
          <w:szCs w:val="24"/>
        </w:rPr>
        <w:t>.</w:t>
      </w:r>
    </w:p>
    <w:p w:rsidR="00B709B8" w:rsidRDefault="00B709B8" w:rsidP="000F0847">
      <w:pPr>
        <w:spacing w:after="120" w:line="360" w:lineRule="auto"/>
        <w:rPr>
          <w:rFonts w:ascii="Arial" w:hAnsi="Arial" w:cs="Arial"/>
          <w:sz w:val="24"/>
          <w:szCs w:val="24"/>
        </w:rPr>
      </w:pPr>
      <w:r>
        <w:rPr>
          <w:rFonts w:ascii="Arial" w:hAnsi="Arial" w:cs="Arial"/>
          <w:sz w:val="24"/>
          <w:szCs w:val="24"/>
        </w:rPr>
        <w:t xml:space="preserve">Again VECC has issues with the use of historical averages.  In VECC’s view it would be more appropriate to use a weighted average of the current (or most recently reported) depreciation rates for the four utilities in determining the Provincial Rate.  Having said this VECC notes that there is wide variation across the four utilities in the average </w:t>
      </w:r>
      <w:r w:rsidR="00086004">
        <w:rPr>
          <w:rFonts w:ascii="Arial" w:hAnsi="Arial" w:cs="Arial"/>
          <w:sz w:val="24"/>
          <w:szCs w:val="24"/>
        </w:rPr>
        <w:t>depreciation rate</w:t>
      </w:r>
      <w:r w:rsidR="003816A0">
        <w:rPr>
          <w:rFonts w:ascii="Arial" w:hAnsi="Arial" w:cs="Arial"/>
          <w:sz w:val="24"/>
          <w:szCs w:val="24"/>
        </w:rPr>
        <w:t>s</w:t>
      </w:r>
      <w:r w:rsidR="00086004">
        <w:rPr>
          <w:rFonts w:ascii="Arial" w:hAnsi="Arial" w:cs="Arial"/>
          <w:sz w:val="24"/>
          <w:szCs w:val="24"/>
        </w:rPr>
        <w:t xml:space="preserve"> as used in the OEB’s </w:t>
      </w:r>
      <w:proofErr w:type="spellStart"/>
      <w:r w:rsidR="00086004">
        <w:rPr>
          <w:rFonts w:ascii="Arial" w:hAnsi="Arial" w:cs="Arial"/>
          <w:sz w:val="24"/>
          <w:szCs w:val="24"/>
        </w:rPr>
        <w:t>WorkForm</w:t>
      </w:r>
      <w:proofErr w:type="spellEnd"/>
      <w:r w:rsidR="00086004">
        <w:rPr>
          <w:rFonts w:ascii="Arial" w:hAnsi="Arial" w:cs="Arial"/>
          <w:sz w:val="24"/>
          <w:szCs w:val="24"/>
        </w:rPr>
        <w:t xml:space="preserve"> (1.81% to 2.81%).  In VECC’s view this further supports the need for utilities to apply for utility specific wireline pole attachment rates as part of their next rebasing application.</w:t>
      </w:r>
    </w:p>
    <w:p w:rsidR="00086004" w:rsidRDefault="00086004" w:rsidP="000F0847">
      <w:pPr>
        <w:spacing w:after="120" w:line="360" w:lineRule="auto"/>
        <w:rPr>
          <w:rFonts w:ascii="Arial" w:hAnsi="Arial" w:cs="Arial"/>
          <w:sz w:val="24"/>
          <w:szCs w:val="24"/>
        </w:rPr>
      </w:pPr>
      <w:r>
        <w:rPr>
          <w:rFonts w:ascii="Arial" w:hAnsi="Arial" w:cs="Arial"/>
          <w:sz w:val="24"/>
          <w:szCs w:val="24"/>
        </w:rPr>
        <w:t>Similarly, in VECC’s view it would be more appropriate to use a weighted average of the current (most recently reported) carrying cost rate for each of the four utilities.</w:t>
      </w:r>
    </w:p>
    <w:p w:rsidR="00282877" w:rsidRDefault="00B709B8" w:rsidP="000F0847">
      <w:pPr>
        <w:spacing w:after="120" w:line="360" w:lineRule="auto"/>
        <w:rPr>
          <w:rFonts w:ascii="Arial" w:hAnsi="Arial" w:cs="Arial"/>
          <w:sz w:val="24"/>
          <w:szCs w:val="24"/>
        </w:rPr>
      </w:pPr>
      <w:r>
        <w:rPr>
          <w:rFonts w:ascii="Arial" w:hAnsi="Arial" w:cs="Arial"/>
          <w:sz w:val="24"/>
          <w:szCs w:val="24"/>
        </w:rPr>
        <w:lastRenderedPageBreak/>
        <w:t xml:space="preserve">The </w:t>
      </w:r>
      <w:proofErr w:type="spellStart"/>
      <w:r>
        <w:rPr>
          <w:rFonts w:ascii="Arial" w:hAnsi="Arial" w:cs="Arial"/>
          <w:sz w:val="24"/>
          <w:szCs w:val="24"/>
        </w:rPr>
        <w:t>Nordicity</w:t>
      </w:r>
      <w:proofErr w:type="spellEnd"/>
      <w:r>
        <w:rPr>
          <w:rFonts w:ascii="Arial" w:hAnsi="Arial" w:cs="Arial"/>
          <w:sz w:val="24"/>
          <w:szCs w:val="24"/>
        </w:rPr>
        <w:t xml:space="preserve"> </w:t>
      </w:r>
      <w:r w:rsidR="007478EE">
        <w:rPr>
          <w:rFonts w:ascii="Arial" w:hAnsi="Arial" w:cs="Arial"/>
          <w:sz w:val="24"/>
          <w:szCs w:val="24"/>
        </w:rPr>
        <w:t xml:space="preserve">Report </w:t>
      </w:r>
      <w:r>
        <w:rPr>
          <w:rFonts w:ascii="Arial" w:hAnsi="Arial" w:cs="Arial"/>
          <w:sz w:val="24"/>
          <w:szCs w:val="24"/>
        </w:rPr>
        <w:t>specifically notes</w:t>
      </w:r>
      <w:r>
        <w:rPr>
          <w:rStyle w:val="FootnoteReference"/>
          <w:rFonts w:ascii="Arial" w:hAnsi="Arial" w:cs="Arial"/>
          <w:sz w:val="24"/>
          <w:szCs w:val="24"/>
        </w:rPr>
        <w:footnoteReference w:id="36"/>
      </w:r>
      <w:r>
        <w:rPr>
          <w:rFonts w:ascii="Arial" w:hAnsi="Arial" w:cs="Arial"/>
          <w:sz w:val="24"/>
          <w:szCs w:val="24"/>
        </w:rPr>
        <w:t xml:space="preserve"> that the carrying costs shown in its Report are after tax values and suggests that before tax values were used in the its subsequent calculations.  However, a review of the calculations indicates that this is not the case and that the indirect pole costs set out in Table 28 </w:t>
      </w:r>
      <w:r w:rsidR="00086004">
        <w:rPr>
          <w:rFonts w:ascii="Arial" w:hAnsi="Arial" w:cs="Arial"/>
          <w:sz w:val="24"/>
          <w:szCs w:val="24"/>
        </w:rPr>
        <w:t>(and referenced in the OEB’s Draft Report</w:t>
      </w:r>
      <w:r w:rsidR="00086004">
        <w:rPr>
          <w:rStyle w:val="FootnoteReference"/>
          <w:rFonts w:ascii="Arial" w:hAnsi="Arial" w:cs="Arial"/>
          <w:sz w:val="24"/>
          <w:szCs w:val="24"/>
        </w:rPr>
        <w:footnoteReference w:id="37"/>
      </w:r>
      <w:r w:rsidR="00086004">
        <w:rPr>
          <w:rFonts w:ascii="Arial" w:hAnsi="Arial" w:cs="Arial"/>
          <w:sz w:val="24"/>
          <w:szCs w:val="24"/>
        </w:rPr>
        <w:t xml:space="preserve">) </w:t>
      </w:r>
      <w:r>
        <w:rPr>
          <w:rFonts w:ascii="Arial" w:hAnsi="Arial" w:cs="Arial"/>
          <w:sz w:val="24"/>
          <w:szCs w:val="24"/>
        </w:rPr>
        <w:t xml:space="preserve">do not include an allowance for taxes.  Unfortunately, the calculations in the OEB’s </w:t>
      </w:r>
      <w:proofErr w:type="spellStart"/>
      <w:r>
        <w:rPr>
          <w:rFonts w:ascii="Arial" w:hAnsi="Arial" w:cs="Arial"/>
          <w:sz w:val="24"/>
          <w:szCs w:val="24"/>
        </w:rPr>
        <w:t>WorkForm</w:t>
      </w:r>
      <w:proofErr w:type="spellEnd"/>
      <w:r>
        <w:rPr>
          <w:rFonts w:ascii="Arial" w:hAnsi="Arial" w:cs="Arial"/>
          <w:sz w:val="24"/>
          <w:szCs w:val="24"/>
        </w:rPr>
        <w:t xml:space="preserve"> also use the after tax carrying cost values and do not include any allowance for taxes.  </w:t>
      </w:r>
      <w:r w:rsidR="00086004">
        <w:rPr>
          <w:rFonts w:ascii="Arial" w:hAnsi="Arial" w:cs="Arial"/>
          <w:sz w:val="24"/>
          <w:szCs w:val="24"/>
        </w:rPr>
        <w:t>Regardless of the approach taken in for determining carrying costs the value(s) used need to be adjusted to include taxes.</w:t>
      </w:r>
    </w:p>
    <w:p w:rsidR="00B709B8" w:rsidRPr="00086004" w:rsidRDefault="00086004" w:rsidP="00086004">
      <w:pPr>
        <w:pStyle w:val="ListParagraph"/>
        <w:numPr>
          <w:ilvl w:val="1"/>
          <w:numId w:val="1"/>
        </w:numPr>
        <w:spacing w:after="120" w:line="360" w:lineRule="auto"/>
        <w:rPr>
          <w:rFonts w:ascii="Arial" w:hAnsi="Arial" w:cs="Arial"/>
          <w:sz w:val="24"/>
          <w:szCs w:val="24"/>
          <w:u w:val="single"/>
        </w:rPr>
      </w:pPr>
      <w:r w:rsidRPr="00086004">
        <w:rPr>
          <w:rFonts w:ascii="Arial" w:hAnsi="Arial" w:cs="Arial"/>
          <w:sz w:val="24"/>
          <w:szCs w:val="24"/>
          <w:u w:val="single"/>
        </w:rPr>
        <w:t>Power Adjustment Factor</w:t>
      </w:r>
      <w:r>
        <w:rPr>
          <w:rStyle w:val="FootnoteReference"/>
          <w:rFonts w:ascii="Arial" w:hAnsi="Arial" w:cs="Arial"/>
          <w:sz w:val="24"/>
          <w:szCs w:val="24"/>
          <w:u w:val="single"/>
        </w:rPr>
        <w:footnoteReference w:id="38"/>
      </w:r>
    </w:p>
    <w:p w:rsidR="00086004" w:rsidRDefault="00D13F8D" w:rsidP="00086004">
      <w:pPr>
        <w:spacing w:after="120" w:line="360" w:lineRule="auto"/>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Nordicity</w:t>
      </w:r>
      <w:proofErr w:type="spellEnd"/>
      <w:r>
        <w:rPr>
          <w:rFonts w:ascii="Arial" w:hAnsi="Arial" w:cs="Arial"/>
          <w:sz w:val="24"/>
          <w:szCs w:val="24"/>
        </w:rPr>
        <w:t xml:space="preserve"> Report notes that capital costs recorded in Account #1830 include not only the cost of the pole but also the cost of various power fixtures that are not used by third-party </w:t>
      </w:r>
      <w:proofErr w:type="spellStart"/>
      <w:r>
        <w:rPr>
          <w:rFonts w:ascii="Arial" w:hAnsi="Arial" w:cs="Arial"/>
          <w:sz w:val="24"/>
          <w:szCs w:val="24"/>
        </w:rPr>
        <w:t>attachers</w:t>
      </w:r>
      <w:proofErr w:type="spellEnd"/>
      <w:r>
        <w:rPr>
          <w:rFonts w:ascii="Arial" w:hAnsi="Arial" w:cs="Arial"/>
          <w:sz w:val="24"/>
          <w:szCs w:val="24"/>
        </w:rPr>
        <w:t xml:space="preserve">. In order to account for this </w:t>
      </w:r>
      <w:proofErr w:type="spellStart"/>
      <w:r>
        <w:rPr>
          <w:rFonts w:ascii="Arial" w:hAnsi="Arial" w:cs="Arial"/>
          <w:sz w:val="24"/>
          <w:szCs w:val="24"/>
        </w:rPr>
        <w:t>Nordicity</w:t>
      </w:r>
      <w:proofErr w:type="spellEnd"/>
      <w:r>
        <w:rPr>
          <w:rFonts w:ascii="Arial" w:hAnsi="Arial" w:cs="Arial"/>
          <w:sz w:val="24"/>
          <w:szCs w:val="24"/>
        </w:rPr>
        <w:t xml:space="preserve"> reduces the cost of the pole by 14.7% based on data provided </w:t>
      </w:r>
      <w:r w:rsidR="003816A0">
        <w:rPr>
          <w:rFonts w:ascii="Arial" w:hAnsi="Arial" w:cs="Arial"/>
          <w:sz w:val="24"/>
          <w:szCs w:val="24"/>
        </w:rPr>
        <w:t xml:space="preserve">by </w:t>
      </w:r>
      <w:r>
        <w:rPr>
          <w:rFonts w:ascii="Arial" w:hAnsi="Arial" w:cs="Arial"/>
          <w:sz w:val="24"/>
          <w:szCs w:val="24"/>
        </w:rPr>
        <w:t>the utilities participating on the Poles Access W</w:t>
      </w:r>
      <w:r w:rsidR="0033768F">
        <w:rPr>
          <w:rFonts w:ascii="Arial" w:hAnsi="Arial" w:cs="Arial"/>
          <w:sz w:val="24"/>
          <w:szCs w:val="24"/>
        </w:rPr>
        <w:t xml:space="preserve">orking Group </w:t>
      </w:r>
      <w:r w:rsidR="003816A0">
        <w:rPr>
          <w:rFonts w:ascii="Arial" w:hAnsi="Arial" w:cs="Arial"/>
          <w:sz w:val="24"/>
          <w:szCs w:val="24"/>
        </w:rPr>
        <w:t>(</w:t>
      </w:r>
      <w:r w:rsidR="00612179">
        <w:rPr>
          <w:rFonts w:ascii="Arial" w:hAnsi="Arial" w:cs="Arial"/>
          <w:sz w:val="24"/>
          <w:szCs w:val="24"/>
        </w:rPr>
        <w:t>8%, 15% and 15% for Hydro Ottawa, Hydro One and London Hydro respectively</w:t>
      </w:r>
      <w:r w:rsidR="003816A0">
        <w:rPr>
          <w:rFonts w:ascii="Arial" w:hAnsi="Arial" w:cs="Arial"/>
          <w:sz w:val="24"/>
          <w:szCs w:val="24"/>
        </w:rPr>
        <w:t>)</w:t>
      </w:r>
      <w:r w:rsidR="00612179">
        <w:rPr>
          <w:rFonts w:ascii="Arial" w:hAnsi="Arial" w:cs="Arial"/>
          <w:sz w:val="24"/>
          <w:szCs w:val="24"/>
        </w:rPr>
        <w:t xml:space="preserve">.  </w:t>
      </w:r>
      <w:proofErr w:type="spellStart"/>
      <w:r w:rsidR="00612179">
        <w:rPr>
          <w:rFonts w:ascii="Arial" w:hAnsi="Arial" w:cs="Arial"/>
          <w:sz w:val="24"/>
          <w:szCs w:val="24"/>
        </w:rPr>
        <w:t>Nordicity</w:t>
      </w:r>
      <w:proofErr w:type="spellEnd"/>
      <w:r w:rsidR="00612179">
        <w:rPr>
          <w:rFonts w:ascii="Arial" w:hAnsi="Arial" w:cs="Arial"/>
          <w:sz w:val="24"/>
          <w:szCs w:val="24"/>
        </w:rPr>
        <w:t xml:space="preserve"> suggests that the differences are due to inconsistencies in accounting practices or the peculiar characteristics of individual LDC pole cost structures</w:t>
      </w:r>
      <w:r w:rsidR="00612179">
        <w:rPr>
          <w:rStyle w:val="FootnoteReference"/>
          <w:rFonts w:ascii="Arial" w:hAnsi="Arial" w:cs="Arial"/>
          <w:sz w:val="24"/>
          <w:szCs w:val="24"/>
        </w:rPr>
        <w:footnoteReference w:id="39"/>
      </w:r>
      <w:r w:rsidR="00612179">
        <w:rPr>
          <w:rFonts w:ascii="Arial" w:hAnsi="Arial" w:cs="Arial"/>
          <w:sz w:val="24"/>
          <w:szCs w:val="24"/>
        </w:rPr>
        <w:t>.</w:t>
      </w:r>
    </w:p>
    <w:p w:rsidR="00612179" w:rsidRDefault="00612179" w:rsidP="00086004">
      <w:pPr>
        <w:spacing w:after="120" w:line="360" w:lineRule="auto"/>
        <w:rPr>
          <w:rFonts w:ascii="Arial" w:hAnsi="Arial" w:cs="Arial"/>
          <w:sz w:val="24"/>
          <w:szCs w:val="24"/>
        </w:rPr>
      </w:pPr>
      <w:r>
        <w:rPr>
          <w:rFonts w:ascii="Arial" w:hAnsi="Arial" w:cs="Arial"/>
          <w:sz w:val="24"/>
          <w:szCs w:val="24"/>
        </w:rPr>
        <w:t xml:space="preserve">In its Draft </w:t>
      </w:r>
      <w:proofErr w:type="spellStart"/>
      <w:r>
        <w:rPr>
          <w:rFonts w:ascii="Arial" w:hAnsi="Arial" w:cs="Arial"/>
          <w:sz w:val="24"/>
          <w:szCs w:val="24"/>
        </w:rPr>
        <w:t>WorkForm</w:t>
      </w:r>
      <w:proofErr w:type="spellEnd"/>
      <w:r>
        <w:rPr>
          <w:rFonts w:ascii="Arial" w:hAnsi="Arial" w:cs="Arial"/>
          <w:sz w:val="24"/>
          <w:szCs w:val="24"/>
        </w:rPr>
        <w:t xml:space="preserve"> the OEB has used a power adjustment factor of 15%.  No explanation is provided in the Draft Report.  However, it is noted that this is the same adjustment factor as was used in the OEB’s 2005 Decision.</w:t>
      </w:r>
    </w:p>
    <w:p w:rsidR="00612179" w:rsidRDefault="00612179" w:rsidP="00086004">
      <w:pPr>
        <w:spacing w:after="120" w:line="360" w:lineRule="auto"/>
        <w:rPr>
          <w:rFonts w:ascii="Arial" w:hAnsi="Arial" w:cs="Arial"/>
          <w:sz w:val="24"/>
          <w:szCs w:val="24"/>
        </w:rPr>
      </w:pPr>
      <w:r>
        <w:rPr>
          <w:rFonts w:ascii="Arial" w:hAnsi="Arial" w:cs="Arial"/>
          <w:sz w:val="24"/>
          <w:szCs w:val="24"/>
        </w:rPr>
        <w:t xml:space="preserve">VECC agrees with </w:t>
      </w:r>
      <w:proofErr w:type="spellStart"/>
      <w:r>
        <w:rPr>
          <w:rFonts w:ascii="Arial" w:hAnsi="Arial" w:cs="Arial"/>
          <w:sz w:val="24"/>
          <w:szCs w:val="24"/>
        </w:rPr>
        <w:t>Nordicity’s</w:t>
      </w:r>
      <w:proofErr w:type="spellEnd"/>
      <w:r>
        <w:rPr>
          <w:rFonts w:ascii="Arial" w:hAnsi="Arial" w:cs="Arial"/>
          <w:sz w:val="24"/>
          <w:szCs w:val="24"/>
        </w:rPr>
        <w:t xml:space="preserve"> observation that the power adjustment factor can vary across LDCs due to differences in accounting practices and the pole fixture configur</w:t>
      </w:r>
      <w:r w:rsidR="003816A0">
        <w:rPr>
          <w:rFonts w:ascii="Arial" w:hAnsi="Arial" w:cs="Arial"/>
          <w:sz w:val="24"/>
          <w:szCs w:val="24"/>
        </w:rPr>
        <w:t>ations employed.  VECC takes no</w:t>
      </w:r>
      <w:r>
        <w:rPr>
          <w:rFonts w:ascii="Arial" w:hAnsi="Arial" w:cs="Arial"/>
          <w:sz w:val="24"/>
          <w:szCs w:val="24"/>
        </w:rPr>
        <w:t xml:space="preserve"> issue with the use of the 14.7% or 15% adjustment factor in the determination of the Provincial Rate.  However, VECC note</w:t>
      </w:r>
      <w:r w:rsidR="003816A0">
        <w:rPr>
          <w:rFonts w:ascii="Arial" w:hAnsi="Arial" w:cs="Arial"/>
          <w:sz w:val="24"/>
          <w:szCs w:val="24"/>
        </w:rPr>
        <w:t>s</w:t>
      </w:r>
      <w:r>
        <w:rPr>
          <w:rFonts w:ascii="Arial" w:hAnsi="Arial" w:cs="Arial"/>
          <w:sz w:val="24"/>
          <w:szCs w:val="24"/>
        </w:rPr>
        <w:t xml:space="preserve"> that the poss</w:t>
      </w:r>
      <w:r w:rsidR="003816A0">
        <w:rPr>
          <w:rFonts w:ascii="Arial" w:hAnsi="Arial" w:cs="Arial"/>
          <w:sz w:val="24"/>
          <w:szCs w:val="24"/>
        </w:rPr>
        <w:t xml:space="preserve">ible variation across LDCs further </w:t>
      </w:r>
      <w:r>
        <w:rPr>
          <w:rFonts w:ascii="Arial" w:hAnsi="Arial" w:cs="Arial"/>
          <w:sz w:val="24"/>
          <w:szCs w:val="24"/>
        </w:rPr>
        <w:t>support</w:t>
      </w:r>
      <w:r w:rsidR="003816A0">
        <w:rPr>
          <w:rFonts w:ascii="Arial" w:hAnsi="Arial" w:cs="Arial"/>
          <w:sz w:val="24"/>
          <w:szCs w:val="24"/>
        </w:rPr>
        <w:t>s</w:t>
      </w:r>
      <w:r>
        <w:rPr>
          <w:rFonts w:ascii="Arial" w:hAnsi="Arial" w:cs="Arial"/>
          <w:sz w:val="24"/>
          <w:szCs w:val="24"/>
        </w:rPr>
        <w:t xml:space="preserve"> the need for utility specific wireline pole attachment rates.</w:t>
      </w:r>
    </w:p>
    <w:p w:rsidR="00612179" w:rsidRDefault="003816A0" w:rsidP="00086004">
      <w:pPr>
        <w:spacing w:after="120" w:line="360" w:lineRule="auto"/>
        <w:rPr>
          <w:rFonts w:ascii="Arial" w:hAnsi="Arial" w:cs="Arial"/>
          <w:sz w:val="24"/>
          <w:szCs w:val="24"/>
        </w:rPr>
      </w:pPr>
      <w:proofErr w:type="spellStart"/>
      <w:r>
        <w:rPr>
          <w:rFonts w:ascii="Arial" w:hAnsi="Arial" w:cs="Arial"/>
          <w:sz w:val="24"/>
          <w:szCs w:val="24"/>
        </w:rPr>
        <w:lastRenderedPageBreak/>
        <w:t>Finallly</w:t>
      </w:r>
      <w:proofErr w:type="spellEnd"/>
      <w:r>
        <w:rPr>
          <w:rFonts w:ascii="Arial" w:hAnsi="Arial" w:cs="Arial"/>
          <w:sz w:val="24"/>
          <w:szCs w:val="24"/>
        </w:rPr>
        <w:t xml:space="preserve">, </w:t>
      </w:r>
      <w:r w:rsidR="00612179">
        <w:rPr>
          <w:rFonts w:ascii="Arial" w:hAnsi="Arial" w:cs="Arial"/>
          <w:sz w:val="24"/>
          <w:szCs w:val="24"/>
        </w:rPr>
        <w:t>VECC supports the Board’s plan</w:t>
      </w:r>
      <w:r w:rsidR="00612179">
        <w:rPr>
          <w:rStyle w:val="FootnoteReference"/>
          <w:rFonts w:ascii="Arial" w:hAnsi="Arial" w:cs="Arial"/>
          <w:sz w:val="24"/>
          <w:szCs w:val="24"/>
        </w:rPr>
        <w:footnoteReference w:id="40"/>
      </w:r>
      <w:r w:rsidR="00612179">
        <w:rPr>
          <w:rFonts w:ascii="Arial" w:hAnsi="Arial" w:cs="Arial"/>
          <w:sz w:val="24"/>
          <w:szCs w:val="24"/>
        </w:rPr>
        <w:t xml:space="preserve"> to require utilities </w:t>
      </w:r>
      <w:r w:rsidR="0044384B">
        <w:rPr>
          <w:rFonts w:ascii="Arial" w:hAnsi="Arial" w:cs="Arial"/>
          <w:sz w:val="24"/>
          <w:szCs w:val="24"/>
        </w:rPr>
        <w:t xml:space="preserve">to set up separate sub-accounts to more accurately track these costs and to charge the implementation cost to the direct administration costs allocate to the telecom </w:t>
      </w:r>
      <w:proofErr w:type="spellStart"/>
      <w:r w:rsidR="0044384B">
        <w:rPr>
          <w:rFonts w:ascii="Arial" w:hAnsi="Arial" w:cs="Arial"/>
          <w:sz w:val="24"/>
          <w:szCs w:val="24"/>
        </w:rPr>
        <w:t>attachers</w:t>
      </w:r>
      <w:proofErr w:type="spellEnd"/>
      <w:r w:rsidR="0044384B">
        <w:rPr>
          <w:rFonts w:ascii="Arial" w:hAnsi="Arial" w:cs="Arial"/>
          <w:sz w:val="24"/>
          <w:szCs w:val="24"/>
        </w:rPr>
        <w:t>.</w:t>
      </w:r>
    </w:p>
    <w:p w:rsidR="00286727" w:rsidRDefault="00286727" w:rsidP="0044384B">
      <w:pPr>
        <w:pStyle w:val="ListParagraph"/>
        <w:numPr>
          <w:ilvl w:val="1"/>
          <w:numId w:val="1"/>
        </w:numPr>
        <w:spacing w:after="120" w:line="360" w:lineRule="auto"/>
        <w:rPr>
          <w:rFonts w:ascii="Arial" w:hAnsi="Arial" w:cs="Arial"/>
          <w:sz w:val="24"/>
          <w:szCs w:val="24"/>
          <w:u w:val="single"/>
        </w:rPr>
      </w:pPr>
      <w:r>
        <w:rPr>
          <w:rFonts w:ascii="Arial" w:hAnsi="Arial" w:cs="Arial"/>
          <w:sz w:val="24"/>
          <w:szCs w:val="24"/>
          <w:u w:val="single"/>
        </w:rPr>
        <w:t>Allocation of Neutral Wire Costs</w:t>
      </w:r>
    </w:p>
    <w:p w:rsidR="00286727" w:rsidRDefault="00286727" w:rsidP="00286727">
      <w:pPr>
        <w:spacing w:after="120" w:line="360" w:lineRule="auto"/>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Nordicity</w:t>
      </w:r>
      <w:proofErr w:type="spellEnd"/>
      <w:r>
        <w:rPr>
          <w:rFonts w:ascii="Arial" w:hAnsi="Arial" w:cs="Arial"/>
          <w:sz w:val="24"/>
          <w:szCs w:val="24"/>
        </w:rPr>
        <w:t xml:space="preserve"> Report</w:t>
      </w:r>
      <w:r>
        <w:rPr>
          <w:rStyle w:val="FootnoteReference"/>
          <w:rFonts w:ascii="Arial" w:hAnsi="Arial" w:cs="Arial"/>
          <w:sz w:val="24"/>
          <w:szCs w:val="24"/>
        </w:rPr>
        <w:footnoteReference w:id="41"/>
      </w:r>
      <w:r>
        <w:rPr>
          <w:rFonts w:ascii="Arial" w:hAnsi="Arial" w:cs="Arial"/>
          <w:sz w:val="24"/>
          <w:szCs w:val="24"/>
        </w:rPr>
        <w:t xml:space="preserve"> does not recommend including the capital cost of the neutral wire </w:t>
      </w:r>
      <w:r w:rsidR="003816A0">
        <w:rPr>
          <w:rFonts w:ascii="Arial" w:hAnsi="Arial" w:cs="Arial"/>
          <w:sz w:val="24"/>
          <w:szCs w:val="24"/>
        </w:rPr>
        <w:t xml:space="preserve">in the rate determination </w:t>
      </w:r>
      <w:r>
        <w:rPr>
          <w:rFonts w:ascii="Arial" w:hAnsi="Arial" w:cs="Arial"/>
          <w:sz w:val="24"/>
          <w:szCs w:val="24"/>
        </w:rPr>
        <w:t>on the basis that no regulatory precedent exists to do so.  The OEB’s Draft Report</w:t>
      </w:r>
      <w:r>
        <w:rPr>
          <w:rStyle w:val="FootnoteReference"/>
          <w:rFonts w:ascii="Arial" w:hAnsi="Arial" w:cs="Arial"/>
          <w:sz w:val="24"/>
          <w:szCs w:val="24"/>
        </w:rPr>
        <w:footnoteReference w:id="42"/>
      </w:r>
      <w:r>
        <w:rPr>
          <w:rFonts w:ascii="Arial" w:hAnsi="Arial" w:cs="Arial"/>
          <w:sz w:val="24"/>
          <w:szCs w:val="24"/>
        </w:rPr>
        <w:t xml:space="preserve"> excludes such costs on the basis that the neutral is a requirement of power utilities.</w:t>
      </w:r>
    </w:p>
    <w:p w:rsidR="000B02FC" w:rsidRPr="00286727" w:rsidRDefault="000B02FC" w:rsidP="00286727">
      <w:pPr>
        <w:spacing w:after="120" w:line="360" w:lineRule="auto"/>
        <w:rPr>
          <w:rFonts w:ascii="Arial" w:hAnsi="Arial" w:cs="Arial"/>
          <w:sz w:val="24"/>
          <w:szCs w:val="24"/>
        </w:rPr>
      </w:pPr>
      <w:r>
        <w:rPr>
          <w:rFonts w:ascii="Arial" w:hAnsi="Arial" w:cs="Arial"/>
          <w:sz w:val="24"/>
          <w:szCs w:val="24"/>
        </w:rPr>
        <w:t>In VECC’s view the treat</w:t>
      </w:r>
      <w:r w:rsidR="003816A0">
        <w:rPr>
          <w:rFonts w:ascii="Arial" w:hAnsi="Arial" w:cs="Arial"/>
          <w:sz w:val="24"/>
          <w:szCs w:val="24"/>
        </w:rPr>
        <w:t>ment of the Neutral Wire costs i</w:t>
      </w:r>
      <w:r>
        <w:rPr>
          <w:rFonts w:ascii="Arial" w:hAnsi="Arial" w:cs="Arial"/>
          <w:sz w:val="24"/>
          <w:szCs w:val="24"/>
        </w:rPr>
        <w:t xml:space="preserve">n the determination of the wireline pole attachment rate </w:t>
      </w:r>
      <w:r w:rsidR="00570BD5">
        <w:rPr>
          <w:rFonts w:ascii="Arial" w:hAnsi="Arial" w:cs="Arial"/>
          <w:sz w:val="24"/>
          <w:szCs w:val="24"/>
        </w:rPr>
        <w:t>warrants further investigation as part of the Part II review the Board plans on undertaking.  To this end the Board should also direct LDCs to separately report the Neutral Wire costs.</w:t>
      </w:r>
    </w:p>
    <w:p w:rsidR="00612179" w:rsidRPr="0044384B" w:rsidRDefault="0044384B" w:rsidP="0044384B">
      <w:pPr>
        <w:pStyle w:val="ListParagraph"/>
        <w:numPr>
          <w:ilvl w:val="1"/>
          <w:numId w:val="1"/>
        </w:numPr>
        <w:spacing w:after="120" w:line="360" w:lineRule="auto"/>
        <w:rPr>
          <w:rFonts w:ascii="Arial" w:hAnsi="Arial" w:cs="Arial"/>
          <w:sz w:val="24"/>
          <w:szCs w:val="24"/>
          <w:u w:val="single"/>
        </w:rPr>
      </w:pPr>
      <w:r w:rsidRPr="0044384B">
        <w:rPr>
          <w:rFonts w:ascii="Arial" w:hAnsi="Arial" w:cs="Arial"/>
          <w:sz w:val="24"/>
          <w:szCs w:val="24"/>
          <w:u w:val="single"/>
        </w:rPr>
        <w:t>Indirect Maintenance Costs</w:t>
      </w:r>
      <w:r w:rsidR="00EC03C8">
        <w:rPr>
          <w:rStyle w:val="FootnoteReference"/>
          <w:rFonts w:ascii="Arial" w:hAnsi="Arial" w:cs="Arial"/>
          <w:sz w:val="24"/>
          <w:szCs w:val="24"/>
          <w:u w:val="single"/>
        </w:rPr>
        <w:footnoteReference w:id="43"/>
      </w:r>
    </w:p>
    <w:p w:rsidR="0044384B" w:rsidRDefault="0044384B" w:rsidP="0044384B">
      <w:pPr>
        <w:spacing w:after="120" w:line="360" w:lineRule="auto"/>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Nordicity</w:t>
      </w:r>
      <w:proofErr w:type="spellEnd"/>
      <w:r>
        <w:rPr>
          <w:rFonts w:ascii="Arial" w:hAnsi="Arial" w:cs="Arial"/>
          <w:sz w:val="24"/>
          <w:szCs w:val="24"/>
        </w:rPr>
        <w:t xml:space="preserve"> Report includes a portion of the costs reported in Account #5120 (Maintenance of Poles, Towers and Fixtures) and Account #5135 (Overhead Distribution Lines and Feeders – Right of Way) as indirect pole maintenance costs.  </w:t>
      </w:r>
    </w:p>
    <w:p w:rsidR="0015384E" w:rsidRPr="0015384E" w:rsidRDefault="0015384E" w:rsidP="0044384B">
      <w:pPr>
        <w:spacing w:after="120" w:line="360" w:lineRule="auto"/>
        <w:rPr>
          <w:rFonts w:ascii="Arial" w:hAnsi="Arial" w:cs="Arial"/>
          <w:i/>
          <w:sz w:val="24"/>
          <w:szCs w:val="24"/>
        </w:rPr>
      </w:pPr>
      <w:r w:rsidRPr="0015384E">
        <w:rPr>
          <w:rFonts w:ascii="Arial" w:hAnsi="Arial" w:cs="Arial"/>
          <w:i/>
          <w:sz w:val="24"/>
          <w:szCs w:val="24"/>
        </w:rPr>
        <w:t>Account #5120 (Maintenance of Poles, Towers and Fixtures)</w:t>
      </w:r>
    </w:p>
    <w:p w:rsidR="0044384B" w:rsidRDefault="0044384B" w:rsidP="0044384B">
      <w:pPr>
        <w:spacing w:after="120" w:line="360" w:lineRule="auto"/>
        <w:rPr>
          <w:rFonts w:ascii="Arial" w:hAnsi="Arial" w:cs="Arial"/>
          <w:sz w:val="24"/>
          <w:szCs w:val="24"/>
        </w:rPr>
      </w:pPr>
      <w:r>
        <w:rPr>
          <w:rFonts w:ascii="Arial" w:hAnsi="Arial" w:cs="Arial"/>
          <w:sz w:val="24"/>
          <w:szCs w:val="24"/>
        </w:rPr>
        <w:t>In the case of Account #5120</w:t>
      </w:r>
      <w:r w:rsidR="00EC03C8">
        <w:rPr>
          <w:rFonts w:ascii="Arial" w:hAnsi="Arial" w:cs="Arial"/>
          <w:sz w:val="24"/>
          <w:szCs w:val="24"/>
        </w:rPr>
        <w:t xml:space="preserve"> two LDCs (Hydro One and Ottawa Hydro) provided data regarding the percentage of the maintenance costs related to poles as opposed to power fixtures and other.  The two percentages varied widely from </w:t>
      </w:r>
      <w:r w:rsidR="00754749">
        <w:rPr>
          <w:rFonts w:ascii="Arial" w:hAnsi="Arial" w:cs="Arial"/>
          <w:sz w:val="24"/>
          <w:szCs w:val="24"/>
        </w:rPr>
        <w:t>5% to 92</w:t>
      </w:r>
      <w:r w:rsidR="00EC03C8">
        <w:rPr>
          <w:rFonts w:ascii="Arial" w:hAnsi="Arial" w:cs="Arial"/>
          <w:sz w:val="24"/>
          <w:szCs w:val="24"/>
        </w:rPr>
        <w:t>%</w:t>
      </w:r>
      <w:r w:rsidR="00EC03C8">
        <w:rPr>
          <w:rStyle w:val="FootnoteReference"/>
          <w:rFonts w:ascii="Arial" w:hAnsi="Arial" w:cs="Arial"/>
          <w:sz w:val="24"/>
          <w:szCs w:val="24"/>
        </w:rPr>
        <w:footnoteReference w:id="44"/>
      </w:r>
      <w:r w:rsidR="00EC03C8">
        <w:rPr>
          <w:rFonts w:ascii="Arial" w:hAnsi="Arial" w:cs="Arial"/>
          <w:sz w:val="24"/>
          <w:szCs w:val="24"/>
        </w:rPr>
        <w:t xml:space="preserve">.  For purposes of determining the wireline pole attachment rate </w:t>
      </w:r>
      <w:proofErr w:type="spellStart"/>
      <w:r w:rsidR="00EC03C8">
        <w:rPr>
          <w:rFonts w:ascii="Arial" w:hAnsi="Arial" w:cs="Arial"/>
          <w:sz w:val="24"/>
          <w:szCs w:val="24"/>
        </w:rPr>
        <w:t>Nordicity</w:t>
      </w:r>
      <w:proofErr w:type="spellEnd"/>
      <w:r w:rsidR="00EC03C8">
        <w:rPr>
          <w:rFonts w:ascii="Arial" w:hAnsi="Arial" w:cs="Arial"/>
          <w:sz w:val="24"/>
          <w:szCs w:val="24"/>
        </w:rPr>
        <w:t xml:space="preserve"> proposed that the </w:t>
      </w:r>
      <w:r w:rsidR="00754749">
        <w:rPr>
          <w:rFonts w:ascii="Arial" w:hAnsi="Arial" w:cs="Arial"/>
          <w:sz w:val="24"/>
          <w:szCs w:val="24"/>
        </w:rPr>
        <w:t xml:space="preserve">simple </w:t>
      </w:r>
      <w:r w:rsidR="00EC03C8">
        <w:rPr>
          <w:rFonts w:ascii="Arial" w:hAnsi="Arial" w:cs="Arial"/>
          <w:sz w:val="24"/>
          <w:szCs w:val="24"/>
        </w:rPr>
        <w:t xml:space="preserve">average of the two percentages (48.5%) be used and applied this to the average </w:t>
      </w:r>
      <w:r w:rsidR="00F66283">
        <w:rPr>
          <w:rFonts w:ascii="Arial" w:hAnsi="Arial" w:cs="Arial"/>
          <w:sz w:val="24"/>
          <w:szCs w:val="24"/>
        </w:rPr>
        <w:t xml:space="preserve">2007-2015 </w:t>
      </w:r>
      <w:r w:rsidR="00EC03C8">
        <w:rPr>
          <w:rFonts w:ascii="Arial" w:hAnsi="Arial" w:cs="Arial"/>
          <w:sz w:val="24"/>
          <w:szCs w:val="24"/>
        </w:rPr>
        <w:t xml:space="preserve">maintenance cost for the five utilities (Hydro One, Hydro Ottawa, Horizon, </w:t>
      </w:r>
      <w:r w:rsidR="00F66283">
        <w:rPr>
          <w:rFonts w:ascii="Arial" w:hAnsi="Arial" w:cs="Arial"/>
          <w:sz w:val="24"/>
          <w:szCs w:val="24"/>
        </w:rPr>
        <w:t>Toronto Hydro and London Hydro)</w:t>
      </w:r>
      <w:r w:rsidR="00F66283">
        <w:rPr>
          <w:rStyle w:val="FootnoteReference"/>
          <w:rFonts w:ascii="Arial" w:hAnsi="Arial" w:cs="Arial"/>
          <w:sz w:val="24"/>
          <w:szCs w:val="24"/>
        </w:rPr>
        <w:footnoteReference w:id="45"/>
      </w:r>
      <w:r w:rsidR="00EC03C8">
        <w:rPr>
          <w:rFonts w:ascii="Arial" w:hAnsi="Arial" w:cs="Arial"/>
          <w:sz w:val="24"/>
          <w:szCs w:val="24"/>
        </w:rPr>
        <w:t>.</w:t>
      </w:r>
    </w:p>
    <w:p w:rsidR="00EC03C8" w:rsidRDefault="00F66283" w:rsidP="0044384B">
      <w:pPr>
        <w:spacing w:after="120" w:line="360" w:lineRule="auto"/>
        <w:rPr>
          <w:rFonts w:ascii="Arial" w:hAnsi="Arial" w:cs="Arial"/>
          <w:sz w:val="24"/>
          <w:szCs w:val="24"/>
        </w:rPr>
      </w:pPr>
      <w:r>
        <w:rPr>
          <w:rFonts w:ascii="Arial" w:hAnsi="Arial" w:cs="Arial"/>
          <w:sz w:val="24"/>
          <w:szCs w:val="24"/>
        </w:rPr>
        <w:lastRenderedPageBreak/>
        <w:t xml:space="preserve">In contrast, the OEB’s Draft </w:t>
      </w:r>
      <w:proofErr w:type="spellStart"/>
      <w:r>
        <w:rPr>
          <w:rFonts w:ascii="Arial" w:hAnsi="Arial" w:cs="Arial"/>
          <w:sz w:val="24"/>
          <w:szCs w:val="24"/>
        </w:rPr>
        <w:t>WorkForm</w:t>
      </w:r>
      <w:proofErr w:type="spellEnd"/>
      <w:r>
        <w:rPr>
          <w:rFonts w:ascii="Arial" w:hAnsi="Arial" w:cs="Arial"/>
          <w:sz w:val="24"/>
          <w:szCs w:val="24"/>
        </w:rPr>
        <w:t xml:space="preserve"> uses the same 48.5% adjustment factor but applies it to the average maintenance cost for the same utilities over the period 2010-2015</w:t>
      </w:r>
      <w:r>
        <w:rPr>
          <w:rStyle w:val="FootnoteReference"/>
          <w:rFonts w:ascii="Arial" w:hAnsi="Arial" w:cs="Arial"/>
          <w:sz w:val="24"/>
          <w:szCs w:val="24"/>
        </w:rPr>
        <w:footnoteReference w:id="46"/>
      </w:r>
      <w:r>
        <w:rPr>
          <w:rFonts w:ascii="Arial" w:hAnsi="Arial" w:cs="Arial"/>
          <w:sz w:val="24"/>
          <w:szCs w:val="24"/>
        </w:rPr>
        <w:t xml:space="preserve">.  The result is </w:t>
      </w:r>
      <w:r w:rsidR="003816A0">
        <w:rPr>
          <w:rFonts w:ascii="Arial" w:hAnsi="Arial" w:cs="Arial"/>
          <w:sz w:val="24"/>
          <w:szCs w:val="24"/>
        </w:rPr>
        <w:t xml:space="preserve">then </w:t>
      </w:r>
      <w:r>
        <w:rPr>
          <w:rFonts w:ascii="Arial" w:hAnsi="Arial" w:cs="Arial"/>
          <w:sz w:val="24"/>
          <w:szCs w:val="24"/>
        </w:rPr>
        <w:t>escalated</w:t>
      </w:r>
      <w:r w:rsidRPr="00FF7050">
        <w:rPr>
          <w:rFonts w:ascii="Arial" w:hAnsi="Arial" w:cs="Arial"/>
          <w:sz w:val="24"/>
          <w:szCs w:val="24"/>
        </w:rPr>
        <w:t xml:space="preserve"> to a 2018 value using the Board’s inflation factors for incentive rate setting for 2015/16, 2016/17 and 2017/18.</w:t>
      </w:r>
    </w:p>
    <w:p w:rsidR="00F66283" w:rsidRDefault="00F66283" w:rsidP="0044384B">
      <w:pPr>
        <w:spacing w:after="120" w:line="360" w:lineRule="auto"/>
        <w:rPr>
          <w:rFonts w:ascii="Arial" w:hAnsi="Arial" w:cs="Arial"/>
          <w:sz w:val="24"/>
          <w:szCs w:val="24"/>
        </w:rPr>
      </w:pPr>
      <w:r>
        <w:rPr>
          <w:rFonts w:ascii="Arial" w:hAnsi="Arial" w:cs="Arial"/>
          <w:sz w:val="24"/>
          <w:szCs w:val="24"/>
        </w:rPr>
        <w:t xml:space="preserve">VECC has two concerns with the Board’s approach.  First, the 48.5% is the average of two significantly different numbers.  While use of this average may be the only means, in the short term, to derive a Provincial Rate, the wide range </w:t>
      </w:r>
      <w:r w:rsidR="003816A0">
        <w:rPr>
          <w:rFonts w:ascii="Arial" w:hAnsi="Arial" w:cs="Arial"/>
          <w:sz w:val="24"/>
          <w:szCs w:val="24"/>
        </w:rPr>
        <w:t>again</w:t>
      </w:r>
      <w:r>
        <w:rPr>
          <w:rFonts w:ascii="Arial" w:hAnsi="Arial" w:cs="Arial"/>
          <w:sz w:val="24"/>
          <w:szCs w:val="24"/>
        </w:rPr>
        <w:t xml:space="preserve"> emphasizes the need for the Board to direct LDCs to determine a utility-specific wireline pole attachment rate as part of their next rebasing (cost of service) application.</w:t>
      </w:r>
    </w:p>
    <w:p w:rsidR="00F66283" w:rsidRDefault="00F66283" w:rsidP="0044384B">
      <w:pPr>
        <w:spacing w:after="120" w:line="360" w:lineRule="auto"/>
        <w:rPr>
          <w:rFonts w:ascii="Arial" w:hAnsi="Arial" w:cs="Arial"/>
          <w:sz w:val="24"/>
          <w:szCs w:val="24"/>
        </w:rPr>
      </w:pPr>
      <w:r>
        <w:rPr>
          <w:rFonts w:ascii="Arial" w:hAnsi="Arial" w:cs="Arial"/>
          <w:sz w:val="24"/>
          <w:szCs w:val="24"/>
        </w:rPr>
        <w:t>The second concern is that that by using the six year (2010-2015) average as the value for 2015, the Board’s calculation totally ignore</w:t>
      </w:r>
      <w:r w:rsidR="003816A0">
        <w:rPr>
          <w:rFonts w:ascii="Arial" w:hAnsi="Arial" w:cs="Arial"/>
          <w:sz w:val="24"/>
          <w:szCs w:val="24"/>
        </w:rPr>
        <w:t>s</w:t>
      </w:r>
      <w:r>
        <w:rPr>
          <w:rFonts w:ascii="Arial" w:hAnsi="Arial" w:cs="Arial"/>
          <w:sz w:val="24"/>
          <w:szCs w:val="24"/>
        </w:rPr>
        <w:t xml:space="preserve"> any inflation that occurred during the period.  A more appropriate approach would to apply an inflationary adjustment to </w:t>
      </w:r>
      <w:r w:rsidR="003816A0">
        <w:rPr>
          <w:rFonts w:ascii="Arial" w:hAnsi="Arial" w:cs="Arial"/>
          <w:sz w:val="24"/>
          <w:szCs w:val="24"/>
        </w:rPr>
        <w:t>e</w:t>
      </w:r>
      <w:r>
        <w:rPr>
          <w:rFonts w:ascii="Arial" w:hAnsi="Arial" w:cs="Arial"/>
          <w:sz w:val="24"/>
          <w:szCs w:val="24"/>
        </w:rPr>
        <w:t>ach year’s values so that they are all expressed in terms of 2015$ and then calculate an average.</w:t>
      </w:r>
    </w:p>
    <w:p w:rsidR="0015384E" w:rsidRPr="0015384E" w:rsidRDefault="0015384E" w:rsidP="0044384B">
      <w:pPr>
        <w:spacing w:after="120" w:line="360" w:lineRule="auto"/>
        <w:rPr>
          <w:rFonts w:ascii="Arial" w:hAnsi="Arial" w:cs="Arial"/>
          <w:i/>
          <w:sz w:val="24"/>
          <w:szCs w:val="24"/>
        </w:rPr>
      </w:pPr>
      <w:r w:rsidRPr="0015384E">
        <w:rPr>
          <w:rFonts w:ascii="Arial" w:hAnsi="Arial" w:cs="Arial"/>
          <w:i/>
          <w:sz w:val="24"/>
          <w:szCs w:val="24"/>
        </w:rPr>
        <w:t>Account #5135 (Overhead Distribution Lines and Feeders – Right of Way)</w:t>
      </w:r>
    </w:p>
    <w:p w:rsidR="00F66283" w:rsidRDefault="00C15BD3" w:rsidP="0044384B">
      <w:pPr>
        <w:spacing w:after="120" w:line="360" w:lineRule="auto"/>
        <w:rPr>
          <w:rFonts w:ascii="Arial" w:hAnsi="Arial" w:cs="Arial"/>
          <w:sz w:val="24"/>
          <w:szCs w:val="24"/>
        </w:rPr>
      </w:pPr>
      <w:r>
        <w:rPr>
          <w:rFonts w:ascii="Arial" w:hAnsi="Arial" w:cs="Arial"/>
          <w:sz w:val="24"/>
          <w:szCs w:val="24"/>
        </w:rPr>
        <w:t>In the case</w:t>
      </w:r>
      <w:r w:rsidR="00F66283">
        <w:rPr>
          <w:rFonts w:ascii="Arial" w:hAnsi="Arial" w:cs="Arial"/>
          <w:sz w:val="24"/>
          <w:szCs w:val="24"/>
        </w:rPr>
        <w:t xml:space="preserve"> of Account #</w:t>
      </w:r>
      <w:r w:rsidR="00482A28">
        <w:rPr>
          <w:rFonts w:ascii="Arial" w:hAnsi="Arial" w:cs="Arial"/>
          <w:sz w:val="24"/>
          <w:szCs w:val="24"/>
        </w:rPr>
        <w:t xml:space="preserve">5135, </w:t>
      </w:r>
      <w:proofErr w:type="spellStart"/>
      <w:r w:rsidR="00482A28">
        <w:rPr>
          <w:rFonts w:ascii="Arial" w:hAnsi="Arial" w:cs="Arial"/>
          <w:sz w:val="24"/>
          <w:szCs w:val="24"/>
        </w:rPr>
        <w:t>Nordicity</w:t>
      </w:r>
      <w:proofErr w:type="spellEnd"/>
      <w:r w:rsidR="00482A28">
        <w:rPr>
          <w:rFonts w:ascii="Arial" w:hAnsi="Arial" w:cs="Arial"/>
          <w:sz w:val="24"/>
          <w:szCs w:val="24"/>
        </w:rPr>
        <w:t xml:space="preserve"> uses the average reported costs for the five utilities over the eleven years 2005-2015 and then appli</w:t>
      </w:r>
      <w:r w:rsidR="00754749">
        <w:rPr>
          <w:rFonts w:ascii="Arial" w:hAnsi="Arial" w:cs="Arial"/>
          <w:sz w:val="24"/>
          <w:szCs w:val="24"/>
        </w:rPr>
        <w:t>es an adjustment factor of 6.8% based on the weighted average of the pole-related of Account #5120 maintenance costs reported for Hydro One and Ottawa Hydro referenced earlier.</w:t>
      </w:r>
      <w:r>
        <w:rPr>
          <w:rFonts w:ascii="Arial" w:hAnsi="Arial" w:cs="Arial"/>
          <w:sz w:val="24"/>
          <w:szCs w:val="24"/>
        </w:rPr>
        <w:t xml:space="preserve">  (Note:  The weighted average (6.8%) is materially less than the simple average (48.5%) because Hydro One – with a value of 5% - accounts for most of the poles).</w:t>
      </w:r>
    </w:p>
    <w:p w:rsidR="00C15BD3" w:rsidRDefault="00C15BD3" w:rsidP="0044384B">
      <w:pPr>
        <w:spacing w:after="120" w:line="360" w:lineRule="auto"/>
        <w:rPr>
          <w:rFonts w:ascii="Arial" w:hAnsi="Arial" w:cs="Arial"/>
          <w:sz w:val="24"/>
          <w:szCs w:val="24"/>
        </w:rPr>
      </w:pPr>
      <w:r>
        <w:rPr>
          <w:rFonts w:ascii="Arial" w:hAnsi="Arial" w:cs="Arial"/>
          <w:sz w:val="24"/>
          <w:szCs w:val="24"/>
        </w:rPr>
        <w:t>In contrast, the OEB Draft Report</w:t>
      </w:r>
      <w:r>
        <w:rPr>
          <w:rStyle w:val="FootnoteReference"/>
          <w:rFonts w:ascii="Arial" w:hAnsi="Arial" w:cs="Arial"/>
          <w:sz w:val="24"/>
          <w:szCs w:val="24"/>
        </w:rPr>
        <w:footnoteReference w:id="47"/>
      </w:r>
      <w:r>
        <w:rPr>
          <w:rFonts w:ascii="Arial" w:hAnsi="Arial" w:cs="Arial"/>
          <w:sz w:val="24"/>
          <w:szCs w:val="24"/>
        </w:rPr>
        <w:t xml:space="preserve"> proposes to use a 1/3 adjustment factor for vegetation costs based on the fact that both the LDC and carriers benefit from vegetation management and LDCs utilize roughly 2 times the space on the pole that the carriers do.</w:t>
      </w:r>
    </w:p>
    <w:p w:rsidR="00C15BD3" w:rsidRDefault="00C15BD3" w:rsidP="0044384B">
      <w:pPr>
        <w:spacing w:after="120" w:line="360" w:lineRule="auto"/>
        <w:rPr>
          <w:rFonts w:ascii="Arial" w:hAnsi="Arial" w:cs="Arial"/>
          <w:sz w:val="24"/>
          <w:szCs w:val="24"/>
        </w:rPr>
      </w:pPr>
      <w:r>
        <w:rPr>
          <w:rFonts w:ascii="Arial" w:hAnsi="Arial" w:cs="Arial"/>
          <w:sz w:val="24"/>
          <w:szCs w:val="24"/>
        </w:rPr>
        <w:t xml:space="preserve">VECC agrees that the OEB approach is more reasonable than the one put forward by </w:t>
      </w:r>
      <w:proofErr w:type="spellStart"/>
      <w:r>
        <w:rPr>
          <w:rFonts w:ascii="Arial" w:hAnsi="Arial" w:cs="Arial"/>
          <w:sz w:val="24"/>
          <w:szCs w:val="24"/>
        </w:rPr>
        <w:t>Noridicity</w:t>
      </w:r>
      <w:proofErr w:type="spellEnd"/>
      <w:r>
        <w:rPr>
          <w:rFonts w:ascii="Arial" w:hAnsi="Arial" w:cs="Arial"/>
          <w:sz w:val="24"/>
          <w:szCs w:val="24"/>
        </w:rPr>
        <w:t xml:space="preserve">.  </w:t>
      </w:r>
      <w:r w:rsidR="00F34123">
        <w:rPr>
          <w:rFonts w:ascii="Arial" w:hAnsi="Arial" w:cs="Arial"/>
          <w:sz w:val="24"/>
          <w:szCs w:val="24"/>
        </w:rPr>
        <w:t xml:space="preserve">With respect to </w:t>
      </w:r>
      <w:proofErr w:type="spellStart"/>
      <w:r w:rsidR="00F34123">
        <w:rPr>
          <w:rFonts w:ascii="Arial" w:hAnsi="Arial" w:cs="Arial"/>
          <w:sz w:val="24"/>
          <w:szCs w:val="24"/>
        </w:rPr>
        <w:t>Nordicity’s</w:t>
      </w:r>
      <w:proofErr w:type="spellEnd"/>
      <w:r w:rsidR="00F34123">
        <w:rPr>
          <w:rFonts w:ascii="Arial" w:hAnsi="Arial" w:cs="Arial"/>
          <w:sz w:val="24"/>
          <w:szCs w:val="24"/>
        </w:rPr>
        <w:t xml:space="preserve"> proposal it is not at all clear what relevance the </w:t>
      </w:r>
      <w:r w:rsidR="00F34123">
        <w:rPr>
          <w:rFonts w:ascii="Arial" w:hAnsi="Arial" w:cs="Arial"/>
          <w:sz w:val="24"/>
          <w:szCs w:val="24"/>
        </w:rPr>
        <w:lastRenderedPageBreak/>
        <w:t>split of cost for Account #5120 has in the determination of how Account #5135 should be apportioned between the LDC and the carriers.  Furthermore, the logic in using 6.8% as opposed to the 48.5% actually used for Account #5120 appears to be based on the claim that the carriers undertake their own repair work when it comes to their customers.  However, Account #5135 does not include repair cost but – according to the Board’s Accounting Procedures Manual</w:t>
      </w:r>
      <w:r w:rsidR="00F34123">
        <w:rPr>
          <w:rStyle w:val="FootnoteReference"/>
          <w:rFonts w:ascii="Arial" w:hAnsi="Arial" w:cs="Arial"/>
          <w:sz w:val="24"/>
          <w:szCs w:val="24"/>
        </w:rPr>
        <w:footnoteReference w:id="48"/>
      </w:r>
      <w:r w:rsidR="00F34123">
        <w:rPr>
          <w:rFonts w:ascii="Arial" w:hAnsi="Arial" w:cs="Arial"/>
          <w:sz w:val="24"/>
          <w:szCs w:val="24"/>
        </w:rPr>
        <w:t xml:space="preserve"> – just expenses incurred in connection with tree trimming, etc. and other cost incurred in maintaining right of way.</w:t>
      </w:r>
    </w:p>
    <w:p w:rsidR="00F34123" w:rsidRDefault="00F34123" w:rsidP="0044384B">
      <w:pPr>
        <w:spacing w:after="120" w:line="360" w:lineRule="auto"/>
        <w:rPr>
          <w:rFonts w:ascii="Arial" w:hAnsi="Arial" w:cs="Arial"/>
          <w:sz w:val="24"/>
          <w:szCs w:val="24"/>
        </w:rPr>
      </w:pPr>
      <w:r>
        <w:rPr>
          <w:rFonts w:ascii="Arial" w:hAnsi="Arial" w:cs="Arial"/>
          <w:sz w:val="24"/>
          <w:szCs w:val="24"/>
        </w:rPr>
        <w:t xml:space="preserve">VECC’s principle concern with the OEB’s calculation is that (similar to that noted above regarding Account #5120) it fails to recognize the inflation that </w:t>
      </w:r>
      <w:r w:rsidR="00286727">
        <w:rPr>
          <w:rFonts w:ascii="Arial" w:hAnsi="Arial" w:cs="Arial"/>
          <w:sz w:val="24"/>
          <w:szCs w:val="24"/>
        </w:rPr>
        <w:t xml:space="preserve">will have </w:t>
      </w:r>
      <w:r>
        <w:rPr>
          <w:rFonts w:ascii="Arial" w:hAnsi="Arial" w:cs="Arial"/>
          <w:sz w:val="24"/>
          <w:szCs w:val="24"/>
        </w:rPr>
        <w:t xml:space="preserve">occurred during the six </w:t>
      </w:r>
      <w:proofErr w:type="gramStart"/>
      <w:r>
        <w:rPr>
          <w:rFonts w:ascii="Arial" w:hAnsi="Arial" w:cs="Arial"/>
          <w:sz w:val="24"/>
          <w:szCs w:val="24"/>
        </w:rPr>
        <w:t>period</w:t>
      </w:r>
      <w:proofErr w:type="gramEnd"/>
      <w:r>
        <w:rPr>
          <w:rFonts w:ascii="Arial" w:hAnsi="Arial" w:cs="Arial"/>
          <w:sz w:val="24"/>
          <w:szCs w:val="24"/>
        </w:rPr>
        <w:t xml:space="preserve"> used to calculate the average cost.</w:t>
      </w:r>
    </w:p>
    <w:p w:rsidR="00F34123" w:rsidRPr="0015384E" w:rsidRDefault="0015384E" w:rsidP="0015384E">
      <w:pPr>
        <w:pStyle w:val="ListParagraph"/>
        <w:numPr>
          <w:ilvl w:val="1"/>
          <w:numId w:val="1"/>
        </w:numPr>
        <w:spacing w:after="120" w:line="360" w:lineRule="auto"/>
        <w:rPr>
          <w:rFonts w:ascii="Arial" w:hAnsi="Arial" w:cs="Arial"/>
          <w:sz w:val="24"/>
          <w:szCs w:val="24"/>
          <w:u w:val="single"/>
        </w:rPr>
      </w:pPr>
      <w:r w:rsidRPr="0015384E">
        <w:rPr>
          <w:rFonts w:ascii="Arial" w:hAnsi="Arial" w:cs="Arial"/>
          <w:sz w:val="24"/>
          <w:szCs w:val="24"/>
          <w:u w:val="single"/>
        </w:rPr>
        <w:t>Indirect Cost Allocation Methodology</w:t>
      </w:r>
      <w:r w:rsidR="0053245E">
        <w:rPr>
          <w:rStyle w:val="FootnoteReference"/>
          <w:rFonts w:ascii="Arial" w:hAnsi="Arial" w:cs="Arial"/>
          <w:sz w:val="24"/>
          <w:szCs w:val="24"/>
          <w:u w:val="single"/>
        </w:rPr>
        <w:footnoteReference w:id="49"/>
      </w:r>
    </w:p>
    <w:p w:rsidR="0015384E" w:rsidRPr="0015384E" w:rsidRDefault="008D610B" w:rsidP="0015384E">
      <w:pPr>
        <w:spacing w:after="120" w:line="360" w:lineRule="auto"/>
        <w:rPr>
          <w:rFonts w:ascii="Arial" w:hAnsi="Arial" w:cs="Arial"/>
          <w:sz w:val="24"/>
          <w:szCs w:val="24"/>
        </w:rPr>
      </w:pPr>
      <w:r>
        <w:rPr>
          <w:rFonts w:ascii="Arial" w:hAnsi="Arial" w:cs="Arial"/>
          <w:sz w:val="24"/>
          <w:szCs w:val="24"/>
        </w:rPr>
        <w:t>In its Report</w:t>
      </w:r>
      <w:r w:rsidR="00275267">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Nordicity</w:t>
      </w:r>
      <w:proofErr w:type="spellEnd"/>
      <w:r>
        <w:rPr>
          <w:rFonts w:ascii="Arial" w:hAnsi="Arial" w:cs="Arial"/>
          <w:sz w:val="24"/>
          <w:szCs w:val="24"/>
        </w:rPr>
        <w:t xml:space="preserve"> discusses</w:t>
      </w:r>
      <w:r>
        <w:rPr>
          <w:rStyle w:val="FootnoteReference"/>
          <w:rFonts w:ascii="Arial" w:hAnsi="Arial" w:cs="Arial"/>
          <w:sz w:val="24"/>
          <w:szCs w:val="24"/>
        </w:rPr>
        <w:footnoteReference w:id="50"/>
      </w:r>
      <w:r>
        <w:rPr>
          <w:rFonts w:ascii="Arial" w:hAnsi="Arial" w:cs="Arial"/>
          <w:sz w:val="24"/>
          <w:szCs w:val="24"/>
        </w:rPr>
        <w:t xml:space="preserve"> the two most frequently applied allocation methodologies (equal sharing and proportionate use)</w:t>
      </w:r>
      <w:r w:rsidR="0053245E">
        <w:rPr>
          <w:rFonts w:ascii="Arial" w:hAnsi="Arial" w:cs="Arial"/>
          <w:sz w:val="24"/>
          <w:szCs w:val="24"/>
        </w:rPr>
        <w:t xml:space="preserve"> and introduces a new “hybrid” methodology.  </w:t>
      </w:r>
      <w:r w:rsidR="0094088D">
        <w:rPr>
          <w:rFonts w:ascii="Arial" w:hAnsi="Arial" w:cs="Arial"/>
          <w:sz w:val="24"/>
          <w:szCs w:val="24"/>
        </w:rPr>
        <w:t>The OEB’s Draft Report indicates</w:t>
      </w:r>
      <w:r w:rsidR="0094088D">
        <w:rPr>
          <w:rStyle w:val="FootnoteReference"/>
          <w:rFonts w:ascii="Arial" w:hAnsi="Arial" w:cs="Arial"/>
          <w:sz w:val="24"/>
          <w:szCs w:val="24"/>
        </w:rPr>
        <w:footnoteReference w:id="51"/>
      </w:r>
      <w:r w:rsidR="0094088D">
        <w:rPr>
          <w:rFonts w:ascii="Arial" w:hAnsi="Arial" w:cs="Arial"/>
          <w:sz w:val="24"/>
          <w:szCs w:val="24"/>
        </w:rPr>
        <w:t xml:space="preserve"> that the Board “will adopt </w:t>
      </w:r>
      <w:proofErr w:type="spellStart"/>
      <w:r w:rsidR="0094088D">
        <w:rPr>
          <w:rFonts w:ascii="Arial" w:hAnsi="Arial" w:cs="Arial"/>
          <w:sz w:val="24"/>
          <w:szCs w:val="24"/>
        </w:rPr>
        <w:t>Noridicity’s</w:t>
      </w:r>
      <w:proofErr w:type="spellEnd"/>
      <w:r w:rsidR="0094088D">
        <w:rPr>
          <w:rFonts w:ascii="Arial" w:hAnsi="Arial" w:cs="Arial"/>
          <w:sz w:val="24"/>
          <w:szCs w:val="24"/>
        </w:rPr>
        <w:t xml:space="preserve"> </w:t>
      </w:r>
      <w:r w:rsidR="0094088D" w:rsidRPr="003816A0">
        <w:rPr>
          <w:rFonts w:ascii="Arial" w:hAnsi="Arial" w:cs="Arial"/>
          <w:sz w:val="24"/>
          <w:szCs w:val="24"/>
          <w:u w:val="single"/>
        </w:rPr>
        <w:t>recommendation</w:t>
      </w:r>
      <w:r w:rsidR="0094088D">
        <w:rPr>
          <w:rFonts w:ascii="Arial" w:hAnsi="Arial" w:cs="Arial"/>
          <w:sz w:val="24"/>
          <w:szCs w:val="24"/>
        </w:rPr>
        <w:t xml:space="preserve"> and move forward with allocating common costs based on the hybrid equal sharing methodology”</w:t>
      </w:r>
      <w:r w:rsidR="003816A0">
        <w:rPr>
          <w:rFonts w:ascii="Arial" w:hAnsi="Arial" w:cs="Arial"/>
          <w:sz w:val="24"/>
          <w:szCs w:val="24"/>
        </w:rPr>
        <w:t xml:space="preserve"> (emphasis added)</w:t>
      </w:r>
      <w:r w:rsidR="0094088D">
        <w:rPr>
          <w:rFonts w:ascii="Arial" w:hAnsi="Arial" w:cs="Arial"/>
          <w:sz w:val="24"/>
          <w:szCs w:val="24"/>
        </w:rPr>
        <w:t>.</w:t>
      </w:r>
    </w:p>
    <w:p w:rsidR="00996064" w:rsidRDefault="0094088D" w:rsidP="0044384B">
      <w:pPr>
        <w:spacing w:after="120" w:line="360" w:lineRule="auto"/>
        <w:rPr>
          <w:rFonts w:ascii="Arial" w:hAnsi="Arial" w:cs="Arial"/>
          <w:sz w:val="24"/>
          <w:szCs w:val="24"/>
        </w:rPr>
      </w:pPr>
      <w:r>
        <w:rPr>
          <w:rFonts w:ascii="Arial" w:hAnsi="Arial" w:cs="Arial"/>
          <w:sz w:val="24"/>
          <w:szCs w:val="24"/>
        </w:rPr>
        <w:t xml:space="preserve">However, it is </w:t>
      </w:r>
      <w:r w:rsidR="00996064">
        <w:rPr>
          <w:rFonts w:ascii="Arial" w:hAnsi="Arial" w:cs="Arial"/>
          <w:sz w:val="24"/>
          <w:szCs w:val="24"/>
        </w:rPr>
        <w:t xml:space="preserve">not clear that </w:t>
      </w:r>
      <w:proofErr w:type="spellStart"/>
      <w:r>
        <w:rPr>
          <w:rFonts w:ascii="Arial" w:hAnsi="Arial" w:cs="Arial"/>
          <w:sz w:val="24"/>
          <w:szCs w:val="24"/>
        </w:rPr>
        <w:t>Nordicity’s</w:t>
      </w:r>
      <w:proofErr w:type="spellEnd"/>
      <w:r>
        <w:rPr>
          <w:rFonts w:ascii="Arial" w:hAnsi="Arial" w:cs="Arial"/>
          <w:sz w:val="24"/>
          <w:szCs w:val="24"/>
        </w:rPr>
        <w:t xml:space="preserve"> </w:t>
      </w:r>
      <w:r w:rsidR="00996064">
        <w:rPr>
          <w:rFonts w:ascii="Arial" w:hAnsi="Arial" w:cs="Arial"/>
          <w:sz w:val="24"/>
          <w:szCs w:val="24"/>
        </w:rPr>
        <w:t xml:space="preserve">is </w:t>
      </w:r>
      <w:r w:rsidR="003816A0">
        <w:rPr>
          <w:rFonts w:ascii="Arial" w:hAnsi="Arial" w:cs="Arial"/>
          <w:sz w:val="24"/>
          <w:szCs w:val="24"/>
        </w:rPr>
        <w:t xml:space="preserve">actually </w:t>
      </w:r>
      <w:r w:rsidR="00996064">
        <w:rPr>
          <w:rFonts w:ascii="Arial" w:hAnsi="Arial" w:cs="Arial"/>
          <w:sz w:val="24"/>
          <w:szCs w:val="24"/>
        </w:rPr>
        <w:t>recommending the “hybrid approach”</w:t>
      </w:r>
      <w:r>
        <w:rPr>
          <w:rFonts w:ascii="Arial" w:hAnsi="Arial" w:cs="Arial"/>
          <w:sz w:val="24"/>
          <w:szCs w:val="24"/>
        </w:rPr>
        <w:t>.  At page</w:t>
      </w:r>
      <w:r w:rsidR="0013438C">
        <w:rPr>
          <w:rFonts w:ascii="Arial" w:hAnsi="Arial" w:cs="Arial"/>
          <w:sz w:val="24"/>
          <w:szCs w:val="24"/>
        </w:rPr>
        <w:t xml:space="preserve"> </w:t>
      </w:r>
      <w:r>
        <w:rPr>
          <w:rFonts w:ascii="Arial" w:hAnsi="Arial" w:cs="Arial"/>
          <w:sz w:val="24"/>
          <w:szCs w:val="24"/>
        </w:rPr>
        <w:t xml:space="preserve">60, </w:t>
      </w:r>
      <w:proofErr w:type="spellStart"/>
      <w:r>
        <w:rPr>
          <w:rFonts w:ascii="Arial" w:hAnsi="Arial" w:cs="Arial"/>
          <w:sz w:val="24"/>
          <w:szCs w:val="24"/>
        </w:rPr>
        <w:t>Nordicity</w:t>
      </w:r>
      <w:proofErr w:type="spellEnd"/>
      <w:r>
        <w:rPr>
          <w:rFonts w:ascii="Arial" w:hAnsi="Arial" w:cs="Arial"/>
          <w:sz w:val="24"/>
          <w:szCs w:val="24"/>
        </w:rPr>
        <w:t xml:space="preserve"> Reports states (at page 60) that it “believes a more appropriate approach to applying the equal sharing methodology would be” an </w:t>
      </w:r>
      <w:r w:rsidR="0013438C">
        <w:rPr>
          <w:rFonts w:ascii="Arial" w:hAnsi="Arial" w:cs="Arial"/>
          <w:sz w:val="24"/>
          <w:szCs w:val="24"/>
        </w:rPr>
        <w:t xml:space="preserve">alternative which </w:t>
      </w:r>
      <w:proofErr w:type="spellStart"/>
      <w:r w:rsidR="0013438C">
        <w:rPr>
          <w:rFonts w:ascii="Arial" w:hAnsi="Arial" w:cs="Arial"/>
          <w:sz w:val="24"/>
          <w:szCs w:val="24"/>
        </w:rPr>
        <w:t>Nordicity</w:t>
      </w:r>
      <w:proofErr w:type="spellEnd"/>
      <w:r w:rsidR="0013438C">
        <w:rPr>
          <w:rFonts w:ascii="Arial" w:hAnsi="Arial" w:cs="Arial"/>
          <w:sz w:val="24"/>
          <w:szCs w:val="24"/>
        </w:rPr>
        <w:t xml:space="preserve"> calls the hybrid approach.  However, in Appendix B </w:t>
      </w:r>
      <w:proofErr w:type="spellStart"/>
      <w:r w:rsidR="0013438C">
        <w:rPr>
          <w:rFonts w:ascii="Arial" w:hAnsi="Arial" w:cs="Arial"/>
          <w:sz w:val="24"/>
          <w:szCs w:val="24"/>
        </w:rPr>
        <w:t>Nordicity</w:t>
      </w:r>
      <w:proofErr w:type="spellEnd"/>
      <w:r w:rsidR="0013438C">
        <w:rPr>
          <w:rFonts w:ascii="Arial" w:hAnsi="Arial" w:cs="Arial"/>
          <w:sz w:val="24"/>
          <w:szCs w:val="24"/>
        </w:rPr>
        <w:t xml:space="preserve"> presents a detailed analysis of the two main allocation methodologies and concludes (on page 70) – “the analysis clearly demonstrates that the equal sharing methodology is the most appropriate to allocate common costs between the two types of </w:t>
      </w:r>
      <w:proofErr w:type="spellStart"/>
      <w:r w:rsidR="0013438C">
        <w:rPr>
          <w:rFonts w:ascii="Arial" w:hAnsi="Arial" w:cs="Arial"/>
          <w:sz w:val="24"/>
          <w:szCs w:val="24"/>
        </w:rPr>
        <w:t>attachers</w:t>
      </w:r>
      <w:proofErr w:type="spellEnd"/>
      <w:r w:rsidR="0013438C">
        <w:rPr>
          <w:rFonts w:ascii="Arial" w:hAnsi="Arial" w:cs="Arial"/>
          <w:sz w:val="24"/>
          <w:szCs w:val="24"/>
        </w:rPr>
        <w:t xml:space="preserve"> on a joint use pole”.  Finally, in the conclusions and recommendations section of its Report (section 11) </w:t>
      </w:r>
      <w:proofErr w:type="spellStart"/>
      <w:r w:rsidR="0013438C">
        <w:rPr>
          <w:rFonts w:ascii="Arial" w:hAnsi="Arial" w:cs="Arial"/>
          <w:sz w:val="24"/>
          <w:szCs w:val="24"/>
        </w:rPr>
        <w:t>Nordicity</w:t>
      </w:r>
      <w:proofErr w:type="spellEnd"/>
      <w:r w:rsidR="0013438C">
        <w:rPr>
          <w:rFonts w:ascii="Arial" w:hAnsi="Arial" w:cs="Arial"/>
          <w:sz w:val="24"/>
          <w:szCs w:val="24"/>
        </w:rPr>
        <w:t xml:space="preserve"> </w:t>
      </w:r>
      <w:r w:rsidR="00996064">
        <w:rPr>
          <w:rFonts w:ascii="Arial" w:hAnsi="Arial" w:cs="Arial"/>
          <w:sz w:val="24"/>
          <w:szCs w:val="24"/>
        </w:rPr>
        <w:t>states</w:t>
      </w:r>
      <w:r w:rsidR="00996064">
        <w:rPr>
          <w:rStyle w:val="FootnoteReference"/>
          <w:rFonts w:ascii="Arial" w:hAnsi="Arial" w:cs="Arial"/>
          <w:sz w:val="24"/>
          <w:szCs w:val="24"/>
        </w:rPr>
        <w:footnoteReference w:id="52"/>
      </w:r>
      <w:r w:rsidR="00996064">
        <w:rPr>
          <w:rFonts w:ascii="Arial" w:hAnsi="Arial" w:cs="Arial"/>
          <w:sz w:val="24"/>
          <w:szCs w:val="24"/>
        </w:rPr>
        <w:t xml:space="preserve"> and underlines for emphasis:</w:t>
      </w:r>
    </w:p>
    <w:p w:rsidR="00996064" w:rsidRPr="00996064" w:rsidRDefault="00996064" w:rsidP="00996064">
      <w:pPr>
        <w:spacing w:after="120" w:line="360" w:lineRule="auto"/>
        <w:ind w:left="720"/>
        <w:rPr>
          <w:rFonts w:ascii="Arial" w:hAnsi="Arial" w:cs="Arial"/>
          <w:sz w:val="24"/>
          <w:szCs w:val="24"/>
          <w:u w:val="single"/>
        </w:rPr>
      </w:pPr>
      <w:r w:rsidRPr="00996064">
        <w:rPr>
          <w:rFonts w:ascii="Arial" w:hAnsi="Arial" w:cs="Arial"/>
          <w:sz w:val="24"/>
          <w:szCs w:val="24"/>
          <w:u w:val="single"/>
        </w:rPr>
        <w:lastRenderedPageBreak/>
        <w:t>Therefore, the equal sharing methodology is recommended to allocate indirect costs in the determination of the pole attachment rate.  Consideration of any other methodology would require a detailed assessment of costs such as incremental cost (minimum threshold) and standalone cost (maximum threshold) in the Ontario context.</w:t>
      </w:r>
    </w:p>
    <w:p w:rsidR="00996064" w:rsidRDefault="003816A0" w:rsidP="0044384B">
      <w:pPr>
        <w:spacing w:after="120" w:line="360" w:lineRule="auto"/>
        <w:rPr>
          <w:rFonts w:ascii="Arial" w:hAnsi="Arial" w:cs="Arial"/>
          <w:sz w:val="24"/>
          <w:szCs w:val="24"/>
        </w:rPr>
      </w:pPr>
      <w:r>
        <w:rPr>
          <w:rFonts w:ascii="Arial" w:hAnsi="Arial" w:cs="Arial"/>
          <w:sz w:val="24"/>
          <w:szCs w:val="24"/>
        </w:rPr>
        <w:t>B</w:t>
      </w:r>
      <w:r w:rsidR="00996064">
        <w:rPr>
          <w:rFonts w:ascii="Arial" w:hAnsi="Arial" w:cs="Arial"/>
          <w:sz w:val="24"/>
          <w:szCs w:val="24"/>
        </w:rPr>
        <w:t xml:space="preserve">ased on the foregoing it would appear that </w:t>
      </w:r>
      <w:proofErr w:type="spellStart"/>
      <w:r w:rsidR="00996064">
        <w:rPr>
          <w:rFonts w:ascii="Arial" w:hAnsi="Arial" w:cs="Arial"/>
          <w:sz w:val="24"/>
          <w:szCs w:val="24"/>
        </w:rPr>
        <w:t>Nordicity</w:t>
      </w:r>
      <w:proofErr w:type="spellEnd"/>
      <w:r w:rsidR="00996064">
        <w:rPr>
          <w:rFonts w:ascii="Arial" w:hAnsi="Arial" w:cs="Arial"/>
          <w:sz w:val="24"/>
          <w:szCs w:val="24"/>
        </w:rPr>
        <w:t xml:space="preserve"> is recommending the continued use of the equal sharing approach.  As result, to the extent the OEB’s has relied on </w:t>
      </w:r>
      <w:proofErr w:type="spellStart"/>
      <w:r w:rsidR="00996064">
        <w:rPr>
          <w:rFonts w:ascii="Arial" w:hAnsi="Arial" w:cs="Arial"/>
          <w:sz w:val="24"/>
          <w:szCs w:val="24"/>
        </w:rPr>
        <w:t>Nordicity’s</w:t>
      </w:r>
      <w:proofErr w:type="spellEnd"/>
      <w:r w:rsidR="00996064">
        <w:rPr>
          <w:rFonts w:ascii="Arial" w:hAnsi="Arial" w:cs="Arial"/>
          <w:sz w:val="24"/>
          <w:szCs w:val="24"/>
        </w:rPr>
        <w:t xml:space="preserve"> “recommendation”, </w:t>
      </w:r>
      <w:r w:rsidR="000D5037">
        <w:rPr>
          <w:rFonts w:ascii="Arial" w:hAnsi="Arial" w:cs="Arial"/>
          <w:sz w:val="24"/>
          <w:szCs w:val="24"/>
        </w:rPr>
        <w:t>it</w:t>
      </w:r>
      <w:r w:rsidR="00996064">
        <w:rPr>
          <w:rFonts w:ascii="Arial" w:hAnsi="Arial" w:cs="Arial"/>
          <w:sz w:val="24"/>
          <w:szCs w:val="24"/>
        </w:rPr>
        <w:t xml:space="preserve">s choice of the hybrid method is unfounded.  </w:t>
      </w:r>
    </w:p>
    <w:p w:rsidR="00F34123" w:rsidRDefault="00996064" w:rsidP="0044384B">
      <w:pPr>
        <w:spacing w:after="120" w:line="360" w:lineRule="auto"/>
        <w:rPr>
          <w:rFonts w:ascii="Arial" w:hAnsi="Arial" w:cs="Arial"/>
          <w:sz w:val="24"/>
          <w:szCs w:val="24"/>
        </w:rPr>
      </w:pPr>
      <w:r>
        <w:rPr>
          <w:rFonts w:ascii="Arial" w:hAnsi="Arial" w:cs="Arial"/>
          <w:sz w:val="24"/>
          <w:szCs w:val="24"/>
        </w:rPr>
        <w:t>In outlining its preference for the hybrid method, the OEB’</w:t>
      </w:r>
      <w:r w:rsidR="000D5037">
        <w:rPr>
          <w:rFonts w:ascii="Arial" w:hAnsi="Arial" w:cs="Arial"/>
          <w:sz w:val="24"/>
          <w:szCs w:val="24"/>
        </w:rPr>
        <w:t>s Draft Report</w:t>
      </w:r>
      <w:r w:rsidR="005D62D4">
        <w:rPr>
          <w:rStyle w:val="FootnoteReference"/>
          <w:rFonts w:ascii="Arial" w:hAnsi="Arial" w:cs="Arial"/>
          <w:sz w:val="24"/>
          <w:szCs w:val="24"/>
        </w:rPr>
        <w:footnoteReference w:id="53"/>
      </w:r>
      <w:r w:rsidR="000D5037">
        <w:rPr>
          <w:rFonts w:ascii="Arial" w:hAnsi="Arial" w:cs="Arial"/>
          <w:sz w:val="24"/>
          <w:szCs w:val="24"/>
        </w:rPr>
        <w:t xml:space="preserve"> appears to be concerned that addition of another third party </w:t>
      </w:r>
      <w:proofErr w:type="spellStart"/>
      <w:r w:rsidR="000D5037">
        <w:rPr>
          <w:rFonts w:ascii="Arial" w:hAnsi="Arial" w:cs="Arial"/>
          <w:sz w:val="24"/>
          <w:szCs w:val="24"/>
        </w:rPr>
        <w:t>attacher</w:t>
      </w:r>
      <w:proofErr w:type="spellEnd"/>
      <w:r w:rsidR="000D5037">
        <w:rPr>
          <w:rFonts w:ascii="Arial" w:hAnsi="Arial" w:cs="Arial"/>
          <w:sz w:val="24"/>
          <w:szCs w:val="24"/>
        </w:rPr>
        <w:t xml:space="preserve"> will reduce the amount the power </w:t>
      </w:r>
      <w:proofErr w:type="spellStart"/>
      <w:r w:rsidR="00E426C2">
        <w:rPr>
          <w:rFonts w:ascii="Arial" w:hAnsi="Arial" w:cs="Arial"/>
          <w:sz w:val="24"/>
          <w:szCs w:val="24"/>
        </w:rPr>
        <w:t>attacher</w:t>
      </w:r>
      <w:proofErr w:type="spellEnd"/>
      <w:r w:rsidR="00E426C2">
        <w:rPr>
          <w:rFonts w:ascii="Arial" w:hAnsi="Arial" w:cs="Arial"/>
          <w:sz w:val="24"/>
          <w:szCs w:val="24"/>
        </w:rPr>
        <w:t xml:space="preserve"> pays</w:t>
      </w:r>
      <w:r w:rsidR="000D5037">
        <w:rPr>
          <w:rFonts w:ascii="Arial" w:hAnsi="Arial" w:cs="Arial"/>
          <w:sz w:val="24"/>
          <w:szCs w:val="24"/>
        </w:rPr>
        <w:t xml:space="preserve"> under the equal sharing method.  What the Report fails to note is that in such a case all </w:t>
      </w:r>
      <w:proofErr w:type="spellStart"/>
      <w:r w:rsidR="000D5037">
        <w:rPr>
          <w:rFonts w:ascii="Arial" w:hAnsi="Arial" w:cs="Arial"/>
          <w:sz w:val="24"/>
          <w:szCs w:val="24"/>
        </w:rPr>
        <w:t>attachers</w:t>
      </w:r>
      <w:proofErr w:type="spellEnd"/>
      <w:r w:rsidR="000D5037">
        <w:rPr>
          <w:rFonts w:ascii="Arial" w:hAnsi="Arial" w:cs="Arial"/>
          <w:sz w:val="24"/>
          <w:szCs w:val="24"/>
        </w:rPr>
        <w:t xml:space="preserve"> (both carriers and power) pay less when more </w:t>
      </w:r>
      <w:proofErr w:type="spellStart"/>
      <w:r w:rsidR="000D5037">
        <w:rPr>
          <w:rFonts w:ascii="Arial" w:hAnsi="Arial" w:cs="Arial"/>
          <w:sz w:val="24"/>
          <w:szCs w:val="24"/>
        </w:rPr>
        <w:t>attachers</w:t>
      </w:r>
      <w:proofErr w:type="spellEnd"/>
      <w:r w:rsidR="000D5037">
        <w:rPr>
          <w:rFonts w:ascii="Arial" w:hAnsi="Arial" w:cs="Arial"/>
          <w:sz w:val="24"/>
          <w:szCs w:val="24"/>
        </w:rPr>
        <w:t xml:space="preserve"> are present (regardless of whether they attach to the power or communications space).  In contrast, under the hybrid method if the additional </w:t>
      </w:r>
      <w:proofErr w:type="spellStart"/>
      <w:r w:rsidR="000D5037">
        <w:rPr>
          <w:rFonts w:ascii="Arial" w:hAnsi="Arial" w:cs="Arial"/>
          <w:sz w:val="24"/>
          <w:szCs w:val="24"/>
        </w:rPr>
        <w:t>attacher</w:t>
      </w:r>
      <w:proofErr w:type="spellEnd"/>
      <w:r w:rsidR="000D5037">
        <w:rPr>
          <w:rFonts w:ascii="Arial" w:hAnsi="Arial" w:cs="Arial"/>
          <w:sz w:val="24"/>
          <w:szCs w:val="24"/>
        </w:rPr>
        <w:t xml:space="preserve"> is a carrier and attaches to the communications space only the carriers will pay less, while if the additional </w:t>
      </w:r>
      <w:proofErr w:type="spellStart"/>
      <w:r w:rsidR="000D5037">
        <w:rPr>
          <w:rFonts w:ascii="Arial" w:hAnsi="Arial" w:cs="Arial"/>
          <w:sz w:val="24"/>
          <w:szCs w:val="24"/>
        </w:rPr>
        <w:t>attacher</w:t>
      </w:r>
      <w:proofErr w:type="spellEnd"/>
      <w:r w:rsidR="000D5037">
        <w:rPr>
          <w:rFonts w:ascii="Arial" w:hAnsi="Arial" w:cs="Arial"/>
          <w:sz w:val="24"/>
          <w:szCs w:val="24"/>
        </w:rPr>
        <w:t xml:space="preserve"> attaches to the power space (i.e., is another power </w:t>
      </w:r>
      <w:proofErr w:type="spellStart"/>
      <w:r w:rsidR="000D5037">
        <w:rPr>
          <w:rFonts w:ascii="Arial" w:hAnsi="Arial" w:cs="Arial"/>
          <w:sz w:val="24"/>
          <w:szCs w:val="24"/>
        </w:rPr>
        <w:t>attacher</w:t>
      </w:r>
      <w:proofErr w:type="spellEnd"/>
      <w:r w:rsidR="000D5037">
        <w:rPr>
          <w:rFonts w:ascii="Arial" w:hAnsi="Arial" w:cs="Arial"/>
          <w:sz w:val="24"/>
          <w:szCs w:val="24"/>
        </w:rPr>
        <w:t xml:space="preserve"> or a streetlight attachment) then only the existing </w:t>
      </w:r>
      <w:proofErr w:type="spellStart"/>
      <w:r w:rsidR="000D5037">
        <w:rPr>
          <w:rFonts w:ascii="Arial" w:hAnsi="Arial" w:cs="Arial"/>
          <w:sz w:val="24"/>
          <w:szCs w:val="24"/>
        </w:rPr>
        <w:t>attacher</w:t>
      </w:r>
      <w:proofErr w:type="spellEnd"/>
      <w:r w:rsidR="000D5037">
        <w:rPr>
          <w:rFonts w:ascii="Arial" w:hAnsi="Arial" w:cs="Arial"/>
          <w:sz w:val="24"/>
          <w:szCs w:val="24"/>
        </w:rPr>
        <w:t xml:space="preserve"> to the power space will pay less. </w:t>
      </w:r>
      <w:r w:rsidR="0094088D">
        <w:rPr>
          <w:rFonts w:ascii="Arial" w:hAnsi="Arial" w:cs="Arial"/>
          <w:sz w:val="24"/>
          <w:szCs w:val="24"/>
        </w:rPr>
        <w:t xml:space="preserve"> </w:t>
      </w:r>
    </w:p>
    <w:p w:rsidR="005D62D4" w:rsidRDefault="00D20F4E" w:rsidP="0044384B">
      <w:pPr>
        <w:spacing w:after="120" w:line="360" w:lineRule="auto"/>
        <w:rPr>
          <w:rFonts w:ascii="Arial" w:hAnsi="Arial" w:cs="Arial"/>
          <w:sz w:val="24"/>
          <w:szCs w:val="24"/>
        </w:rPr>
      </w:pPr>
      <w:r>
        <w:rPr>
          <w:rFonts w:ascii="Arial" w:hAnsi="Arial" w:cs="Arial"/>
          <w:sz w:val="24"/>
          <w:szCs w:val="24"/>
        </w:rPr>
        <w:t xml:space="preserve">Also the Report’s preference for considering power space users and communications space users as two “groups” for purposes of allocation as opposed to considering each </w:t>
      </w:r>
      <w:proofErr w:type="spellStart"/>
      <w:r>
        <w:rPr>
          <w:rFonts w:ascii="Arial" w:hAnsi="Arial" w:cs="Arial"/>
          <w:sz w:val="24"/>
          <w:szCs w:val="24"/>
        </w:rPr>
        <w:t>attacher</w:t>
      </w:r>
      <w:proofErr w:type="spellEnd"/>
      <w:r>
        <w:rPr>
          <w:rFonts w:ascii="Arial" w:hAnsi="Arial" w:cs="Arial"/>
          <w:sz w:val="24"/>
          <w:szCs w:val="24"/>
        </w:rPr>
        <w:t xml:space="preserve"> separating appears to be founded on the fact that the communication space does not increase if more carriers become </w:t>
      </w:r>
      <w:proofErr w:type="spellStart"/>
      <w:r>
        <w:rPr>
          <w:rFonts w:ascii="Arial" w:hAnsi="Arial" w:cs="Arial"/>
          <w:sz w:val="24"/>
          <w:szCs w:val="24"/>
        </w:rPr>
        <w:t>attachers</w:t>
      </w:r>
      <w:proofErr w:type="spellEnd"/>
      <w:r>
        <w:rPr>
          <w:rFonts w:ascii="Arial" w:hAnsi="Arial" w:cs="Arial"/>
          <w:sz w:val="24"/>
          <w:szCs w:val="24"/>
        </w:rPr>
        <w:t>.  However, while the communications space does not increase the attachment of more carriers does not reduce</w:t>
      </w:r>
      <w:r w:rsidR="00E426C2">
        <w:rPr>
          <w:rFonts w:ascii="Arial" w:hAnsi="Arial" w:cs="Arial"/>
          <w:sz w:val="24"/>
          <w:szCs w:val="24"/>
        </w:rPr>
        <w:t xml:space="preserve"> or impinge on </w:t>
      </w:r>
      <w:r>
        <w:rPr>
          <w:rFonts w:ascii="Arial" w:hAnsi="Arial" w:cs="Arial"/>
          <w:sz w:val="24"/>
          <w:szCs w:val="24"/>
        </w:rPr>
        <w:t xml:space="preserve"> the value that the existing carriers receive from being able to attach to a distribution pole (i.e., there is not a fixed benefit attributable to the communication space such that the benefit to individual carriers declines as more carriers attach).  As a result, VECC does not see any basis for considering the power space </w:t>
      </w:r>
      <w:proofErr w:type="spellStart"/>
      <w:r>
        <w:rPr>
          <w:rFonts w:ascii="Arial" w:hAnsi="Arial" w:cs="Arial"/>
          <w:sz w:val="24"/>
          <w:szCs w:val="24"/>
        </w:rPr>
        <w:t>attachers</w:t>
      </w:r>
      <w:proofErr w:type="spellEnd"/>
      <w:r>
        <w:rPr>
          <w:rFonts w:ascii="Arial" w:hAnsi="Arial" w:cs="Arial"/>
          <w:sz w:val="24"/>
          <w:szCs w:val="24"/>
        </w:rPr>
        <w:t xml:space="preserve"> and communication space </w:t>
      </w:r>
      <w:proofErr w:type="spellStart"/>
      <w:r>
        <w:rPr>
          <w:rFonts w:ascii="Arial" w:hAnsi="Arial" w:cs="Arial"/>
          <w:sz w:val="24"/>
          <w:szCs w:val="24"/>
        </w:rPr>
        <w:t>attachers</w:t>
      </w:r>
      <w:proofErr w:type="spellEnd"/>
      <w:r>
        <w:rPr>
          <w:rFonts w:ascii="Arial" w:hAnsi="Arial" w:cs="Arial"/>
          <w:sz w:val="24"/>
          <w:szCs w:val="24"/>
        </w:rPr>
        <w:t xml:space="preserve"> as two groups.</w:t>
      </w:r>
    </w:p>
    <w:p w:rsidR="00D20F4E" w:rsidRDefault="00ED03ED" w:rsidP="0044384B">
      <w:pPr>
        <w:spacing w:after="120" w:line="360" w:lineRule="auto"/>
        <w:rPr>
          <w:rFonts w:ascii="Arial" w:hAnsi="Arial" w:cs="Arial"/>
          <w:sz w:val="24"/>
          <w:szCs w:val="24"/>
        </w:rPr>
      </w:pPr>
      <w:r>
        <w:rPr>
          <w:rFonts w:ascii="Arial" w:hAnsi="Arial" w:cs="Arial"/>
          <w:sz w:val="24"/>
          <w:szCs w:val="24"/>
        </w:rPr>
        <w:lastRenderedPageBreak/>
        <w:t>Overall, it is VECC’s view that there is no rationale or regulatory precedent for the</w:t>
      </w:r>
      <w:r w:rsidR="00E426C2">
        <w:rPr>
          <w:rFonts w:ascii="Arial" w:hAnsi="Arial" w:cs="Arial"/>
          <w:sz w:val="24"/>
          <w:szCs w:val="24"/>
        </w:rPr>
        <w:t xml:space="preserve"> hybrid methodology and that the</w:t>
      </w:r>
      <w:r>
        <w:rPr>
          <w:rFonts w:ascii="Arial" w:hAnsi="Arial" w:cs="Arial"/>
          <w:sz w:val="24"/>
          <w:szCs w:val="24"/>
        </w:rPr>
        <w:t xml:space="preserve"> Board should continue to use the equal sharing methodology as ultimately recommended by </w:t>
      </w:r>
      <w:proofErr w:type="spellStart"/>
      <w:r>
        <w:rPr>
          <w:rFonts w:ascii="Arial" w:hAnsi="Arial" w:cs="Arial"/>
          <w:sz w:val="24"/>
          <w:szCs w:val="24"/>
        </w:rPr>
        <w:t>Nordicity</w:t>
      </w:r>
      <w:proofErr w:type="spellEnd"/>
      <w:r>
        <w:rPr>
          <w:rFonts w:ascii="Arial" w:hAnsi="Arial" w:cs="Arial"/>
          <w:sz w:val="24"/>
          <w:szCs w:val="24"/>
        </w:rPr>
        <w:t>.</w:t>
      </w:r>
    </w:p>
    <w:p w:rsidR="00ED03ED" w:rsidRPr="00570BD5" w:rsidRDefault="00570BD5" w:rsidP="00570BD5">
      <w:pPr>
        <w:pStyle w:val="ListParagraph"/>
        <w:numPr>
          <w:ilvl w:val="0"/>
          <w:numId w:val="1"/>
        </w:numPr>
        <w:spacing w:after="120" w:line="360" w:lineRule="auto"/>
        <w:rPr>
          <w:rFonts w:ascii="Arial" w:hAnsi="Arial" w:cs="Arial"/>
          <w:b/>
          <w:sz w:val="24"/>
          <w:szCs w:val="24"/>
          <w:u w:val="single"/>
        </w:rPr>
      </w:pPr>
      <w:r w:rsidRPr="00570BD5">
        <w:rPr>
          <w:rFonts w:ascii="Arial" w:hAnsi="Arial" w:cs="Arial"/>
          <w:b/>
          <w:sz w:val="24"/>
          <w:szCs w:val="24"/>
          <w:u w:val="single"/>
        </w:rPr>
        <w:t>Implementation</w:t>
      </w:r>
    </w:p>
    <w:p w:rsidR="00F230B2" w:rsidRDefault="00F230B2" w:rsidP="00570BD5">
      <w:pPr>
        <w:pStyle w:val="ListParagraph"/>
        <w:numPr>
          <w:ilvl w:val="1"/>
          <w:numId w:val="1"/>
        </w:numPr>
        <w:spacing w:after="120" w:line="360" w:lineRule="auto"/>
        <w:rPr>
          <w:rFonts w:ascii="Arial" w:hAnsi="Arial" w:cs="Arial"/>
          <w:sz w:val="24"/>
          <w:szCs w:val="24"/>
          <w:u w:val="single"/>
        </w:rPr>
      </w:pPr>
      <w:r>
        <w:rPr>
          <w:rFonts w:ascii="Arial" w:hAnsi="Arial" w:cs="Arial"/>
          <w:sz w:val="24"/>
          <w:szCs w:val="24"/>
          <w:u w:val="single"/>
        </w:rPr>
        <w:t>Provincial vs. Utility Specific Rate</w:t>
      </w:r>
    </w:p>
    <w:p w:rsidR="00A903EA" w:rsidRDefault="00F230B2" w:rsidP="00F230B2">
      <w:pPr>
        <w:spacing w:after="120" w:line="360" w:lineRule="auto"/>
        <w:rPr>
          <w:rFonts w:ascii="Arial" w:hAnsi="Arial" w:cs="Arial"/>
          <w:sz w:val="24"/>
          <w:szCs w:val="24"/>
        </w:rPr>
      </w:pPr>
      <w:r>
        <w:rPr>
          <w:rFonts w:ascii="Arial" w:hAnsi="Arial" w:cs="Arial"/>
          <w:sz w:val="24"/>
          <w:szCs w:val="24"/>
        </w:rPr>
        <w:t>The OEB’s Draft Report</w:t>
      </w:r>
      <w:r w:rsidR="00A903EA">
        <w:rPr>
          <w:rStyle w:val="FootnoteReference"/>
          <w:rFonts w:ascii="Arial" w:hAnsi="Arial" w:cs="Arial"/>
          <w:sz w:val="24"/>
          <w:szCs w:val="24"/>
        </w:rPr>
        <w:footnoteReference w:id="54"/>
      </w:r>
      <w:r>
        <w:rPr>
          <w:rFonts w:ascii="Arial" w:hAnsi="Arial" w:cs="Arial"/>
          <w:sz w:val="24"/>
          <w:szCs w:val="24"/>
        </w:rPr>
        <w:t xml:space="preserve"> indicates that the Board intends on implementing a province-wide rate in 2018</w:t>
      </w:r>
      <w:r w:rsidR="00A903EA">
        <w:rPr>
          <w:rFonts w:ascii="Arial" w:hAnsi="Arial" w:cs="Arial"/>
          <w:sz w:val="24"/>
          <w:szCs w:val="24"/>
        </w:rPr>
        <w:t>.  The Report further notes that the province-wide rate will be subject to inflationary adjustment, excluding any productivity adjustments, using the OEB’s I-X adjustment mechanism.  The Board states that in making this determination it has balanced the need to ensure the rate is representative of costs with avoiding an overly administrative and costly process for setting an LDC-specific rate for each LDC.</w:t>
      </w:r>
      <w:r w:rsidR="00F66B8B">
        <w:rPr>
          <w:rFonts w:ascii="Arial" w:hAnsi="Arial" w:cs="Arial"/>
          <w:sz w:val="24"/>
          <w:szCs w:val="24"/>
        </w:rPr>
        <w:t xml:space="preserve">  At the time of rebasing the Draft Report proposes that utilities can choose to select the provincially approved rate or to use utility specific costs and pursue an LDC-specific pole attachment charge using the OEB’s updated methodology.</w:t>
      </w:r>
    </w:p>
    <w:p w:rsidR="00A903EA" w:rsidRDefault="00A903EA" w:rsidP="00F230B2">
      <w:pPr>
        <w:spacing w:after="120" w:line="360" w:lineRule="auto"/>
        <w:rPr>
          <w:rFonts w:ascii="Arial" w:hAnsi="Arial" w:cs="Arial"/>
          <w:sz w:val="24"/>
          <w:szCs w:val="24"/>
        </w:rPr>
      </w:pPr>
      <w:r>
        <w:rPr>
          <w:rFonts w:ascii="Arial" w:hAnsi="Arial" w:cs="Arial"/>
          <w:sz w:val="24"/>
          <w:szCs w:val="24"/>
        </w:rPr>
        <w:t xml:space="preserve">VECC concurs that it is not practical to establish LDC-specific rates for all LDCs for 2018.  However, in its review of the </w:t>
      </w:r>
      <w:r w:rsidR="00F66B8B">
        <w:rPr>
          <w:rFonts w:ascii="Arial" w:hAnsi="Arial" w:cs="Arial"/>
          <w:sz w:val="24"/>
          <w:szCs w:val="24"/>
        </w:rPr>
        <w:t>OEB’</w:t>
      </w:r>
      <w:r>
        <w:rPr>
          <w:rFonts w:ascii="Arial" w:hAnsi="Arial" w:cs="Arial"/>
          <w:sz w:val="24"/>
          <w:szCs w:val="24"/>
        </w:rPr>
        <w:t xml:space="preserve">s proposed methodology VECC has noted a number of areas where the inputs used by the Board are likely to vary significantly from LDC to LDC. </w:t>
      </w:r>
      <w:r w:rsidR="00F66B8B">
        <w:rPr>
          <w:rFonts w:ascii="Arial" w:hAnsi="Arial" w:cs="Arial"/>
          <w:sz w:val="24"/>
          <w:szCs w:val="24"/>
        </w:rPr>
        <w:t xml:space="preserve"> As result, VECC expects there will be a significant number of LDCs for which </w:t>
      </w:r>
      <w:r>
        <w:rPr>
          <w:rFonts w:ascii="Arial" w:hAnsi="Arial" w:cs="Arial"/>
          <w:sz w:val="24"/>
          <w:szCs w:val="24"/>
        </w:rPr>
        <w:t>the Provincial Rate</w:t>
      </w:r>
      <w:r w:rsidR="00F66B8B">
        <w:rPr>
          <w:rFonts w:ascii="Arial" w:hAnsi="Arial" w:cs="Arial"/>
          <w:sz w:val="24"/>
          <w:szCs w:val="24"/>
        </w:rPr>
        <w:t xml:space="preserve"> is not at all representative of their costs or </w:t>
      </w:r>
      <w:r>
        <w:rPr>
          <w:rFonts w:ascii="Arial" w:hAnsi="Arial" w:cs="Arial"/>
          <w:sz w:val="24"/>
          <w:szCs w:val="24"/>
        </w:rPr>
        <w:t>pole attachment para</w:t>
      </w:r>
      <w:r w:rsidR="00F66B8B">
        <w:rPr>
          <w:rFonts w:ascii="Arial" w:hAnsi="Arial" w:cs="Arial"/>
          <w:sz w:val="24"/>
          <w:szCs w:val="24"/>
        </w:rPr>
        <w:t xml:space="preserve">meters (e.g. number of </w:t>
      </w:r>
      <w:proofErr w:type="spellStart"/>
      <w:r w:rsidR="00F66B8B">
        <w:rPr>
          <w:rFonts w:ascii="Arial" w:hAnsi="Arial" w:cs="Arial"/>
          <w:sz w:val="24"/>
          <w:szCs w:val="24"/>
        </w:rPr>
        <w:t>attachers</w:t>
      </w:r>
      <w:proofErr w:type="spellEnd"/>
      <w:r w:rsidR="00987F3A">
        <w:rPr>
          <w:rFonts w:ascii="Arial" w:hAnsi="Arial" w:cs="Arial"/>
          <w:sz w:val="24"/>
          <w:szCs w:val="24"/>
        </w:rPr>
        <w:t>, power fixture adjustment factor, etc.</w:t>
      </w:r>
      <w:r w:rsidR="00F66B8B">
        <w:rPr>
          <w:rFonts w:ascii="Arial" w:hAnsi="Arial" w:cs="Arial"/>
          <w:sz w:val="24"/>
          <w:szCs w:val="24"/>
        </w:rPr>
        <w:t xml:space="preserve">).  As a result, VECC submits that, at the time of rebasing, LDCs should be </w:t>
      </w:r>
      <w:r w:rsidR="00F66B8B" w:rsidRPr="00F66B8B">
        <w:rPr>
          <w:rFonts w:ascii="Arial" w:hAnsi="Arial" w:cs="Arial"/>
          <w:sz w:val="24"/>
          <w:szCs w:val="24"/>
          <w:u w:val="single"/>
        </w:rPr>
        <w:t>required</w:t>
      </w:r>
      <w:r w:rsidR="00F66B8B">
        <w:rPr>
          <w:rFonts w:ascii="Arial" w:hAnsi="Arial" w:cs="Arial"/>
          <w:sz w:val="24"/>
          <w:szCs w:val="24"/>
        </w:rPr>
        <w:t xml:space="preserve"> to apply for a utility specific rate using the Board’s methodology.</w:t>
      </w:r>
    </w:p>
    <w:p w:rsidR="00B466D8" w:rsidRDefault="00F66B8B" w:rsidP="00F230B2">
      <w:pPr>
        <w:spacing w:after="120" w:line="360" w:lineRule="auto"/>
        <w:rPr>
          <w:rFonts w:ascii="Arial" w:hAnsi="Arial" w:cs="Arial"/>
          <w:sz w:val="24"/>
          <w:szCs w:val="24"/>
        </w:rPr>
      </w:pPr>
      <w:r>
        <w:rPr>
          <w:rFonts w:ascii="Arial" w:hAnsi="Arial" w:cs="Arial"/>
          <w:sz w:val="24"/>
          <w:szCs w:val="24"/>
        </w:rPr>
        <w:t xml:space="preserve">VECC also notes that the Board should clarify what it means by the “OEB methodology”.  For </w:t>
      </w:r>
      <w:r w:rsidR="00987F3A">
        <w:rPr>
          <w:rFonts w:ascii="Arial" w:hAnsi="Arial" w:cs="Arial"/>
          <w:sz w:val="24"/>
          <w:szCs w:val="24"/>
        </w:rPr>
        <w:t>example, does it require all LDCs to use six years of historical costs, are all LDCs require</w:t>
      </w:r>
      <w:r w:rsidR="00E426C2">
        <w:rPr>
          <w:rFonts w:ascii="Arial" w:hAnsi="Arial" w:cs="Arial"/>
          <w:sz w:val="24"/>
          <w:szCs w:val="24"/>
        </w:rPr>
        <w:t>d</w:t>
      </w:r>
      <w:r w:rsidR="00987F3A">
        <w:rPr>
          <w:rFonts w:ascii="Arial" w:hAnsi="Arial" w:cs="Arial"/>
          <w:sz w:val="24"/>
          <w:szCs w:val="24"/>
        </w:rPr>
        <w:t xml:space="preserve"> to use the 85% power deduction factor, are all LDCs required to use the 48.5% adjustment factor for Account #5120 and the 1/3 adjustment factor for Account #5135?  In VECC’s view the Board should not be overly restrictive.  The </w:t>
      </w:r>
      <w:r w:rsidR="00B466D8">
        <w:rPr>
          <w:rFonts w:ascii="Arial" w:hAnsi="Arial" w:cs="Arial"/>
          <w:sz w:val="24"/>
          <w:szCs w:val="24"/>
        </w:rPr>
        <w:t xml:space="preserve">Board </w:t>
      </w:r>
      <w:r w:rsidR="00987F3A">
        <w:rPr>
          <w:rFonts w:ascii="Arial" w:hAnsi="Arial" w:cs="Arial"/>
          <w:sz w:val="24"/>
          <w:szCs w:val="24"/>
        </w:rPr>
        <w:t xml:space="preserve">methodology </w:t>
      </w:r>
      <w:r w:rsidR="00B466D8">
        <w:rPr>
          <w:rFonts w:ascii="Arial" w:hAnsi="Arial" w:cs="Arial"/>
          <w:sz w:val="24"/>
          <w:szCs w:val="24"/>
        </w:rPr>
        <w:t xml:space="preserve">will </w:t>
      </w:r>
      <w:r w:rsidR="00987F3A">
        <w:rPr>
          <w:rFonts w:ascii="Arial" w:hAnsi="Arial" w:cs="Arial"/>
          <w:sz w:val="24"/>
          <w:szCs w:val="24"/>
        </w:rPr>
        <w:t>identif</w:t>
      </w:r>
      <w:r w:rsidR="00B466D8">
        <w:rPr>
          <w:rFonts w:ascii="Arial" w:hAnsi="Arial" w:cs="Arial"/>
          <w:sz w:val="24"/>
          <w:szCs w:val="24"/>
        </w:rPr>
        <w:t>y</w:t>
      </w:r>
      <w:r w:rsidR="00987F3A">
        <w:rPr>
          <w:rFonts w:ascii="Arial" w:hAnsi="Arial" w:cs="Arial"/>
          <w:sz w:val="24"/>
          <w:szCs w:val="24"/>
        </w:rPr>
        <w:t xml:space="preserve"> the types of cost</w:t>
      </w:r>
      <w:r w:rsidR="0055479C">
        <w:rPr>
          <w:rFonts w:ascii="Arial" w:hAnsi="Arial" w:cs="Arial"/>
          <w:sz w:val="24"/>
          <w:szCs w:val="24"/>
        </w:rPr>
        <w:t>s</w:t>
      </w:r>
      <w:r w:rsidR="00987F3A">
        <w:rPr>
          <w:rFonts w:ascii="Arial" w:hAnsi="Arial" w:cs="Arial"/>
          <w:sz w:val="24"/>
          <w:szCs w:val="24"/>
        </w:rPr>
        <w:t xml:space="preserve"> to be included in the determination of the wireline pole attachment rate and the methodology </w:t>
      </w:r>
      <w:r w:rsidR="00B466D8">
        <w:rPr>
          <w:rFonts w:ascii="Arial" w:hAnsi="Arial" w:cs="Arial"/>
          <w:sz w:val="24"/>
          <w:szCs w:val="24"/>
        </w:rPr>
        <w:t xml:space="preserve">to be used </w:t>
      </w:r>
      <w:r w:rsidR="00987F3A">
        <w:rPr>
          <w:rFonts w:ascii="Arial" w:hAnsi="Arial" w:cs="Arial"/>
          <w:sz w:val="24"/>
          <w:szCs w:val="24"/>
        </w:rPr>
        <w:t xml:space="preserve">for allocating </w:t>
      </w:r>
      <w:r w:rsidR="00B466D8">
        <w:rPr>
          <w:rFonts w:ascii="Arial" w:hAnsi="Arial" w:cs="Arial"/>
          <w:sz w:val="24"/>
          <w:szCs w:val="24"/>
        </w:rPr>
        <w:t xml:space="preserve">indirect </w:t>
      </w:r>
      <w:r w:rsidR="00B466D8">
        <w:rPr>
          <w:rFonts w:ascii="Arial" w:hAnsi="Arial" w:cs="Arial"/>
          <w:sz w:val="24"/>
          <w:szCs w:val="24"/>
        </w:rPr>
        <w:lastRenderedPageBreak/>
        <w:t xml:space="preserve">costs.  </w:t>
      </w:r>
      <w:r w:rsidR="00987F3A">
        <w:rPr>
          <w:rFonts w:ascii="Arial" w:hAnsi="Arial" w:cs="Arial"/>
          <w:sz w:val="24"/>
          <w:szCs w:val="24"/>
        </w:rPr>
        <w:t xml:space="preserve">LDC’s should have the </w:t>
      </w:r>
      <w:r w:rsidR="00B466D8">
        <w:rPr>
          <w:rFonts w:ascii="Arial" w:hAnsi="Arial" w:cs="Arial"/>
          <w:sz w:val="24"/>
          <w:szCs w:val="24"/>
        </w:rPr>
        <w:t>flexibility to apply this framework in a manner that best reflects their costs, accounting practices and distribution system characteristics.</w:t>
      </w:r>
    </w:p>
    <w:p w:rsidR="00B728A4" w:rsidRDefault="00B728A4" w:rsidP="00F230B2">
      <w:pPr>
        <w:spacing w:after="120" w:line="360" w:lineRule="auto"/>
        <w:rPr>
          <w:rFonts w:ascii="Arial" w:hAnsi="Arial" w:cs="Arial"/>
          <w:sz w:val="24"/>
          <w:szCs w:val="24"/>
        </w:rPr>
      </w:pPr>
      <w:r>
        <w:rPr>
          <w:rFonts w:ascii="Arial" w:hAnsi="Arial" w:cs="Arial"/>
          <w:sz w:val="24"/>
          <w:szCs w:val="24"/>
        </w:rPr>
        <w:t xml:space="preserve">Finally, VECC agrees with the Board’s proposal to apply an annual inflation adjustment to the Provincial Rate.  </w:t>
      </w:r>
      <w:r w:rsidR="0055479C">
        <w:rPr>
          <w:rFonts w:ascii="Arial" w:hAnsi="Arial" w:cs="Arial"/>
          <w:sz w:val="24"/>
          <w:szCs w:val="24"/>
        </w:rPr>
        <w:t xml:space="preserve">However, </w:t>
      </w:r>
      <w:r>
        <w:rPr>
          <w:rFonts w:ascii="Arial" w:hAnsi="Arial" w:cs="Arial"/>
          <w:sz w:val="24"/>
          <w:szCs w:val="24"/>
        </w:rPr>
        <w:t>VECC notes that a similar annual inflation adjustment should also be applied (during the IRM period) to LDC-specific rates approved by the Board.</w:t>
      </w:r>
    </w:p>
    <w:p w:rsidR="00F230B2" w:rsidRPr="00F230B2" w:rsidRDefault="00F230B2" w:rsidP="00F230B2">
      <w:pPr>
        <w:pStyle w:val="ListParagraph"/>
        <w:numPr>
          <w:ilvl w:val="1"/>
          <w:numId w:val="1"/>
        </w:numPr>
        <w:spacing w:after="120" w:line="360" w:lineRule="auto"/>
        <w:rPr>
          <w:rFonts w:ascii="Arial" w:hAnsi="Arial" w:cs="Arial"/>
          <w:sz w:val="24"/>
          <w:szCs w:val="24"/>
          <w:u w:val="single"/>
        </w:rPr>
      </w:pPr>
      <w:r w:rsidRPr="00F230B2">
        <w:rPr>
          <w:rFonts w:ascii="Arial" w:hAnsi="Arial" w:cs="Arial"/>
          <w:sz w:val="24"/>
          <w:szCs w:val="24"/>
          <w:u w:val="single"/>
        </w:rPr>
        <w:t>Deferral Account</w:t>
      </w:r>
    </w:p>
    <w:p w:rsidR="00B466D8" w:rsidRDefault="00F230B2" w:rsidP="00F230B2">
      <w:pPr>
        <w:spacing w:after="120" w:line="360" w:lineRule="auto"/>
        <w:rPr>
          <w:rFonts w:ascii="Arial" w:hAnsi="Arial" w:cs="Arial"/>
          <w:sz w:val="24"/>
          <w:szCs w:val="24"/>
        </w:rPr>
      </w:pPr>
      <w:r>
        <w:rPr>
          <w:rFonts w:ascii="Arial" w:hAnsi="Arial" w:cs="Arial"/>
          <w:sz w:val="24"/>
          <w:szCs w:val="24"/>
        </w:rPr>
        <w:t xml:space="preserve">In conjunction with the </w:t>
      </w:r>
      <w:r w:rsidR="00B466D8">
        <w:rPr>
          <w:rFonts w:ascii="Arial" w:hAnsi="Arial" w:cs="Arial"/>
          <w:sz w:val="24"/>
          <w:szCs w:val="24"/>
        </w:rPr>
        <w:t>new Provincial Rate, the Board proposes</w:t>
      </w:r>
      <w:r w:rsidR="00B466D8">
        <w:rPr>
          <w:rStyle w:val="FootnoteReference"/>
          <w:rFonts w:ascii="Arial" w:hAnsi="Arial" w:cs="Arial"/>
          <w:sz w:val="24"/>
          <w:szCs w:val="24"/>
        </w:rPr>
        <w:footnoteReference w:id="55"/>
      </w:r>
      <w:r w:rsidR="00B466D8">
        <w:rPr>
          <w:rFonts w:ascii="Arial" w:hAnsi="Arial" w:cs="Arial"/>
          <w:sz w:val="24"/>
          <w:szCs w:val="24"/>
        </w:rPr>
        <w:t xml:space="preserve"> to implement a variance account that will track the difference between in revenues received under the new charge as compared to the previous pole attachment charge.  </w:t>
      </w:r>
    </w:p>
    <w:p w:rsidR="00B466D8" w:rsidRDefault="00B466D8" w:rsidP="00F230B2">
      <w:pPr>
        <w:spacing w:after="120" w:line="360" w:lineRule="auto"/>
        <w:rPr>
          <w:rFonts w:ascii="Arial" w:hAnsi="Arial" w:cs="Arial"/>
          <w:sz w:val="24"/>
          <w:szCs w:val="24"/>
        </w:rPr>
      </w:pPr>
      <w:r>
        <w:rPr>
          <w:rFonts w:ascii="Arial" w:hAnsi="Arial" w:cs="Arial"/>
          <w:sz w:val="24"/>
          <w:szCs w:val="24"/>
        </w:rPr>
        <w:t>VECC assumes that the need for this account due to the fact that the existing distribution rates were set based on a revenue requirement that included a revenue offset based on the previous pole attachment charge and that the variance account will be maintained until each LDC’s next rebasing application, at which time the balance will be refunded to customers.</w:t>
      </w:r>
    </w:p>
    <w:p w:rsidR="00B466D8" w:rsidRDefault="00B466D8" w:rsidP="00F230B2">
      <w:pPr>
        <w:spacing w:after="120" w:line="360" w:lineRule="auto"/>
        <w:rPr>
          <w:rFonts w:ascii="Arial" w:hAnsi="Arial" w:cs="Arial"/>
          <w:sz w:val="24"/>
          <w:szCs w:val="24"/>
        </w:rPr>
      </w:pPr>
      <w:r>
        <w:rPr>
          <w:rFonts w:ascii="Arial" w:hAnsi="Arial" w:cs="Arial"/>
          <w:sz w:val="24"/>
          <w:szCs w:val="24"/>
        </w:rPr>
        <w:t>If this is the Board’</w:t>
      </w:r>
      <w:r w:rsidR="00BD0BF8">
        <w:rPr>
          <w:rFonts w:ascii="Arial" w:hAnsi="Arial" w:cs="Arial"/>
          <w:sz w:val="24"/>
          <w:szCs w:val="24"/>
        </w:rPr>
        <w:t>s intent</w:t>
      </w:r>
      <w:r w:rsidR="00B728A4">
        <w:rPr>
          <w:rFonts w:ascii="Arial" w:hAnsi="Arial" w:cs="Arial"/>
          <w:sz w:val="24"/>
          <w:szCs w:val="24"/>
        </w:rPr>
        <w:t>,</w:t>
      </w:r>
      <w:r w:rsidR="00BD0BF8">
        <w:rPr>
          <w:rFonts w:ascii="Arial" w:hAnsi="Arial" w:cs="Arial"/>
          <w:sz w:val="24"/>
          <w:szCs w:val="24"/>
        </w:rPr>
        <w:t xml:space="preserve"> then </w:t>
      </w:r>
      <w:r>
        <w:rPr>
          <w:rFonts w:ascii="Arial" w:hAnsi="Arial" w:cs="Arial"/>
          <w:sz w:val="24"/>
          <w:szCs w:val="24"/>
        </w:rPr>
        <w:t>VECC agrees with the need to implement the variance account.</w:t>
      </w:r>
    </w:p>
    <w:p w:rsidR="00B728A4" w:rsidRDefault="00B728A4" w:rsidP="00B728A4">
      <w:pPr>
        <w:spacing w:after="120" w:line="360" w:lineRule="auto"/>
        <w:jc w:val="center"/>
        <w:rPr>
          <w:rFonts w:ascii="Arial" w:hAnsi="Arial" w:cs="Arial"/>
          <w:b/>
          <w:sz w:val="24"/>
          <w:szCs w:val="24"/>
        </w:rPr>
      </w:pPr>
      <w:r w:rsidRPr="00B728A4">
        <w:rPr>
          <w:rFonts w:ascii="Arial" w:hAnsi="Arial" w:cs="Arial"/>
          <w:b/>
          <w:sz w:val="24"/>
          <w:szCs w:val="24"/>
        </w:rPr>
        <w:t>ALL OF WHICH IS RESPECTFULLY SUBMITTED</w:t>
      </w:r>
    </w:p>
    <w:p w:rsidR="00AB2698" w:rsidRPr="00B728A4" w:rsidRDefault="00AB2698" w:rsidP="00B728A4">
      <w:pPr>
        <w:spacing w:after="120" w:line="360" w:lineRule="auto"/>
        <w:jc w:val="center"/>
        <w:rPr>
          <w:rFonts w:ascii="Arial" w:hAnsi="Arial" w:cs="Arial"/>
          <w:b/>
          <w:sz w:val="24"/>
          <w:szCs w:val="24"/>
        </w:rPr>
      </w:pPr>
      <w:r>
        <w:rPr>
          <w:rFonts w:ascii="Arial" w:hAnsi="Arial" w:cs="Arial"/>
          <w:b/>
          <w:sz w:val="24"/>
          <w:szCs w:val="24"/>
        </w:rPr>
        <w:t>FEBRUARY 9, 2018</w:t>
      </w:r>
      <w:bookmarkStart w:id="0" w:name="_GoBack"/>
      <w:bookmarkEnd w:id="0"/>
    </w:p>
    <w:p w:rsidR="00F230B2" w:rsidRPr="00570BD5" w:rsidRDefault="00F230B2" w:rsidP="00570BD5">
      <w:pPr>
        <w:spacing w:after="120" w:line="360" w:lineRule="auto"/>
        <w:rPr>
          <w:rFonts w:ascii="Arial" w:hAnsi="Arial" w:cs="Arial"/>
          <w:sz w:val="24"/>
          <w:szCs w:val="24"/>
        </w:rPr>
      </w:pPr>
    </w:p>
    <w:sectPr w:rsidR="00F230B2" w:rsidRPr="00570BD5" w:rsidSect="00622CE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916" w:rsidRDefault="00B61916" w:rsidP="00922946">
      <w:pPr>
        <w:spacing w:after="0" w:line="240" w:lineRule="auto"/>
      </w:pPr>
      <w:r>
        <w:separator/>
      </w:r>
    </w:p>
  </w:endnote>
  <w:endnote w:type="continuationSeparator" w:id="0">
    <w:p w:rsidR="00B61916" w:rsidRDefault="00B61916" w:rsidP="00922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916" w:rsidRDefault="00B61916" w:rsidP="00922946">
      <w:pPr>
        <w:spacing w:after="0" w:line="240" w:lineRule="auto"/>
      </w:pPr>
      <w:r>
        <w:separator/>
      </w:r>
    </w:p>
  </w:footnote>
  <w:footnote w:type="continuationSeparator" w:id="0">
    <w:p w:rsidR="00B61916" w:rsidRDefault="00B61916" w:rsidP="00922946">
      <w:pPr>
        <w:spacing w:after="0" w:line="240" w:lineRule="auto"/>
      </w:pPr>
      <w:r>
        <w:continuationSeparator/>
      </w:r>
    </w:p>
  </w:footnote>
  <w:footnote w:id="1">
    <w:p w:rsidR="004341B4" w:rsidRDefault="004341B4">
      <w:pPr>
        <w:pStyle w:val="FootnoteText"/>
      </w:pPr>
      <w:r>
        <w:rPr>
          <w:rStyle w:val="FootnoteReference"/>
        </w:rPr>
        <w:footnoteRef/>
      </w:r>
      <w:r>
        <w:t xml:space="preserve"> </w:t>
      </w:r>
      <w:proofErr w:type="spellStart"/>
      <w:r>
        <w:t>Nordicity</w:t>
      </w:r>
      <w:proofErr w:type="spellEnd"/>
      <w:r>
        <w:t xml:space="preserve"> Group Limited was the expert consultant retained by the Board to assist with the policy consultation and to produce an expert report.</w:t>
      </w:r>
    </w:p>
  </w:footnote>
  <w:footnote w:id="2">
    <w:p w:rsidR="004341B4" w:rsidRDefault="004341B4">
      <w:pPr>
        <w:pStyle w:val="FootnoteText"/>
      </w:pPr>
      <w:r>
        <w:rPr>
          <w:rStyle w:val="FootnoteReference"/>
        </w:rPr>
        <w:footnoteRef/>
      </w:r>
      <w:r>
        <w:t xml:space="preserve"> See pages 31-33 of the </w:t>
      </w:r>
      <w:proofErr w:type="spellStart"/>
      <w:r>
        <w:t>Nordicity</w:t>
      </w:r>
      <w:proofErr w:type="spellEnd"/>
      <w:r>
        <w:t xml:space="preserve"> Report</w:t>
      </w:r>
    </w:p>
  </w:footnote>
  <w:footnote w:id="3">
    <w:p w:rsidR="004341B4" w:rsidRDefault="004341B4">
      <w:pPr>
        <w:pStyle w:val="FootnoteText"/>
      </w:pPr>
      <w:r>
        <w:rPr>
          <w:rStyle w:val="FootnoteReference"/>
        </w:rPr>
        <w:footnoteRef/>
      </w:r>
      <w:r>
        <w:t xml:space="preserve"> </w:t>
      </w:r>
      <w:proofErr w:type="spellStart"/>
      <w:r>
        <w:t>Nordicity</w:t>
      </w:r>
      <w:proofErr w:type="spellEnd"/>
      <w:r>
        <w:t xml:space="preserve"> Report, page 32</w:t>
      </w:r>
    </w:p>
  </w:footnote>
  <w:footnote w:id="4">
    <w:p w:rsidR="004341B4" w:rsidRDefault="004341B4">
      <w:pPr>
        <w:pStyle w:val="FootnoteText"/>
      </w:pPr>
      <w:r>
        <w:rPr>
          <w:rStyle w:val="FootnoteReference"/>
        </w:rPr>
        <w:footnoteRef/>
      </w:r>
      <w:r>
        <w:t xml:space="preserve"> Page 17</w:t>
      </w:r>
    </w:p>
  </w:footnote>
  <w:footnote w:id="5">
    <w:p w:rsidR="004341B4" w:rsidRDefault="004341B4">
      <w:pPr>
        <w:pStyle w:val="FootnoteText"/>
      </w:pPr>
      <w:r>
        <w:rPr>
          <w:rStyle w:val="FootnoteReference"/>
        </w:rPr>
        <w:footnoteRef/>
      </w:r>
      <w:r>
        <w:t xml:space="preserve"> See pages 12-14 &amp; 35-36 of the OEB Draft Report and pages 33-35 of the </w:t>
      </w:r>
      <w:proofErr w:type="spellStart"/>
      <w:r>
        <w:t>Nordicity</w:t>
      </w:r>
      <w:proofErr w:type="spellEnd"/>
      <w:r>
        <w:t xml:space="preserve"> Report</w:t>
      </w:r>
    </w:p>
  </w:footnote>
  <w:footnote w:id="6">
    <w:p w:rsidR="004341B4" w:rsidRDefault="004341B4">
      <w:pPr>
        <w:pStyle w:val="FootnoteText"/>
      </w:pPr>
      <w:r>
        <w:rPr>
          <w:rStyle w:val="FootnoteReference"/>
        </w:rPr>
        <w:footnoteRef/>
      </w:r>
      <w:r>
        <w:t xml:space="preserve"> Pages 35-36</w:t>
      </w:r>
    </w:p>
  </w:footnote>
  <w:footnote w:id="7">
    <w:p w:rsidR="004341B4" w:rsidRDefault="004341B4">
      <w:pPr>
        <w:pStyle w:val="FootnoteText"/>
      </w:pPr>
      <w:r>
        <w:rPr>
          <w:rStyle w:val="FootnoteReference"/>
        </w:rPr>
        <w:footnoteRef/>
      </w:r>
      <w:r>
        <w:t xml:space="preserve"> See pages 36-37 &amp; 63 of the </w:t>
      </w:r>
      <w:proofErr w:type="spellStart"/>
      <w:r>
        <w:t>Nordicity</w:t>
      </w:r>
      <w:proofErr w:type="spellEnd"/>
      <w:r>
        <w:t xml:space="preserve"> Report and pages 14 &amp; 24-25 of the OEB Draft Report.</w:t>
      </w:r>
    </w:p>
  </w:footnote>
  <w:footnote w:id="8">
    <w:p w:rsidR="004341B4" w:rsidRDefault="004341B4">
      <w:pPr>
        <w:pStyle w:val="FootnoteText"/>
      </w:pPr>
      <w:r>
        <w:rPr>
          <w:rStyle w:val="FootnoteReference"/>
        </w:rPr>
        <w:footnoteRef/>
      </w:r>
      <w:r>
        <w:t xml:space="preserve"> Page 36</w:t>
      </w:r>
    </w:p>
  </w:footnote>
  <w:footnote w:id="9">
    <w:p w:rsidR="004341B4" w:rsidRDefault="004341B4" w:rsidP="006D147A">
      <w:pPr>
        <w:pStyle w:val="FootnoteText"/>
      </w:pPr>
      <w:r>
        <w:rPr>
          <w:rStyle w:val="FootnoteReference"/>
        </w:rPr>
        <w:footnoteRef/>
      </w:r>
      <w:r>
        <w:t xml:space="preserve"> Page 63</w:t>
      </w:r>
    </w:p>
  </w:footnote>
  <w:footnote w:id="10">
    <w:p w:rsidR="004341B4" w:rsidRDefault="004341B4">
      <w:pPr>
        <w:pStyle w:val="FootnoteText"/>
      </w:pPr>
      <w:r>
        <w:rPr>
          <w:rStyle w:val="FootnoteReference"/>
        </w:rPr>
        <w:footnoteRef/>
      </w:r>
      <w:r>
        <w:t xml:space="preserve"> Page 48</w:t>
      </w:r>
    </w:p>
  </w:footnote>
  <w:footnote w:id="11">
    <w:p w:rsidR="004341B4" w:rsidRDefault="004341B4">
      <w:pPr>
        <w:pStyle w:val="FootnoteText"/>
      </w:pPr>
      <w:r>
        <w:rPr>
          <w:rStyle w:val="FootnoteReference"/>
        </w:rPr>
        <w:footnoteRef/>
      </w:r>
      <w:r>
        <w:t xml:space="preserve"> </w:t>
      </w:r>
      <w:proofErr w:type="gramStart"/>
      <w:r>
        <w:t>Page 24.</w:t>
      </w:r>
      <w:proofErr w:type="gramEnd"/>
      <w:r>
        <w:t xml:space="preserve">  Also the value used in the OEB’s Draft Pole Attachment Work Form reconcile with those in </w:t>
      </w:r>
    </w:p>
  </w:footnote>
  <w:footnote w:id="12">
    <w:p w:rsidR="004341B4" w:rsidRDefault="004341B4">
      <w:pPr>
        <w:pStyle w:val="FootnoteText"/>
      </w:pPr>
      <w:r>
        <w:rPr>
          <w:rStyle w:val="FootnoteReference"/>
        </w:rPr>
        <w:footnoteRef/>
      </w:r>
      <w:r>
        <w:t xml:space="preserve"> OEB’s Draft Pole Attachment Work Form, Provincial Rate Tab</w:t>
      </w:r>
    </w:p>
  </w:footnote>
  <w:footnote w:id="13">
    <w:p w:rsidR="004341B4" w:rsidRDefault="004341B4">
      <w:pPr>
        <w:pStyle w:val="FootnoteText"/>
      </w:pPr>
      <w:r>
        <w:rPr>
          <w:rStyle w:val="FootnoteReference"/>
        </w:rPr>
        <w:footnoteRef/>
      </w:r>
      <w:r>
        <w:t xml:space="preserve"> Page 63</w:t>
      </w:r>
    </w:p>
  </w:footnote>
  <w:footnote w:id="14">
    <w:p w:rsidR="004341B4" w:rsidRDefault="004341B4">
      <w:pPr>
        <w:pStyle w:val="FootnoteText"/>
      </w:pPr>
      <w:r>
        <w:rPr>
          <w:rStyle w:val="FootnoteReference"/>
        </w:rPr>
        <w:footnoteRef/>
      </w:r>
      <w:r>
        <w:t xml:space="preserve"> Page 63, footnote 55</w:t>
      </w:r>
    </w:p>
  </w:footnote>
  <w:footnote w:id="15">
    <w:p w:rsidR="004341B4" w:rsidRDefault="004341B4">
      <w:pPr>
        <w:pStyle w:val="FootnoteText"/>
      </w:pPr>
      <w:r>
        <w:rPr>
          <w:rStyle w:val="FootnoteReference"/>
        </w:rPr>
        <w:footnoteRef/>
      </w:r>
      <w:r>
        <w:t xml:space="preserve"> </w:t>
      </w:r>
      <w:proofErr w:type="gramStart"/>
      <w:r>
        <w:t>Page 58.</w:t>
      </w:r>
      <w:proofErr w:type="gramEnd"/>
      <w:r>
        <w:t xml:space="preserve">  The referenced increase in the CPI index from 107 to 126.6 over the period to 2005-2015 represents an annual rate of 1.7%.</w:t>
      </w:r>
    </w:p>
  </w:footnote>
  <w:footnote w:id="16">
    <w:p w:rsidR="004341B4" w:rsidRDefault="004341B4">
      <w:pPr>
        <w:pStyle w:val="FootnoteText"/>
      </w:pPr>
      <w:r>
        <w:rPr>
          <w:rStyle w:val="FootnoteReference"/>
        </w:rPr>
        <w:footnoteRef/>
      </w:r>
      <w:r>
        <w:t xml:space="preserve"> Page 63, Footnote 55</w:t>
      </w:r>
    </w:p>
  </w:footnote>
  <w:footnote w:id="17">
    <w:p w:rsidR="004341B4" w:rsidRDefault="004341B4">
      <w:pPr>
        <w:pStyle w:val="FootnoteText"/>
      </w:pPr>
      <w:r>
        <w:rPr>
          <w:rStyle w:val="FootnoteReference"/>
        </w:rPr>
        <w:footnoteRef/>
      </w:r>
      <w:r>
        <w:t xml:space="preserve"> Provincial Rate Tab</w:t>
      </w:r>
    </w:p>
  </w:footnote>
  <w:footnote w:id="18">
    <w:p w:rsidR="004341B4" w:rsidRDefault="004341B4">
      <w:pPr>
        <w:pStyle w:val="FootnoteText"/>
      </w:pPr>
      <w:r>
        <w:rPr>
          <w:rStyle w:val="FootnoteReference"/>
        </w:rPr>
        <w:footnoteRef/>
      </w:r>
      <w:r>
        <w:t xml:space="preserve"> Page 63, Footnote 55</w:t>
      </w:r>
    </w:p>
  </w:footnote>
  <w:footnote w:id="19">
    <w:p w:rsidR="004341B4" w:rsidRDefault="004341B4">
      <w:pPr>
        <w:pStyle w:val="FootnoteText"/>
      </w:pPr>
      <w:r>
        <w:rPr>
          <w:rStyle w:val="FootnoteReference"/>
        </w:rPr>
        <w:footnoteRef/>
      </w:r>
      <w:r>
        <w:t xml:space="preserve"> OEB Draft Report, pages 14-15 and </w:t>
      </w:r>
      <w:proofErr w:type="spellStart"/>
      <w:r>
        <w:t>Nordicity</w:t>
      </w:r>
      <w:proofErr w:type="spellEnd"/>
      <w:r>
        <w:t xml:space="preserve"> Report, pages 41-42 </w:t>
      </w:r>
    </w:p>
  </w:footnote>
  <w:footnote w:id="20">
    <w:p w:rsidR="004341B4" w:rsidRDefault="004341B4">
      <w:pPr>
        <w:pStyle w:val="FootnoteText"/>
      </w:pPr>
      <w:r>
        <w:rPr>
          <w:rStyle w:val="FootnoteReference"/>
        </w:rPr>
        <w:footnoteRef/>
      </w:r>
      <w:r>
        <w:t xml:space="preserve"> Page 48</w:t>
      </w:r>
    </w:p>
  </w:footnote>
  <w:footnote w:id="21">
    <w:p w:rsidR="004341B4" w:rsidRDefault="004341B4">
      <w:pPr>
        <w:pStyle w:val="FootnoteText"/>
      </w:pPr>
      <w:r>
        <w:rPr>
          <w:rStyle w:val="FootnoteReference"/>
        </w:rPr>
        <w:footnoteRef/>
      </w:r>
      <w:r>
        <w:t xml:space="preserve"> OEB Draft Report, page 15 and </w:t>
      </w:r>
      <w:proofErr w:type="spellStart"/>
      <w:r>
        <w:t>Nordicity</w:t>
      </w:r>
      <w:proofErr w:type="spellEnd"/>
      <w:r>
        <w:t xml:space="preserve"> Report, pages 42-45</w:t>
      </w:r>
    </w:p>
  </w:footnote>
  <w:footnote w:id="22">
    <w:p w:rsidR="004341B4" w:rsidRPr="00980DF1" w:rsidRDefault="004341B4">
      <w:pPr>
        <w:pStyle w:val="FootnoteText"/>
        <w:rPr>
          <w:lang w:val="fr-CA"/>
        </w:rPr>
      </w:pPr>
      <w:r>
        <w:rPr>
          <w:rStyle w:val="FootnoteReference"/>
        </w:rPr>
        <w:footnoteRef/>
      </w:r>
      <w:r w:rsidRPr="00980DF1">
        <w:rPr>
          <w:lang w:val="fr-CA"/>
        </w:rPr>
        <w:t xml:space="preserve"> Page 45</w:t>
      </w:r>
    </w:p>
  </w:footnote>
  <w:footnote w:id="23">
    <w:p w:rsidR="004341B4" w:rsidRPr="00980DF1" w:rsidRDefault="004341B4">
      <w:pPr>
        <w:pStyle w:val="FootnoteText"/>
        <w:rPr>
          <w:lang w:val="fr-CA"/>
        </w:rPr>
      </w:pPr>
      <w:r>
        <w:rPr>
          <w:rStyle w:val="FootnoteReference"/>
        </w:rPr>
        <w:footnoteRef/>
      </w:r>
      <w:r w:rsidRPr="00980DF1">
        <w:rPr>
          <w:lang w:val="fr-CA"/>
        </w:rPr>
        <w:t xml:space="preserve"> Page 44</w:t>
      </w:r>
    </w:p>
  </w:footnote>
  <w:footnote w:id="24">
    <w:p w:rsidR="004341B4" w:rsidRPr="00980DF1" w:rsidRDefault="004341B4">
      <w:pPr>
        <w:pStyle w:val="FootnoteText"/>
        <w:rPr>
          <w:lang w:val="fr-CA"/>
        </w:rPr>
      </w:pPr>
      <w:r>
        <w:rPr>
          <w:rStyle w:val="FootnoteReference"/>
        </w:rPr>
        <w:footnoteRef/>
      </w:r>
      <w:r w:rsidRPr="00980DF1">
        <w:rPr>
          <w:lang w:val="fr-CA"/>
        </w:rPr>
        <w:t xml:space="preserve"> OEB </w:t>
      </w:r>
      <w:proofErr w:type="spellStart"/>
      <w:r w:rsidRPr="00980DF1">
        <w:rPr>
          <w:lang w:val="fr-CA"/>
        </w:rPr>
        <w:t>Draft</w:t>
      </w:r>
      <w:proofErr w:type="spellEnd"/>
      <w:r w:rsidRPr="00980DF1">
        <w:rPr>
          <w:lang w:val="fr-CA"/>
        </w:rPr>
        <w:t xml:space="preserve"> Report, page 13</w:t>
      </w:r>
    </w:p>
  </w:footnote>
  <w:footnote w:id="25">
    <w:p w:rsidR="004341B4" w:rsidRDefault="004341B4">
      <w:pPr>
        <w:pStyle w:val="FootnoteText"/>
      </w:pPr>
      <w:r>
        <w:rPr>
          <w:rStyle w:val="FootnoteReference"/>
        </w:rPr>
        <w:footnoteRef/>
      </w:r>
      <w:r>
        <w:t xml:space="preserve"> EB-2015-0004, J2.3</w:t>
      </w:r>
    </w:p>
  </w:footnote>
  <w:footnote w:id="26">
    <w:p w:rsidR="004341B4" w:rsidRDefault="004341B4">
      <w:pPr>
        <w:pStyle w:val="FootnoteText"/>
      </w:pPr>
      <w:r>
        <w:rPr>
          <w:rStyle w:val="FootnoteReference"/>
        </w:rPr>
        <w:footnoteRef/>
      </w:r>
      <w:r>
        <w:t xml:space="preserve"> May 20, 2016 Minutes, page 1</w:t>
      </w:r>
    </w:p>
  </w:footnote>
  <w:footnote w:id="27">
    <w:p w:rsidR="004341B4" w:rsidRDefault="004341B4">
      <w:pPr>
        <w:pStyle w:val="FootnoteText"/>
      </w:pPr>
      <w:r>
        <w:rPr>
          <w:rStyle w:val="FootnoteReference"/>
        </w:rPr>
        <w:footnoteRef/>
      </w:r>
      <w:r>
        <w:t xml:space="preserve"> Pages 43-46</w:t>
      </w:r>
    </w:p>
  </w:footnote>
  <w:footnote w:id="28">
    <w:p w:rsidR="004341B4" w:rsidRDefault="004341B4">
      <w:pPr>
        <w:pStyle w:val="FootnoteText"/>
      </w:pPr>
      <w:r>
        <w:rPr>
          <w:rStyle w:val="FootnoteReference"/>
        </w:rPr>
        <w:footnoteRef/>
      </w:r>
      <w:r>
        <w:t xml:space="preserve"> OEB Draft Report, page 25 and </w:t>
      </w:r>
      <w:proofErr w:type="spellStart"/>
      <w:r>
        <w:t>Nordicity</w:t>
      </w:r>
      <w:proofErr w:type="spellEnd"/>
      <w:r>
        <w:t xml:space="preserve"> Report, pages 57-58</w:t>
      </w:r>
    </w:p>
  </w:footnote>
  <w:footnote w:id="29">
    <w:p w:rsidR="004341B4" w:rsidRDefault="004341B4">
      <w:pPr>
        <w:pStyle w:val="FootnoteText"/>
      </w:pPr>
      <w:r>
        <w:rPr>
          <w:rStyle w:val="FootnoteReference"/>
        </w:rPr>
        <w:footnoteRef/>
      </w:r>
      <w:r>
        <w:t xml:space="preserve"> Page 58</w:t>
      </w:r>
    </w:p>
  </w:footnote>
  <w:footnote w:id="30">
    <w:p w:rsidR="004341B4" w:rsidRDefault="004341B4">
      <w:pPr>
        <w:pStyle w:val="FootnoteText"/>
      </w:pPr>
      <w:r>
        <w:rPr>
          <w:rStyle w:val="FootnoteReference"/>
        </w:rPr>
        <w:footnoteRef/>
      </w:r>
      <w:r>
        <w:t xml:space="preserve"> </w:t>
      </w:r>
      <w:proofErr w:type="spellStart"/>
      <w:r>
        <w:t>Nordicity</w:t>
      </w:r>
      <w:proofErr w:type="spellEnd"/>
      <w:r>
        <w:t xml:space="preserve"> Report, pages 56 &amp; 58-59 and OEB Draft Report, page25</w:t>
      </w:r>
    </w:p>
  </w:footnote>
  <w:footnote w:id="31">
    <w:p w:rsidR="004341B4" w:rsidRDefault="004341B4">
      <w:pPr>
        <w:pStyle w:val="FootnoteText"/>
      </w:pPr>
      <w:r>
        <w:rPr>
          <w:rStyle w:val="FootnoteReference"/>
        </w:rPr>
        <w:footnoteRef/>
      </w:r>
      <w:r>
        <w:t xml:space="preserve"> Page 58</w:t>
      </w:r>
    </w:p>
  </w:footnote>
  <w:footnote w:id="32">
    <w:p w:rsidR="004341B4" w:rsidRDefault="004341B4">
      <w:pPr>
        <w:pStyle w:val="FootnoteText"/>
      </w:pPr>
      <w:r>
        <w:rPr>
          <w:rStyle w:val="FootnoteReference"/>
        </w:rPr>
        <w:footnoteRef/>
      </w:r>
      <w:r>
        <w:t xml:space="preserve"> Note:  While the OEB Report states that just the values for Hydro One and Ottawa Hydro were used (page 25), the Draft </w:t>
      </w:r>
      <w:proofErr w:type="spellStart"/>
      <w:r>
        <w:t>WorkForm</w:t>
      </w:r>
      <w:proofErr w:type="spellEnd"/>
      <w:r>
        <w:t xml:space="preserve"> actually uses a weighted average of three values and it is assume the third value is that from Toronto Hydro’s application.</w:t>
      </w:r>
    </w:p>
  </w:footnote>
  <w:footnote w:id="33">
    <w:p w:rsidR="004341B4" w:rsidRDefault="004341B4">
      <w:pPr>
        <w:pStyle w:val="FootnoteText"/>
      </w:pPr>
      <w:r>
        <w:rPr>
          <w:rStyle w:val="FootnoteReference"/>
        </w:rPr>
        <w:footnoteRef/>
      </w:r>
      <w:r>
        <w:t xml:space="preserve"> </w:t>
      </w:r>
      <w:proofErr w:type="spellStart"/>
      <w:r>
        <w:t>Nordicity</w:t>
      </w:r>
      <w:proofErr w:type="spellEnd"/>
      <w:r>
        <w:t xml:space="preserve"> Report, pages 50-52 and the OEB Draft Report, page 18</w:t>
      </w:r>
    </w:p>
  </w:footnote>
  <w:footnote w:id="34">
    <w:p w:rsidR="004341B4" w:rsidRPr="00980DF1" w:rsidRDefault="004341B4">
      <w:pPr>
        <w:pStyle w:val="FootnoteText"/>
        <w:rPr>
          <w:lang w:val="fr-CA"/>
        </w:rPr>
      </w:pPr>
      <w:r>
        <w:rPr>
          <w:rStyle w:val="FootnoteReference"/>
        </w:rPr>
        <w:footnoteRef/>
      </w:r>
      <w:r w:rsidRPr="00980DF1">
        <w:rPr>
          <w:lang w:val="fr-CA"/>
        </w:rPr>
        <w:t xml:space="preserve"> Pages 50-52</w:t>
      </w:r>
    </w:p>
  </w:footnote>
  <w:footnote w:id="35">
    <w:p w:rsidR="004341B4" w:rsidRPr="00980DF1" w:rsidRDefault="004341B4" w:rsidP="00282877">
      <w:pPr>
        <w:pStyle w:val="FootnoteText"/>
        <w:rPr>
          <w:lang w:val="fr-CA"/>
        </w:rPr>
      </w:pPr>
      <w:r>
        <w:rPr>
          <w:rStyle w:val="FootnoteReference"/>
        </w:rPr>
        <w:footnoteRef/>
      </w:r>
      <w:r w:rsidRPr="00980DF1">
        <w:rPr>
          <w:lang w:val="fr-CA"/>
        </w:rPr>
        <w:t xml:space="preserve"> Pages 50-52</w:t>
      </w:r>
    </w:p>
  </w:footnote>
  <w:footnote w:id="36">
    <w:p w:rsidR="004341B4" w:rsidRPr="00980DF1" w:rsidRDefault="004341B4">
      <w:pPr>
        <w:pStyle w:val="FootnoteText"/>
        <w:rPr>
          <w:lang w:val="fr-CA"/>
        </w:rPr>
      </w:pPr>
      <w:r>
        <w:rPr>
          <w:rStyle w:val="FootnoteReference"/>
        </w:rPr>
        <w:footnoteRef/>
      </w:r>
      <w:r w:rsidRPr="00980DF1">
        <w:rPr>
          <w:lang w:val="fr-CA"/>
        </w:rPr>
        <w:t xml:space="preserve"> Page 51, </w:t>
      </w:r>
      <w:proofErr w:type="spellStart"/>
      <w:r w:rsidRPr="00980DF1">
        <w:rPr>
          <w:lang w:val="fr-CA"/>
        </w:rPr>
        <w:t>Footnote</w:t>
      </w:r>
      <w:proofErr w:type="spellEnd"/>
      <w:r w:rsidRPr="00980DF1">
        <w:rPr>
          <w:lang w:val="fr-CA"/>
        </w:rPr>
        <w:t xml:space="preserve"> 49</w:t>
      </w:r>
    </w:p>
  </w:footnote>
  <w:footnote w:id="37">
    <w:p w:rsidR="004341B4" w:rsidRPr="00980DF1" w:rsidRDefault="004341B4">
      <w:pPr>
        <w:pStyle w:val="FootnoteText"/>
        <w:rPr>
          <w:lang w:val="fr-CA"/>
        </w:rPr>
      </w:pPr>
      <w:r>
        <w:rPr>
          <w:rStyle w:val="FootnoteReference"/>
        </w:rPr>
        <w:footnoteRef/>
      </w:r>
      <w:r w:rsidRPr="00980DF1">
        <w:rPr>
          <w:lang w:val="fr-CA"/>
        </w:rPr>
        <w:t xml:space="preserve"> Page 18</w:t>
      </w:r>
    </w:p>
  </w:footnote>
  <w:footnote w:id="38">
    <w:p w:rsidR="004341B4" w:rsidRDefault="004341B4">
      <w:pPr>
        <w:pStyle w:val="FootnoteText"/>
      </w:pPr>
      <w:r>
        <w:rPr>
          <w:rStyle w:val="FootnoteReference"/>
        </w:rPr>
        <w:footnoteRef/>
      </w:r>
      <w:r>
        <w:t xml:space="preserve"> OEB Draft Report, page 18 and </w:t>
      </w:r>
      <w:proofErr w:type="spellStart"/>
      <w:r>
        <w:t>Nordicity</w:t>
      </w:r>
      <w:proofErr w:type="spellEnd"/>
      <w:r>
        <w:t xml:space="preserve"> Report, pages 46-48</w:t>
      </w:r>
    </w:p>
  </w:footnote>
  <w:footnote w:id="39">
    <w:p w:rsidR="004341B4" w:rsidRPr="00980DF1" w:rsidRDefault="004341B4">
      <w:pPr>
        <w:pStyle w:val="FootnoteText"/>
        <w:rPr>
          <w:lang w:val="fr-CA"/>
        </w:rPr>
      </w:pPr>
      <w:r>
        <w:rPr>
          <w:rStyle w:val="FootnoteReference"/>
        </w:rPr>
        <w:footnoteRef/>
      </w:r>
      <w:r w:rsidRPr="00980DF1">
        <w:rPr>
          <w:lang w:val="fr-CA"/>
        </w:rPr>
        <w:t xml:space="preserve"> Page 48</w:t>
      </w:r>
    </w:p>
  </w:footnote>
  <w:footnote w:id="40">
    <w:p w:rsidR="004341B4" w:rsidRPr="00980DF1" w:rsidRDefault="004341B4">
      <w:pPr>
        <w:pStyle w:val="FootnoteText"/>
        <w:rPr>
          <w:lang w:val="fr-CA"/>
        </w:rPr>
      </w:pPr>
      <w:r>
        <w:rPr>
          <w:rStyle w:val="FootnoteReference"/>
        </w:rPr>
        <w:footnoteRef/>
      </w:r>
      <w:r w:rsidRPr="00980DF1">
        <w:rPr>
          <w:lang w:val="fr-CA"/>
        </w:rPr>
        <w:t xml:space="preserve"> </w:t>
      </w:r>
      <w:proofErr w:type="spellStart"/>
      <w:r w:rsidRPr="00980DF1">
        <w:rPr>
          <w:lang w:val="fr-CA"/>
        </w:rPr>
        <w:t>Draft</w:t>
      </w:r>
      <w:proofErr w:type="spellEnd"/>
      <w:r w:rsidRPr="00980DF1">
        <w:rPr>
          <w:lang w:val="fr-CA"/>
        </w:rPr>
        <w:t xml:space="preserve"> Report, pages 34-35</w:t>
      </w:r>
    </w:p>
  </w:footnote>
  <w:footnote w:id="41">
    <w:p w:rsidR="004341B4" w:rsidRPr="00980DF1" w:rsidRDefault="004341B4">
      <w:pPr>
        <w:pStyle w:val="FootnoteText"/>
        <w:rPr>
          <w:lang w:val="fr-CA"/>
        </w:rPr>
      </w:pPr>
      <w:r>
        <w:rPr>
          <w:rStyle w:val="FootnoteReference"/>
        </w:rPr>
        <w:footnoteRef/>
      </w:r>
      <w:r w:rsidRPr="00980DF1">
        <w:rPr>
          <w:lang w:val="fr-CA"/>
        </w:rPr>
        <w:t xml:space="preserve"> Page 64</w:t>
      </w:r>
    </w:p>
  </w:footnote>
  <w:footnote w:id="42">
    <w:p w:rsidR="004341B4" w:rsidRPr="00980DF1" w:rsidRDefault="004341B4">
      <w:pPr>
        <w:pStyle w:val="FootnoteText"/>
        <w:rPr>
          <w:lang w:val="fr-CA"/>
        </w:rPr>
      </w:pPr>
      <w:r>
        <w:rPr>
          <w:rStyle w:val="FootnoteReference"/>
        </w:rPr>
        <w:footnoteRef/>
      </w:r>
      <w:r w:rsidRPr="00980DF1">
        <w:rPr>
          <w:lang w:val="fr-CA"/>
        </w:rPr>
        <w:t xml:space="preserve"> Page 40</w:t>
      </w:r>
    </w:p>
  </w:footnote>
  <w:footnote w:id="43">
    <w:p w:rsidR="004341B4" w:rsidRPr="00980DF1" w:rsidRDefault="004341B4">
      <w:pPr>
        <w:pStyle w:val="FootnoteText"/>
        <w:rPr>
          <w:lang w:val="fr-CA"/>
        </w:rPr>
      </w:pPr>
      <w:r>
        <w:rPr>
          <w:rStyle w:val="FootnoteReference"/>
        </w:rPr>
        <w:footnoteRef/>
      </w:r>
      <w:r w:rsidRPr="00980DF1">
        <w:rPr>
          <w:lang w:val="fr-CA"/>
        </w:rPr>
        <w:t xml:space="preserve"> </w:t>
      </w:r>
      <w:proofErr w:type="spellStart"/>
      <w:r w:rsidRPr="00980DF1">
        <w:rPr>
          <w:lang w:val="fr-CA"/>
        </w:rPr>
        <w:t>Nordicity</w:t>
      </w:r>
      <w:proofErr w:type="spellEnd"/>
      <w:r w:rsidRPr="00980DF1">
        <w:rPr>
          <w:lang w:val="fr-CA"/>
        </w:rPr>
        <w:t xml:space="preserve"> Report, pages 52-56</w:t>
      </w:r>
    </w:p>
  </w:footnote>
  <w:footnote w:id="44">
    <w:p w:rsidR="004341B4" w:rsidRPr="00980DF1" w:rsidRDefault="004341B4">
      <w:pPr>
        <w:pStyle w:val="FootnoteText"/>
        <w:rPr>
          <w:lang w:val="fr-CA"/>
        </w:rPr>
      </w:pPr>
      <w:r>
        <w:rPr>
          <w:rStyle w:val="FootnoteReference"/>
        </w:rPr>
        <w:footnoteRef/>
      </w:r>
      <w:r w:rsidRPr="00980DF1">
        <w:rPr>
          <w:lang w:val="fr-CA"/>
        </w:rPr>
        <w:t xml:space="preserve"> Page 54</w:t>
      </w:r>
    </w:p>
  </w:footnote>
  <w:footnote w:id="45">
    <w:p w:rsidR="004341B4" w:rsidRDefault="004341B4">
      <w:pPr>
        <w:pStyle w:val="FootnoteText"/>
      </w:pPr>
      <w:r>
        <w:rPr>
          <w:rStyle w:val="FootnoteReference"/>
        </w:rPr>
        <w:footnoteRef/>
      </w:r>
      <w:r>
        <w:t xml:space="preserve"> Page 52</w:t>
      </w:r>
    </w:p>
  </w:footnote>
  <w:footnote w:id="46">
    <w:p w:rsidR="004341B4" w:rsidRDefault="004341B4">
      <w:pPr>
        <w:pStyle w:val="FootnoteText"/>
      </w:pPr>
      <w:r>
        <w:rPr>
          <w:rStyle w:val="FootnoteReference"/>
        </w:rPr>
        <w:footnoteRef/>
      </w:r>
      <w:r>
        <w:t xml:space="preserve"> Note:  It is not clear from the </w:t>
      </w:r>
      <w:proofErr w:type="spellStart"/>
      <w:r>
        <w:t>WorkForm</w:t>
      </w:r>
      <w:proofErr w:type="spellEnd"/>
      <w:r>
        <w:t xml:space="preserve"> what years are used in the average.  Based on the comments on page 24 of the Draft Report it is assumed to be the years 2010-2015.</w:t>
      </w:r>
    </w:p>
  </w:footnote>
  <w:footnote w:id="47">
    <w:p w:rsidR="004341B4" w:rsidRPr="00980DF1" w:rsidRDefault="004341B4">
      <w:pPr>
        <w:pStyle w:val="FootnoteText"/>
        <w:rPr>
          <w:lang w:val="fr-CA"/>
        </w:rPr>
      </w:pPr>
      <w:r>
        <w:rPr>
          <w:rStyle w:val="FootnoteReference"/>
        </w:rPr>
        <w:footnoteRef/>
      </w:r>
      <w:r w:rsidRPr="00980DF1">
        <w:rPr>
          <w:lang w:val="fr-CA"/>
        </w:rPr>
        <w:t xml:space="preserve"> Pages 25 and 38-39</w:t>
      </w:r>
    </w:p>
  </w:footnote>
  <w:footnote w:id="48">
    <w:p w:rsidR="004341B4" w:rsidRPr="00980DF1" w:rsidRDefault="004341B4">
      <w:pPr>
        <w:pStyle w:val="FootnoteText"/>
        <w:rPr>
          <w:lang w:val="fr-CA"/>
        </w:rPr>
      </w:pPr>
      <w:r>
        <w:rPr>
          <w:rStyle w:val="FootnoteReference"/>
        </w:rPr>
        <w:footnoteRef/>
      </w:r>
      <w:r w:rsidRPr="00980DF1">
        <w:rPr>
          <w:lang w:val="fr-CA"/>
        </w:rPr>
        <w:t xml:space="preserve"> Page 168.</w:t>
      </w:r>
    </w:p>
  </w:footnote>
  <w:footnote w:id="49">
    <w:p w:rsidR="004341B4" w:rsidRPr="00980DF1" w:rsidRDefault="004341B4">
      <w:pPr>
        <w:pStyle w:val="FootnoteText"/>
        <w:rPr>
          <w:lang w:val="fr-CA"/>
        </w:rPr>
      </w:pPr>
      <w:r>
        <w:rPr>
          <w:rStyle w:val="FootnoteReference"/>
        </w:rPr>
        <w:footnoteRef/>
      </w:r>
      <w:r w:rsidRPr="00980DF1">
        <w:rPr>
          <w:lang w:val="fr-CA"/>
        </w:rPr>
        <w:t xml:space="preserve"> </w:t>
      </w:r>
      <w:proofErr w:type="spellStart"/>
      <w:r w:rsidRPr="00980DF1">
        <w:rPr>
          <w:lang w:val="fr-CA"/>
        </w:rPr>
        <w:t>Nordicity</w:t>
      </w:r>
      <w:proofErr w:type="spellEnd"/>
      <w:r w:rsidRPr="00980DF1">
        <w:rPr>
          <w:lang w:val="fr-CA"/>
        </w:rPr>
        <w:t xml:space="preserve"> Report, pages 17-18, 38-41, 59-62 &amp; </w:t>
      </w:r>
      <w:proofErr w:type="spellStart"/>
      <w:r w:rsidRPr="00980DF1">
        <w:rPr>
          <w:lang w:val="fr-CA"/>
        </w:rPr>
        <w:t>Appendix</w:t>
      </w:r>
      <w:proofErr w:type="spellEnd"/>
      <w:r w:rsidRPr="00980DF1">
        <w:rPr>
          <w:lang w:val="fr-CA"/>
        </w:rPr>
        <w:t xml:space="preserve"> B and OEB </w:t>
      </w:r>
      <w:proofErr w:type="spellStart"/>
      <w:r w:rsidRPr="00980DF1">
        <w:rPr>
          <w:lang w:val="fr-CA"/>
        </w:rPr>
        <w:t>Draft</w:t>
      </w:r>
      <w:proofErr w:type="spellEnd"/>
      <w:r w:rsidRPr="00980DF1">
        <w:rPr>
          <w:lang w:val="fr-CA"/>
        </w:rPr>
        <w:t xml:space="preserve"> Report, pages 25-31</w:t>
      </w:r>
    </w:p>
  </w:footnote>
  <w:footnote w:id="50">
    <w:p w:rsidR="004341B4" w:rsidRPr="00980DF1" w:rsidRDefault="004341B4">
      <w:pPr>
        <w:pStyle w:val="FootnoteText"/>
        <w:rPr>
          <w:lang w:val="fr-CA"/>
        </w:rPr>
      </w:pPr>
      <w:r>
        <w:rPr>
          <w:rStyle w:val="FootnoteReference"/>
        </w:rPr>
        <w:footnoteRef/>
      </w:r>
      <w:r w:rsidRPr="00980DF1">
        <w:rPr>
          <w:lang w:val="fr-CA"/>
        </w:rPr>
        <w:t xml:space="preserve"> Pages 17-18 and </w:t>
      </w:r>
      <w:proofErr w:type="spellStart"/>
      <w:r w:rsidRPr="00980DF1">
        <w:rPr>
          <w:lang w:val="fr-CA"/>
        </w:rPr>
        <w:t>Appendix</w:t>
      </w:r>
      <w:proofErr w:type="spellEnd"/>
      <w:r w:rsidRPr="00980DF1">
        <w:rPr>
          <w:lang w:val="fr-CA"/>
        </w:rPr>
        <w:t xml:space="preserve"> B</w:t>
      </w:r>
    </w:p>
  </w:footnote>
  <w:footnote w:id="51">
    <w:p w:rsidR="004341B4" w:rsidRPr="00980DF1" w:rsidRDefault="004341B4">
      <w:pPr>
        <w:pStyle w:val="FootnoteText"/>
        <w:rPr>
          <w:lang w:val="fr-CA"/>
        </w:rPr>
      </w:pPr>
      <w:r>
        <w:rPr>
          <w:rStyle w:val="FootnoteReference"/>
        </w:rPr>
        <w:footnoteRef/>
      </w:r>
      <w:r w:rsidRPr="00980DF1">
        <w:rPr>
          <w:lang w:val="fr-CA"/>
        </w:rPr>
        <w:t xml:space="preserve"> Page 30</w:t>
      </w:r>
    </w:p>
  </w:footnote>
  <w:footnote w:id="52">
    <w:p w:rsidR="004341B4" w:rsidRPr="00980DF1" w:rsidRDefault="004341B4">
      <w:pPr>
        <w:pStyle w:val="FootnoteText"/>
        <w:rPr>
          <w:lang w:val="fr-CA"/>
        </w:rPr>
      </w:pPr>
      <w:r>
        <w:rPr>
          <w:rStyle w:val="FootnoteReference"/>
        </w:rPr>
        <w:footnoteRef/>
      </w:r>
      <w:r w:rsidRPr="00980DF1">
        <w:rPr>
          <w:lang w:val="fr-CA"/>
        </w:rPr>
        <w:t xml:space="preserve"> Page 72</w:t>
      </w:r>
    </w:p>
  </w:footnote>
  <w:footnote w:id="53">
    <w:p w:rsidR="004341B4" w:rsidRPr="00980DF1" w:rsidRDefault="004341B4">
      <w:pPr>
        <w:pStyle w:val="FootnoteText"/>
        <w:rPr>
          <w:lang w:val="fr-CA"/>
        </w:rPr>
      </w:pPr>
      <w:r>
        <w:rPr>
          <w:rStyle w:val="FootnoteReference"/>
        </w:rPr>
        <w:footnoteRef/>
      </w:r>
      <w:r w:rsidRPr="00980DF1">
        <w:rPr>
          <w:lang w:val="fr-CA"/>
        </w:rPr>
        <w:t xml:space="preserve"> Page 30</w:t>
      </w:r>
    </w:p>
  </w:footnote>
  <w:footnote w:id="54">
    <w:p w:rsidR="004341B4" w:rsidRPr="00980DF1" w:rsidRDefault="004341B4">
      <w:pPr>
        <w:pStyle w:val="FootnoteText"/>
        <w:rPr>
          <w:lang w:val="fr-CA"/>
        </w:rPr>
      </w:pPr>
      <w:r>
        <w:rPr>
          <w:rStyle w:val="FootnoteReference"/>
        </w:rPr>
        <w:footnoteRef/>
      </w:r>
      <w:r w:rsidRPr="00980DF1">
        <w:rPr>
          <w:lang w:val="fr-CA"/>
        </w:rPr>
        <w:t xml:space="preserve"> Page 32</w:t>
      </w:r>
    </w:p>
  </w:footnote>
  <w:footnote w:id="55">
    <w:p w:rsidR="004341B4" w:rsidRPr="00980DF1" w:rsidRDefault="004341B4">
      <w:pPr>
        <w:pStyle w:val="FootnoteText"/>
        <w:rPr>
          <w:lang w:val="fr-CA"/>
        </w:rPr>
      </w:pPr>
      <w:r>
        <w:rPr>
          <w:rStyle w:val="FootnoteReference"/>
        </w:rPr>
        <w:footnoteRef/>
      </w:r>
      <w:r w:rsidRPr="00980DF1">
        <w:rPr>
          <w:lang w:val="fr-CA"/>
        </w:rPr>
        <w:t xml:space="preserve"> </w:t>
      </w:r>
      <w:proofErr w:type="spellStart"/>
      <w:r w:rsidRPr="00980DF1">
        <w:rPr>
          <w:lang w:val="fr-CA"/>
        </w:rPr>
        <w:t>Draft</w:t>
      </w:r>
      <w:proofErr w:type="spellEnd"/>
      <w:r w:rsidRPr="00980DF1">
        <w:rPr>
          <w:lang w:val="fr-CA"/>
        </w:rPr>
        <w:t xml:space="preserve"> Report, page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1310E"/>
    <w:multiLevelType w:val="hybridMultilevel"/>
    <w:tmpl w:val="3632700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nsid w:val="21840C65"/>
    <w:multiLevelType w:val="hybridMultilevel"/>
    <w:tmpl w:val="76507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68E6020"/>
    <w:multiLevelType w:val="hybridMultilevel"/>
    <w:tmpl w:val="D228D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E506A73"/>
    <w:multiLevelType w:val="hybridMultilevel"/>
    <w:tmpl w:val="281C1DD2"/>
    <w:lvl w:ilvl="0" w:tplc="FE4424C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0E31564"/>
    <w:multiLevelType w:val="hybridMultilevel"/>
    <w:tmpl w:val="A9B8630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nsid w:val="7A816906"/>
    <w:multiLevelType w:val="multilevel"/>
    <w:tmpl w:val="7A8E13C0"/>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F47EA"/>
    <w:rsid w:val="00003313"/>
    <w:rsid w:val="00004BD9"/>
    <w:rsid w:val="000075BD"/>
    <w:rsid w:val="00011B42"/>
    <w:rsid w:val="00011CC4"/>
    <w:rsid w:val="00012810"/>
    <w:rsid w:val="00012A06"/>
    <w:rsid w:val="00013704"/>
    <w:rsid w:val="000168BD"/>
    <w:rsid w:val="000169AD"/>
    <w:rsid w:val="00020137"/>
    <w:rsid w:val="000202E8"/>
    <w:rsid w:val="0002060D"/>
    <w:rsid w:val="000219BA"/>
    <w:rsid w:val="00023A8B"/>
    <w:rsid w:val="00023AD6"/>
    <w:rsid w:val="00026CCB"/>
    <w:rsid w:val="000303A0"/>
    <w:rsid w:val="000325ED"/>
    <w:rsid w:val="00036D68"/>
    <w:rsid w:val="000379D1"/>
    <w:rsid w:val="00037F08"/>
    <w:rsid w:val="000413DC"/>
    <w:rsid w:val="00041A1D"/>
    <w:rsid w:val="00041E7A"/>
    <w:rsid w:val="00045675"/>
    <w:rsid w:val="0004748F"/>
    <w:rsid w:val="000512F4"/>
    <w:rsid w:val="00055CC1"/>
    <w:rsid w:val="00056D0E"/>
    <w:rsid w:val="000579CD"/>
    <w:rsid w:val="00057B3B"/>
    <w:rsid w:val="00060F82"/>
    <w:rsid w:val="00061307"/>
    <w:rsid w:val="00063813"/>
    <w:rsid w:val="00064B8B"/>
    <w:rsid w:val="0006688A"/>
    <w:rsid w:val="0006788A"/>
    <w:rsid w:val="000708FB"/>
    <w:rsid w:val="00071DF0"/>
    <w:rsid w:val="00075882"/>
    <w:rsid w:val="000760DF"/>
    <w:rsid w:val="00084413"/>
    <w:rsid w:val="0008462C"/>
    <w:rsid w:val="00086004"/>
    <w:rsid w:val="00091D91"/>
    <w:rsid w:val="00092BFA"/>
    <w:rsid w:val="000936F6"/>
    <w:rsid w:val="0009398F"/>
    <w:rsid w:val="000955D1"/>
    <w:rsid w:val="000A1315"/>
    <w:rsid w:val="000A347F"/>
    <w:rsid w:val="000A5641"/>
    <w:rsid w:val="000A5B94"/>
    <w:rsid w:val="000A5CAD"/>
    <w:rsid w:val="000A6E68"/>
    <w:rsid w:val="000B02FC"/>
    <w:rsid w:val="000B14B3"/>
    <w:rsid w:val="000B1B7F"/>
    <w:rsid w:val="000B6B92"/>
    <w:rsid w:val="000B7189"/>
    <w:rsid w:val="000C04F2"/>
    <w:rsid w:val="000C58F7"/>
    <w:rsid w:val="000D093A"/>
    <w:rsid w:val="000D251A"/>
    <w:rsid w:val="000D3B7E"/>
    <w:rsid w:val="000D3D69"/>
    <w:rsid w:val="000D5037"/>
    <w:rsid w:val="000D50A6"/>
    <w:rsid w:val="000D5E40"/>
    <w:rsid w:val="000D7B1B"/>
    <w:rsid w:val="000E09E8"/>
    <w:rsid w:val="000E23C7"/>
    <w:rsid w:val="000E2A9B"/>
    <w:rsid w:val="000E2FA1"/>
    <w:rsid w:val="000E3769"/>
    <w:rsid w:val="000E52D4"/>
    <w:rsid w:val="000F0847"/>
    <w:rsid w:val="000F3DA7"/>
    <w:rsid w:val="000F6876"/>
    <w:rsid w:val="0010093B"/>
    <w:rsid w:val="00100B92"/>
    <w:rsid w:val="00105FF9"/>
    <w:rsid w:val="0011365E"/>
    <w:rsid w:val="00113DFB"/>
    <w:rsid w:val="00113F09"/>
    <w:rsid w:val="0011560D"/>
    <w:rsid w:val="00115CDE"/>
    <w:rsid w:val="00115D6C"/>
    <w:rsid w:val="00117117"/>
    <w:rsid w:val="00117411"/>
    <w:rsid w:val="001218BD"/>
    <w:rsid w:val="001247C1"/>
    <w:rsid w:val="00125598"/>
    <w:rsid w:val="001304A9"/>
    <w:rsid w:val="001315E0"/>
    <w:rsid w:val="00131EBE"/>
    <w:rsid w:val="001331D4"/>
    <w:rsid w:val="0013438C"/>
    <w:rsid w:val="001344D5"/>
    <w:rsid w:val="00135944"/>
    <w:rsid w:val="00136535"/>
    <w:rsid w:val="00140238"/>
    <w:rsid w:val="0014028B"/>
    <w:rsid w:val="00141490"/>
    <w:rsid w:val="0014330D"/>
    <w:rsid w:val="00143C01"/>
    <w:rsid w:val="00143CFD"/>
    <w:rsid w:val="0014529D"/>
    <w:rsid w:val="0014706C"/>
    <w:rsid w:val="00150D3C"/>
    <w:rsid w:val="0015384E"/>
    <w:rsid w:val="00154ACA"/>
    <w:rsid w:val="001559FC"/>
    <w:rsid w:val="00156FE8"/>
    <w:rsid w:val="00160946"/>
    <w:rsid w:val="001620F8"/>
    <w:rsid w:val="0016633A"/>
    <w:rsid w:val="00167193"/>
    <w:rsid w:val="00172955"/>
    <w:rsid w:val="00174351"/>
    <w:rsid w:val="00175B9E"/>
    <w:rsid w:val="00176D21"/>
    <w:rsid w:val="001814EE"/>
    <w:rsid w:val="00181856"/>
    <w:rsid w:val="00184194"/>
    <w:rsid w:val="001874B2"/>
    <w:rsid w:val="001877B4"/>
    <w:rsid w:val="00195E3B"/>
    <w:rsid w:val="00197593"/>
    <w:rsid w:val="001A34EA"/>
    <w:rsid w:val="001A36B1"/>
    <w:rsid w:val="001A41EA"/>
    <w:rsid w:val="001A43CE"/>
    <w:rsid w:val="001A5636"/>
    <w:rsid w:val="001A58A1"/>
    <w:rsid w:val="001A593F"/>
    <w:rsid w:val="001A6B5D"/>
    <w:rsid w:val="001B043A"/>
    <w:rsid w:val="001B0D80"/>
    <w:rsid w:val="001B1EBD"/>
    <w:rsid w:val="001B391B"/>
    <w:rsid w:val="001B6D2B"/>
    <w:rsid w:val="001B6ED1"/>
    <w:rsid w:val="001B7253"/>
    <w:rsid w:val="001C20B3"/>
    <w:rsid w:val="001C280E"/>
    <w:rsid w:val="001C5770"/>
    <w:rsid w:val="001C5E15"/>
    <w:rsid w:val="001C61A1"/>
    <w:rsid w:val="001C6CC6"/>
    <w:rsid w:val="001D0AD1"/>
    <w:rsid w:val="001D0B5B"/>
    <w:rsid w:val="001D0EA6"/>
    <w:rsid w:val="001D1D98"/>
    <w:rsid w:val="001D2EF6"/>
    <w:rsid w:val="001D5553"/>
    <w:rsid w:val="001E1A2D"/>
    <w:rsid w:val="001E1FFA"/>
    <w:rsid w:val="001E5E7C"/>
    <w:rsid w:val="001E6D18"/>
    <w:rsid w:val="001E71FE"/>
    <w:rsid w:val="001F03E7"/>
    <w:rsid w:val="001F0ED6"/>
    <w:rsid w:val="001F47EA"/>
    <w:rsid w:val="001F798A"/>
    <w:rsid w:val="00200DB9"/>
    <w:rsid w:val="0020279B"/>
    <w:rsid w:val="00205594"/>
    <w:rsid w:val="0020590D"/>
    <w:rsid w:val="00205B0A"/>
    <w:rsid w:val="00205B42"/>
    <w:rsid w:val="00206AD7"/>
    <w:rsid w:val="002123D8"/>
    <w:rsid w:val="002136E8"/>
    <w:rsid w:val="00214068"/>
    <w:rsid w:val="0021466A"/>
    <w:rsid w:val="00220FF6"/>
    <w:rsid w:val="002217FC"/>
    <w:rsid w:val="00222CA9"/>
    <w:rsid w:val="00224332"/>
    <w:rsid w:val="0022489C"/>
    <w:rsid w:val="00227F45"/>
    <w:rsid w:val="002310E5"/>
    <w:rsid w:val="0023186B"/>
    <w:rsid w:val="00234072"/>
    <w:rsid w:val="002363A1"/>
    <w:rsid w:val="00236918"/>
    <w:rsid w:val="00236F3D"/>
    <w:rsid w:val="0024253A"/>
    <w:rsid w:val="002432B3"/>
    <w:rsid w:val="002450F6"/>
    <w:rsid w:val="0024533D"/>
    <w:rsid w:val="00245F42"/>
    <w:rsid w:val="00246802"/>
    <w:rsid w:val="00246D8B"/>
    <w:rsid w:val="00251809"/>
    <w:rsid w:val="00252148"/>
    <w:rsid w:val="00252489"/>
    <w:rsid w:val="002535BC"/>
    <w:rsid w:val="00255467"/>
    <w:rsid w:val="0025701B"/>
    <w:rsid w:val="0026138A"/>
    <w:rsid w:val="00262432"/>
    <w:rsid w:val="00263DB8"/>
    <w:rsid w:val="00267530"/>
    <w:rsid w:val="00270F08"/>
    <w:rsid w:val="00272337"/>
    <w:rsid w:val="0027272F"/>
    <w:rsid w:val="0027353F"/>
    <w:rsid w:val="00275267"/>
    <w:rsid w:val="00276070"/>
    <w:rsid w:val="002761A6"/>
    <w:rsid w:val="00281187"/>
    <w:rsid w:val="002819EB"/>
    <w:rsid w:val="0028215B"/>
    <w:rsid w:val="00282877"/>
    <w:rsid w:val="00282BAC"/>
    <w:rsid w:val="00282CD4"/>
    <w:rsid w:val="00285306"/>
    <w:rsid w:val="00286059"/>
    <w:rsid w:val="002866F2"/>
    <w:rsid w:val="00286727"/>
    <w:rsid w:val="00287334"/>
    <w:rsid w:val="00290DDC"/>
    <w:rsid w:val="00292391"/>
    <w:rsid w:val="0029265E"/>
    <w:rsid w:val="00292709"/>
    <w:rsid w:val="0029421B"/>
    <w:rsid w:val="002948AD"/>
    <w:rsid w:val="0029763C"/>
    <w:rsid w:val="00297691"/>
    <w:rsid w:val="002A4E27"/>
    <w:rsid w:val="002A7CAB"/>
    <w:rsid w:val="002B0AB9"/>
    <w:rsid w:val="002B1912"/>
    <w:rsid w:val="002B1C5F"/>
    <w:rsid w:val="002B3A7B"/>
    <w:rsid w:val="002B4A39"/>
    <w:rsid w:val="002B562D"/>
    <w:rsid w:val="002B66A0"/>
    <w:rsid w:val="002B6F5A"/>
    <w:rsid w:val="002C08DA"/>
    <w:rsid w:val="002C09FB"/>
    <w:rsid w:val="002C0B7E"/>
    <w:rsid w:val="002C0F6F"/>
    <w:rsid w:val="002C4E49"/>
    <w:rsid w:val="002C4F60"/>
    <w:rsid w:val="002C59F7"/>
    <w:rsid w:val="002C7EF5"/>
    <w:rsid w:val="002C7F9C"/>
    <w:rsid w:val="002D69AB"/>
    <w:rsid w:val="002D7E69"/>
    <w:rsid w:val="002E03C6"/>
    <w:rsid w:val="002E04D9"/>
    <w:rsid w:val="002E0795"/>
    <w:rsid w:val="002E0800"/>
    <w:rsid w:val="002E0CD5"/>
    <w:rsid w:val="002E11CE"/>
    <w:rsid w:val="002E2E04"/>
    <w:rsid w:val="002E49DE"/>
    <w:rsid w:val="002E599D"/>
    <w:rsid w:val="002E683A"/>
    <w:rsid w:val="002F31AE"/>
    <w:rsid w:val="002F7DB5"/>
    <w:rsid w:val="0030367B"/>
    <w:rsid w:val="003036DA"/>
    <w:rsid w:val="003068AA"/>
    <w:rsid w:val="0030701D"/>
    <w:rsid w:val="0030706A"/>
    <w:rsid w:val="0031050B"/>
    <w:rsid w:val="00310685"/>
    <w:rsid w:val="00310EC7"/>
    <w:rsid w:val="0031154D"/>
    <w:rsid w:val="00311AC0"/>
    <w:rsid w:val="00314370"/>
    <w:rsid w:val="0031687B"/>
    <w:rsid w:val="0032003C"/>
    <w:rsid w:val="00323A3B"/>
    <w:rsid w:val="0032702E"/>
    <w:rsid w:val="00330927"/>
    <w:rsid w:val="00331BC4"/>
    <w:rsid w:val="00332E1D"/>
    <w:rsid w:val="00334076"/>
    <w:rsid w:val="0033484A"/>
    <w:rsid w:val="003358BB"/>
    <w:rsid w:val="00335C5F"/>
    <w:rsid w:val="0033768F"/>
    <w:rsid w:val="00341B93"/>
    <w:rsid w:val="00342E3C"/>
    <w:rsid w:val="00344FB3"/>
    <w:rsid w:val="003453E2"/>
    <w:rsid w:val="00345955"/>
    <w:rsid w:val="00345B80"/>
    <w:rsid w:val="00346355"/>
    <w:rsid w:val="00346778"/>
    <w:rsid w:val="00355F15"/>
    <w:rsid w:val="00356262"/>
    <w:rsid w:val="00356DD6"/>
    <w:rsid w:val="00357E37"/>
    <w:rsid w:val="00364BE2"/>
    <w:rsid w:val="00364BF3"/>
    <w:rsid w:val="003661E3"/>
    <w:rsid w:val="00366B57"/>
    <w:rsid w:val="00367360"/>
    <w:rsid w:val="00370D11"/>
    <w:rsid w:val="00371728"/>
    <w:rsid w:val="00374821"/>
    <w:rsid w:val="00374C37"/>
    <w:rsid w:val="0037535C"/>
    <w:rsid w:val="00376295"/>
    <w:rsid w:val="00376688"/>
    <w:rsid w:val="003816A0"/>
    <w:rsid w:val="00386118"/>
    <w:rsid w:val="00387A46"/>
    <w:rsid w:val="00387ED3"/>
    <w:rsid w:val="00390E72"/>
    <w:rsid w:val="00391340"/>
    <w:rsid w:val="00392B6E"/>
    <w:rsid w:val="003935D0"/>
    <w:rsid w:val="00393A88"/>
    <w:rsid w:val="003958C7"/>
    <w:rsid w:val="003976B6"/>
    <w:rsid w:val="003A2197"/>
    <w:rsid w:val="003A37D6"/>
    <w:rsid w:val="003A45C6"/>
    <w:rsid w:val="003A569C"/>
    <w:rsid w:val="003A5F50"/>
    <w:rsid w:val="003A6031"/>
    <w:rsid w:val="003A72D2"/>
    <w:rsid w:val="003A7617"/>
    <w:rsid w:val="003B1F0C"/>
    <w:rsid w:val="003B2479"/>
    <w:rsid w:val="003B382E"/>
    <w:rsid w:val="003B3945"/>
    <w:rsid w:val="003B3FF1"/>
    <w:rsid w:val="003C2BE3"/>
    <w:rsid w:val="003C3096"/>
    <w:rsid w:val="003C3F5D"/>
    <w:rsid w:val="003C6D74"/>
    <w:rsid w:val="003C7198"/>
    <w:rsid w:val="003D0158"/>
    <w:rsid w:val="003D0319"/>
    <w:rsid w:val="003D1DC3"/>
    <w:rsid w:val="003D3052"/>
    <w:rsid w:val="003D3BCE"/>
    <w:rsid w:val="003D46E6"/>
    <w:rsid w:val="003D5D34"/>
    <w:rsid w:val="003D78D0"/>
    <w:rsid w:val="003E1D1E"/>
    <w:rsid w:val="003E38C7"/>
    <w:rsid w:val="003E4AC1"/>
    <w:rsid w:val="003E6240"/>
    <w:rsid w:val="003E7045"/>
    <w:rsid w:val="003F047B"/>
    <w:rsid w:val="003F2F45"/>
    <w:rsid w:val="003F4D27"/>
    <w:rsid w:val="003F4DF2"/>
    <w:rsid w:val="003F7DB9"/>
    <w:rsid w:val="00401309"/>
    <w:rsid w:val="0040188E"/>
    <w:rsid w:val="004047F7"/>
    <w:rsid w:val="0041010F"/>
    <w:rsid w:val="00412D46"/>
    <w:rsid w:val="00414036"/>
    <w:rsid w:val="00415798"/>
    <w:rsid w:val="00416650"/>
    <w:rsid w:val="004223B2"/>
    <w:rsid w:val="004236CE"/>
    <w:rsid w:val="00424E21"/>
    <w:rsid w:val="004250E9"/>
    <w:rsid w:val="00426A5D"/>
    <w:rsid w:val="00426D54"/>
    <w:rsid w:val="00427BE3"/>
    <w:rsid w:val="00430158"/>
    <w:rsid w:val="00431670"/>
    <w:rsid w:val="0043285E"/>
    <w:rsid w:val="004341B4"/>
    <w:rsid w:val="004347C1"/>
    <w:rsid w:val="0044030B"/>
    <w:rsid w:val="00443174"/>
    <w:rsid w:val="00443812"/>
    <w:rsid w:val="0044384B"/>
    <w:rsid w:val="00444170"/>
    <w:rsid w:val="00445AEE"/>
    <w:rsid w:val="0044631D"/>
    <w:rsid w:val="00447002"/>
    <w:rsid w:val="00452024"/>
    <w:rsid w:val="00453501"/>
    <w:rsid w:val="00454FCC"/>
    <w:rsid w:val="00456174"/>
    <w:rsid w:val="0045651E"/>
    <w:rsid w:val="00456C01"/>
    <w:rsid w:val="0046120D"/>
    <w:rsid w:val="00461C4A"/>
    <w:rsid w:val="0046394A"/>
    <w:rsid w:val="00464954"/>
    <w:rsid w:val="004659CE"/>
    <w:rsid w:val="00466A6B"/>
    <w:rsid w:val="0046760C"/>
    <w:rsid w:val="00467D7C"/>
    <w:rsid w:val="00471165"/>
    <w:rsid w:val="00473C10"/>
    <w:rsid w:val="0047438C"/>
    <w:rsid w:val="004749D8"/>
    <w:rsid w:val="00476330"/>
    <w:rsid w:val="0047729E"/>
    <w:rsid w:val="004776BE"/>
    <w:rsid w:val="004810C4"/>
    <w:rsid w:val="00482337"/>
    <w:rsid w:val="00482A28"/>
    <w:rsid w:val="00485846"/>
    <w:rsid w:val="00486C03"/>
    <w:rsid w:val="004918EC"/>
    <w:rsid w:val="004935BA"/>
    <w:rsid w:val="004942CB"/>
    <w:rsid w:val="00495536"/>
    <w:rsid w:val="00496F94"/>
    <w:rsid w:val="00497FB7"/>
    <w:rsid w:val="004A2DCC"/>
    <w:rsid w:val="004A32FD"/>
    <w:rsid w:val="004A5684"/>
    <w:rsid w:val="004B23FF"/>
    <w:rsid w:val="004B4CAA"/>
    <w:rsid w:val="004C2AFA"/>
    <w:rsid w:val="004C4C02"/>
    <w:rsid w:val="004C4D58"/>
    <w:rsid w:val="004C5F98"/>
    <w:rsid w:val="004C6852"/>
    <w:rsid w:val="004C68EE"/>
    <w:rsid w:val="004C6932"/>
    <w:rsid w:val="004D1627"/>
    <w:rsid w:val="004D1E5B"/>
    <w:rsid w:val="004D2121"/>
    <w:rsid w:val="004D314E"/>
    <w:rsid w:val="004D390A"/>
    <w:rsid w:val="004E5EA1"/>
    <w:rsid w:val="004E5ECE"/>
    <w:rsid w:val="004E642A"/>
    <w:rsid w:val="004E66D1"/>
    <w:rsid w:val="004F04C0"/>
    <w:rsid w:val="004F4B7C"/>
    <w:rsid w:val="004F5A36"/>
    <w:rsid w:val="004F68AD"/>
    <w:rsid w:val="004F72C4"/>
    <w:rsid w:val="004F7915"/>
    <w:rsid w:val="004F7F52"/>
    <w:rsid w:val="00500381"/>
    <w:rsid w:val="0050050A"/>
    <w:rsid w:val="0050255D"/>
    <w:rsid w:val="0050270C"/>
    <w:rsid w:val="00503B36"/>
    <w:rsid w:val="00504A87"/>
    <w:rsid w:val="005103D1"/>
    <w:rsid w:val="00510867"/>
    <w:rsid w:val="005114DF"/>
    <w:rsid w:val="00513095"/>
    <w:rsid w:val="00514409"/>
    <w:rsid w:val="005175BE"/>
    <w:rsid w:val="005176B0"/>
    <w:rsid w:val="00520A3A"/>
    <w:rsid w:val="00520E15"/>
    <w:rsid w:val="005225E2"/>
    <w:rsid w:val="00523DB1"/>
    <w:rsid w:val="005242B7"/>
    <w:rsid w:val="005248BB"/>
    <w:rsid w:val="00524E63"/>
    <w:rsid w:val="005250EA"/>
    <w:rsid w:val="00525274"/>
    <w:rsid w:val="0052747D"/>
    <w:rsid w:val="00527906"/>
    <w:rsid w:val="0053245E"/>
    <w:rsid w:val="00537569"/>
    <w:rsid w:val="0054080A"/>
    <w:rsid w:val="0054181B"/>
    <w:rsid w:val="00541A91"/>
    <w:rsid w:val="00542B1E"/>
    <w:rsid w:val="00542B2D"/>
    <w:rsid w:val="005434CF"/>
    <w:rsid w:val="00546852"/>
    <w:rsid w:val="0054746A"/>
    <w:rsid w:val="00547F60"/>
    <w:rsid w:val="005523F5"/>
    <w:rsid w:val="00552671"/>
    <w:rsid w:val="0055333E"/>
    <w:rsid w:val="0055479C"/>
    <w:rsid w:val="00555BC8"/>
    <w:rsid w:val="00556AD0"/>
    <w:rsid w:val="0056031D"/>
    <w:rsid w:val="00560D0F"/>
    <w:rsid w:val="00562121"/>
    <w:rsid w:val="00562E0A"/>
    <w:rsid w:val="0056370C"/>
    <w:rsid w:val="00564A1E"/>
    <w:rsid w:val="00570BD5"/>
    <w:rsid w:val="0057136B"/>
    <w:rsid w:val="005718E1"/>
    <w:rsid w:val="00571F4C"/>
    <w:rsid w:val="005751D0"/>
    <w:rsid w:val="00575BF1"/>
    <w:rsid w:val="0058050F"/>
    <w:rsid w:val="00582675"/>
    <w:rsid w:val="00583489"/>
    <w:rsid w:val="00584D50"/>
    <w:rsid w:val="005850EC"/>
    <w:rsid w:val="005856AC"/>
    <w:rsid w:val="00592D90"/>
    <w:rsid w:val="005965D4"/>
    <w:rsid w:val="005978F9"/>
    <w:rsid w:val="005A0E73"/>
    <w:rsid w:val="005A1255"/>
    <w:rsid w:val="005A1B8D"/>
    <w:rsid w:val="005A2C04"/>
    <w:rsid w:val="005A5397"/>
    <w:rsid w:val="005A5DF1"/>
    <w:rsid w:val="005B1884"/>
    <w:rsid w:val="005B3605"/>
    <w:rsid w:val="005B4843"/>
    <w:rsid w:val="005C2C6F"/>
    <w:rsid w:val="005C3164"/>
    <w:rsid w:val="005C46F9"/>
    <w:rsid w:val="005C5C4C"/>
    <w:rsid w:val="005C5D74"/>
    <w:rsid w:val="005C6384"/>
    <w:rsid w:val="005C791F"/>
    <w:rsid w:val="005D0242"/>
    <w:rsid w:val="005D1705"/>
    <w:rsid w:val="005D2D0E"/>
    <w:rsid w:val="005D3222"/>
    <w:rsid w:val="005D62D4"/>
    <w:rsid w:val="005E049D"/>
    <w:rsid w:val="005E21CA"/>
    <w:rsid w:val="005E36AB"/>
    <w:rsid w:val="005E4317"/>
    <w:rsid w:val="005E541C"/>
    <w:rsid w:val="005E7E7B"/>
    <w:rsid w:val="005F2B8E"/>
    <w:rsid w:val="005F39B8"/>
    <w:rsid w:val="005F3B01"/>
    <w:rsid w:val="005F4B30"/>
    <w:rsid w:val="005F5C58"/>
    <w:rsid w:val="006039C8"/>
    <w:rsid w:val="0060796F"/>
    <w:rsid w:val="00610D89"/>
    <w:rsid w:val="00611FA3"/>
    <w:rsid w:val="00612179"/>
    <w:rsid w:val="00613AFF"/>
    <w:rsid w:val="0061452A"/>
    <w:rsid w:val="00614B39"/>
    <w:rsid w:val="006223AC"/>
    <w:rsid w:val="0062290D"/>
    <w:rsid w:val="00622CE6"/>
    <w:rsid w:val="00627A6C"/>
    <w:rsid w:val="00630113"/>
    <w:rsid w:val="006319D0"/>
    <w:rsid w:val="00632E70"/>
    <w:rsid w:val="0063329B"/>
    <w:rsid w:val="00633460"/>
    <w:rsid w:val="00633D08"/>
    <w:rsid w:val="00640605"/>
    <w:rsid w:val="00640A38"/>
    <w:rsid w:val="00646736"/>
    <w:rsid w:val="00651119"/>
    <w:rsid w:val="0065385D"/>
    <w:rsid w:val="00656C1B"/>
    <w:rsid w:val="00660E2D"/>
    <w:rsid w:val="00663A99"/>
    <w:rsid w:val="006645A0"/>
    <w:rsid w:val="00665BF2"/>
    <w:rsid w:val="00666E01"/>
    <w:rsid w:val="00667FFD"/>
    <w:rsid w:val="00671707"/>
    <w:rsid w:val="006717DE"/>
    <w:rsid w:val="006723FC"/>
    <w:rsid w:val="00672D86"/>
    <w:rsid w:val="00680897"/>
    <w:rsid w:val="00684710"/>
    <w:rsid w:val="00684F2C"/>
    <w:rsid w:val="00685EE7"/>
    <w:rsid w:val="006862F7"/>
    <w:rsid w:val="00687A2E"/>
    <w:rsid w:val="006909E3"/>
    <w:rsid w:val="006917B4"/>
    <w:rsid w:val="00691D30"/>
    <w:rsid w:val="00692019"/>
    <w:rsid w:val="00692DCD"/>
    <w:rsid w:val="00693B89"/>
    <w:rsid w:val="00693D40"/>
    <w:rsid w:val="00695DD3"/>
    <w:rsid w:val="006972C0"/>
    <w:rsid w:val="00697CCA"/>
    <w:rsid w:val="006A2397"/>
    <w:rsid w:val="006A33D8"/>
    <w:rsid w:val="006A452E"/>
    <w:rsid w:val="006A4AC6"/>
    <w:rsid w:val="006B06AB"/>
    <w:rsid w:val="006B3EFE"/>
    <w:rsid w:val="006B6A51"/>
    <w:rsid w:val="006C248E"/>
    <w:rsid w:val="006C2FDA"/>
    <w:rsid w:val="006C37A6"/>
    <w:rsid w:val="006C4D83"/>
    <w:rsid w:val="006C529E"/>
    <w:rsid w:val="006C7C66"/>
    <w:rsid w:val="006D0B64"/>
    <w:rsid w:val="006D147A"/>
    <w:rsid w:val="006D2847"/>
    <w:rsid w:val="006D4990"/>
    <w:rsid w:val="006D4FB6"/>
    <w:rsid w:val="006D6EF9"/>
    <w:rsid w:val="006D6F79"/>
    <w:rsid w:val="006D7C01"/>
    <w:rsid w:val="006E2E7D"/>
    <w:rsid w:val="006E52ED"/>
    <w:rsid w:val="006E5B06"/>
    <w:rsid w:val="006E7B11"/>
    <w:rsid w:val="006F043E"/>
    <w:rsid w:val="006F32D5"/>
    <w:rsid w:val="006F6319"/>
    <w:rsid w:val="00702F7F"/>
    <w:rsid w:val="0070472F"/>
    <w:rsid w:val="00704DE4"/>
    <w:rsid w:val="00705683"/>
    <w:rsid w:val="00705C5A"/>
    <w:rsid w:val="007066D4"/>
    <w:rsid w:val="00707645"/>
    <w:rsid w:val="00711F93"/>
    <w:rsid w:val="00712E09"/>
    <w:rsid w:val="00713D34"/>
    <w:rsid w:val="00715138"/>
    <w:rsid w:val="00715E46"/>
    <w:rsid w:val="00716D78"/>
    <w:rsid w:val="00717E00"/>
    <w:rsid w:val="00721D4C"/>
    <w:rsid w:val="00723BF8"/>
    <w:rsid w:val="00725D3A"/>
    <w:rsid w:val="00726660"/>
    <w:rsid w:val="00727A08"/>
    <w:rsid w:val="00730045"/>
    <w:rsid w:val="0073128F"/>
    <w:rsid w:val="0073139F"/>
    <w:rsid w:val="00733A13"/>
    <w:rsid w:val="00734E11"/>
    <w:rsid w:val="007353F2"/>
    <w:rsid w:val="0073598C"/>
    <w:rsid w:val="007365E6"/>
    <w:rsid w:val="00736F4E"/>
    <w:rsid w:val="00740157"/>
    <w:rsid w:val="00740C88"/>
    <w:rsid w:val="007419B4"/>
    <w:rsid w:val="007444FF"/>
    <w:rsid w:val="007445EC"/>
    <w:rsid w:val="00744852"/>
    <w:rsid w:val="0074669B"/>
    <w:rsid w:val="007478EE"/>
    <w:rsid w:val="007500AD"/>
    <w:rsid w:val="00752D7E"/>
    <w:rsid w:val="007537B2"/>
    <w:rsid w:val="00754749"/>
    <w:rsid w:val="0075550E"/>
    <w:rsid w:val="00757A82"/>
    <w:rsid w:val="0076036E"/>
    <w:rsid w:val="0076486F"/>
    <w:rsid w:val="00764D88"/>
    <w:rsid w:val="007654B0"/>
    <w:rsid w:val="00766666"/>
    <w:rsid w:val="00767614"/>
    <w:rsid w:val="00770376"/>
    <w:rsid w:val="00773FB7"/>
    <w:rsid w:val="007749BA"/>
    <w:rsid w:val="007779E5"/>
    <w:rsid w:val="00780C66"/>
    <w:rsid w:val="0078160D"/>
    <w:rsid w:val="00782A4C"/>
    <w:rsid w:val="00782ECA"/>
    <w:rsid w:val="00783564"/>
    <w:rsid w:val="007849A9"/>
    <w:rsid w:val="00786407"/>
    <w:rsid w:val="00787005"/>
    <w:rsid w:val="007901F1"/>
    <w:rsid w:val="007908E0"/>
    <w:rsid w:val="00790B59"/>
    <w:rsid w:val="00793E7D"/>
    <w:rsid w:val="0079480A"/>
    <w:rsid w:val="007957AA"/>
    <w:rsid w:val="007A0AC8"/>
    <w:rsid w:val="007A0EDC"/>
    <w:rsid w:val="007A151D"/>
    <w:rsid w:val="007A344B"/>
    <w:rsid w:val="007A4403"/>
    <w:rsid w:val="007A59B1"/>
    <w:rsid w:val="007A6211"/>
    <w:rsid w:val="007B2063"/>
    <w:rsid w:val="007B5D76"/>
    <w:rsid w:val="007C0376"/>
    <w:rsid w:val="007C0B1C"/>
    <w:rsid w:val="007C0BD9"/>
    <w:rsid w:val="007C1F74"/>
    <w:rsid w:val="007C6041"/>
    <w:rsid w:val="007D107B"/>
    <w:rsid w:val="007E07BD"/>
    <w:rsid w:val="007E1923"/>
    <w:rsid w:val="007E2A90"/>
    <w:rsid w:val="007E3F05"/>
    <w:rsid w:val="007E4D47"/>
    <w:rsid w:val="007E74E6"/>
    <w:rsid w:val="007F13F5"/>
    <w:rsid w:val="007F1405"/>
    <w:rsid w:val="007F1B25"/>
    <w:rsid w:val="007F3D4E"/>
    <w:rsid w:val="007F5963"/>
    <w:rsid w:val="007F5E9E"/>
    <w:rsid w:val="007F6769"/>
    <w:rsid w:val="007F7220"/>
    <w:rsid w:val="007F796D"/>
    <w:rsid w:val="008018F1"/>
    <w:rsid w:val="008036D2"/>
    <w:rsid w:val="00804BFD"/>
    <w:rsid w:val="00806637"/>
    <w:rsid w:val="00807433"/>
    <w:rsid w:val="00807898"/>
    <w:rsid w:val="008103A2"/>
    <w:rsid w:val="00810DCC"/>
    <w:rsid w:val="008130BF"/>
    <w:rsid w:val="008132F8"/>
    <w:rsid w:val="00813E11"/>
    <w:rsid w:val="0081513D"/>
    <w:rsid w:val="00816C81"/>
    <w:rsid w:val="00823060"/>
    <w:rsid w:val="00825278"/>
    <w:rsid w:val="008262A7"/>
    <w:rsid w:val="00826679"/>
    <w:rsid w:val="00826840"/>
    <w:rsid w:val="0083010B"/>
    <w:rsid w:val="00830B30"/>
    <w:rsid w:val="008336F0"/>
    <w:rsid w:val="00836697"/>
    <w:rsid w:val="008376BE"/>
    <w:rsid w:val="008376D9"/>
    <w:rsid w:val="0084587F"/>
    <w:rsid w:val="00845F59"/>
    <w:rsid w:val="0084622B"/>
    <w:rsid w:val="008464C2"/>
    <w:rsid w:val="008465DD"/>
    <w:rsid w:val="008510D0"/>
    <w:rsid w:val="0085282A"/>
    <w:rsid w:val="00852BD7"/>
    <w:rsid w:val="00855970"/>
    <w:rsid w:val="00855AB6"/>
    <w:rsid w:val="008568F3"/>
    <w:rsid w:val="008612F0"/>
    <w:rsid w:val="008655B3"/>
    <w:rsid w:val="00865C49"/>
    <w:rsid w:val="0086788C"/>
    <w:rsid w:val="00871AEE"/>
    <w:rsid w:val="0087309C"/>
    <w:rsid w:val="00874038"/>
    <w:rsid w:val="008752D4"/>
    <w:rsid w:val="00876E2F"/>
    <w:rsid w:val="00880C6C"/>
    <w:rsid w:val="00881AAB"/>
    <w:rsid w:val="008822FD"/>
    <w:rsid w:val="00882C5F"/>
    <w:rsid w:val="008867D3"/>
    <w:rsid w:val="008874FE"/>
    <w:rsid w:val="0089028E"/>
    <w:rsid w:val="008926C7"/>
    <w:rsid w:val="0089644E"/>
    <w:rsid w:val="008A16A0"/>
    <w:rsid w:val="008A1AED"/>
    <w:rsid w:val="008A4232"/>
    <w:rsid w:val="008B173A"/>
    <w:rsid w:val="008B18E6"/>
    <w:rsid w:val="008B386F"/>
    <w:rsid w:val="008B4E02"/>
    <w:rsid w:val="008B66D6"/>
    <w:rsid w:val="008C06FB"/>
    <w:rsid w:val="008C471C"/>
    <w:rsid w:val="008C7D3B"/>
    <w:rsid w:val="008D07E1"/>
    <w:rsid w:val="008D19B1"/>
    <w:rsid w:val="008D26E3"/>
    <w:rsid w:val="008D2842"/>
    <w:rsid w:val="008D3131"/>
    <w:rsid w:val="008D610B"/>
    <w:rsid w:val="008E1C4A"/>
    <w:rsid w:val="008E23AF"/>
    <w:rsid w:val="008E3106"/>
    <w:rsid w:val="008E43A4"/>
    <w:rsid w:val="008E51B8"/>
    <w:rsid w:val="008E5F43"/>
    <w:rsid w:val="008F0410"/>
    <w:rsid w:val="008F10B7"/>
    <w:rsid w:val="008F1503"/>
    <w:rsid w:val="008F335C"/>
    <w:rsid w:val="008F34DB"/>
    <w:rsid w:val="008F4671"/>
    <w:rsid w:val="008F6D04"/>
    <w:rsid w:val="008F7034"/>
    <w:rsid w:val="008F77F0"/>
    <w:rsid w:val="008F787C"/>
    <w:rsid w:val="00901450"/>
    <w:rsid w:val="009027F2"/>
    <w:rsid w:val="00902B7E"/>
    <w:rsid w:val="009030F1"/>
    <w:rsid w:val="00904CA5"/>
    <w:rsid w:val="00905969"/>
    <w:rsid w:val="009068BD"/>
    <w:rsid w:val="0091091A"/>
    <w:rsid w:val="00917186"/>
    <w:rsid w:val="00921161"/>
    <w:rsid w:val="00922946"/>
    <w:rsid w:val="00931ED7"/>
    <w:rsid w:val="00932332"/>
    <w:rsid w:val="009331DE"/>
    <w:rsid w:val="009332C9"/>
    <w:rsid w:val="0093412A"/>
    <w:rsid w:val="00937755"/>
    <w:rsid w:val="0094088D"/>
    <w:rsid w:val="00941835"/>
    <w:rsid w:val="00947A96"/>
    <w:rsid w:val="009509C2"/>
    <w:rsid w:val="0095453D"/>
    <w:rsid w:val="00954BAE"/>
    <w:rsid w:val="00955589"/>
    <w:rsid w:val="009569C5"/>
    <w:rsid w:val="009631A8"/>
    <w:rsid w:val="00963E3F"/>
    <w:rsid w:val="00964186"/>
    <w:rsid w:val="00964E6C"/>
    <w:rsid w:val="00964FC9"/>
    <w:rsid w:val="00965AC6"/>
    <w:rsid w:val="009715EA"/>
    <w:rsid w:val="00971E4F"/>
    <w:rsid w:val="009725BB"/>
    <w:rsid w:val="0097407B"/>
    <w:rsid w:val="00977FB4"/>
    <w:rsid w:val="00980DF1"/>
    <w:rsid w:val="009816C6"/>
    <w:rsid w:val="009822EC"/>
    <w:rsid w:val="0098404F"/>
    <w:rsid w:val="0098719E"/>
    <w:rsid w:val="009875E6"/>
    <w:rsid w:val="00987F3A"/>
    <w:rsid w:val="00990BB5"/>
    <w:rsid w:val="009926FA"/>
    <w:rsid w:val="009930BF"/>
    <w:rsid w:val="009959F9"/>
    <w:rsid w:val="00995A75"/>
    <w:rsid w:val="00996064"/>
    <w:rsid w:val="009A0374"/>
    <w:rsid w:val="009A13E4"/>
    <w:rsid w:val="009A2DEE"/>
    <w:rsid w:val="009B053A"/>
    <w:rsid w:val="009B16AA"/>
    <w:rsid w:val="009B3833"/>
    <w:rsid w:val="009B489F"/>
    <w:rsid w:val="009B50A8"/>
    <w:rsid w:val="009B54BB"/>
    <w:rsid w:val="009B5F39"/>
    <w:rsid w:val="009B66F2"/>
    <w:rsid w:val="009B76A3"/>
    <w:rsid w:val="009C0733"/>
    <w:rsid w:val="009C2002"/>
    <w:rsid w:val="009C26AB"/>
    <w:rsid w:val="009C6C38"/>
    <w:rsid w:val="009D004F"/>
    <w:rsid w:val="009D1229"/>
    <w:rsid w:val="009D19EA"/>
    <w:rsid w:val="009D220C"/>
    <w:rsid w:val="009D44C9"/>
    <w:rsid w:val="009D55F2"/>
    <w:rsid w:val="009E6E2B"/>
    <w:rsid w:val="009F0DC4"/>
    <w:rsid w:val="009F2E61"/>
    <w:rsid w:val="009F3466"/>
    <w:rsid w:val="00A00267"/>
    <w:rsid w:val="00A011BD"/>
    <w:rsid w:val="00A04B15"/>
    <w:rsid w:val="00A05156"/>
    <w:rsid w:val="00A104E7"/>
    <w:rsid w:val="00A12077"/>
    <w:rsid w:val="00A12154"/>
    <w:rsid w:val="00A124FE"/>
    <w:rsid w:val="00A12626"/>
    <w:rsid w:val="00A16414"/>
    <w:rsid w:val="00A16A1E"/>
    <w:rsid w:val="00A16DAA"/>
    <w:rsid w:val="00A2023B"/>
    <w:rsid w:val="00A21C67"/>
    <w:rsid w:val="00A23326"/>
    <w:rsid w:val="00A23669"/>
    <w:rsid w:val="00A23CBE"/>
    <w:rsid w:val="00A24E62"/>
    <w:rsid w:val="00A301CC"/>
    <w:rsid w:val="00A31349"/>
    <w:rsid w:val="00A33093"/>
    <w:rsid w:val="00A33A99"/>
    <w:rsid w:val="00A3476F"/>
    <w:rsid w:val="00A37F9D"/>
    <w:rsid w:val="00A40028"/>
    <w:rsid w:val="00A449BF"/>
    <w:rsid w:val="00A451AB"/>
    <w:rsid w:val="00A53E4D"/>
    <w:rsid w:val="00A54DCC"/>
    <w:rsid w:val="00A566FA"/>
    <w:rsid w:val="00A65BED"/>
    <w:rsid w:val="00A65C09"/>
    <w:rsid w:val="00A703F2"/>
    <w:rsid w:val="00A713C1"/>
    <w:rsid w:val="00A71555"/>
    <w:rsid w:val="00A71A91"/>
    <w:rsid w:val="00A72926"/>
    <w:rsid w:val="00A74963"/>
    <w:rsid w:val="00A7531F"/>
    <w:rsid w:val="00A76E5F"/>
    <w:rsid w:val="00A82116"/>
    <w:rsid w:val="00A82691"/>
    <w:rsid w:val="00A83C0C"/>
    <w:rsid w:val="00A83D41"/>
    <w:rsid w:val="00A86AEA"/>
    <w:rsid w:val="00A903EA"/>
    <w:rsid w:val="00A918BF"/>
    <w:rsid w:val="00A931A9"/>
    <w:rsid w:val="00A94212"/>
    <w:rsid w:val="00A94987"/>
    <w:rsid w:val="00A949CA"/>
    <w:rsid w:val="00A94BAF"/>
    <w:rsid w:val="00A96C60"/>
    <w:rsid w:val="00A97347"/>
    <w:rsid w:val="00A97F86"/>
    <w:rsid w:val="00AA47A7"/>
    <w:rsid w:val="00AA48A7"/>
    <w:rsid w:val="00AA5165"/>
    <w:rsid w:val="00AA5D16"/>
    <w:rsid w:val="00AA64ED"/>
    <w:rsid w:val="00AA67C2"/>
    <w:rsid w:val="00AA6F01"/>
    <w:rsid w:val="00AA7DF3"/>
    <w:rsid w:val="00AB09E8"/>
    <w:rsid w:val="00AB2698"/>
    <w:rsid w:val="00AB4756"/>
    <w:rsid w:val="00AB4B4C"/>
    <w:rsid w:val="00AB5240"/>
    <w:rsid w:val="00AB5C1F"/>
    <w:rsid w:val="00AB6BF8"/>
    <w:rsid w:val="00AB7032"/>
    <w:rsid w:val="00AC3BB7"/>
    <w:rsid w:val="00AC47DE"/>
    <w:rsid w:val="00AC4959"/>
    <w:rsid w:val="00AD2DE5"/>
    <w:rsid w:val="00AD4979"/>
    <w:rsid w:val="00AE072E"/>
    <w:rsid w:val="00AE0AC9"/>
    <w:rsid w:val="00AE1CCD"/>
    <w:rsid w:val="00AE40AE"/>
    <w:rsid w:val="00AE6552"/>
    <w:rsid w:val="00AE68EF"/>
    <w:rsid w:val="00AE6934"/>
    <w:rsid w:val="00AF201B"/>
    <w:rsid w:val="00AF338E"/>
    <w:rsid w:val="00AF43E6"/>
    <w:rsid w:val="00AF5A3D"/>
    <w:rsid w:val="00AF61D0"/>
    <w:rsid w:val="00B001A3"/>
    <w:rsid w:val="00B01D27"/>
    <w:rsid w:val="00B01FA4"/>
    <w:rsid w:val="00B05B53"/>
    <w:rsid w:val="00B07331"/>
    <w:rsid w:val="00B10BA6"/>
    <w:rsid w:val="00B10DD1"/>
    <w:rsid w:val="00B11D7E"/>
    <w:rsid w:val="00B120D3"/>
    <w:rsid w:val="00B12157"/>
    <w:rsid w:val="00B13AA4"/>
    <w:rsid w:val="00B1681D"/>
    <w:rsid w:val="00B17255"/>
    <w:rsid w:val="00B176F7"/>
    <w:rsid w:val="00B276CB"/>
    <w:rsid w:val="00B31D89"/>
    <w:rsid w:val="00B31DE6"/>
    <w:rsid w:val="00B31F9F"/>
    <w:rsid w:val="00B321E2"/>
    <w:rsid w:val="00B324CA"/>
    <w:rsid w:val="00B33652"/>
    <w:rsid w:val="00B36E01"/>
    <w:rsid w:val="00B36EDA"/>
    <w:rsid w:val="00B41475"/>
    <w:rsid w:val="00B421FF"/>
    <w:rsid w:val="00B42DE0"/>
    <w:rsid w:val="00B46412"/>
    <w:rsid w:val="00B4657E"/>
    <w:rsid w:val="00B466D8"/>
    <w:rsid w:val="00B46CC0"/>
    <w:rsid w:val="00B4754D"/>
    <w:rsid w:val="00B52BDF"/>
    <w:rsid w:val="00B539E0"/>
    <w:rsid w:val="00B60265"/>
    <w:rsid w:val="00B60BE2"/>
    <w:rsid w:val="00B61916"/>
    <w:rsid w:val="00B632D9"/>
    <w:rsid w:val="00B6417D"/>
    <w:rsid w:val="00B64CAC"/>
    <w:rsid w:val="00B65041"/>
    <w:rsid w:val="00B654D0"/>
    <w:rsid w:val="00B654FD"/>
    <w:rsid w:val="00B6710C"/>
    <w:rsid w:val="00B6727F"/>
    <w:rsid w:val="00B705C5"/>
    <w:rsid w:val="00B709B8"/>
    <w:rsid w:val="00B728A4"/>
    <w:rsid w:val="00B743CF"/>
    <w:rsid w:val="00B776CB"/>
    <w:rsid w:val="00B83471"/>
    <w:rsid w:val="00B85BFF"/>
    <w:rsid w:val="00B860BB"/>
    <w:rsid w:val="00B86658"/>
    <w:rsid w:val="00B87604"/>
    <w:rsid w:val="00B90E4E"/>
    <w:rsid w:val="00B91051"/>
    <w:rsid w:val="00B911D4"/>
    <w:rsid w:val="00B923D0"/>
    <w:rsid w:val="00B92CB8"/>
    <w:rsid w:val="00B92F37"/>
    <w:rsid w:val="00B96CB2"/>
    <w:rsid w:val="00B97393"/>
    <w:rsid w:val="00BA0E91"/>
    <w:rsid w:val="00BA113C"/>
    <w:rsid w:val="00BA1369"/>
    <w:rsid w:val="00BA3C1E"/>
    <w:rsid w:val="00BA508D"/>
    <w:rsid w:val="00BA5944"/>
    <w:rsid w:val="00BB16BB"/>
    <w:rsid w:val="00BB2541"/>
    <w:rsid w:val="00BB4C7C"/>
    <w:rsid w:val="00BB508E"/>
    <w:rsid w:val="00BB7472"/>
    <w:rsid w:val="00BC1DD1"/>
    <w:rsid w:val="00BC2021"/>
    <w:rsid w:val="00BC4680"/>
    <w:rsid w:val="00BC647E"/>
    <w:rsid w:val="00BD0BF8"/>
    <w:rsid w:val="00BD0FFA"/>
    <w:rsid w:val="00BD2AAA"/>
    <w:rsid w:val="00BD32FD"/>
    <w:rsid w:val="00BD7413"/>
    <w:rsid w:val="00BE017F"/>
    <w:rsid w:val="00BE2839"/>
    <w:rsid w:val="00BE30FF"/>
    <w:rsid w:val="00BE3F93"/>
    <w:rsid w:val="00BE5631"/>
    <w:rsid w:val="00BE5BA5"/>
    <w:rsid w:val="00BE6A0D"/>
    <w:rsid w:val="00BE7101"/>
    <w:rsid w:val="00BF10F8"/>
    <w:rsid w:val="00BF118F"/>
    <w:rsid w:val="00BF2DCB"/>
    <w:rsid w:val="00BF3270"/>
    <w:rsid w:val="00BF5CA5"/>
    <w:rsid w:val="00BF7C03"/>
    <w:rsid w:val="00C01195"/>
    <w:rsid w:val="00C01F91"/>
    <w:rsid w:val="00C03B8F"/>
    <w:rsid w:val="00C05E4F"/>
    <w:rsid w:val="00C10500"/>
    <w:rsid w:val="00C12D2E"/>
    <w:rsid w:val="00C13676"/>
    <w:rsid w:val="00C1388A"/>
    <w:rsid w:val="00C15BD3"/>
    <w:rsid w:val="00C168AB"/>
    <w:rsid w:val="00C216E6"/>
    <w:rsid w:val="00C216F0"/>
    <w:rsid w:val="00C22FB8"/>
    <w:rsid w:val="00C2327C"/>
    <w:rsid w:val="00C24BFA"/>
    <w:rsid w:val="00C252D2"/>
    <w:rsid w:val="00C25361"/>
    <w:rsid w:val="00C25C1F"/>
    <w:rsid w:val="00C25C8D"/>
    <w:rsid w:val="00C323C9"/>
    <w:rsid w:val="00C32962"/>
    <w:rsid w:val="00C32F35"/>
    <w:rsid w:val="00C34B77"/>
    <w:rsid w:val="00C34E81"/>
    <w:rsid w:val="00C36F9E"/>
    <w:rsid w:val="00C41615"/>
    <w:rsid w:val="00C44A0F"/>
    <w:rsid w:val="00C51D63"/>
    <w:rsid w:val="00C52665"/>
    <w:rsid w:val="00C53041"/>
    <w:rsid w:val="00C54125"/>
    <w:rsid w:val="00C560B2"/>
    <w:rsid w:val="00C565B4"/>
    <w:rsid w:val="00C57017"/>
    <w:rsid w:val="00C61756"/>
    <w:rsid w:val="00C65B3D"/>
    <w:rsid w:val="00C66FB6"/>
    <w:rsid w:val="00C67758"/>
    <w:rsid w:val="00C74EBB"/>
    <w:rsid w:val="00C74FC1"/>
    <w:rsid w:val="00C7742B"/>
    <w:rsid w:val="00C81CA8"/>
    <w:rsid w:val="00C86776"/>
    <w:rsid w:val="00C868D4"/>
    <w:rsid w:val="00C876E7"/>
    <w:rsid w:val="00C90EA7"/>
    <w:rsid w:val="00C926CF"/>
    <w:rsid w:val="00C92913"/>
    <w:rsid w:val="00C95DC1"/>
    <w:rsid w:val="00C96E0D"/>
    <w:rsid w:val="00CA1000"/>
    <w:rsid w:val="00CA1108"/>
    <w:rsid w:val="00CA223B"/>
    <w:rsid w:val="00CA3661"/>
    <w:rsid w:val="00CA4ACF"/>
    <w:rsid w:val="00CA5EEE"/>
    <w:rsid w:val="00CA6019"/>
    <w:rsid w:val="00CA6166"/>
    <w:rsid w:val="00CB246A"/>
    <w:rsid w:val="00CB2AD2"/>
    <w:rsid w:val="00CB3AE0"/>
    <w:rsid w:val="00CB7DC9"/>
    <w:rsid w:val="00CC5EEB"/>
    <w:rsid w:val="00CC61B3"/>
    <w:rsid w:val="00CC6778"/>
    <w:rsid w:val="00CC6D9B"/>
    <w:rsid w:val="00CC761C"/>
    <w:rsid w:val="00CC7755"/>
    <w:rsid w:val="00CC7B58"/>
    <w:rsid w:val="00CD0176"/>
    <w:rsid w:val="00CD1692"/>
    <w:rsid w:val="00CD4E68"/>
    <w:rsid w:val="00CD7781"/>
    <w:rsid w:val="00CD7AB8"/>
    <w:rsid w:val="00CE012B"/>
    <w:rsid w:val="00CE166B"/>
    <w:rsid w:val="00CE2ED6"/>
    <w:rsid w:val="00CE4249"/>
    <w:rsid w:val="00CE48AB"/>
    <w:rsid w:val="00CE5972"/>
    <w:rsid w:val="00CE60E2"/>
    <w:rsid w:val="00CF25ED"/>
    <w:rsid w:val="00CF5698"/>
    <w:rsid w:val="00CF660D"/>
    <w:rsid w:val="00CF68EB"/>
    <w:rsid w:val="00CF7753"/>
    <w:rsid w:val="00D079BD"/>
    <w:rsid w:val="00D11EC1"/>
    <w:rsid w:val="00D11F0B"/>
    <w:rsid w:val="00D11F52"/>
    <w:rsid w:val="00D12FCF"/>
    <w:rsid w:val="00D13E9A"/>
    <w:rsid w:val="00D13F8D"/>
    <w:rsid w:val="00D15A62"/>
    <w:rsid w:val="00D20F4E"/>
    <w:rsid w:val="00D2296D"/>
    <w:rsid w:val="00D23F6B"/>
    <w:rsid w:val="00D2413E"/>
    <w:rsid w:val="00D249B3"/>
    <w:rsid w:val="00D26362"/>
    <w:rsid w:val="00D27103"/>
    <w:rsid w:val="00D27118"/>
    <w:rsid w:val="00D30873"/>
    <w:rsid w:val="00D31DFE"/>
    <w:rsid w:val="00D33963"/>
    <w:rsid w:val="00D33B3F"/>
    <w:rsid w:val="00D42BA7"/>
    <w:rsid w:val="00D43382"/>
    <w:rsid w:val="00D45278"/>
    <w:rsid w:val="00D45E00"/>
    <w:rsid w:val="00D500FB"/>
    <w:rsid w:val="00D50B89"/>
    <w:rsid w:val="00D51154"/>
    <w:rsid w:val="00D51CD4"/>
    <w:rsid w:val="00D52B67"/>
    <w:rsid w:val="00D53640"/>
    <w:rsid w:val="00D55326"/>
    <w:rsid w:val="00D55614"/>
    <w:rsid w:val="00D62377"/>
    <w:rsid w:val="00D636E7"/>
    <w:rsid w:val="00D6408A"/>
    <w:rsid w:val="00D67D97"/>
    <w:rsid w:val="00D72F78"/>
    <w:rsid w:val="00D73605"/>
    <w:rsid w:val="00D73A24"/>
    <w:rsid w:val="00D765E8"/>
    <w:rsid w:val="00D81540"/>
    <w:rsid w:val="00D819E5"/>
    <w:rsid w:val="00D81FC1"/>
    <w:rsid w:val="00D83D63"/>
    <w:rsid w:val="00D90591"/>
    <w:rsid w:val="00D91356"/>
    <w:rsid w:val="00D93687"/>
    <w:rsid w:val="00D9418C"/>
    <w:rsid w:val="00D948FD"/>
    <w:rsid w:val="00D95160"/>
    <w:rsid w:val="00D9619B"/>
    <w:rsid w:val="00D977CA"/>
    <w:rsid w:val="00DA07C5"/>
    <w:rsid w:val="00DA75BE"/>
    <w:rsid w:val="00DB1FF9"/>
    <w:rsid w:val="00DB2046"/>
    <w:rsid w:val="00DB2800"/>
    <w:rsid w:val="00DB2DAA"/>
    <w:rsid w:val="00DB2E1B"/>
    <w:rsid w:val="00DB5303"/>
    <w:rsid w:val="00DB5780"/>
    <w:rsid w:val="00DB59D0"/>
    <w:rsid w:val="00DC00C0"/>
    <w:rsid w:val="00DC061F"/>
    <w:rsid w:val="00DC0E74"/>
    <w:rsid w:val="00DC1C7B"/>
    <w:rsid w:val="00DC3982"/>
    <w:rsid w:val="00DC3B6F"/>
    <w:rsid w:val="00DC5123"/>
    <w:rsid w:val="00DC5AE0"/>
    <w:rsid w:val="00DD00C6"/>
    <w:rsid w:val="00DD02F1"/>
    <w:rsid w:val="00DD14D9"/>
    <w:rsid w:val="00DD2EA6"/>
    <w:rsid w:val="00DD4D1B"/>
    <w:rsid w:val="00DD7A3F"/>
    <w:rsid w:val="00DD7DBF"/>
    <w:rsid w:val="00DE0904"/>
    <w:rsid w:val="00DE1A9C"/>
    <w:rsid w:val="00DE203D"/>
    <w:rsid w:val="00DE43C5"/>
    <w:rsid w:val="00DE488E"/>
    <w:rsid w:val="00DE4988"/>
    <w:rsid w:val="00DF1AFF"/>
    <w:rsid w:val="00DF2C23"/>
    <w:rsid w:val="00DF494C"/>
    <w:rsid w:val="00DF4972"/>
    <w:rsid w:val="00DF5EF8"/>
    <w:rsid w:val="00DF6723"/>
    <w:rsid w:val="00DF6858"/>
    <w:rsid w:val="00E05D81"/>
    <w:rsid w:val="00E05D95"/>
    <w:rsid w:val="00E06029"/>
    <w:rsid w:val="00E06685"/>
    <w:rsid w:val="00E10A44"/>
    <w:rsid w:val="00E10B6D"/>
    <w:rsid w:val="00E110A7"/>
    <w:rsid w:val="00E12496"/>
    <w:rsid w:val="00E13181"/>
    <w:rsid w:val="00E15E18"/>
    <w:rsid w:val="00E17232"/>
    <w:rsid w:val="00E17DAF"/>
    <w:rsid w:val="00E20859"/>
    <w:rsid w:val="00E225A7"/>
    <w:rsid w:val="00E240BF"/>
    <w:rsid w:val="00E270C0"/>
    <w:rsid w:val="00E315E8"/>
    <w:rsid w:val="00E325AC"/>
    <w:rsid w:val="00E3340F"/>
    <w:rsid w:val="00E41453"/>
    <w:rsid w:val="00E426C2"/>
    <w:rsid w:val="00E43365"/>
    <w:rsid w:val="00E44318"/>
    <w:rsid w:val="00E5063D"/>
    <w:rsid w:val="00E506AA"/>
    <w:rsid w:val="00E522CD"/>
    <w:rsid w:val="00E54DAC"/>
    <w:rsid w:val="00E56858"/>
    <w:rsid w:val="00E574CD"/>
    <w:rsid w:val="00E62ABE"/>
    <w:rsid w:val="00E63739"/>
    <w:rsid w:val="00E653D3"/>
    <w:rsid w:val="00E659C2"/>
    <w:rsid w:val="00E6685B"/>
    <w:rsid w:val="00E66F63"/>
    <w:rsid w:val="00E67C1F"/>
    <w:rsid w:val="00E70D95"/>
    <w:rsid w:val="00E71505"/>
    <w:rsid w:val="00E71874"/>
    <w:rsid w:val="00E719DE"/>
    <w:rsid w:val="00E7290D"/>
    <w:rsid w:val="00E72D3C"/>
    <w:rsid w:val="00E738C9"/>
    <w:rsid w:val="00E765B5"/>
    <w:rsid w:val="00E802CA"/>
    <w:rsid w:val="00E82E13"/>
    <w:rsid w:val="00E85B81"/>
    <w:rsid w:val="00E913A9"/>
    <w:rsid w:val="00E91CF3"/>
    <w:rsid w:val="00E91FDA"/>
    <w:rsid w:val="00E94850"/>
    <w:rsid w:val="00E9485D"/>
    <w:rsid w:val="00E97EC5"/>
    <w:rsid w:val="00EA013F"/>
    <w:rsid w:val="00EA28AB"/>
    <w:rsid w:val="00EB00D0"/>
    <w:rsid w:val="00EB1DBC"/>
    <w:rsid w:val="00EB20F3"/>
    <w:rsid w:val="00EB3F11"/>
    <w:rsid w:val="00EB40A8"/>
    <w:rsid w:val="00EB4AA7"/>
    <w:rsid w:val="00EB6CB2"/>
    <w:rsid w:val="00EC0095"/>
    <w:rsid w:val="00EC03C8"/>
    <w:rsid w:val="00EC16E9"/>
    <w:rsid w:val="00EC1B67"/>
    <w:rsid w:val="00EC2AD0"/>
    <w:rsid w:val="00EC3AF1"/>
    <w:rsid w:val="00EC523C"/>
    <w:rsid w:val="00ED03ED"/>
    <w:rsid w:val="00ED15AA"/>
    <w:rsid w:val="00ED1879"/>
    <w:rsid w:val="00ED2670"/>
    <w:rsid w:val="00ED3BB2"/>
    <w:rsid w:val="00ED62C1"/>
    <w:rsid w:val="00ED6609"/>
    <w:rsid w:val="00EE1AEE"/>
    <w:rsid w:val="00EE3754"/>
    <w:rsid w:val="00EE4779"/>
    <w:rsid w:val="00EE556A"/>
    <w:rsid w:val="00EF6CCF"/>
    <w:rsid w:val="00F01C3F"/>
    <w:rsid w:val="00F01FD9"/>
    <w:rsid w:val="00F02055"/>
    <w:rsid w:val="00F02E6A"/>
    <w:rsid w:val="00F13B9B"/>
    <w:rsid w:val="00F14583"/>
    <w:rsid w:val="00F22C7E"/>
    <w:rsid w:val="00F230B2"/>
    <w:rsid w:val="00F26902"/>
    <w:rsid w:val="00F26CE1"/>
    <w:rsid w:val="00F27A85"/>
    <w:rsid w:val="00F34123"/>
    <w:rsid w:val="00F43803"/>
    <w:rsid w:val="00F439E0"/>
    <w:rsid w:val="00F445C1"/>
    <w:rsid w:val="00F50319"/>
    <w:rsid w:val="00F50B8A"/>
    <w:rsid w:val="00F5200A"/>
    <w:rsid w:val="00F523FD"/>
    <w:rsid w:val="00F53E23"/>
    <w:rsid w:val="00F557F8"/>
    <w:rsid w:val="00F57998"/>
    <w:rsid w:val="00F60CC6"/>
    <w:rsid w:val="00F60FDB"/>
    <w:rsid w:val="00F62166"/>
    <w:rsid w:val="00F62205"/>
    <w:rsid w:val="00F62751"/>
    <w:rsid w:val="00F66096"/>
    <w:rsid w:val="00F66283"/>
    <w:rsid w:val="00F66B8B"/>
    <w:rsid w:val="00F66BE2"/>
    <w:rsid w:val="00F67E73"/>
    <w:rsid w:val="00F7069F"/>
    <w:rsid w:val="00F71999"/>
    <w:rsid w:val="00F72BED"/>
    <w:rsid w:val="00F753CE"/>
    <w:rsid w:val="00F75853"/>
    <w:rsid w:val="00F77321"/>
    <w:rsid w:val="00F773E5"/>
    <w:rsid w:val="00F779DA"/>
    <w:rsid w:val="00F81DA1"/>
    <w:rsid w:val="00F82229"/>
    <w:rsid w:val="00F848D5"/>
    <w:rsid w:val="00F86EC6"/>
    <w:rsid w:val="00F9156D"/>
    <w:rsid w:val="00F934DD"/>
    <w:rsid w:val="00FA09BF"/>
    <w:rsid w:val="00FA32F6"/>
    <w:rsid w:val="00FA3C8B"/>
    <w:rsid w:val="00FA4DEA"/>
    <w:rsid w:val="00FA5E32"/>
    <w:rsid w:val="00FA620C"/>
    <w:rsid w:val="00FA664A"/>
    <w:rsid w:val="00FA75E7"/>
    <w:rsid w:val="00FA7E8A"/>
    <w:rsid w:val="00FB630E"/>
    <w:rsid w:val="00FB66ED"/>
    <w:rsid w:val="00FC0AC3"/>
    <w:rsid w:val="00FC1A8F"/>
    <w:rsid w:val="00FC3469"/>
    <w:rsid w:val="00FC3D21"/>
    <w:rsid w:val="00FC48C4"/>
    <w:rsid w:val="00FC5ACD"/>
    <w:rsid w:val="00FC63F4"/>
    <w:rsid w:val="00FD3A44"/>
    <w:rsid w:val="00FD5ADB"/>
    <w:rsid w:val="00FD6A84"/>
    <w:rsid w:val="00FD7650"/>
    <w:rsid w:val="00FE2E23"/>
    <w:rsid w:val="00FE3B49"/>
    <w:rsid w:val="00FE443A"/>
    <w:rsid w:val="00FE51E6"/>
    <w:rsid w:val="00FF0717"/>
    <w:rsid w:val="00FF2D5F"/>
    <w:rsid w:val="00FF4A6C"/>
    <w:rsid w:val="00FF61CB"/>
    <w:rsid w:val="00FF7050"/>
    <w:rsid w:val="00FF7E0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7EA"/>
    <w:pPr>
      <w:ind w:left="720"/>
      <w:contextualSpacing/>
    </w:pPr>
  </w:style>
  <w:style w:type="paragraph" w:styleId="FootnoteText">
    <w:name w:val="footnote text"/>
    <w:basedOn w:val="Normal"/>
    <w:link w:val="FootnoteTextChar"/>
    <w:uiPriority w:val="99"/>
    <w:semiHidden/>
    <w:unhideWhenUsed/>
    <w:rsid w:val="00922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946"/>
    <w:rPr>
      <w:sz w:val="20"/>
      <w:szCs w:val="20"/>
    </w:rPr>
  </w:style>
  <w:style w:type="character" w:styleId="FootnoteReference">
    <w:name w:val="footnote reference"/>
    <w:basedOn w:val="DefaultParagraphFont"/>
    <w:uiPriority w:val="99"/>
    <w:semiHidden/>
    <w:unhideWhenUsed/>
    <w:rsid w:val="00922946"/>
    <w:rPr>
      <w:vertAlign w:val="superscript"/>
    </w:rPr>
  </w:style>
  <w:style w:type="paragraph" w:styleId="BalloonText">
    <w:name w:val="Balloon Text"/>
    <w:basedOn w:val="Normal"/>
    <w:link w:val="BalloonTextChar"/>
    <w:uiPriority w:val="99"/>
    <w:semiHidden/>
    <w:unhideWhenUsed/>
    <w:rsid w:val="00664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5A0"/>
    <w:rPr>
      <w:rFonts w:ascii="Tahoma" w:hAnsi="Tahoma" w:cs="Tahoma"/>
      <w:sz w:val="16"/>
      <w:szCs w:val="16"/>
    </w:rPr>
  </w:style>
  <w:style w:type="character" w:styleId="CommentReference">
    <w:name w:val="annotation reference"/>
    <w:basedOn w:val="DefaultParagraphFont"/>
    <w:uiPriority w:val="99"/>
    <w:semiHidden/>
    <w:unhideWhenUsed/>
    <w:rsid w:val="006645A0"/>
    <w:rPr>
      <w:sz w:val="16"/>
      <w:szCs w:val="16"/>
    </w:rPr>
  </w:style>
  <w:style w:type="paragraph" w:styleId="CommentText">
    <w:name w:val="annotation text"/>
    <w:basedOn w:val="Normal"/>
    <w:link w:val="CommentTextChar"/>
    <w:uiPriority w:val="99"/>
    <w:semiHidden/>
    <w:unhideWhenUsed/>
    <w:rsid w:val="006645A0"/>
    <w:pPr>
      <w:spacing w:line="240" w:lineRule="auto"/>
    </w:pPr>
    <w:rPr>
      <w:sz w:val="20"/>
      <w:szCs w:val="20"/>
    </w:rPr>
  </w:style>
  <w:style w:type="character" w:customStyle="1" w:styleId="CommentTextChar">
    <w:name w:val="Comment Text Char"/>
    <w:basedOn w:val="DefaultParagraphFont"/>
    <w:link w:val="CommentText"/>
    <w:uiPriority w:val="99"/>
    <w:semiHidden/>
    <w:rsid w:val="006645A0"/>
    <w:rPr>
      <w:sz w:val="20"/>
      <w:szCs w:val="20"/>
    </w:rPr>
  </w:style>
  <w:style w:type="paragraph" w:styleId="CommentSubject">
    <w:name w:val="annotation subject"/>
    <w:basedOn w:val="CommentText"/>
    <w:next w:val="CommentText"/>
    <w:link w:val="CommentSubjectChar"/>
    <w:uiPriority w:val="99"/>
    <w:semiHidden/>
    <w:unhideWhenUsed/>
    <w:rsid w:val="006645A0"/>
    <w:rPr>
      <w:b/>
      <w:bCs/>
    </w:rPr>
  </w:style>
  <w:style w:type="character" w:customStyle="1" w:styleId="CommentSubjectChar">
    <w:name w:val="Comment Subject Char"/>
    <w:basedOn w:val="CommentTextChar"/>
    <w:link w:val="CommentSubject"/>
    <w:uiPriority w:val="99"/>
    <w:semiHidden/>
    <w:rsid w:val="006645A0"/>
    <w:rPr>
      <w:b/>
      <w:bCs/>
      <w:sz w:val="20"/>
      <w:szCs w:val="20"/>
    </w:rPr>
  </w:style>
  <w:style w:type="paragraph" w:styleId="Caption">
    <w:name w:val="caption"/>
    <w:basedOn w:val="Normal"/>
    <w:next w:val="Normal"/>
    <w:uiPriority w:val="35"/>
    <w:semiHidden/>
    <w:unhideWhenUsed/>
    <w:qFormat/>
    <w:rsid w:val="00B6026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7EA"/>
    <w:pPr>
      <w:ind w:left="720"/>
      <w:contextualSpacing/>
    </w:pPr>
  </w:style>
  <w:style w:type="paragraph" w:styleId="FootnoteText">
    <w:name w:val="footnote text"/>
    <w:basedOn w:val="Normal"/>
    <w:link w:val="FootnoteTextChar"/>
    <w:uiPriority w:val="99"/>
    <w:semiHidden/>
    <w:unhideWhenUsed/>
    <w:rsid w:val="00922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946"/>
    <w:rPr>
      <w:sz w:val="20"/>
      <w:szCs w:val="20"/>
    </w:rPr>
  </w:style>
  <w:style w:type="character" w:styleId="FootnoteReference">
    <w:name w:val="footnote reference"/>
    <w:basedOn w:val="DefaultParagraphFont"/>
    <w:uiPriority w:val="99"/>
    <w:semiHidden/>
    <w:unhideWhenUsed/>
    <w:rsid w:val="00922946"/>
    <w:rPr>
      <w:vertAlign w:val="superscript"/>
    </w:rPr>
  </w:style>
</w:styles>
</file>

<file path=word/webSettings.xml><?xml version="1.0" encoding="utf-8"?>
<w:webSettings xmlns:r="http://schemas.openxmlformats.org/officeDocument/2006/relationships" xmlns:w="http://schemas.openxmlformats.org/wordprocessingml/2006/main">
  <w:divs>
    <w:div w:id="835531767">
      <w:bodyDiv w:val="1"/>
      <w:marLeft w:val="0"/>
      <w:marRight w:val="0"/>
      <w:marTop w:val="0"/>
      <w:marBottom w:val="0"/>
      <w:divBdr>
        <w:top w:val="none" w:sz="0" w:space="0" w:color="auto"/>
        <w:left w:val="none" w:sz="0" w:space="0" w:color="auto"/>
        <w:bottom w:val="none" w:sz="0" w:space="0" w:color="auto"/>
        <w:right w:val="none" w:sz="0" w:space="0" w:color="auto"/>
      </w:divBdr>
    </w:div>
    <w:div w:id="1160001256">
      <w:bodyDiv w:val="1"/>
      <w:marLeft w:val="0"/>
      <w:marRight w:val="0"/>
      <w:marTop w:val="0"/>
      <w:marBottom w:val="0"/>
      <w:divBdr>
        <w:top w:val="none" w:sz="0" w:space="0" w:color="auto"/>
        <w:left w:val="none" w:sz="0" w:space="0" w:color="auto"/>
        <w:bottom w:val="none" w:sz="0" w:space="0" w:color="auto"/>
        <w:right w:val="none" w:sz="0" w:space="0" w:color="auto"/>
      </w:divBdr>
    </w:div>
    <w:div w:id="167132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ERVER-01\DATA$\01%20newfiles\OEB\2018\Projection%20Err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CA"/>
              <a:t>EMBEDDED</a:t>
            </a:r>
            <a:r>
              <a:rPr lang="en-CA" baseline="0"/>
              <a:t> COST PER POLE</a:t>
            </a:r>
            <a:endParaRPr lang="en-CA"/>
          </a:p>
        </c:rich>
      </c:tx>
    </c:title>
    <c:plotArea>
      <c:layout/>
      <c:scatterChart>
        <c:scatterStyle val="lineMarker"/>
        <c:ser>
          <c:idx val="0"/>
          <c:order val="0"/>
          <c:tx>
            <c:strRef>
              <c:f>Sheet1!$B$1</c:f>
              <c:strCache>
                <c:ptCount val="1"/>
                <c:pt idx="0">
                  <c:v>Cost</c:v>
                </c:pt>
              </c:strCache>
            </c:strRef>
          </c:tx>
          <c:spPr>
            <a:ln w="28575">
              <a:noFill/>
            </a:ln>
          </c:spPr>
          <c:trendline>
            <c:trendlineType val="exp"/>
            <c:forward val="3"/>
            <c:dispRSqr val="1"/>
            <c:dispEq val="1"/>
            <c:trendlineLbl>
              <c:layout>
                <c:manualLayout>
                  <c:x val="0.27500118505253734"/>
                  <c:y val="-8.9883724211892849E-2"/>
                </c:manualLayout>
              </c:layout>
              <c:numFmt formatCode="General" sourceLinked="0"/>
            </c:trendlineLbl>
          </c:trendline>
          <c:xVal>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xVal>
          <c:yVal>
            <c:numRef>
              <c:f>Sheet1!$B$2:$B$12</c:f>
              <c:numCache>
                <c:formatCode>_("$"* #,##0.00_);_("$"* \(#,##0.00\);_("$"* "-"??_);_(@_)</c:formatCode>
                <c:ptCount val="11"/>
                <c:pt idx="0">
                  <c:v>1182.7</c:v>
                </c:pt>
                <c:pt idx="1">
                  <c:v>1211.74</c:v>
                </c:pt>
                <c:pt idx="2">
                  <c:v>1271.95</c:v>
                </c:pt>
                <c:pt idx="3">
                  <c:v>1356.02</c:v>
                </c:pt>
                <c:pt idx="4">
                  <c:v>1425.86</c:v>
                </c:pt>
                <c:pt idx="5">
                  <c:v>1481.52</c:v>
                </c:pt>
                <c:pt idx="6">
                  <c:v>1568.97</c:v>
                </c:pt>
                <c:pt idx="7">
                  <c:v>1592.92</c:v>
                </c:pt>
                <c:pt idx="8">
                  <c:v>1715.97</c:v>
                </c:pt>
                <c:pt idx="9">
                  <c:v>1814.1699999999998</c:v>
                </c:pt>
                <c:pt idx="10">
                  <c:v>1890.97</c:v>
                </c:pt>
              </c:numCache>
            </c:numRef>
          </c:yVal>
        </c:ser>
        <c:ser>
          <c:idx val="1"/>
          <c:order val="1"/>
          <c:tx>
            <c:strRef>
              <c:f>Sheet1!$C$1</c:f>
              <c:strCache>
                <c:ptCount val="1"/>
                <c:pt idx="0">
                  <c:v>6 Year Historical (2010-2015)</c:v>
                </c:pt>
              </c:strCache>
            </c:strRef>
          </c:tx>
          <c:spPr>
            <a:ln w="28575">
              <a:noFill/>
            </a:ln>
          </c:spPr>
          <c:xVal>
            <c:numRef>
              <c:f>Sheet1!$A$2:$A$15</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xVal>
          <c:yVal>
            <c:numRef>
              <c:f>Sheet1!$C$2:$C$15</c:f>
              <c:numCache>
                <c:formatCode>General</c:formatCode>
                <c:ptCount val="14"/>
                <c:pt idx="10" formatCode="_(&quot;$&quot;* #,##0.00_);_(&quot;$&quot;* \(#,##0.00\);_(&quot;$&quot;* &quot;-&quot;??_);_(@_)">
                  <c:v>1677.42</c:v>
                </c:pt>
                <c:pt idx="11" formatCode="_(&quot;$&quot;* #,##0.00_);_(&quot;$&quot;* \(#,##0.00\);_(&quot;$&quot;* &quot;-&quot;??_);_(@_)">
                  <c:v>1712.64582</c:v>
                </c:pt>
                <c:pt idx="12" formatCode="_(&quot;$&quot;* #,##0.00_);_(&quot;$&quot;* \(#,##0.00\);_(&quot;$&quot;* &quot;-&quot;??_);_(@_)">
                  <c:v>1745.1860905799988</c:v>
                </c:pt>
                <c:pt idx="13" formatCode="_(&quot;$&quot;* #,##0.00_);_(&quot;$&quot;* \(#,##0.00\);_(&quot;$&quot;* &quot;-&quot;??_);_(@_)">
                  <c:v>1766.1283236669597</c:v>
                </c:pt>
              </c:numCache>
            </c:numRef>
          </c:yVal>
        </c:ser>
        <c:ser>
          <c:idx val="2"/>
          <c:order val="2"/>
          <c:tx>
            <c:strRef>
              <c:f>Sheet1!$D$1</c:f>
              <c:strCache>
                <c:ptCount val="1"/>
                <c:pt idx="0">
                  <c:v>6 Year Historical (2005-2010)</c:v>
                </c:pt>
              </c:strCache>
            </c:strRef>
          </c:tx>
          <c:spPr>
            <a:ln w="28575">
              <a:noFill/>
            </a:ln>
          </c:spPr>
          <c:xVal>
            <c:numRef>
              <c:f>Sheet1!$A$7:$A$15</c:f>
              <c:numCache>
                <c:formatCode>General</c:formatCode>
                <c:ptCount val="9"/>
                <c:pt idx="0">
                  <c:v>2010</c:v>
                </c:pt>
                <c:pt idx="1">
                  <c:v>2011</c:v>
                </c:pt>
                <c:pt idx="2">
                  <c:v>2012</c:v>
                </c:pt>
                <c:pt idx="3">
                  <c:v>2013</c:v>
                </c:pt>
                <c:pt idx="4">
                  <c:v>2014</c:v>
                </c:pt>
                <c:pt idx="5">
                  <c:v>2015</c:v>
                </c:pt>
                <c:pt idx="6">
                  <c:v>2016</c:v>
                </c:pt>
                <c:pt idx="7">
                  <c:v>2017</c:v>
                </c:pt>
                <c:pt idx="8">
                  <c:v>2018</c:v>
                </c:pt>
              </c:numCache>
            </c:numRef>
          </c:xVal>
          <c:yVal>
            <c:numRef>
              <c:f>Sheet1!$D$7:$D$15</c:f>
              <c:numCache>
                <c:formatCode>_("$"* #,##0.00_);_("$"* \(#,##0.00\);_("$"* "-"??_);_(@_)</c:formatCode>
                <c:ptCount val="9"/>
                <c:pt idx="0">
                  <c:v>1321.6316666666664</c:v>
                </c:pt>
                <c:pt idx="1">
                  <c:v>1349.3859316666662</c:v>
                </c:pt>
                <c:pt idx="2">
                  <c:v>1375.0242643683328</c:v>
                </c:pt>
                <c:pt idx="3">
                  <c:v>1391.5245555407539</c:v>
                </c:pt>
                <c:pt idx="4">
                  <c:v>1415.6443145034575</c:v>
                </c:pt>
                <c:pt idx="5">
                  <c:v>1438.4519173482379</c:v>
                </c:pt>
                <c:pt idx="6">
                  <c:v>1460.2418000962159</c:v>
                </c:pt>
                <c:pt idx="7">
                  <c:v>1483.8941117224654</c:v>
                </c:pt>
                <c:pt idx="8">
                  <c:v>1507.3677288642805</c:v>
                </c:pt>
              </c:numCache>
            </c:numRef>
          </c:yVal>
        </c:ser>
        <c:dLbls/>
        <c:axId val="87979904"/>
        <c:axId val="98064256"/>
      </c:scatterChart>
      <c:valAx>
        <c:axId val="87979904"/>
        <c:scaling>
          <c:orientation val="minMax"/>
        </c:scaling>
        <c:axPos val="b"/>
        <c:numFmt formatCode="General" sourceLinked="1"/>
        <c:tickLblPos val="nextTo"/>
        <c:crossAx val="98064256"/>
        <c:crosses val="autoZero"/>
        <c:crossBetween val="midCat"/>
      </c:valAx>
      <c:valAx>
        <c:axId val="98064256"/>
        <c:scaling>
          <c:orientation val="minMax"/>
          <c:min val="1000"/>
        </c:scaling>
        <c:axPos val="l"/>
        <c:majorGridlines/>
        <c:numFmt formatCode="_(&quot;$&quot;* #,##0.00_);_(&quot;$&quot;* \(#,##0.00\);_(&quot;$&quot;* &quot;-&quot;??_);_(@_)" sourceLinked="1"/>
        <c:tickLblPos val="nextTo"/>
        <c:crossAx val="87979904"/>
        <c:crosses val="autoZero"/>
        <c:crossBetween val="midCat"/>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0.70673</cdr:x>
      <cdr:y>0.80577</cdr:y>
    </cdr:from>
    <cdr:to>
      <cdr:x>0.97917</cdr:x>
      <cdr:y>0.94488</cdr:y>
    </cdr:to>
    <cdr:sp macro="" textlink="">
      <cdr:nvSpPr>
        <cdr:cNvPr id="2" name="Text Box 1"/>
        <cdr:cNvSpPr txBox="1"/>
      </cdr:nvSpPr>
      <cdr:spPr>
        <a:xfrm xmlns:a="http://schemas.openxmlformats.org/drawingml/2006/main">
          <a:off x="4200525" y="2924175"/>
          <a:ext cx="1619250" cy="5048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CA" sz="1100"/>
            <a:t>Data Source:</a:t>
          </a:r>
          <a:r>
            <a:rPr lang="en-CA" sz="1100" baseline="0"/>
            <a:t>   Nordicity Report, Table 19</a:t>
          </a:r>
          <a:endParaRPr lang="en-CA"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5149-001A-4AD4-AC29-484AE99C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5194</Words>
  <Characters>29608</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bsegel-brown</cp:lastModifiedBy>
  <cp:revision>2</cp:revision>
  <dcterms:created xsi:type="dcterms:W3CDTF">2018-02-09T21:25:00Z</dcterms:created>
  <dcterms:modified xsi:type="dcterms:W3CDTF">2018-02-09T21:25:00Z</dcterms:modified>
</cp:coreProperties>
</file>