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CB9C" w14:textId="77777777" w:rsidR="00746080" w:rsidRPr="00394351" w:rsidRDefault="005C0AC7" w:rsidP="00D0773D">
      <w:pPr>
        <w:jc w:val="center"/>
        <w:rPr>
          <w:rFonts w:ascii="Arial" w:hAnsi="Arial" w:cs="Arial"/>
          <w:b/>
          <w:sz w:val="28"/>
          <w:szCs w:val="28"/>
        </w:rPr>
      </w:pPr>
      <w:r>
        <w:rPr>
          <w:rFonts w:ascii="Arial" w:hAnsi="Arial" w:cs="Arial"/>
          <w:b/>
          <w:sz w:val="28"/>
          <w:szCs w:val="28"/>
        </w:rPr>
        <w:t>Wasaga Distribution Incorporated</w:t>
      </w:r>
    </w:p>
    <w:p w14:paraId="627107D2" w14:textId="7D8F445E"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5C0AC7">
        <w:rPr>
          <w:rFonts w:ascii="Arial" w:hAnsi="Arial" w:cs="Arial"/>
          <w:b/>
          <w:sz w:val="28"/>
          <w:szCs w:val="28"/>
        </w:rPr>
        <w:t>7-0079</w:t>
      </w:r>
      <w:r w:rsidR="00B20109">
        <w:rPr>
          <w:rFonts w:ascii="Arial" w:hAnsi="Arial" w:cs="Arial"/>
          <w:b/>
          <w:sz w:val="28"/>
          <w:szCs w:val="28"/>
        </w:rPr>
        <w:t xml:space="preserve">                                                                                                                                                                                                                                                                                                                                                  </w:t>
      </w:r>
      <w:r w:rsidR="006125B7">
        <w:rPr>
          <w:rFonts w:ascii="Arial" w:hAnsi="Arial" w:cs="Arial"/>
          <w:b/>
          <w:sz w:val="28"/>
          <w:szCs w:val="28"/>
        </w:rPr>
        <w:t xml:space="preserve">                             </w:t>
      </w:r>
    </w:p>
    <w:p w14:paraId="434F0330" w14:textId="77777777" w:rsidR="00160483" w:rsidRPr="00304228" w:rsidRDefault="00304228" w:rsidP="00160483">
      <w:pPr>
        <w:jc w:val="center"/>
        <w:rPr>
          <w:rFonts w:ascii="Arial" w:hAnsi="Arial" w:cs="Arial"/>
          <w:b/>
          <w:sz w:val="24"/>
          <w:szCs w:val="28"/>
        </w:rPr>
      </w:pPr>
      <w:r w:rsidRPr="00986044">
        <w:rPr>
          <w:rFonts w:ascii="Arial" w:hAnsi="Arial" w:cs="Arial"/>
          <w:b/>
          <w:sz w:val="28"/>
          <w:szCs w:val="28"/>
        </w:rPr>
        <w:t xml:space="preserve">Staff </w:t>
      </w:r>
      <w:r w:rsidR="00751004">
        <w:rPr>
          <w:rFonts w:ascii="Arial" w:hAnsi="Arial" w:cs="Arial"/>
          <w:b/>
          <w:sz w:val="28"/>
          <w:szCs w:val="28"/>
        </w:rPr>
        <w:t xml:space="preserve">Follow-Up </w:t>
      </w:r>
      <w:r w:rsidRPr="00986044">
        <w:rPr>
          <w:rFonts w:ascii="Arial" w:hAnsi="Arial" w:cs="Arial"/>
          <w:b/>
          <w:sz w:val="28"/>
          <w:szCs w:val="28"/>
        </w:rPr>
        <w:t>Questions</w:t>
      </w:r>
      <w:r w:rsidR="00160483">
        <w:rPr>
          <w:rFonts w:ascii="Arial" w:hAnsi="Arial" w:cs="Arial"/>
          <w:b/>
          <w:sz w:val="28"/>
          <w:szCs w:val="28"/>
        </w:rPr>
        <w:t xml:space="preserve"> - </w:t>
      </w:r>
      <w:r w:rsidR="00160483">
        <w:rPr>
          <w:rFonts w:ascii="Arial" w:hAnsi="Arial" w:cs="Arial"/>
          <w:b/>
          <w:sz w:val="24"/>
          <w:szCs w:val="28"/>
        </w:rPr>
        <w:t>February 8</w:t>
      </w:r>
      <w:r w:rsidR="00160483" w:rsidRPr="00986044">
        <w:rPr>
          <w:rFonts w:ascii="Arial" w:hAnsi="Arial" w:cs="Arial"/>
          <w:b/>
          <w:sz w:val="24"/>
          <w:szCs w:val="28"/>
        </w:rPr>
        <w:t>, 2018</w:t>
      </w:r>
    </w:p>
    <w:p w14:paraId="2545EF90" w14:textId="411B7F5B" w:rsidR="00304228" w:rsidRPr="00986044" w:rsidRDefault="00160483" w:rsidP="00CC447E">
      <w:pPr>
        <w:jc w:val="center"/>
        <w:rPr>
          <w:rFonts w:ascii="Arial" w:hAnsi="Arial" w:cs="Arial"/>
          <w:b/>
          <w:sz w:val="28"/>
          <w:szCs w:val="28"/>
        </w:rPr>
      </w:pPr>
      <w:r>
        <w:rPr>
          <w:rFonts w:ascii="Arial" w:hAnsi="Arial" w:cs="Arial"/>
          <w:b/>
          <w:sz w:val="28"/>
          <w:szCs w:val="28"/>
        </w:rPr>
        <w:t>Responses Filed – February 14, 2018</w:t>
      </w:r>
    </w:p>
    <w:p w14:paraId="463949E3"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1ED46721" w14:textId="6DC75BB8" w:rsidR="00DA14AA"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751004">
        <w:rPr>
          <w:rFonts w:ascii="Arial" w:hAnsi="Arial" w:cs="Arial"/>
          <w:b/>
          <w:sz w:val="24"/>
          <w:szCs w:val="24"/>
        </w:rPr>
        <w:t xml:space="preserve">3 Continuity Schedule: </w:t>
      </w:r>
      <w:r w:rsidR="001C3C5E">
        <w:rPr>
          <w:rFonts w:ascii="Arial" w:hAnsi="Arial" w:cs="Arial"/>
          <w:b/>
          <w:sz w:val="24"/>
          <w:szCs w:val="24"/>
        </w:rPr>
        <w:t xml:space="preserve">Account 1595 (2010), </w:t>
      </w:r>
      <w:r w:rsidR="00751004">
        <w:rPr>
          <w:rFonts w:ascii="Arial" w:hAnsi="Arial" w:cs="Arial"/>
          <w:b/>
          <w:sz w:val="24"/>
          <w:szCs w:val="24"/>
        </w:rPr>
        <w:t>Account 1595 (2011) and Account 1595 (2012)</w:t>
      </w:r>
    </w:p>
    <w:p w14:paraId="6AFE7C1E" w14:textId="7E6317D8" w:rsidR="00D7074B" w:rsidRPr="00E0452F" w:rsidRDefault="00D7074B" w:rsidP="00A23610">
      <w:pPr>
        <w:pStyle w:val="ListParagraph"/>
        <w:numPr>
          <w:ilvl w:val="0"/>
          <w:numId w:val="39"/>
        </w:numPr>
        <w:contextualSpacing w:val="0"/>
        <w:rPr>
          <w:rFonts w:ascii="Arial" w:hAnsi="Arial" w:cs="Arial"/>
          <w:sz w:val="24"/>
          <w:szCs w:val="24"/>
        </w:rPr>
      </w:pPr>
      <w:r w:rsidRPr="00E0452F">
        <w:rPr>
          <w:rFonts w:ascii="Arial" w:hAnsi="Arial" w:cs="Arial"/>
          <w:sz w:val="24"/>
          <w:szCs w:val="24"/>
        </w:rPr>
        <w:t xml:space="preserve">In response to OEB staff question </w:t>
      </w:r>
      <w:r w:rsidR="001C3C5E" w:rsidRPr="00E0452F">
        <w:rPr>
          <w:rFonts w:ascii="Arial" w:hAnsi="Arial" w:cs="Arial"/>
          <w:sz w:val="24"/>
          <w:szCs w:val="24"/>
        </w:rPr>
        <w:t>#1</w:t>
      </w:r>
      <w:r w:rsidR="00516AC1">
        <w:rPr>
          <w:rFonts w:ascii="Arial" w:hAnsi="Arial" w:cs="Arial"/>
          <w:sz w:val="24"/>
          <w:szCs w:val="24"/>
        </w:rPr>
        <w:t xml:space="preserve"> </w:t>
      </w:r>
      <w:r w:rsidR="00E42654">
        <w:rPr>
          <w:rFonts w:ascii="Arial" w:hAnsi="Arial" w:cs="Arial"/>
          <w:sz w:val="24"/>
          <w:szCs w:val="24"/>
        </w:rPr>
        <w:t xml:space="preserve">b), </w:t>
      </w:r>
      <w:r w:rsidR="00202505">
        <w:rPr>
          <w:rFonts w:ascii="Arial" w:hAnsi="Arial" w:cs="Arial"/>
          <w:sz w:val="24"/>
          <w:szCs w:val="24"/>
        </w:rPr>
        <w:t xml:space="preserve">Wasaga Distribution stated </w:t>
      </w:r>
      <w:r w:rsidRPr="00E0452F">
        <w:rPr>
          <w:rFonts w:ascii="Arial" w:hAnsi="Arial" w:cs="Arial"/>
          <w:sz w:val="24"/>
          <w:szCs w:val="24"/>
        </w:rPr>
        <w:t>that “</w:t>
      </w:r>
      <w:r w:rsidR="004C1873" w:rsidRPr="00E0452F">
        <w:rPr>
          <w:rFonts w:ascii="Arial" w:hAnsi="Arial" w:cs="Arial"/>
          <w:sz w:val="24"/>
          <w:szCs w:val="24"/>
        </w:rPr>
        <w:t>T</w:t>
      </w:r>
      <w:r w:rsidRPr="00E0452F">
        <w:rPr>
          <w:rFonts w:ascii="Arial" w:hAnsi="Arial" w:cs="Arial"/>
          <w:sz w:val="24"/>
          <w:szCs w:val="24"/>
        </w:rPr>
        <w:t>he 1595 (2010) should actually be 1595 (2011) which was rat</w:t>
      </w:r>
      <w:r w:rsidR="004C1873" w:rsidRPr="00E0452F">
        <w:rPr>
          <w:rFonts w:ascii="Arial" w:hAnsi="Arial" w:cs="Arial"/>
          <w:sz w:val="24"/>
          <w:szCs w:val="24"/>
        </w:rPr>
        <w:t xml:space="preserve">e application EB-2010-0143.” </w:t>
      </w:r>
    </w:p>
    <w:p w14:paraId="40D92F47" w14:textId="0A96E27F" w:rsidR="004C1873" w:rsidRDefault="004C1873" w:rsidP="00A23610">
      <w:pPr>
        <w:pStyle w:val="ListParagraph"/>
        <w:numPr>
          <w:ilvl w:val="2"/>
          <w:numId w:val="40"/>
        </w:numPr>
        <w:contextualSpacing w:val="0"/>
        <w:rPr>
          <w:rFonts w:ascii="Arial" w:hAnsi="Arial" w:cs="Arial"/>
          <w:sz w:val="24"/>
          <w:szCs w:val="24"/>
        </w:rPr>
      </w:pPr>
      <w:r w:rsidRPr="00A23610">
        <w:rPr>
          <w:rFonts w:ascii="Arial" w:hAnsi="Arial" w:cs="Arial"/>
          <w:sz w:val="24"/>
          <w:szCs w:val="24"/>
        </w:rPr>
        <w:t xml:space="preserve">Please confirm the </w:t>
      </w:r>
      <w:r w:rsidR="001C3C5E" w:rsidRPr="00A23610">
        <w:rPr>
          <w:rFonts w:ascii="Arial" w:hAnsi="Arial" w:cs="Arial"/>
          <w:sz w:val="24"/>
          <w:szCs w:val="24"/>
        </w:rPr>
        <w:t>explanations</w:t>
      </w:r>
      <w:r w:rsidRPr="00A23610">
        <w:rPr>
          <w:rFonts w:ascii="Arial" w:hAnsi="Arial" w:cs="Arial"/>
          <w:sz w:val="24"/>
          <w:szCs w:val="24"/>
        </w:rPr>
        <w:t xml:space="preserve"> Wasaga Distribution </w:t>
      </w:r>
      <w:r w:rsidR="001C3C5E" w:rsidRPr="00A23610">
        <w:rPr>
          <w:rFonts w:ascii="Arial" w:hAnsi="Arial" w:cs="Arial"/>
          <w:sz w:val="24"/>
          <w:szCs w:val="24"/>
        </w:rPr>
        <w:t xml:space="preserve">provided for staff question #2 a) and #2 b) are actually for Account </w:t>
      </w:r>
      <w:r w:rsidR="00C41DEA">
        <w:rPr>
          <w:rFonts w:ascii="Arial" w:hAnsi="Arial" w:cs="Arial"/>
          <w:sz w:val="24"/>
          <w:szCs w:val="24"/>
        </w:rPr>
        <w:t>1595 (2011)</w:t>
      </w:r>
      <w:r w:rsidR="001C3C5E" w:rsidRPr="00A23610">
        <w:rPr>
          <w:rFonts w:ascii="Arial" w:hAnsi="Arial" w:cs="Arial"/>
          <w:sz w:val="24"/>
          <w:szCs w:val="24"/>
        </w:rPr>
        <w:t>.</w:t>
      </w:r>
    </w:p>
    <w:p w14:paraId="09EFD022" w14:textId="77777777" w:rsidR="00160483" w:rsidRDefault="00160483" w:rsidP="00160483">
      <w:pPr>
        <w:pStyle w:val="ListParagraph"/>
        <w:ind w:left="1080"/>
        <w:contextualSpacing w:val="0"/>
        <w:rPr>
          <w:rFonts w:ascii="Arial" w:hAnsi="Arial" w:cs="Arial"/>
          <w:color w:val="0070C0"/>
          <w:sz w:val="24"/>
          <w:szCs w:val="24"/>
        </w:rPr>
      </w:pPr>
      <w:r w:rsidRPr="00160483">
        <w:rPr>
          <w:rFonts w:ascii="Arial" w:hAnsi="Arial" w:cs="Arial"/>
          <w:color w:val="0070C0"/>
          <w:sz w:val="24"/>
          <w:szCs w:val="24"/>
        </w:rPr>
        <w:t xml:space="preserve">WDI Response: </w:t>
      </w:r>
    </w:p>
    <w:p w14:paraId="740A7161" w14:textId="50106BC9" w:rsidR="00160483" w:rsidRPr="00160483" w:rsidRDefault="00160483" w:rsidP="00160483">
      <w:pPr>
        <w:pStyle w:val="ListParagraph"/>
        <w:ind w:left="1080"/>
        <w:contextualSpacing w:val="0"/>
        <w:rPr>
          <w:rFonts w:ascii="Arial" w:hAnsi="Arial" w:cs="Arial"/>
          <w:color w:val="0070C0"/>
          <w:sz w:val="24"/>
          <w:szCs w:val="24"/>
        </w:rPr>
      </w:pPr>
      <w:r>
        <w:rPr>
          <w:rFonts w:ascii="Arial" w:hAnsi="Arial" w:cs="Arial"/>
          <w:color w:val="0070C0"/>
          <w:sz w:val="24"/>
          <w:szCs w:val="24"/>
        </w:rPr>
        <w:t>Confirmed</w:t>
      </w:r>
    </w:p>
    <w:p w14:paraId="2DDCE728" w14:textId="36D3A3EE" w:rsidR="00E42654" w:rsidRPr="005F01C3" w:rsidRDefault="00E42654" w:rsidP="00E42654">
      <w:pPr>
        <w:pStyle w:val="ListParagraph"/>
        <w:numPr>
          <w:ilvl w:val="2"/>
          <w:numId w:val="40"/>
        </w:numPr>
        <w:contextualSpacing w:val="0"/>
        <w:rPr>
          <w:rFonts w:ascii="Arial" w:hAnsi="Arial" w:cs="Arial"/>
          <w:sz w:val="24"/>
          <w:szCs w:val="24"/>
        </w:rPr>
      </w:pPr>
      <w:r>
        <w:rPr>
          <w:rFonts w:ascii="Arial" w:hAnsi="Arial" w:cs="Arial"/>
          <w:sz w:val="24"/>
          <w:szCs w:val="24"/>
        </w:rPr>
        <w:t xml:space="preserve">If the </w:t>
      </w:r>
      <w:r w:rsidRPr="005F01C3">
        <w:rPr>
          <w:rFonts w:ascii="Arial" w:hAnsi="Arial" w:cs="Arial"/>
          <w:sz w:val="24"/>
          <w:szCs w:val="24"/>
        </w:rPr>
        <w:t xml:space="preserve">answer to the above question is yes, please provide more details about the reason why </w:t>
      </w:r>
      <w:proofErr w:type="gramStart"/>
      <w:r w:rsidRPr="005F01C3">
        <w:rPr>
          <w:rFonts w:ascii="Arial" w:hAnsi="Arial" w:cs="Arial"/>
          <w:sz w:val="24"/>
          <w:szCs w:val="24"/>
        </w:rPr>
        <w:t>Account 1595</w:t>
      </w:r>
      <w:proofErr w:type="gramEnd"/>
      <w:r w:rsidRPr="005F01C3">
        <w:rPr>
          <w:rFonts w:ascii="Arial" w:hAnsi="Arial" w:cs="Arial"/>
          <w:sz w:val="24"/>
          <w:szCs w:val="24"/>
        </w:rPr>
        <w:t xml:space="preserve"> (2011) has a significant balance</w:t>
      </w:r>
      <w:r>
        <w:rPr>
          <w:rFonts w:ascii="Arial" w:hAnsi="Arial" w:cs="Arial"/>
          <w:sz w:val="24"/>
          <w:szCs w:val="24"/>
        </w:rPr>
        <w:t xml:space="preserve"> (a credit amount of $568,217)</w:t>
      </w:r>
      <w:r w:rsidRPr="005F01C3">
        <w:rPr>
          <w:rFonts w:ascii="Arial" w:hAnsi="Arial" w:cs="Arial"/>
          <w:sz w:val="24"/>
          <w:szCs w:val="24"/>
        </w:rPr>
        <w:t>. Specifically, please expand the explanation on the following statement in Wasaga Distribution’s response to OEB staff question #2 b):</w:t>
      </w:r>
    </w:p>
    <w:p w14:paraId="0E9CA2C8" w14:textId="77777777" w:rsidR="00E42654" w:rsidRDefault="00E42654" w:rsidP="00E42654">
      <w:pPr>
        <w:pStyle w:val="ListParagraph"/>
        <w:ind w:left="1080"/>
        <w:contextualSpacing w:val="0"/>
        <w:rPr>
          <w:rFonts w:ascii="Arial" w:hAnsi="Arial" w:cs="Arial"/>
          <w:sz w:val="24"/>
          <w:szCs w:val="24"/>
        </w:rPr>
      </w:pPr>
      <w:r w:rsidRPr="005F01C3">
        <w:rPr>
          <w:rFonts w:ascii="Arial" w:hAnsi="Arial" w:cs="Arial"/>
          <w:sz w:val="24"/>
          <w:szCs w:val="24"/>
        </w:rPr>
        <w:t>“</w:t>
      </w:r>
      <w:proofErr w:type="gramStart"/>
      <w:r w:rsidRPr="005F01C3">
        <w:rPr>
          <w:rFonts w:ascii="Arial" w:hAnsi="Arial" w:cs="Arial"/>
          <w:sz w:val="24"/>
          <w:szCs w:val="24"/>
        </w:rPr>
        <w:t>the</w:t>
      </w:r>
      <w:proofErr w:type="gramEnd"/>
      <w:r w:rsidRPr="005F01C3">
        <w:rPr>
          <w:rFonts w:ascii="Arial" w:hAnsi="Arial" w:cs="Arial"/>
          <w:sz w:val="24"/>
          <w:szCs w:val="24"/>
        </w:rPr>
        <w:t xml:space="preserve"> over-recovery is from the rate rider having a debit and credit that equalled out and having no effect on the balance.”</w:t>
      </w:r>
    </w:p>
    <w:p w14:paraId="68D0CEBD" w14:textId="3D9EA369" w:rsidR="00160483" w:rsidRDefault="00160483" w:rsidP="00E42654">
      <w:pPr>
        <w:pStyle w:val="ListParagraph"/>
        <w:ind w:left="1080"/>
        <w:contextualSpacing w:val="0"/>
        <w:rPr>
          <w:rFonts w:ascii="Arial" w:hAnsi="Arial" w:cs="Arial"/>
          <w:color w:val="0070C0"/>
          <w:sz w:val="24"/>
          <w:szCs w:val="24"/>
        </w:rPr>
      </w:pPr>
      <w:r>
        <w:rPr>
          <w:rFonts w:ascii="Arial" w:hAnsi="Arial" w:cs="Arial"/>
          <w:color w:val="0070C0"/>
          <w:sz w:val="24"/>
          <w:szCs w:val="24"/>
        </w:rPr>
        <w:t>WDI Response:</w:t>
      </w:r>
    </w:p>
    <w:p w14:paraId="2103EA25" w14:textId="4981E732" w:rsidR="00160483" w:rsidRDefault="00160483" w:rsidP="00E42654">
      <w:pPr>
        <w:pStyle w:val="ListParagraph"/>
        <w:ind w:left="1080"/>
        <w:contextualSpacing w:val="0"/>
        <w:rPr>
          <w:rFonts w:ascii="Arial" w:hAnsi="Arial" w:cs="Arial"/>
          <w:color w:val="0070C0"/>
          <w:sz w:val="24"/>
          <w:szCs w:val="24"/>
        </w:rPr>
      </w:pPr>
      <w:r>
        <w:rPr>
          <w:rFonts w:ascii="Arial" w:hAnsi="Arial" w:cs="Arial"/>
          <w:color w:val="0070C0"/>
          <w:sz w:val="24"/>
          <w:szCs w:val="24"/>
        </w:rPr>
        <w:t xml:space="preserve">Upon further investigation WDI is correcting its previous response to Question 2b). When the over recovery was discovered WDI made a request in EB-2012-0171 to have the over recovery corrected. However, when the rate riders were established during EB-201-0171 the </w:t>
      </w:r>
      <w:r w:rsidR="00FD1972">
        <w:rPr>
          <w:rFonts w:ascii="Arial" w:hAnsi="Arial" w:cs="Arial"/>
          <w:color w:val="0070C0"/>
          <w:sz w:val="24"/>
          <w:szCs w:val="24"/>
        </w:rPr>
        <w:t>rate rider for the reversal (Residential</w:t>
      </w:r>
      <w:r w:rsidR="00DC54D8">
        <w:rPr>
          <w:rFonts w:ascii="Arial" w:hAnsi="Arial" w:cs="Arial"/>
          <w:color w:val="0070C0"/>
          <w:sz w:val="24"/>
          <w:szCs w:val="24"/>
        </w:rPr>
        <w:t xml:space="preserve"> – for example</w:t>
      </w:r>
      <w:r w:rsidR="00FD1972">
        <w:rPr>
          <w:rFonts w:ascii="Arial" w:hAnsi="Arial" w:cs="Arial"/>
          <w:color w:val="0070C0"/>
          <w:sz w:val="24"/>
          <w:szCs w:val="24"/>
        </w:rPr>
        <w:t xml:space="preserve">) was $.0003 and only continued until April 30, </w:t>
      </w:r>
      <w:r w:rsidR="00FD1972" w:rsidRPr="00FD1972">
        <w:rPr>
          <w:rFonts w:ascii="Arial" w:hAnsi="Arial" w:cs="Arial"/>
          <w:b/>
          <w:color w:val="0070C0"/>
          <w:sz w:val="24"/>
          <w:szCs w:val="24"/>
          <w:u w:val="single"/>
        </w:rPr>
        <w:t>2015</w:t>
      </w:r>
      <w:r w:rsidR="00FD1972">
        <w:rPr>
          <w:rFonts w:ascii="Arial" w:hAnsi="Arial" w:cs="Arial"/>
          <w:color w:val="0070C0"/>
          <w:sz w:val="24"/>
          <w:szCs w:val="24"/>
        </w:rPr>
        <w:t xml:space="preserve"> while the new rate rider established for the correction was $(.0020) and stayed into effect until April 30, </w:t>
      </w:r>
      <w:r w:rsidR="00FD1972" w:rsidRPr="00FD1972">
        <w:rPr>
          <w:rFonts w:ascii="Arial" w:hAnsi="Arial" w:cs="Arial"/>
          <w:b/>
          <w:color w:val="0070C0"/>
          <w:sz w:val="24"/>
          <w:szCs w:val="24"/>
          <w:u w:val="single"/>
        </w:rPr>
        <w:t>2016</w:t>
      </w:r>
      <w:r w:rsidR="00FD1972">
        <w:rPr>
          <w:rFonts w:ascii="Arial" w:hAnsi="Arial" w:cs="Arial"/>
          <w:color w:val="0070C0"/>
          <w:sz w:val="24"/>
          <w:szCs w:val="24"/>
        </w:rPr>
        <w:t xml:space="preserve">. This caused the over recovery balance. </w:t>
      </w:r>
      <w:r>
        <w:rPr>
          <w:rFonts w:ascii="Arial" w:hAnsi="Arial" w:cs="Arial"/>
          <w:color w:val="0070C0"/>
          <w:sz w:val="24"/>
          <w:szCs w:val="24"/>
        </w:rPr>
        <w:t xml:space="preserve"> </w:t>
      </w:r>
    </w:p>
    <w:p w14:paraId="2D980FB0" w14:textId="77777777" w:rsidR="00160483" w:rsidRPr="00160483" w:rsidRDefault="00160483" w:rsidP="00E42654">
      <w:pPr>
        <w:pStyle w:val="ListParagraph"/>
        <w:ind w:left="1080"/>
        <w:contextualSpacing w:val="0"/>
        <w:rPr>
          <w:rFonts w:ascii="Arial" w:hAnsi="Arial" w:cs="Arial"/>
          <w:color w:val="0070C0"/>
          <w:sz w:val="24"/>
          <w:szCs w:val="24"/>
        </w:rPr>
      </w:pPr>
    </w:p>
    <w:p w14:paraId="2EE066FD" w14:textId="77777777" w:rsidR="00FD1972" w:rsidRDefault="00E42654" w:rsidP="00110A56">
      <w:pPr>
        <w:pStyle w:val="ListParagraph"/>
        <w:numPr>
          <w:ilvl w:val="2"/>
          <w:numId w:val="40"/>
        </w:numPr>
        <w:contextualSpacing w:val="0"/>
        <w:rPr>
          <w:rFonts w:ascii="Arial" w:hAnsi="Arial" w:cs="Arial"/>
          <w:sz w:val="24"/>
          <w:szCs w:val="24"/>
        </w:rPr>
      </w:pPr>
      <w:r w:rsidRPr="00E42654">
        <w:rPr>
          <w:rFonts w:ascii="Arial" w:hAnsi="Arial" w:cs="Arial"/>
          <w:sz w:val="24"/>
          <w:szCs w:val="24"/>
        </w:rPr>
        <w:lastRenderedPageBreak/>
        <w:t>Please complete the attached “Account 1595 (2011) Analysis” workform to provide breakdown of the balance in Account 1595 (2011) into the GA component and the other DVA component, recognizing that there can be one component with the positive sign and the other with the negative sign.</w:t>
      </w:r>
    </w:p>
    <w:p w14:paraId="1EA960C5" w14:textId="77777777" w:rsidR="00FD1972" w:rsidRDefault="00E42654" w:rsidP="00FD1972">
      <w:pPr>
        <w:pStyle w:val="ListParagraph"/>
        <w:ind w:left="1080"/>
        <w:contextualSpacing w:val="0"/>
        <w:rPr>
          <w:rFonts w:ascii="Arial" w:hAnsi="Arial" w:cs="Arial"/>
          <w:color w:val="0070C0"/>
          <w:sz w:val="24"/>
          <w:szCs w:val="24"/>
        </w:rPr>
      </w:pPr>
      <w:r w:rsidRPr="00E42654">
        <w:rPr>
          <w:rFonts w:ascii="Arial" w:hAnsi="Arial" w:cs="Arial"/>
          <w:sz w:val="24"/>
          <w:szCs w:val="24"/>
        </w:rPr>
        <w:t xml:space="preserve"> </w:t>
      </w:r>
      <w:r w:rsidR="00FD1972">
        <w:rPr>
          <w:rFonts w:ascii="Arial" w:hAnsi="Arial" w:cs="Arial"/>
          <w:color w:val="0070C0"/>
          <w:sz w:val="24"/>
          <w:szCs w:val="24"/>
        </w:rPr>
        <w:t>WDI Response:</w:t>
      </w:r>
    </w:p>
    <w:p w14:paraId="6FCC5819" w14:textId="3455FE6B" w:rsidR="00C41DEA" w:rsidRPr="00FD1972" w:rsidRDefault="00FD1972" w:rsidP="00FD1972">
      <w:pPr>
        <w:pStyle w:val="ListParagraph"/>
        <w:ind w:left="1080"/>
        <w:contextualSpacing w:val="0"/>
        <w:rPr>
          <w:rFonts w:ascii="Arial" w:hAnsi="Arial" w:cs="Arial"/>
          <w:color w:val="0070C0"/>
          <w:sz w:val="24"/>
          <w:szCs w:val="24"/>
        </w:rPr>
      </w:pPr>
      <w:r>
        <w:rPr>
          <w:rFonts w:ascii="Arial" w:hAnsi="Arial" w:cs="Arial"/>
          <w:color w:val="0070C0"/>
          <w:sz w:val="24"/>
          <w:szCs w:val="24"/>
        </w:rPr>
        <w:t xml:space="preserve">WDI has completed the table to the best of its ability and </w:t>
      </w:r>
      <w:r w:rsidR="00DC54D8">
        <w:rPr>
          <w:rFonts w:ascii="Arial" w:hAnsi="Arial" w:cs="Arial"/>
          <w:color w:val="0070C0"/>
          <w:sz w:val="24"/>
          <w:szCs w:val="24"/>
        </w:rPr>
        <w:t>has submitted</w:t>
      </w:r>
      <w:bookmarkStart w:id="0" w:name="_GoBack"/>
      <w:bookmarkEnd w:id="0"/>
      <w:r>
        <w:rPr>
          <w:rFonts w:ascii="Arial" w:hAnsi="Arial" w:cs="Arial"/>
          <w:color w:val="0070C0"/>
          <w:sz w:val="24"/>
          <w:szCs w:val="24"/>
        </w:rPr>
        <w:t xml:space="preserve"> the Workform with these responses.</w:t>
      </w:r>
    </w:p>
    <w:p w14:paraId="230D87B9" w14:textId="04D24CB2" w:rsidR="00ED045B" w:rsidRDefault="00202505" w:rsidP="00202505">
      <w:pPr>
        <w:pStyle w:val="ListParagraph"/>
        <w:numPr>
          <w:ilvl w:val="0"/>
          <w:numId w:val="39"/>
        </w:numPr>
        <w:contextualSpacing w:val="0"/>
        <w:rPr>
          <w:rFonts w:ascii="Arial" w:hAnsi="Arial" w:cs="Arial"/>
          <w:sz w:val="24"/>
          <w:szCs w:val="24"/>
        </w:rPr>
      </w:pPr>
      <w:r>
        <w:rPr>
          <w:rFonts w:ascii="Arial" w:hAnsi="Arial" w:cs="Arial"/>
          <w:sz w:val="24"/>
          <w:szCs w:val="24"/>
        </w:rPr>
        <w:t>In response to OEB staff question #1 b), Wasaga Distribution noted that “The 1595 (2011) should actually started in 2012 as the disposition was approved during WDI’s 2012 Cost of Service (EB-2011-0103). WDI will make the necessary adjustments to the continuity schedule.”</w:t>
      </w:r>
    </w:p>
    <w:p w14:paraId="2A44C5FE" w14:textId="3E7AF94B" w:rsidR="00202505" w:rsidRDefault="00202505" w:rsidP="00202505">
      <w:pPr>
        <w:pStyle w:val="ListParagraph"/>
        <w:rPr>
          <w:rFonts w:ascii="Arial" w:hAnsi="Arial" w:cs="Arial"/>
          <w:sz w:val="24"/>
          <w:szCs w:val="24"/>
        </w:rPr>
      </w:pPr>
      <w:r>
        <w:rPr>
          <w:rFonts w:ascii="Arial" w:hAnsi="Arial" w:cs="Arial"/>
          <w:sz w:val="24"/>
          <w:szCs w:val="24"/>
        </w:rPr>
        <w:t>Please confirm if the balances Wasaga Distribution entered in the row of Account 1595 (2012) in the revised continuity schedule reflect balances/transactions in Account 1595 (2012), not Account 1595 (2011).</w:t>
      </w:r>
    </w:p>
    <w:p w14:paraId="017775F8" w14:textId="77777777" w:rsidR="00FD1972" w:rsidRDefault="00FD1972" w:rsidP="00202505">
      <w:pPr>
        <w:pStyle w:val="ListParagraph"/>
        <w:rPr>
          <w:rFonts w:ascii="Arial" w:hAnsi="Arial" w:cs="Arial"/>
          <w:sz w:val="24"/>
          <w:szCs w:val="24"/>
        </w:rPr>
      </w:pPr>
    </w:p>
    <w:p w14:paraId="72B2163A" w14:textId="350B91D4" w:rsidR="00FD1972" w:rsidRDefault="00FD1972" w:rsidP="00202505">
      <w:pPr>
        <w:pStyle w:val="ListParagraph"/>
        <w:rPr>
          <w:rFonts w:ascii="Arial" w:hAnsi="Arial" w:cs="Arial"/>
          <w:color w:val="0070C0"/>
          <w:sz w:val="24"/>
          <w:szCs w:val="24"/>
        </w:rPr>
      </w:pPr>
      <w:r>
        <w:rPr>
          <w:rFonts w:ascii="Arial" w:hAnsi="Arial" w:cs="Arial"/>
          <w:color w:val="0070C0"/>
          <w:sz w:val="24"/>
          <w:szCs w:val="24"/>
        </w:rPr>
        <w:t>WDI Response:</w:t>
      </w:r>
    </w:p>
    <w:p w14:paraId="5EF54D42" w14:textId="0B54816D" w:rsidR="00FD1972" w:rsidRDefault="00FD1972" w:rsidP="00FD1972">
      <w:pPr>
        <w:ind w:firstLine="720"/>
        <w:rPr>
          <w:rFonts w:ascii="Arial" w:hAnsi="Arial" w:cs="Arial"/>
          <w:sz w:val="24"/>
          <w:szCs w:val="24"/>
        </w:rPr>
      </w:pPr>
      <w:r w:rsidRPr="00FD1972">
        <w:rPr>
          <w:rFonts w:ascii="Arial" w:hAnsi="Arial" w:cs="Arial"/>
          <w:color w:val="0070C0"/>
          <w:sz w:val="24"/>
          <w:szCs w:val="24"/>
        </w:rPr>
        <w:t>Confirmed</w:t>
      </w:r>
    </w:p>
    <w:p w14:paraId="12D50EA6" w14:textId="33B462F3" w:rsidR="00202505" w:rsidRPr="00ED045B" w:rsidRDefault="00202505" w:rsidP="00202505">
      <w:pPr>
        <w:pStyle w:val="ListParagraph"/>
        <w:rPr>
          <w:rFonts w:ascii="Arial" w:hAnsi="Arial" w:cs="Arial"/>
          <w:sz w:val="24"/>
          <w:szCs w:val="24"/>
        </w:rPr>
      </w:pPr>
      <w:r>
        <w:rPr>
          <w:rFonts w:ascii="Arial" w:hAnsi="Arial" w:cs="Arial"/>
          <w:sz w:val="24"/>
          <w:szCs w:val="24"/>
        </w:rPr>
        <w:t xml:space="preserve"> </w:t>
      </w:r>
    </w:p>
    <w:p w14:paraId="073FF5F8" w14:textId="35612494" w:rsidR="00E0452F" w:rsidRDefault="00E6324F" w:rsidP="00516AC1">
      <w:pPr>
        <w:pStyle w:val="ListParagraph"/>
        <w:numPr>
          <w:ilvl w:val="0"/>
          <w:numId w:val="39"/>
        </w:numPr>
        <w:contextualSpacing w:val="0"/>
        <w:rPr>
          <w:rFonts w:ascii="Arial" w:hAnsi="Arial" w:cs="Arial"/>
          <w:sz w:val="24"/>
          <w:szCs w:val="24"/>
        </w:rPr>
      </w:pPr>
      <w:r>
        <w:rPr>
          <w:rFonts w:ascii="Arial" w:hAnsi="Arial" w:cs="Arial"/>
          <w:sz w:val="24"/>
          <w:szCs w:val="24"/>
        </w:rPr>
        <w:t xml:space="preserve">In the most recent submitted IRM model, </w:t>
      </w:r>
      <w:r w:rsidR="00516AC1">
        <w:rPr>
          <w:rFonts w:ascii="Arial" w:hAnsi="Arial" w:cs="Arial"/>
          <w:sz w:val="24"/>
          <w:szCs w:val="24"/>
        </w:rPr>
        <w:t>Account 1595 (2010), Account 1595 (2011) and Account 1595 (2012) are showing significant variances between RRR and 2016 year-end balances</w:t>
      </w:r>
      <w:r w:rsidR="005F01C3">
        <w:rPr>
          <w:rFonts w:ascii="Arial" w:hAnsi="Arial" w:cs="Arial"/>
          <w:sz w:val="24"/>
          <w:szCs w:val="24"/>
        </w:rPr>
        <w:t xml:space="preserve"> in column BV</w:t>
      </w:r>
      <w:r w:rsidR="00516AC1">
        <w:rPr>
          <w:rFonts w:ascii="Arial" w:hAnsi="Arial" w:cs="Arial"/>
          <w:sz w:val="24"/>
          <w:szCs w:val="24"/>
        </w:rPr>
        <w:t>.</w:t>
      </w:r>
    </w:p>
    <w:p w14:paraId="787CC584" w14:textId="4E6FE4D7" w:rsidR="00516AC1" w:rsidRDefault="00516AC1" w:rsidP="00516AC1">
      <w:pPr>
        <w:pStyle w:val="ListParagraph"/>
        <w:rPr>
          <w:rFonts w:ascii="Arial" w:hAnsi="Arial" w:cs="Arial"/>
          <w:sz w:val="24"/>
          <w:szCs w:val="24"/>
        </w:rPr>
      </w:pPr>
      <w:r>
        <w:rPr>
          <w:rFonts w:ascii="Arial" w:hAnsi="Arial" w:cs="Arial"/>
          <w:sz w:val="24"/>
          <w:szCs w:val="24"/>
        </w:rPr>
        <w:t>Please provide explanations for these variances.</w:t>
      </w:r>
      <w:r w:rsidR="005F01C3">
        <w:rPr>
          <w:rFonts w:ascii="Arial" w:hAnsi="Arial" w:cs="Arial"/>
          <w:sz w:val="24"/>
          <w:szCs w:val="24"/>
        </w:rPr>
        <w:t xml:space="preserve"> Please confirm the balances in these three accounts in RRR were reported corrected.</w:t>
      </w:r>
    </w:p>
    <w:p w14:paraId="4D9FD669" w14:textId="77777777" w:rsidR="00FD1972" w:rsidRDefault="00FD1972" w:rsidP="00FD1972">
      <w:pPr>
        <w:pStyle w:val="ListParagraph"/>
        <w:rPr>
          <w:rFonts w:ascii="Arial" w:hAnsi="Arial" w:cs="Arial"/>
          <w:color w:val="0070C0"/>
          <w:sz w:val="24"/>
          <w:szCs w:val="24"/>
        </w:rPr>
      </w:pPr>
    </w:p>
    <w:p w14:paraId="1E4B664A" w14:textId="77777777" w:rsidR="00FD1972" w:rsidRDefault="00FD1972" w:rsidP="00FD1972">
      <w:pPr>
        <w:pStyle w:val="ListParagraph"/>
        <w:rPr>
          <w:rFonts w:ascii="Arial" w:hAnsi="Arial" w:cs="Arial"/>
          <w:color w:val="0070C0"/>
          <w:sz w:val="24"/>
          <w:szCs w:val="24"/>
        </w:rPr>
      </w:pPr>
      <w:r>
        <w:rPr>
          <w:rFonts w:ascii="Arial" w:hAnsi="Arial" w:cs="Arial"/>
          <w:color w:val="0070C0"/>
          <w:sz w:val="24"/>
          <w:szCs w:val="24"/>
        </w:rPr>
        <w:t>WDI Response:</w:t>
      </w:r>
    </w:p>
    <w:p w14:paraId="43F5F968" w14:textId="77777777" w:rsidR="00FD1972" w:rsidRDefault="00FD1972" w:rsidP="00516AC1">
      <w:pPr>
        <w:pStyle w:val="ListParagraph"/>
        <w:rPr>
          <w:rFonts w:ascii="Arial" w:hAnsi="Arial" w:cs="Arial"/>
          <w:sz w:val="24"/>
          <w:szCs w:val="24"/>
        </w:rPr>
      </w:pPr>
    </w:p>
    <w:p w14:paraId="4E6DD735" w14:textId="67F646F2" w:rsidR="00FD1972" w:rsidRDefault="00FD1972" w:rsidP="00516AC1">
      <w:pPr>
        <w:pStyle w:val="ListParagraph"/>
        <w:rPr>
          <w:rFonts w:ascii="Arial" w:hAnsi="Arial" w:cs="Arial"/>
          <w:color w:val="0070C0"/>
          <w:sz w:val="24"/>
          <w:szCs w:val="24"/>
        </w:rPr>
      </w:pPr>
      <w:r>
        <w:rPr>
          <w:rFonts w:ascii="Arial" w:hAnsi="Arial" w:cs="Arial"/>
          <w:color w:val="0070C0"/>
          <w:sz w:val="24"/>
          <w:szCs w:val="24"/>
        </w:rPr>
        <w:t>The balances that were reported in the RRR filings they were reported on the incorrect lines as was discovered during Board Staff follow up questions. When the transactions were moved to the appropriate line this caused the variances in the year-end balances, however; the total of the variances has a zero balance. Since WDI has already requested revisions to 2.1.7 for 2015 and 2016 WDI will make the appropriate corrections for these Account 1595 balances</w:t>
      </w:r>
      <w:r w:rsidR="004A1F51">
        <w:rPr>
          <w:rFonts w:ascii="Arial" w:hAnsi="Arial" w:cs="Arial"/>
          <w:color w:val="0070C0"/>
          <w:sz w:val="24"/>
          <w:szCs w:val="24"/>
        </w:rPr>
        <w:t>.</w:t>
      </w:r>
    </w:p>
    <w:p w14:paraId="6E0C9424" w14:textId="77777777" w:rsidR="004A1F51" w:rsidRDefault="004A1F51" w:rsidP="00516AC1">
      <w:pPr>
        <w:pStyle w:val="ListParagraph"/>
        <w:rPr>
          <w:rFonts w:ascii="Arial" w:hAnsi="Arial" w:cs="Arial"/>
          <w:color w:val="0070C0"/>
          <w:sz w:val="24"/>
          <w:szCs w:val="24"/>
        </w:rPr>
      </w:pPr>
    </w:p>
    <w:p w14:paraId="739C2E4C" w14:textId="49A9182A" w:rsidR="004A1F51" w:rsidRPr="004A1F51" w:rsidRDefault="004A1F51" w:rsidP="00516AC1">
      <w:pPr>
        <w:pStyle w:val="ListParagraph"/>
        <w:rPr>
          <w:rFonts w:ascii="Arial" w:hAnsi="Arial" w:cs="Arial"/>
          <w:b/>
          <w:color w:val="0070C0"/>
          <w:sz w:val="24"/>
          <w:szCs w:val="24"/>
          <w:u w:val="single"/>
        </w:rPr>
      </w:pPr>
      <w:r w:rsidRPr="004A1F51">
        <w:rPr>
          <w:rFonts w:ascii="Arial" w:hAnsi="Arial" w:cs="Arial"/>
          <w:b/>
          <w:color w:val="0070C0"/>
          <w:sz w:val="24"/>
          <w:szCs w:val="24"/>
          <w:u w:val="single"/>
        </w:rPr>
        <w:t>Please note: As of the date of these WDI responses WDI has not received approval for the revisions of RRR 2.1.7 for 2015 and 2016.</w:t>
      </w:r>
    </w:p>
    <w:p w14:paraId="6398EDF5" w14:textId="77777777" w:rsidR="00FD1972" w:rsidRPr="00FD1972" w:rsidRDefault="00FD1972" w:rsidP="00516AC1">
      <w:pPr>
        <w:pStyle w:val="ListParagraph"/>
        <w:rPr>
          <w:rFonts w:ascii="Arial" w:hAnsi="Arial" w:cs="Arial"/>
          <w:color w:val="0070C0"/>
          <w:sz w:val="24"/>
          <w:szCs w:val="24"/>
        </w:rPr>
      </w:pPr>
    </w:p>
    <w:p w14:paraId="43643ACA" w14:textId="15B49C20" w:rsidR="0054418E" w:rsidRDefault="000B4BFB" w:rsidP="00F27A5F">
      <w:pPr>
        <w:rPr>
          <w:rFonts w:ascii="Arial" w:hAnsi="Arial" w:cs="Arial"/>
          <w:b/>
          <w:sz w:val="24"/>
          <w:szCs w:val="24"/>
        </w:rPr>
      </w:pPr>
      <w:r>
        <w:rPr>
          <w:rFonts w:ascii="Arial" w:hAnsi="Arial" w:cs="Arial"/>
          <w:b/>
          <w:sz w:val="24"/>
          <w:szCs w:val="24"/>
        </w:rPr>
        <w:lastRenderedPageBreak/>
        <w:t>Question #2</w:t>
      </w:r>
    </w:p>
    <w:p w14:paraId="5578BB6C" w14:textId="69D25309" w:rsidR="00F8274A" w:rsidRPr="00DA375C" w:rsidRDefault="00516AC1" w:rsidP="00155FAC">
      <w:pPr>
        <w:rPr>
          <w:rFonts w:ascii="Arial" w:hAnsi="Arial" w:cs="Arial"/>
          <w:sz w:val="24"/>
          <w:szCs w:val="24"/>
        </w:rPr>
      </w:pPr>
      <w:r>
        <w:rPr>
          <w:rFonts w:ascii="Arial" w:hAnsi="Arial" w:cs="Arial"/>
          <w:b/>
          <w:sz w:val="24"/>
          <w:szCs w:val="24"/>
        </w:rPr>
        <w:t>Ref: Account 1588 Power</w:t>
      </w:r>
    </w:p>
    <w:p w14:paraId="60252098" w14:textId="4E6AF963" w:rsidR="00516AC1" w:rsidRDefault="00516AC1" w:rsidP="009624E3">
      <w:pPr>
        <w:rPr>
          <w:rFonts w:ascii="Arial" w:hAnsi="Arial" w:cs="Arial"/>
          <w:sz w:val="24"/>
          <w:szCs w:val="24"/>
        </w:rPr>
      </w:pPr>
      <w:r>
        <w:rPr>
          <w:rFonts w:ascii="Arial" w:hAnsi="Arial" w:cs="Arial"/>
          <w:sz w:val="24"/>
          <w:szCs w:val="24"/>
        </w:rPr>
        <w:t>In response to OEB staff question #5, Wasaga Distribution noted that “WDI provided the answers to this chart in the Preliminary GA questions that were filed on the OEB portal as well as to the case manager.”</w:t>
      </w:r>
      <w:r w:rsidR="000C7A50">
        <w:rPr>
          <w:rFonts w:ascii="Arial" w:hAnsi="Arial" w:cs="Arial"/>
          <w:sz w:val="24"/>
          <w:szCs w:val="24"/>
        </w:rPr>
        <w:t xml:space="preserve"> </w:t>
      </w:r>
      <w:r>
        <w:rPr>
          <w:rFonts w:ascii="Arial" w:hAnsi="Arial" w:cs="Arial"/>
          <w:sz w:val="24"/>
          <w:szCs w:val="24"/>
        </w:rPr>
        <w:t>Please note that OEB s</w:t>
      </w:r>
      <w:r w:rsidR="000C7A50">
        <w:rPr>
          <w:rFonts w:ascii="Arial" w:hAnsi="Arial" w:cs="Arial"/>
          <w:sz w:val="24"/>
          <w:szCs w:val="24"/>
        </w:rPr>
        <w:t>taff question #5 is related</w:t>
      </w:r>
      <w:r>
        <w:rPr>
          <w:rFonts w:ascii="Arial" w:hAnsi="Arial" w:cs="Arial"/>
          <w:sz w:val="24"/>
          <w:szCs w:val="24"/>
        </w:rPr>
        <w:t xml:space="preserve"> to balances in </w:t>
      </w:r>
      <w:r w:rsidRPr="00516AC1">
        <w:rPr>
          <w:rFonts w:ascii="Arial" w:hAnsi="Arial" w:cs="Arial"/>
          <w:sz w:val="24"/>
          <w:szCs w:val="24"/>
          <w:u w:val="single"/>
        </w:rPr>
        <w:t>Account 1588 Power</w:t>
      </w:r>
      <w:r>
        <w:rPr>
          <w:rFonts w:ascii="Arial" w:hAnsi="Arial" w:cs="Arial"/>
          <w:sz w:val="24"/>
          <w:szCs w:val="24"/>
        </w:rPr>
        <w:t xml:space="preserve">, not </w:t>
      </w:r>
      <w:r w:rsidR="000C7A50">
        <w:rPr>
          <w:rFonts w:ascii="Arial" w:hAnsi="Arial" w:cs="Arial"/>
          <w:sz w:val="24"/>
          <w:szCs w:val="24"/>
        </w:rPr>
        <w:t>related to Account 1589 GA which was included in the Preliminary GA questions.</w:t>
      </w:r>
    </w:p>
    <w:p w14:paraId="5421EED9" w14:textId="0D97487C" w:rsidR="00516AC1" w:rsidRDefault="000C7A50" w:rsidP="009624E3">
      <w:pPr>
        <w:rPr>
          <w:rFonts w:ascii="Arial" w:hAnsi="Arial" w:cs="Arial"/>
          <w:sz w:val="24"/>
          <w:szCs w:val="24"/>
        </w:rPr>
      </w:pPr>
      <w:r>
        <w:rPr>
          <w:rFonts w:ascii="Arial" w:hAnsi="Arial" w:cs="Arial"/>
          <w:sz w:val="24"/>
          <w:szCs w:val="24"/>
        </w:rPr>
        <w:t>Please provide answers to OEB staff question #5. (</w:t>
      </w:r>
      <w:proofErr w:type="gramStart"/>
      <w:r>
        <w:rPr>
          <w:rFonts w:ascii="Arial" w:hAnsi="Arial" w:cs="Arial"/>
          <w:sz w:val="24"/>
          <w:szCs w:val="24"/>
        </w:rPr>
        <w:t>as</w:t>
      </w:r>
      <w:proofErr w:type="gramEnd"/>
      <w:r>
        <w:rPr>
          <w:rFonts w:ascii="Arial" w:hAnsi="Arial" w:cs="Arial"/>
          <w:sz w:val="24"/>
          <w:szCs w:val="24"/>
        </w:rPr>
        <w:t xml:space="preserve"> following)</w:t>
      </w:r>
    </w:p>
    <w:p w14:paraId="3FFC8A78" w14:textId="4AEBD39C" w:rsidR="009624E3" w:rsidRDefault="009624E3" w:rsidP="009624E3">
      <w:pPr>
        <w:rPr>
          <w:rFonts w:ascii="Arial" w:hAnsi="Arial" w:cs="Arial"/>
          <w:sz w:val="24"/>
          <w:szCs w:val="24"/>
        </w:rPr>
      </w:pPr>
      <w:r w:rsidRPr="00A87532">
        <w:rPr>
          <w:rFonts w:ascii="Arial" w:hAnsi="Arial" w:cs="Arial"/>
          <w:sz w:val="24"/>
          <w:szCs w:val="24"/>
        </w:rPr>
        <w:t>With regards to the amount being requested for disposition of USoA 158</w:t>
      </w:r>
      <w:r>
        <w:rPr>
          <w:rFonts w:ascii="Arial" w:hAnsi="Arial" w:cs="Arial"/>
          <w:sz w:val="24"/>
          <w:szCs w:val="24"/>
        </w:rPr>
        <w:t>8</w:t>
      </w:r>
      <w:r w:rsidRPr="00A87532">
        <w:rPr>
          <w:rFonts w:ascii="Arial" w:hAnsi="Arial" w:cs="Arial"/>
          <w:sz w:val="24"/>
          <w:szCs w:val="24"/>
        </w:rPr>
        <w:t xml:space="preserve"> acc</w:t>
      </w:r>
      <w:r>
        <w:rPr>
          <w:rFonts w:ascii="Arial" w:hAnsi="Arial" w:cs="Arial"/>
          <w:sz w:val="24"/>
          <w:szCs w:val="24"/>
        </w:rPr>
        <w:t xml:space="preserve">ount balance as </w:t>
      </w:r>
      <w:r w:rsidRPr="009624E3">
        <w:rPr>
          <w:rFonts w:ascii="Arial" w:hAnsi="Arial" w:cs="Arial"/>
          <w:b/>
          <w:sz w:val="24"/>
          <w:szCs w:val="24"/>
        </w:rPr>
        <w:t>at Dec. 31, 2015 and Dec. 31, 2016</w:t>
      </w:r>
      <w:r w:rsidRPr="00A87532">
        <w:rPr>
          <w:rFonts w:ascii="Arial" w:hAnsi="Arial" w:cs="Arial"/>
          <w:sz w:val="24"/>
          <w:szCs w:val="24"/>
        </w:rPr>
        <w:t>, all components that flow into Account 158</w:t>
      </w:r>
      <w:r>
        <w:rPr>
          <w:rFonts w:ascii="Arial" w:hAnsi="Arial" w:cs="Arial"/>
          <w:sz w:val="24"/>
          <w:szCs w:val="24"/>
        </w:rPr>
        <w:t>8</w:t>
      </w:r>
      <w:r w:rsidRPr="00A87532">
        <w:rPr>
          <w:rFonts w:ascii="Arial" w:hAnsi="Arial" w:cs="Arial"/>
          <w:sz w:val="24"/>
          <w:szCs w:val="24"/>
        </w:rPr>
        <w:t xml:space="preserve">  (</w:t>
      </w:r>
      <w:proofErr w:type="spellStart"/>
      <w:r w:rsidRPr="00A87532">
        <w:rPr>
          <w:rFonts w:ascii="Arial" w:hAnsi="Arial" w:cs="Arial"/>
          <w:sz w:val="24"/>
          <w:szCs w:val="24"/>
        </w:rPr>
        <w:t>i</w:t>
      </w:r>
      <w:proofErr w:type="spellEnd"/>
      <w:r w:rsidRPr="00A87532">
        <w:rPr>
          <w:rFonts w:ascii="Arial" w:hAnsi="Arial" w:cs="Arial"/>
          <w:sz w:val="24"/>
          <w:szCs w:val="24"/>
        </w:rPr>
        <w:t xml:space="preserve"> to iv in table below) should be all based on actuals at year end. Plea</w:t>
      </w:r>
      <w:r>
        <w:rPr>
          <w:rFonts w:ascii="Arial" w:hAnsi="Arial" w:cs="Arial"/>
          <w:sz w:val="24"/>
          <w:szCs w:val="24"/>
        </w:rPr>
        <w:t xml:space="preserve">se complete the following table for 2015 and 2016 </w:t>
      </w:r>
      <w:r w:rsidRPr="00A87532">
        <w:rPr>
          <w:rFonts w:ascii="Arial" w:hAnsi="Arial" w:cs="Arial"/>
          <w:sz w:val="24"/>
          <w:szCs w:val="24"/>
        </w:rPr>
        <w:t>to</w:t>
      </w:r>
      <w:r>
        <w:rPr>
          <w:rFonts w:ascii="Arial" w:hAnsi="Arial" w:cs="Arial"/>
          <w:sz w:val="24"/>
          <w:szCs w:val="24"/>
        </w:rPr>
        <w:t>:</w:t>
      </w:r>
    </w:p>
    <w:p w14:paraId="5658F688" w14:textId="77777777" w:rsidR="009624E3" w:rsidRPr="00AD1178" w:rsidRDefault="009624E3" w:rsidP="009624E3">
      <w:pPr>
        <w:pStyle w:val="ListParagraph"/>
        <w:numPr>
          <w:ilvl w:val="0"/>
          <w:numId w:val="37"/>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2DF6B08D" w14:textId="77777777" w:rsidR="009624E3" w:rsidRPr="00AD1178" w:rsidRDefault="009624E3" w:rsidP="009624E3">
      <w:pPr>
        <w:pStyle w:val="ListParagraph"/>
        <w:numPr>
          <w:ilvl w:val="0"/>
          <w:numId w:val="37"/>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9624E3" w14:paraId="5D5B9F6F" w14:textId="77777777" w:rsidTr="00C424CA">
        <w:tc>
          <w:tcPr>
            <w:tcW w:w="389" w:type="dxa"/>
          </w:tcPr>
          <w:p w14:paraId="6BDFCF56" w14:textId="77777777" w:rsidR="009624E3" w:rsidRPr="00FE126C" w:rsidRDefault="009624E3" w:rsidP="00C424CA">
            <w:pPr>
              <w:rPr>
                <w:rFonts w:ascii="Arial" w:hAnsi="Arial" w:cs="Arial"/>
                <w:sz w:val="20"/>
                <w:szCs w:val="20"/>
              </w:rPr>
            </w:pPr>
          </w:p>
        </w:tc>
        <w:tc>
          <w:tcPr>
            <w:tcW w:w="2486" w:type="dxa"/>
          </w:tcPr>
          <w:p w14:paraId="04220657" w14:textId="77777777" w:rsidR="009624E3" w:rsidRPr="00FE126C" w:rsidRDefault="009624E3" w:rsidP="00C424CA">
            <w:pPr>
              <w:rPr>
                <w:rFonts w:ascii="Arial" w:hAnsi="Arial" w:cs="Arial"/>
                <w:b/>
                <w:sz w:val="20"/>
                <w:szCs w:val="20"/>
              </w:rPr>
            </w:pPr>
            <w:r w:rsidRPr="00FE126C">
              <w:rPr>
                <w:rFonts w:ascii="Arial" w:hAnsi="Arial" w:cs="Arial"/>
                <w:b/>
                <w:sz w:val="20"/>
                <w:szCs w:val="20"/>
              </w:rPr>
              <w:t>Component</w:t>
            </w:r>
          </w:p>
        </w:tc>
        <w:tc>
          <w:tcPr>
            <w:tcW w:w="1350" w:type="dxa"/>
          </w:tcPr>
          <w:p w14:paraId="2859E0E5" w14:textId="77777777" w:rsidR="009624E3" w:rsidRPr="00FE126C" w:rsidRDefault="009624E3" w:rsidP="00C424CA">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1B1567E4" w14:textId="77777777" w:rsidR="009624E3" w:rsidRPr="00FE126C" w:rsidRDefault="009624E3" w:rsidP="00C424CA">
            <w:pPr>
              <w:rPr>
                <w:rFonts w:ascii="Arial" w:hAnsi="Arial" w:cs="Arial"/>
                <w:b/>
                <w:sz w:val="20"/>
                <w:szCs w:val="20"/>
              </w:rPr>
            </w:pPr>
            <w:r w:rsidRPr="00FE126C">
              <w:rPr>
                <w:rFonts w:ascii="Arial" w:hAnsi="Arial" w:cs="Arial"/>
                <w:b/>
                <w:sz w:val="20"/>
                <w:szCs w:val="20"/>
              </w:rPr>
              <w:t>Notes/Comments</w:t>
            </w:r>
          </w:p>
        </w:tc>
        <w:tc>
          <w:tcPr>
            <w:tcW w:w="1980" w:type="dxa"/>
          </w:tcPr>
          <w:p w14:paraId="1F3F603C" w14:textId="77777777" w:rsidR="009624E3" w:rsidRPr="00FE126C" w:rsidRDefault="009624E3" w:rsidP="00C424CA">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9624E3" w14:paraId="4F7CF559" w14:textId="77777777" w:rsidTr="00C424CA">
        <w:trPr>
          <w:trHeight w:val="1385"/>
        </w:trPr>
        <w:tc>
          <w:tcPr>
            <w:tcW w:w="389" w:type="dxa"/>
          </w:tcPr>
          <w:p w14:paraId="1F0043A9" w14:textId="77777777" w:rsidR="009624E3" w:rsidRPr="00FE126C" w:rsidRDefault="009624E3" w:rsidP="00C424CA">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14:paraId="6830782B" w14:textId="77777777" w:rsidR="009624E3" w:rsidRPr="00FE126C" w:rsidRDefault="009624E3" w:rsidP="00C424CA">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47C9D151" w14:textId="77777777" w:rsidR="0088514D" w:rsidRDefault="0088514D" w:rsidP="00C424CA">
            <w:pPr>
              <w:rPr>
                <w:rFonts w:ascii="Arial" w:hAnsi="Arial" w:cs="Arial"/>
                <w:color w:val="0070C0"/>
                <w:sz w:val="20"/>
                <w:szCs w:val="20"/>
              </w:rPr>
            </w:pPr>
          </w:p>
          <w:p w14:paraId="267EF84B" w14:textId="4A20D3A3" w:rsidR="009624E3" w:rsidRPr="00FE126C" w:rsidRDefault="0088514D" w:rsidP="00C424CA">
            <w:pPr>
              <w:rPr>
                <w:rFonts w:ascii="Arial" w:hAnsi="Arial" w:cs="Arial"/>
                <w:sz w:val="20"/>
                <w:szCs w:val="20"/>
              </w:rPr>
            </w:pPr>
            <w:r w:rsidRPr="0088514D">
              <w:rPr>
                <w:rFonts w:ascii="Arial" w:hAnsi="Arial" w:cs="Arial"/>
                <w:color w:val="0070C0"/>
                <w:sz w:val="20"/>
                <w:szCs w:val="20"/>
              </w:rPr>
              <w:t>Actual</w:t>
            </w:r>
          </w:p>
        </w:tc>
        <w:tc>
          <w:tcPr>
            <w:tcW w:w="4230" w:type="dxa"/>
          </w:tcPr>
          <w:p w14:paraId="74FC5E8D" w14:textId="77777777" w:rsidR="0088514D" w:rsidRDefault="0088514D" w:rsidP="00C424CA">
            <w:pPr>
              <w:rPr>
                <w:rFonts w:ascii="Arial" w:hAnsi="Arial" w:cs="Arial"/>
                <w:color w:val="0070C0"/>
                <w:sz w:val="20"/>
                <w:szCs w:val="20"/>
              </w:rPr>
            </w:pPr>
          </w:p>
          <w:p w14:paraId="70081395" w14:textId="6863F0F9" w:rsidR="009624E3" w:rsidRPr="0088514D" w:rsidRDefault="0088514D" w:rsidP="00C424CA">
            <w:pPr>
              <w:rPr>
                <w:rFonts w:ascii="Arial" w:hAnsi="Arial" w:cs="Arial"/>
                <w:color w:val="0070C0"/>
                <w:sz w:val="20"/>
                <w:szCs w:val="20"/>
              </w:rPr>
            </w:pPr>
            <w:r>
              <w:rPr>
                <w:rFonts w:ascii="Arial" w:hAnsi="Arial" w:cs="Arial"/>
                <w:color w:val="0070C0"/>
                <w:sz w:val="20"/>
                <w:szCs w:val="20"/>
              </w:rPr>
              <w:t>Unbilled revenue at year end is recorded based on actual data</w:t>
            </w:r>
          </w:p>
        </w:tc>
        <w:tc>
          <w:tcPr>
            <w:tcW w:w="1980" w:type="dxa"/>
          </w:tcPr>
          <w:p w14:paraId="00E44021" w14:textId="77777777" w:rsidR="009624E3" w:rsidRPr="00FE126C" w:rsidRDefault="009624E3" w:rsidP="00C424CA">
            <w:pPr>
              <w:rPr>
                <w:rFonts w:ascii="Arial" w:hAnsi="Arial" w:cs="Arial"/>
                <w:sz w:val="20"/>
                <w:szCs w:val="20"/>
              </w:rPr>
            </w:pPr>
          </w:p>
        </w:tc>
      </w:tr>
      <w:tr w:rsidR="009624E3" w14:paraId="5798F911" w14:textId="77777777" w:rsidTr="00C424CA">
        <w:tc>
          <w:tcPr>
            <w:tcW w:w="389" w:type="dxa"/>
          </w:tcPr>
          <w:p w14:paraId="07DD3C7D" w14:textId="77777777" w:rsidR="009624E3" w:rsidRPr="00FE126C" w:rsidRDefault="009624E3" w:rsidP="00C424CA">
            <w:pPr>
              <w:rPr>
                <w:rFonts w:ascii="Arial" w:hAnsi="Arial" w:cs="Arial"/>
                <w:sz w:val="20"/>
                <w:szCs w:val="20"/>
              </w:rPr>
            </w:pPr>
            <w:r>
              <w:rPr>
                <w:rFonts w:ascii="Arial" w:hAnsi="Arial" w:cs="Arial"/>
                <w:sz w:val="20"/>
                <w:szCs w:val="20"/>
              </w:rPr>
              <w:t>ii</w:t>
            </w:r>
          </w:p>
        </w:tc>
        <w:tc>
          <w:tcPr>
            <w:tcW w:w="2486" w:type="dxa"/>
          </w:tcPr>
          <w:p w14:paraId="4D664E97" w14:textId="77777777" w:rsidR="009624E3" w:rsidRDefault="009624E3" w:rsidP="00C424CA">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246FEDA3" w14:textId="77777777" w:rsidR="0088514D" w:rsidRDefault="0088514D" w:rsidP="00C424CA">
            <w:pPr>
              <w:rPr>
                <w:rFonts w:ascii="Arial" w:hAnsi="Arial" w:cs="Arial"/>
                <w:color w:val="0070C0"/>
                <w:sz w:val="20"/>
                <w:szCs w:val="20"/>
              </w:rPr>
            </w:pPr>
          </w:p>
          <w:p w14:paraId="68E1E61F" w14:textId="5D207BB6" w:rsidR="009624E3" w:rsidRPr="0088514D" w:rsidRDefault="0088514D" w:rsidP="00C424CA">
            <w:pPr>
              <w:rPr>
                <w:rFonts w:ascii="Arial" w:hAnsi="Arial" w:cs="Arial"/>
                <w:color w:val="0070C0"/>
                <w:sz w:val="20"/>
                <w:szCs w:val="20"/>
              </w:rPr>
            </w:pPr>
            <w:r>
              <w:rPr>
                <w:rFonts w:ascii="Arial" w:hAnsi="Arial" w:cs="Arial"/>
                <w:color w:val="0070C0"/>
                <w:sz w:val="20"/>
                <w:szCs w:val="20"/>
              </w:rPr>
              <w:t>Actual</w:t>
            </w:r>
          </w:p>
        </w:tc>
        <w:tc>
          <w:tcPr>
            <w:tcW w:w="4230" w:type="dxa"/>
          </w:tcPr>
          <w:p w14:paraId="10C44D59" w14:textId="77777777" w:rsidR="0088514D" w:rsidRDefault="0088514D" w:rsidP="00C424CA">
            <w:pPr>
              <w:rPr>
                <w:rFonts w:ascii="Arial" w:hAnsi="Arial" w:cs="Arial"/>
                <w:color w:val="0070C0"/>
                <w:sz w:val="20"/>
                <w:szCs w:val="20"/>
              </w:rPr>
            </w:pPr>
          </w:p>
          <w:p w14:paraId="3D462959" w14:textId="29F21985" w:rsidR="009624E3" w:rsidRPr="00FE126C" w:rsidRDefault="0088514D" w:rsidP="00C424CA">
            <w:pPr>
              <w:rPr>
                <w:rFonts w:ascii="Arial" w:hAnsi="Arial" w:cs="Arial"/>
                <w:sz w:val="20"/>
                <w:szCs w:val="20"/>
              </w:rPr>
            </w:pPr>
            <w:r w:rsidRPr="0088514D">
              <w:rPr>
                <w:rFonts w:ascii="Arial" w:hAnsi="Arial" w:cs="Arial"/>
                <w:color w:val="0070C0"/>
                <w:sz w:val="20"/>
                <w:szCs w:val="20"/>
              </w:rPr>
              <w:t>Expenses related to commodity are based on the actual IESO invoice at year end.</w:t>
            </w:r>
          </w:p>
        </w:tc>
        <w:tc>
          <w:tcPr>
            <w:tcW w:w="1980" w:type="dxa"/>
          </w:tcPr>
          <w:p w14:paraId="47AD1F5C" w14:textId="77777777" w:rsidR="009624E3" w:rsidRPr="00FE126C" w:rsidRDefault="009624E3" w:rsidP="00C424CA">
            <w:pPr>
              <w:rPr>
                <w:rFonts w:ascii="Arial" w:hAnsi="Arial" w:cs="Arial"/>
                <w:sz w:val="20"/>
                <w:szCs w:val="20"/>
              </w:rPr>
            </w:pPr>
          </w:p>
        </w:tc>
      </w:tr>
      <w:tr w:rsidR="009624E3" w14:paraId="26FF5B8F" w14:textId="77777777" w:rsidTr="00C424CA">
        <w:trPr>
          <w:trHeight w:val="1628"/>
        </w:trPr>
        <w:tc>
          <w:tcPr>
            <w:tcW w:w="389" w:type="dxa"/>
          </w:tcPr>
          <w:p w14:paraId="2297E98E" w14:textId="77777777" w:rsidR="009624E3" w:rsidRPr="00FE126C" w:rsidRDefault="009624E3" w:rsidP="00C424CA">
            <w:pPr>
              <w:rPr>
                <w:rFonts w:ascii="Arial" w:hAnsi="Arial" w:cs="Arial"/>
                <w:sz w:val="20"/>
                <w:szCs w:val="20"/>
              </w:rPr>
            </w:pPr>
            <w:r>
              <w:rPr>
                <w:rFonts w:ascii="Arial" w:hAnsi="Arial" w:cs="Arial"/>
                <w:sz w:val="20"/>
                <w:szCs w:val="20"/>
              </w:rPr>
              <w:t>iii</w:t>
            </w:r>
          </w:p>
        </w:tc>
        <w:tc>
          <w:tcPr>
            <w:tcW w:w="2486" w:type="dxa"/>
          </w:tcPr>
          <w:p w14:paraId="38E7A109" w14:textId="77777777" w:rsidR="009624E3" w:rsidRPr="00FE126C" w:rsidRDefault="009624E3" w:rsidP="00C424CA">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55D8080D" w14:textId="77777777" w:rsidR="009624E3" w:rsidRDefault="009624E3" w:rsidP="00C424CA">
            <w:pPr>
              <w:rPr>
                <w:rFonts w:ascii="Arial" w:hAnsi="Arial" w:cs="Arial"/>
                <w:sz w:val="20"/>
                <w:szCs w:val="20"/>
              </w:rPr>
            </w:pPr>
          </w:p>
          <w:p w14:paraId="2919B5CE" w14:textId="5BB9C7D1" w:rsidR="0088514D" w:rsidRPr="00FE126C" w:rsidRDefault="0088514D" w:rsidP="00C424CA">
            <w:pPr>
              <w:rPr>
                <w:rFonts w:ascii="Arial" w:hAnsi="Arial" w:cs="Arial"/>
                <w:sz w:val="20"/>
                <w:szCs w:val="20"/>
              </w:rPr>
            </w:pPr>
            <w:r w:rsidRPr="0088514D">
              <w:rPr>
                <w:rFonts w:ascii="Arial" w:hAnsi="Arial" w:cs="Arial"/>
                <w:color w:val="0070C0"/>
                <w:sz w:val="20"/>
                <w:szCs w:val="20"/>
              </w:rPr>
              <w:t>Actual</w:t>
            </w:r>
          </w:p>
        </w:tc>
        <w:tc>
          <w:tcPr>
            <w:tcW w:w="4230" w:type="dxa"/>
          </w:tcPr>
          <w:p w14:paraId="013388C0" w14:textId="77777777" w:rsidR="009624E3" w:rsidRDefault="009624E3" w:rsidP="00C424CA">
            <w:pPr>
              <w:rPr>
                <w:rFonts w:ascii="Arial" w:hAnsi="Arial" w:cs="Arial"/>
                <w:sz w:val="20"/>
                <w:szCs w:val="20"/>
              </w:rPr>
            </w:pPr>
          </w:p>
          <w:p w14:paraId="5A606A03" w14:textId="2A15DD1E" w:rsidR="0088514D" w:rsidRPr="0088514D" w:rsidRDefault="0088514D" w:rsidP="00C424CA">
            <w:pPr>
              <w:rPr>
                <w:rFonts w:ascii="Arial" w:hAnsi="Arial" w:cs="Arial"/>
                <w:color w:val="0070C0"/>
                <w:sz w:val="20"/>
                <w:szCs w:val="20"/>
              </w:rPr>
            </w:pPr>
            <w:r>
              <w:rPr>
                <w:rFonts w:ascii="Arial" w:hAnsi="Arial" w:cs="Arial"/>
                <w:color w:val="0070C0"/>
                <w:sz w:val="20"/>
                <w:szCs w:val="20"/>
              </w:rPr>
              <w:t>Expenses related to the split between the GA for RPP customers and the GA for non-RPP customers are prorated based on the actual data at year end.</w:t>
            </w:r>
          </w:p>
        </w:tc>
        <w:tc>
          <w:tcPr>
            <w:tcW w:w="1980" w:type="dxa"/>
          </w:tcPr>
          <w:p w14:paraId="3FCFEE8D" w14:textId="77777777" w:rsidR="009624E3" w:rsidRPr="00FE126C" w:rsidRDefault="009624E3" w:rsidP="00C424CA">
            <w:pPr>
              <w:rPr>
                <w:rFonts w:ascii="Arial" w:hAnsi="Arial" w:cs="Arial"/>
                <w:sz w:val="20"/>
                <w:szCs w:val="20"/>
              </w:rPr>
            </w:pPr>
          </w:p>
        </w:tc>
      </w:tr>
      <w:tr w:rsidR="009624E3" w14:paraId="07AEA68F" w14:textId="77777777" w:rsidTr="00C424CA">
        <w:tc>
          <w:tcPr>
            <w:tcW w:w="389" w:type="dxa"/>
          </w:tcPr>
          <w:p w14:paraId="2D68499A" w14:textId="77777777" w:rsidR="009624E3" w:rsidRPr="00FE126C" w:rsidRDefault="009624E3" w:rsidP="00C424CA">
            <w:pPr>
              <w:rPr>
                <w:rFonts w:ascii="Arial" w:hAnsi="Arial" w:cs="Arial"/>
                <w:sz w:val="20"/>
                <w:szCs w:val="20"/>
              </w:rPr>
            </w:pPr>
            <w:r>
              <w:rPr>
                <w:rFonts w:ascii="Arial" w:hAnsi="Arial" w:cs="Arial"/>
                <w:sz w:val="20"/>
                <w:szCs w:val="20"/>
              </w:rPr>
              <w:t>iv</w:t>
            </w:r>
          </w:p>
        </w:tc>
        <w:tc>
          <w:tcPr>
            <w:tcW w:w="2486" w:type="dxa"/>
          </w:tcPr>
          <w:p w14:paraId="14DC6BD2" w14:textId="77777777" w:rsidR="009624E3" w:rsidRPr="00FE126C" w:rsidRDefault="009624E3" w:rsidP="00C424CA">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128107E0" w14:textId="77777777" w:rsidR="0088514D" w:rsidRDefault="0088514D" w:rsidP="00C424CA">
            <w:pPr>
              <w:rPr>
                <w:rFonts w:ascii="Arial" w:hAnsi="Arial" w:cs="Arial"/>
                <w:color w:val="0070C0"/>
                <w:sz w:val="20"/>
                <w:szCs w:val="20"/>
              </w:rPr>
            </w:pPr>
          </w:p>
          <w:p w14:paraId="672106B7" w14:textId="23D08B69" w:rsidR="009624E3" w:rsidRPr="00FE126C" w:rsidRDefault="0088514D" w:rsidP="00C424CA">
            <w:pPr>
              <w:rPr>
                <w:rFonts w:ascii="Arial" w:hAnsi="Arial" w:cs="Arial"/>
                <w:sz w:val="20"/>
                <w:szCs w:val="20"/>
              </w:rPr>
            </w:pPr>
            <w:r w:rsidRPr="0088514D">
              <w:rPr>
                <w:rFonts w:ascii="Arial" w:hAnsi="Arial" w:cs="Arial"/>
                <w:color w:val="0070C0"/>
                <w:sz w:val="20"/>
                <w:szCs w:val="20"/>
              </w:rPr>
              <w:t>Actual</w:t>
            </w:r>
          </w:p>
        </w:tc>
        <w:tc>
          <w:tcPr>
            <w:tcW w:w="4230" w:type="dxa"/>
          </w:tcPr>
          <w:p w14:paraId="7B17CFD9" w14:textId="77777777" w:rsidR="009624E3" w:rsidRDefault="009624E3" w:rsidP="00C424CA">
            <w:pPr>
              <w:rPr>
                <w:rFonts w:ascii="Arial" w:hAnsi="Arial" w:cs="Arial"/>
                <w:sz w:val="20"/>
                <w:szCs w:val="20"/>
              </w:rPr>
            </w:pPr>
          </w:p>
          <w:p w14:paraId="790B99DB" w14:textId="5B8DAFDE" w:rsidR="0088514D" w:rsidRPr="00FE126C" w:rsidRDefault="0088514D" w:rsidP="00C424CA">
            <w:pPr>
              <w:rPr>
                <w:rFonts w:ascii="Arial" w:hAnsi="Arial" w:cs="Arial"/>
                <w:sz w:val="20"/>
                <w:szCs w:val="20"/>
              </w:rPr>
            </w:pPr>
            <w:r w:rsidRPr="0088514D">
              <w:rPr>
                <w:rFonts w:ascii="Arial" w:hAnsi="Arial" w:cs="Arial"/>
                <w:color w:val="0070C0"/>
                <w:sz w:val="20"/>
                <w:szCs w:val="20"/>
              </w:rPr>
              <w:t>See response to iii)</w:t>
            </w:r>
          </w:p>
        </w:tc>
        <w:tc>
          <w:tcPr>
            <w:tcW w:w="1980" w:type="dxa"/>
          </w:tcPr>
          <w:p w14:paraId="4D1A5EAB" w14:textId="77777777" w:rsidR="009624E3" w:rsidRPr="00FE126C" w:rsidRDefault="009624E3" w:rsidP="00C424CA">
            <w:pPr>
              <w:rPr>
                <w:rFonts w:ascii="Arial" w:hAnsi="Arial" w:cs="Arial"/>
                <w:sz w:val="20"/>
                <w:szCs w:val="20"/>
              </w:rPr>
            </w:pPr>
          </w:p>
        </w:tc>
      </w:tr>
      <w:tr w:rsidR="009624E3" w14:paraId="3FCB74CF" w14:textId="77777777" w:rsidTr="00C424CA">
        <w:tc>
          <w:tcPr>
            <w:tcW w:w="389" w:type="dxa"/>
          </w:tcPr>
          <w:p w14:paraId="523866A8" w14:textId="77777777" w:rsidR="009624E3" w:rsidRPr="00FE126C" w:rsidRDefault="009624E3" w:rsidP="00C424CA">
            <w:pPr>
              <w:rPr>
                <w:rFonts w:ascii="Arial" w:hAnsi="Arial" w:cs="Arial"/>
                <w:sz w:val="20"/>
                <w:szCs w:val="20"/>
              </w:rPr>
            </w:pPr>
            <w:r>
              <w:rPr>
                <w:rFonts w:ascii="Arial" w:hAnsi="Arial" w:cs="Arial"/>
                <w:sz w:val="20"/>
                <w:szCs w:val="20"/>
              </w:rPr>
              <w:t>v</w:t>
            </w:r>
          </w:p>
        </w:tc>
        <w:tc>
          <w:tcPr>
            <w:tcW w:w="2486" w:type="dxa"/>
          </w:tcPr>
          <w:p w14:paraId="58C72966" w14:textId="77777777" w:rsidR="009624E3" w:rsidRPr="00FE126C" w:rsidRDefault="009624E3" w:rsidP="00C424CA">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 xml:space="preserve">including any data used for determining </w:t>
            </w:r>
            <w:r w:rsidRPr="007B4E89">
              <w:rPr>
                <w:rFonts w:ascii="Arial" w:hAnsi="Arial" w:cs="Arial"/>
                <w:sz w:val="20"/>
                <w:szCs w:val="20"/>
              </w:rPr>
              <w:lastRenderedPageBreak/>
              <w:t>the RPP/HOEP/RPP GA components of  the charge type</w:t>
            </w:r>
          </w:p>
        </w:tc>
        <w:tc>
          <w:tcPr>
            <w:tcW w:w="1350" w:type="dxa"/>
          </w:tcPr>
          <w:p w14:paraId="53293AB0" w14:textId="77777777" w:rsidR="00F63935" w:rsidRDefault="00F63935" w:rsidP="00C424CA">
            <w:pPr>
              <w:rPr>
                <w:rFonts w:ascii="Arial" w:hAnsi="Arial" w:cs="Arial"/>
                <w:color w:val="0070C0"/>
                <w:sz w:val="20"/>
                <w:szCs w:val="20"/>
              </w:rPr>
            </w:pPr>
          </w:p>
          <w:p w14:paraId="6B8C1D3F" w14:textId="54943025" w:rsidR="009624E3" w:rsidRPr="00FE126C" w:rsidRDefault="00F63935" w:rsidP="00C424CA">
            <w:pPr>
              <w:rPr>
                <w:rFonts w:ascii="Arial" w:hAnsi="Arial" w:cs="Arial"/>
                <w:sz w:val="20"/>
                <w:szCs w:val="20"/>
              </w:rPr>
            </w:pPr>
            <w:r>
              <w:rPr>
                <w:rFonts w:ascii="Arial" w:hAnsi="Arial" w:cs="Arial"/>
                <w:color w:val="0070C0"/>
                <w:sz w:val="20"/>
                <w:szCs w:val="20"/>
              </w:rPr>
              <w:t>Actual</w:t>
            </w:r>
          </w:p>
        </w:tc>
        <w:tc>
          <w:tcPr>
            <w:tcW w:w="4230" w:type="dxa"/>
          </w:tcPr>
          <w:p w14:paraId="6FBD5836" w14:textId="77777777" w:rsidR="009624E3" w:rsidRDefault="009624E3" w:rsidP="00C424CA">
            <w:pPr>
              <w:rPr>
                <w:rFonts w:ascii="Arial" w:hAnsi="Arial" w:cs="Arial"/>
                <w:sz w:val="20"/>
                <w:szCs w:val="20"/>
              </w:rPr>
            </w:pPr>
          </w:p>
          <w:p w14:paraId="5407E46A" w14:textId="24B8B852" w:rsidR="00F63935" w:rsidRPr="00F63935" w:rsidRDefault="00F63935" w:rsidP="00C424CA">
            <w:pPr>
              <w:rPr>
                <w:rFonts w:ascii="Arial" w:hAnsi="Arial" w:cs="Arial"/>
                <w:color w:val="0070C0"/>
                <w:sz w:val="20"/>
                <w:szCs w:val="20"/>
              </w:rPr>
            </w:pPr>
            <w:r>
              <w:rPr>
                <w:rFonts w:ascii="Arial" w:hAnsi="Arial" w:cs="Arial"/>
                <w:color w:val="0070C0"/>
                <w:sz w:val="20"/>
                <w:szCs w:val="20"/>
              </w:rPr>
              <w:t>Charge Type 142 goes completely to Power as per OEB guidelines.</w:t>
            </w:r>
          </w:p>
          <w:p w14:paraId="794AE901" w14:textId="77777777" w:rsidR="00F63935" w:rsidRPr="00FE126C" w:rsidRDefault="00F63935" w:rsidP="00C424CA">
            <w:pPr>
              <w:rPr>
                <w:rFonts w:ascii="Arial" w:hAnsi="Arial" w:cs="Arial"/>
                <w:sz w:val="20"/>
                <w:szCs w:val="20"/>
              </w:rPr>
            </w:pPr>
          </w:p>
        </w:tc>
        <w:tc>
          <w:tcPr>
            <w:tcW w:w="1980" w:type="dxa"/>
          </w:tcPr>
          <w:p w14:paraId="49D9B397" w14:textId="77777777" w:rsidR="009624E3" w:rsidRPr="00FE126C" w:rsidRDefault="009624E3" w:rsidP="00C424CA">
            <w:pPr>
              <w:rPr>
                <w:rFonts w:ascii="Arial" w:hAnsi="Arial" w:cs="Arial"/>
                <w:sz w:val="20"/>
                <w:szCs w:val="20"/>
              </w:rPr>
            </w:pPr>
          </w:p>
        </w:tc>
      </w:tr>
    </w:tbl>
    <w:p w14:paraId="7B4CF194" w14:textId="77777777" w:rsidR="009624E3" w:rsidRDefault="009624E3" w:rsidP="009624E3">
      <w:pPr>
        <w:rPr>
          <w:rFonts w:ascii="Arial" w:hAnsi="Arial" w:cs="Arial"/>
          <w:b/>
          <w:bCs/>
          <w:i/>
          <w:sz w:val="24"/>
          <w:szCs w:val="24"/>
        </w:rPr>
      </w:pPr>
    </w:p>
    <w:p w14:paraId="20B0C8DD" w14:textId="77777777" w:rsidR="00EF148C" w:rsidRDefault="00EF148C" w:rsidP="00EF148C">
      <w:pPr>
        <w:pStyle w:val="ListParagraph"/>
        <w:rPr>
          <w:rFonts w:ascii="Arial" w:hAnsi="Arial" w:cs="Arial"/>
          <w:color w:val="0070C0"/>
          <w:sz w:val="24"/>
          <w:szCs w:val="24"/>
        </w:rPr>
      </w:pPr>
      <w:r>
        <w:rPr>
          <w:rFonts w:ascii="Arial" w:hAnsi="Arial" w:cs="Arial"/>
          <w:color w:val="0070C0"/>
          <w:sz w:val="24"/>
          <w:szCs w:val="24"/>
        </w:rPr>
        <w:t>WDI Response:</w:t>
      </w:r>
    </w:p>
    <w:p w14:paraId="391699FB" w14:textId="77777777" w:rsidR="00EF148C" w:rsidRDefault="00EF148C" w:rsidP="00EF148C">
      <w:pPr>
        <w:pStyle w:val="ListParagraph"/>
        <w:rPr>
          <w:rFonts w:ascii="Arial" w:hAnsi="Arial" w:cs="Arial"/>
          <w:color w:val="0070C0"/>
          <w:sz w:val="24"/>
          <w:szCs w:val="24"/>
        </w:rPr>
      </w:pPr>
    </w:p>
    <w:p w14:paraId="7A1C0864" w14:textId="29BEDD21" w:rsidR="00EF148C" w:rsidRDefault="00EF148C" w:rsidP="00EF148C">
      <w:pPr>
        <w:pStyle w:val="ListParagraph"/>
        <w:rPr>
          <w:rFonts w:ascii="Arial" w:hAnsi="Arial" w:cs="Arial"/>
          <w:color w:val="0070C0"/>
          <w:sz w:val="24"/>
          <w:szCs w:val="24"/>
        </w:rPr>
      </w:pPr>
      <w:r>
        <w:rPr>
          <w:rFonts w:ascii="Arial" w:hAnsi="Arial" w:cs="Arial"/>
          <w:color w:val="0070C0"/>
          <w:sz w:val="24"/>
          <w:szCs w:val="24"/>
        </w:rPr>
        <w:t>The above chart has been completed for both years – if there is a different answer between the two years it will be stated.</w:t>
      </w:r>
    </w:p>
    <w:p w14:paraId="1A360552" w14:textId="77777777" w:rsidR="00EF148C" w:rsidRPr="00EF148C" w:rsidRDefault="00EF148C" w:rsidP="00EF148C">
      <w:pPr>
        <w:pStyle w:val="ListParagraph"/>
        <w:rPr>
          <w:rFonts w:ascii="Arial" w:hAnsi="Arial" w:cs="Arial"/>
          <w:bCs/>
          <w:sz w:val="24"/>
          <w:szCs w:val="24"/>
        </w:rPr>
      </w:pPr>
    </w:p>
    <w:p w14:paraId="51DCA670" w14:textId="0C56C307" w:rsidR="009624E3" w:rsidRPr="004A1F51" w:rsidRDefault="009624E3" w:rsidP="009624E3">
      <w:pPr>
        <w:pStyle w:val="ListParagraph"/>
        <w:numPr>
          <w:ilvl w:val="0"/>
          <w:numId w:val="37"/>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w:t>
      </w:r>
      <w:r>
        <w:rPr>
          <w:rFonts w:ascii="Arial" w:hAnsi="Arial" w:cs="Arial"/>
          <w:sz w:val="24"/>
          <w:szCs w:val="24"/>
        </w:rPr>
        <w:t>b 3 Continuity Schedule for 2015 and 2016</w:t>
      </w:r>
      <w:r w:rsidRPr="00583F39">
        <w:rPr>
          <w:rFonts w:ascii="Arial" w:hAnsi="Arial" w:cs="Arial"/>
          <w:sz w:val="24"/>
          <w:szCs w:val="24"/>
        </w:rPr>
        <w:t xml:space="preserve"> ha</w:t>
      </w:r>
      <w:r w:rsidR="007316A3">
        <w:rPr>
          <w:rFonts w:ascii="Arial" w:hAnsi="Arial" w:cs="Arial"/>
          <w:sz w:val="24"/>
          <w:szCs w:val="24"/>
        </w:rPr>
        <w:t>s</w:t>
      </w:r>
      <w:r w:rsidRPr="00583F39">
        <w:rPr>
          <w:rFonts w:ascii="Arial" w:hAnsi="Arial" w:cs="Arial"/>
          <w:sz w:val="24"/>
          <w:szCs w:val="24"/>
        </w:rPr>
        <w:t xml:space="preserve"> been adjusted for settlement true-ups where settlement was originally based on estimate and trued up to actuals subsequent to </w:t>
      </w:r>
      <w:r>
        <w:rPr>
          <w:rFonts w:ascii="Arial" w:hAnsi="Arial" w:cs="Arial"/>
          <w:sz w:val="24"/>
          <w:szCs w:val="24"/>
        </w:rPr>
        <w:t xml:space="preserve">2015 and </w:t>
      </w:r>
      <w:r w:rsidRPr="00583F39">
        <w:rPr>
          <w:rFonts w:ascii="Arial" w:hAnsi="Arial" w:cs="Arial"/>
          <w:sz w:val="24"/>
          <w:szCs w:val="24"/>
        </w:rPr>
        <w:t>2016</w:t>
      </w:r>
      <w:r>
        <w:rPr>
          <w:rFonts w:ascii="Arial" w:hAnsi="Arial" w:cs="Arial"/>
          <w:sz w:val="24"/>
          <w:szCs w:val="24"/>
        </w:rPr>
        <w:t>.</w:t>
      </w:r>
    </w:p>
    <w:p w14:paraId="7710D527" w14:textId="77777777" w:rsidR="004A1F51" w:rsidRDefault="004A1F51" w:rsidP="004A1F51">
      <w:pPr>
        <w:pStyle w:val="ListParagraph"/>
        <w:ind w:left="1080"/>
        <w:rPr>
          <w:rFonts w:ascii="Arial" w:hAnsi="Arial" w:cs="Arial"/>
          <w:sz w:val="24"/>
          <w:szCs w:val="24"/>
        </w:rPr>
      </w:pPr>
    </w:p>
    <w:p w14:paraId="603EDF98" w14:textId="77777777" w:rsidR="004A1F51" w:rsidRDefault="004A1F51" w:rsidP="004A1F51">
      <w:pPr>
        <w:pStyle w:val="ListParagraph"/>
        <w:rPr>
          <w:rFonts w:ascii="Arial" w:hAnsi="Arial" w:cs="Arial"/>
          <w:color w:val="0070C0"/>
          <w:sz w:val="24"/>
          <w:szCs w:val="24"/>
        </w:rPr>
      </w:pPr>
      <w:r>
        <w:rPr>
          <w:rFonts w:ascii="Arial" w:hAnsi="Arial" w:cs="Arial"/>
          <w:color w:val="0070C0"/>
          <w:sz w:val="24"/>
          <w:szCs w:val="24"/>
        </w:rPr>
        <w:t>WDI Response:</w:t>
      </w:r>
    </w:p>
    <w:p w14:paraId="6714B1FE" w14:textId="77777777" w:rsidR="004A1F51" w:rsidRDefault="004A1F51" w:rsidP="004A1F51">
      <w:pPr>
        <w:pStyle w:val="ListParagraph"/>
        <w:rPr>
          <w:rFonts w:ascii="Arial" w:hAnsi="Arial" w:cs="Arial"/>
          <w:color w:val="0070C0"/>
          <w:sz w:val="24"/>
          <w:szCs w:val="24"/>
        </w:rPr>
      </w:pPr>
    </w:p>
    <w:p w14:paraId="1FFD4D12" w14:textId="2C6F29FE" w:rsidR="004A1F51" w:rsidRDefault="004A1F51" w:rsidP="004A1F51">
      <w:pPr>
        <w:pStyle w:val="ListParagraph"/>
        <w:rPr>
          <w:rFonts w:ascii="Arial" w:hAnsi="Arial" w:cs="Arial"/>
          <w:color w:val="0070C0"/>
          <w:sz w:val="24"/>
          <w:szCs w:val="24"/>
        </w:rPr>
      </w:pPr>
      <w:r>
        <w:rPr>
          <w:rFonts w:ascii="Arial" w:hAnsi="Arial" w:cs="Arial"/>
          <w:color w:val="0070C0"/>
          <w:sz w:val="24"/>
          <w:szCs w:val="24"/>
        </w:rPr>
        <w:t xml:space="preserve">When WDI completed its’ initial Rate Application and filed the Rate Generator model WDI_2018IRM Rate Generator Model_20171106 the balances reflected in both Account 1588 and 1589 were the corrected amounts that were </w:t>
      </w:r>
      <w:r w:rsidR="00060E92">
        <w:rPr>
          <w:rFonts w:ascii="Arial" w:hAnsi="Arial" w:cs="Arial"/>
          <w:color w:val="0070C0"/>
          <w:sz w:val="24"/>
          <w:szCs w:val="24"/>
        </w:rPr>
        <w:t>discovered/</w:t>
      </w:r>
      <w:r>
        <w:rPr>
          <w:rFonts w:ascii="Arial" w:hAnsi="Arial" w:cs="Arial"/>
          <w:color w:val="0070C0"/>
          <w:sz w:val="24"/>
          <w:szCs w:val="24"/>
        </w:rPr>
        <w:t>completed during the Special Purpose Audit Engagement. Th</w:t>
      </w:r>
      <w:r w:rsidR="00060E92">
        <w:rPr>
          <w:rFonts w:ascii="Arial" w:hAnsi="Arial" w:cs="Arial"/>
          <w:color w:val="0070C0"/>
          <w:sz w:val="24"/>
          <w:szCs w:val="24"/>
        </w:rPr>
        <w:t xml:space="preserve">at </w:t>
      </w:r>
      <w:r>
        <w:rPr>
          <w:rFonts w:ascii="Arial" w:hAnsi="Arial" w:cs="Arial"/>
          <w:color w:val="0070C0"/>
          <w:sz w:val="24"/>
          <w:szCs w:val="24"/>
        </w:rPr>
        <w:t xml:space="preserve">report was submitted during the follow up questions from OEB Staff on November 27, 2017. </w:t>
      </w:r>
    </w:p>
    <w:p w14:paraId="5BCE2776" w14:textId="77777777" w:rsidR="004A1F51" w:rsidRPr="004A1F51" w:rsidRDefault="004A1F51" w:rsidP="004A1F51">
      <w:pPr>
        <w:pStyle w:val="ListParagraph"/>
        <w:ind w:left="1080"/>
        <w:rPr>
          <w:rFonts w:ascii="Arial" w:hAnsi="Arial" w:cs="Arial"/>
          <w:sz w:val="24"/>
          <w:szCs w:val="24"/>
        </w:rPr>
      </w:pPr>
    </w:p>
    <w:p w14:paraId="18E9F147" w14:textId="77777777" w:rsidR="00782C54" w:rsidRDefault="00782C54" w:rsidP="00913698">
      <w:pPr>
        <w:pStyle w:val="ListParagraph"/>
        <w:rPr>
          <w:rFonts w:ascii="Arial" w:hAnsi="Arial" w:cs="Arial"/>
          <w:sz w:val="24"/>
          <w:szCs w:val="24"/>
        </w:rPr>
      </w:pPr>
    </w:p>
    <w:p w14:paraId="61D9FB6B" w14:textId="77777777" w:rsidR="00913698" w:rsidRDefault="00913698" w:rsidP="00913698">
      <w:pPr>
        <w:rPr>
          <w:rFonts w:ascii="Arial" w:hAnsi="Arial" w:cs="Arial"/>
          <w:sz w:val="24"/>
          <w:szCs w:val="24"/>
        </w:rPr>
      </w:pPr>
    </w:p>
    <w:p w14:paraId="028F34C8" w14:textId="77777777" w:rsidR="00913698" w:rsidRPr="00913698" w:rsidRDefault="00913698" w:rsidP="00913698">
      <w:pPr>
        <w:rPr>
          <w:rFonts w:ascii="Arial" w:hAnsi="Arial" w:cs="Arial"/>
          <w:sz w:val="24"/>
          <w:szCs w:val="24"/>
        </w:rPr>
      </w:pPr>
    </w:p>
    <w:p w14:paraId="4AE88844" w14:textId="77777777" w:rsidR="00B076A5" w:rsidRDefault="00B076A5" w:rsidP="00B076A5">
      <w:pPr>
        <w:pStyle w:val="ListParagraph"/>
        <w:rPr>
          <w:rFonts w:ascii="Arial" w:hAnsi="Arial" w:cs="Arial"/>
          <w:b/>
          <w:sz w:val="24"/>
          <w:szCs w:val="24"/>
        </w:rPr>
      </w:pPr>
    </w:p>
    <w:p w14:paraId="55C0679B" w14:textId="77777777" w:rsidR="003F7D01" w:rsidRDefault="003F7D01" w:rsidP="00B076A5">
      <w:pPr>
        <w:pStyle w:val="ListParagraph"/>
        <w:rPr>
          <w:rFonts w:ascii="Arial" w:hAnsi="Arial" w:cs="Arial"/>
          <w:b/>
          <w:sz w:val="24"/>
          <w:szCs w:val="24"/>
        </w:rPr>
      </w:pPr>
    </w:p>
    <w:p w14:paraId="51537A0D" w14:textId="77777777"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F602" w14:textId="77777777" w:rsidR="00C17B6F" w:rsidRDefault="00C17B6F" w:rsidP="00851418">
      <w:pPr>
        <w:spacing w:after="0" w:line="240" w:lineRule="auto"/>
      </w:pPr>
      <w:r>
        <w:separator/>
      </w:r>
    </w:p>
  </w:endnote>
  <w:endnote w:type="continuationSeparator" w:id="0">
    <w:p w14:paraId="41A38059" w14:textId="77777777" w:rsidR="00C17B6F" w:rsidRDefault="00C17B6F"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603130"/>
      <w:docPartObj>
        <w:docPartGallery w:val="Page Numbers (Bottom of Page)"/>
        <w:docPartUnique/>
      </w:docPartObj>
    </w:sdtPr>
    <w:sdtEndPr>
      <w:rPr>
        <w:noProof/>
      </w:rPr>
    </w:sdtEndPr>
    <w:sdtContent>
      <w:p w14:paraId="2874CC4D" w14:textId="35593CA7" w:rsidR="0029152A" w:rsidRDefault="0029152A">
        <w:pPr>
          <w:pStyle w:val="Footer"/>
          <w:jc w:val="center"/>
        </w:pPr>
        <w:r>
          <w:fldChar w:fldCharType="begin"/>
        </w:r>
        <w:r>
          <w:instrText xml:space="preserve"> PAGE   \* MERGEFORMAT </w:instrText>
        </w:r>
        <w:r>
          <w:fldChar w:fldCharType="separate"/>
        </w:r>
        <w:r w:rsidR="00DC54D8">
          <w:rPr>
            <w:noProof/>
          </w:rPr>
          <w:t>4</w:t>
        </w:r>
        <w:r>
          <w:rPr>
            <w:noProof/>
          </w:rPr>
          <w:fldChar w:fldCharType="end"/>
        </w:r>
      </w:p>
    </w:sdtContent>
  </w:sdt>
  <w:p w14:paraId="23CE7B9E" w14:textId="77777777" w:rsidR="0029152A" w:rsidRDefault="00291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44875" w14:textId="77777777" w:rsidR="00C17B6F" w:rsidRDefault="00C17B6F" w:rsidP="00851418">
      <w:pPr>
        <w:spacing w:after="0" w:line="240" w:lineRule="auto"/>
      </w:pPr>
      <w:r>
        <w:separator/>
      </w:r>
    </w:p>
  </w:footnote>
  <w:footnote w:type="continuationSeparator" w:id="0">
    <w:p w14:paraId="5C5EC112" w14:textId="77777777" w:rsidR="00C17B6F" w:rsidRDefault="00C17B6F"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1A6F" w14:textId="77777777" w:rsidR="00851418" w:rsidRDefault="00D5062F">
    <w:pPr>
      <w:pStyle w:val="Header"/>
    </w:pPr>
    <w:r>
      <w:ptab w:relativeTo="margin" w:alignment="center" w:leader="none"/>
    </w:r>
    <w:r>
      <w:ptab w:relativeTo="margin" w:alignment="right" w:leader="none"/>
    </w:r>
    <w:r w:rsidR="005C0AC7">
      <w:t>Wasaga Distribution Incorporated</w:t>
    </w:r>
  </w:p>
  <w:p w14:paraId="2E53E014" w14:textId="77777777" w:rsidR="00E8235A" w:rsidRDefault="005C0AC7">
    <w:pPr>
      <w:pStyle w:val="Header"/>
    </w:pPr>
    <w:r>
      <w:tab/>
    </w:r>
    <w:r>
      <w:tab/>
      <w:t>EB-2017-0079</w:t>
    </w:r>
  </w:p>
  <w:p w14:paraId="62C82B3E" w14:textId="77777777" w:rsidR="00D5062F" w:rsidRDefault="0029152A" w:rsidP="0029152A">
    <w:pPr>
      <w:pStyle w:val="Header"/>
    </w:pPr>
    <w:r>
      <w:tab/>
    </w:r>
    <w:r w:rsidR="00D5062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6C2CFB"/>
    <w:multiLevelType w:val="hybridMultilevel"/>
    <w:tmpl w:val="8278B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CE32CBD"/>
    <w:multiLevelType w:val="hybridMultilevel"/>
    <w:tmpl w:val="DAEAE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0A20630"/>
    <w:multiLevelType w:val="hybridMultilevel"/>
    <w:tmpl w:val="4D588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38B42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B752F3"/>
    <w:multiLevelType w:val="hybridMultilevel"/>
    <w:tmpl w:val="8FD8B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1">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538CB"/>
    <w:multiLevelType w:val="hybridMultilevel"/>
    <w:tmpl w:val="284683C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8"/>
  </w:num>
  <w:num w:numId="3">
    <w:abstractNumId w:val="15"/>
  </w:num>
  <w:num w:numId="4">
    <w:abstractNumId w:val="11"/>
  </w:num>
  <w:num w:numId="5">
    <w:abstractNumId w:val="13"/>
  </w:num>
  <w:num w:numId="6">
    <w:abstractNumId w:val="21"/>
  </w:num>
  <w:num w:numId="7">
    <w:abstractNumId w:val="28"/>
  </w:num>
  <w:num w:numId="8">
    <w:abstractNumId w:val="32"/>
  </w:num>
  <w:num w:numId="9">
    <w:abstractNumId w:val="4"/>
  </w:num>
  <w:num w:numId="10">
    <w:abstractNumId w:val="0"/>
  </w:num>
  <w:num w:numId="11">
    <w:abstractNumId w:val="24"/>
  </w:num>
  <w:num w:numId="12">
    <w:abstractNumId w:val="17"/>
  </w:num>
  <w:num w:numId="13">
    <w:abstractNumId w:val="34"/>
  </w:num>
  <w:num w:numId="14">
    <w:abstractNumId w:val="5"/>
  </w:num>
  <w:num w:numId="15">
    <w:abstractNumId w:val="29"/>
  </w:num>
  <w:num w:numId="16">
    <w:abstractNumId w:val="1"/>
  </w:num>
  <w:num w:numId="17">
    <w:abstractNumId w:val="19"/>
  </w:num>
  <w:num w:numId="18">
    <w:abstractNumId w:val="2"/>
  </w:num>
  <w:num w:numId="19">
    <w:abstractNumId w:val="23"/>
  </w:num>
  <w:num w:numId="20">
    <w:abstractNumId w:val="30"/>
  </w:num>
  <w:num w:numId="21">
    <w:abstractNumId w:val="10"/>
  </w:num>
  <w:num w:numId="22">
    <w:abstractNumId w:val="3"/>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27"/>
  </w:num>
  <w:num w:numId="28">
    <w:abstractNumId w:val="39"/>
  </w:num>
  <w:num w:numId="29">
    <w:abstractNumId w:val="7"/>
  </w:num>
  <w:num w:numId="30">
    <w:abstractNumId w:val="22"/>
  </w:num>
  <w:num w:numId="31">
    <w:abstractNumId w:val="25"/>
  </w:num>
  <w:num w:numId="32">
    <w:abstractNumId w:val="37"/>
  </w:num>
  <w:num w:numId="33">
    <w:abstractNumId w:val="33"/>
  </w:num>
  <w:num w:numId="34">
    <w:abstractNumId w:val="16"/>
  </w:num>
  <w:num w:numId="35">
    <w:abstractNumId w:val="12"/>
  </w:num>
  <w:num w:numId="36">
    <w:abstractNumId w:val="14"/>
  </w:num>
  <w:num w:numId="37">
    <w:abstractNumId w:val="31"/>
  </w:num>
  <w:num w:numId="38">
    <w:abstractNumId w:val="9"/>
  </w:num>
  <w:num w:numId="39">
    <w:abstractNumId w:val="26"/>
  </w:num>
  <w:num w:numId="40">
    <w:abstractNumId w:val="2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82"/>
    <w:rsid w:val="000414BC"/>
    <w:rsid w:val="00041BBD"/>
    <w:rsid w:val="000545ED"/>
    <w:rsid w:val="00060E92"/>
    <w:rsid w:val="000843ED"/>
    <w:rsid w:val="00096139"/>
    <w:rsid w:val="000A0898"/>
    <w:rsid w:val="000B4BFB"/>
    <w:rsid w:val="000C035C"/>
    <w:rsid w:val="000C7A50"/>
    <w:rsid w:val="000D2EAF"/>
    <w:rsid w:val="000E1373"/>
    <w:rsid w:val="000E4C7B"/>
    <w:rsid w:val="00112D88"/>
    <w:rsid w:val="00145A2B"/>
    <w:rsid w:val="00146770"/>
    <w:rsid w:val="00150BE5"/>
    <w:rsid w:val="001518AE"/>
    <w:rsid w:val="00153A81"/>
    <w:rsid w:val="00155FAC"/>
    <w:rsid w:val="001563E4"/>
    <w:rsid w:val="00160483"/>
    <w:rsid w:val="0016286E"/>
    <w:rsid w:val="00163BCB"/>
    <w:rsid w:val="00171C5D"/>
    <w:rsid w:val="0018726C"/>
    <w:rsid w:val="001A7E57"/>
    <w:rsid w:val="001B1072"/>
    <w:rsid w:val="001B2AD3"/>
    <w:rsid w:val="001C3C5E"/>
    <w:rsid w:val="001C3DDC"/>
    <w:rsid w:val="001C7CA4"/>
    <w:rsid w:val="001D7086"/>
    <w:rsid w:val="001E069B"/>
    <w:rsid w:val="001E11AA"/>
    <w:rsid w:val="001E179B"/>
    <w:rsid w:val="001E6F2F"/>
    <w:rsid w:val="001E7B41"/>
    <w:rsid w:val="00202505"/>
    <w:rsid w:val="00204A40"/>
    <w:rsid w:val="0023076C"/>
    <w:rsid w:val="002363C3"/>
    <w:rsid w:val="002562EC"/>
    <w:rsid w:val="0029152A"/>
    <w:rsid w:val="00293086"/>
    <w:rsid w:val="002A3B2E"/>
    <w:rsid w:val="002A72E9"/>
    <w:rsid w:val="002B0F06"/>
    <w:rsid w:val="002B1BE3"/>
    <w:rsid w:val="002B2DB7"/>
    <w:rsid w:val="002B6483"/>
    <w:rsid w:val="002B7C64"/>
    <w:rsid w:val="002D2F55"/>
    <w:rsid w:val="00303671"/>
    <w:rsid w:val="00304228"/>
    <w:rsid w:val="00323BCB"/>
    <w:rsid w:val="0032442F"/>
    <w:rsid w:val="003252C9"/>
    <w:rsid w:val="00347AE0"/>
    <w:rsid w:val="0035397C"/>
    <w:rsid w:val="00354A5F"/>
    <w:rsid w:val="0036648F"/>
    <w:rsid w:val="00370D5B"/>
    <w:rsid w:val="0037285F"/>
    <w:rsid w:val="003856F8"/>
    <w:rsid w:val="00394351"/>
    <w:rsid w:val="0039687D"/>
    <w:rsid w:val="003A7960"/>
    <w:rsid w:val="003C05D1"/>
    <w:rsid w:val="003E076C"/>
    <w:rsid w:val="003E7D1C"/>
    <w:rsid w:val="003F7D01"/>
    <w:rsid w:val="00412DC6"/>
    <w:rsid w:val="004623E8"/>
    <w:rsid w:val="00464D00"/>
    <w:rsid w:val="00471B90"/>
    <w:rsid w:val="0047404F"/>
    <w:rsid w:val="004A1F51"/>
    <w:rsid w:val="004A5F89"/>
    <w:rsid w:val="004C1873"/>
    <w:rsid w:val="004C1F32"/>
    <w:rsid w:val="004D46E0"/>
    <w:rsid w:val="00501DDF"/>
    <w:rsid w:val="00511282"/>
    <w:rsid w:val="005117CF"/>
    <w:rsid w:val="00513825"/>
    <w:rsid w:val="00515DDA"/>
    <w:rsid w:val="00516AC1"/>
    <w:rsid w:val="005216D6"/>
    <w:rsid w:val="0054418E"/>
    <w:rsid w:val="00546BA2"/>
    <w:rsid w:val="00553935"/>
    <w:rsid w:val="00566B46"/>
    <w:rsid w:val="00576217"/>
    <w:rsid w:val="00583485"/>
    <w:rsid w:val="00585122"/>
    <w:rsid w:val="005B0481"/>
    <w:rsid w:val="005B1BA0"/>
    <w:rsid w:val="005B4C39"/>
    <w:rsid w:val="005C0AC7"/>
    <w:rsid w:val="005C5C6B"/>
    <w:rsid w:val="005F01C3"/>
    <w:rsid w:val="00601C3B"/>
    <w:rsid w:val="006027D1"/>
    <w:rsid w:val="0060662D"/>
    <w:rsid w:val="006125B7"/>
    <w:rsid w:val="00634992"/>
    <w:rsid w:val="006368A4"/>
    <w:rsid w:val="006546FF"/>
    <w:rsid w:val="006561C4"/>
    <w:rsid w:val="006604B5"/>
    <w:rsid w:val="006762DD"/>
    <w:rsid w:val="0069057C"/>
    <w:rsid w:val="00691C29"/>
    <w:rsid w:val="00692FC5"/>
    <w:rsid w:val="006A6B6B"/>
    <w:rsid w:val="006B6E93"/>
    <w:rsid w:val="006D17C1"/>
    <w:rsid w:val="006F5818"/>
    <w:rsid w:val="007316A3"/>
    <w:rsid w:val="00746080"/>
    <w:rsid w:val="00751004"/>
    <w:rsid w:val="00776FED"/>
    <w:rsid w:val="00782C54"/>
    <w:rsid w:val="007A0490"/>
    <w:rsid w:val="007F0B57"/>
    <w:rsid w:val="00806D93"/>
    <w:rsid w:val="008122B1"/>
    <w:rsid w:val="008147CB"/>
    <w:rsid w:val="00832A00"/>
    <w:rsid w:val="00834E7C"/>
    <w:rsid w:val="00840DD9"/>
    <w:rsid w:val="00850053"/>
    <w:rsid w:val="008509D6"/>
    <w:rsid w:val="00851418"/>
    <w:rsid w:val="008539D9"/>
    <w:rsid w:val="0087639C"/>
    <w:rsid w:val="00876E3C"/>
    <w:rsid w:val="0088514D"/>
    <w:rsid w:val="008855D6"/>
    <w:rsid w:val="008A5D3A"/>
    <w:rsid w:val="008C74E3"/>
    <w:rsid w:val="008F688C"/>
    <w:rsid w:val="008F73E8"/>
    <w:rsid w:val="009000ED"/>
    <w:rsid w:val="00913698"/>
    <w:rsid w:val="009357F4"/>
    <w:rsid w:val="00937121"/>
    <w:rsid w:val="009545D3"/>
    <w:rsid w:val="009624E3"/>
    <w:rsid w:val="009643D1"/>
    <w:rsid w:val="00983A06"/>
    <w:rsid w:val="00986044"/>
    <w:rsid w:val="009A4440"/>
    <w:rsid w:val="009D5143"/>
    <w:rsid w:val="009F632E"/>
    <w:rsid w:val="00A102CC"/>
    <w:rsid w:val="00A23610"/>
    <w:rsid w:val="00A36B17"/>
    <w:rsid w:val="00A56508"/>
    <w:rsid w:val="00A700A8"/>
    <w:rsid w:val="00A704BA"/>
    <w:rsid w:val="00A72296"/>
    <w:rsid w:val="00AA06D9"/>
    <w:rsid w:val="00AF0D73"/>
    <w:rsid w:val="00AF288A"/>
    <w:rsid w:val="00B076A5"/>
    <w:rsid w:val="00B20109"/>
    <w:rsid w:val="00B247C1"/>
    <w:rsid w:val="00B25576"/>
    <w:rsid w:val="00B314F3"/>
    <w:rsid w:val="00B76EA7"/>
    <w:rsid w:val="00B77CCE"/>
    <w:rsid w:val="00BA100F"/>
    <w:rsid w:val="00BA1BC0"/>
    <w:rsid w:val="00BC07A7"/>
    <w:rsid w:val="00BC1A68"/>
    <w:rsid w:val="00BD4512"/>
    <w:rsid w:val="00BE1A92"/>
    <w:rsid w:val="00C17B6F"/>
    <w:rsid w:val="00C23F96"/>
    <w:rsid w:val="00C41DEA"/>
    <w:rsid w:val="00C5100D"/>
    <w:rsid w:val="00C63C8D"/>
    <w:rsid w:val="00C818E2"/>
    <w:rsid w:val="00C911F9"/>
    <w:rsid w:val="00C926DF"/>
    <w:rsid w:val="00CA0B82"/>
    <w:rsid w:val="00CB168B"/>
    <w:rsid w:val="00CC096F"/>
    <w:rsid w:val="00CC2841"/>
    <w:rsid w:val="00CC447E"/>
    <w:rsid w:val="00CC6D11"/>
    <w:rsid w:val="00CE062C"/>
    <w:rsid w:val="00CF0F7C"/>
    <w:rsid w:val="00D01BFE"/>
    <w:rsid w:val="00D02D7F"/>
    <w:rsid w:val="00D03229"/>
    <w:rsid w:val="00D0773D"/>
    <w:rsid w:val="00D21A42"/>
    <w:rsid w:val="00D36BBE"/>
    <w:rsid w:val="00D5062F"/>
    <w:rsid w:val="00D55F43"/>
    <w:rsid w:val="00D56A27"/>
    <w:rsid w:val="00D621FC"/>
    <w:rsid w:val="00D7074B"/>
    <w:rsid w:val="00D91B73"/>
    <w:rsid w:val="00D958A6"/>
    <w:rsid w:val="00D95CAA"/>
    <w:rsid w:val="00D95F3E"/>
    <w:rsid w:val="00D974D5"/>
    <w:rsid w:val="00D975C5"/>
    <w:rsid w:val="00DA09D0"/>
    <w:rsid w:val="00DA14AA"/>
    <w:rsid w:val="00DA2484"/>
    <w:rsid w:val="00DA375C"/>
    <w:rsid w:val="00DC3F8F"/>
    <w:rsid w:val="00DC54D8"/>
    <w:rsid w:val="00DD09DC"/>
    <w:rsid w:val="00DD749A"/>
    <w:rsid w:val="00DF6932"/>
    <w:rsid w:val="00E0452F"/>
    <w:rsid w:val="00E12988"/>
    <w:rsid w:val="00E23ECF"/>
    <w:rsid w:val="00E261A1"/>
    <w:rsid w:val="00E2683A"/>
    <w:rsid w:val="00E3191C"/>
    <w:rsid w:val="00E336E4"/>
    <w:rsid w:val="00E36950"/>
    <w:rsid w:val="00E42654"/>
    <w:rsid w:val="00E45775"/>
    <w:rsid w:val="00E6324F"/>
    <w:rsid w:val="00E63408"/>
    <w:rsid w:val="00E6651E"/>
    <w:rsid w:val="00E70B6A"/>
    <w:rsid w:val="00E7523D"/>
    <w:rsid w:val="00E8235A"/>
    <w:rsid w:val="00E93284"/>
    <w:rsid w:val="00E9387D"/>
    <w:rsid w:val="00EA0919"/>
    <w:rsid w:val="00EB4E97"/>
    <w:rsid w:val="00EB68C4"/>
    <w:rsid w:val="00EC0C97"/>
    <w:rsid w:val="00EC26AE"/>
    <w:rsid w:val="00ED045B"/>
    <w:rsid w:val="00EE2A00"/>
    <w:rsid w:val="00EE4409"/>
    <w:rsid w:val="00EE450C"/>
    <w:rsid w:val="00EF148C"/>
    <w:rsid w:val="00EF3FB9"/>
    <w:rsid w:val="00F1139B"/>
    <w:rsid w:val="00F213C1"/>
    <w:rsid w:val="00F27A5F"/>
    <w:rsid w:val="00F3319F"/>
    <w:rsid w:val="00F4375E"/>
    <w:rsid w:val="00F452D5"/>
    <w:rsid w:val="00F63935"/>
    <w:rsid w:val="00F72F89"/>
    <w:rsid w:val="00F8274A"/>
    <w:rsid w:val="00F9113C"/>
    <w:rsid w:val="00F92F12"/>
    <w:rsid w:val="00FA36C2"/>
    <w:rsid w:val="00FB3A11"/>
    <w:rsid w:val="00FC52FC"/>
    <w:rsid w:val="00FD1972"/>
    <w:rsid w:val="00FD41FB"/>
    <w:rsid w:val="00FD5EDC"/>
    <w:rsid w:val="00FD66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4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E3"/>
    <w:rPr>
      <w:sz w:val="20"/>
      <w:szCs w:val="20"/>
    </w:rPr>
  </w:style>
  <w:style w:type="character" w:styleId="FootnoteReference">
    <w:name w:val="footnote reference"/>
    <w:basedOn w:val="DefaultParagraphFont"/>
    <w:uiPriority w:val="99"/>
    <w:semiHidden/>
    <w:unhideWhenUsed/>
    <w:rsid w:val="002B1BE3"/>
    <w:rPr>
      <w:vertAlign w:val="superscript"/>
    </w:rPr>
  </w:style>
  <w:style w:type="character" w:styleId="CommentReference">
    <w:name w:val="annotation reference"/>
    <w:basedOn w:val="DefaultParagraphFont"/>
    <w:uiPriority w:val="99"/>
    <w:semiHidden/>
    <w:unhideWhenUsed/>
    <w:rsid w:val="001E11AA"/>
    <w:rPr>
      <w:sz w:val="16"/>
      <w:szCs w:val="16"/>
    </w:rPr>
  </w:style>
  <w:style w:type="paragraph" w:styleId="CommentText">
    <w:name w:val="annotation text"/>
    <w:basedOn w:val="Normal"/>
    <w:link w:val="CommentTextChar"/>
    <w:uiPriority w:val="99"/>
    <w:semiHidden/>
    <w:unhideWhenUsed/>
    <w:rsid w:val="001E11AA"/>
    <w:pPr>
      <w:spacing w:line="240" w:lineRule="auto"/>
    </w:pPr>
    <w:rPr>
      <w:sz w:val="20"/>
      <w:szCs w:val="20"/>
    </w:rPr>
  </w:style>
  <w:style w:type="character" w:customStyle="1" w:styleId="CommentTextChar">
    <w:name w:val="Comment Text Char"/>
    <w:basedOn w:val="DefaultParagraphFont"/>
    <w:link w:val="CommentText"/>
    <w:uiPriority w:val="99"/>
    <w:semiHidden/>
    <w:rsid w:val="001E11AA"/>
    <w:rPr>
      <w:sz w:val="20"/>
      <w:szCs w:val="20"/>
    </w:rPr>
  </w:style>
  <w:style w:type="paragraph" w:styleId="CommentSubject">
    <w:name w:val="annotation subject"/>
    <w:basedOn w:val="CommentText"/>
    <w:next w:val="CommentText"/>
    <w:link w:val="CommentSubjectChar"/>
    <w:uiPriority w:val="99"/>
    <w:semiHidden/>
    <w:unhideWhenUsed/>
    <w:rsid w:val="001E11AA"/>
    <w:rPr>
      <w:b/>
      <w:bCs/>
    </w:rPr>
  </w:style>
  <w:style w:type="character" w:customStyle="1" w:styleId="CommentSubjectChar">
    <w:name w:val="Comment Subject Char"/>
    <w:basedOn w:val="CommentTextChar"/>
    <w:link w:val="CommentSubject"/>
    <w:uiPriority w:val="99"/>
    <w:semiHidden/>
    <w:rsid w:val="001E11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E3"/>
    <w:rPr>
      <w:sz w:val="20"/>
      <w:szCs w:val="20"/>
    </w:rPr>
  </w:style>
  <w:style w:type="character" w:styleId="FootnoteReference">
    <w:name w:val="footnote reference"/>
    <w:basedOn w:val="DefaultParagraphFont"/>
    <w:uiPriority w:val="99"/>
    <w:semiHidden/>
    <w:unhideWhenUsed/>
    <w:rsid w:val="002B1BE3"/>
    <w:rPr>
      <w:vertAlign w:val="superscript"/>
    </w:rPr>
  </w:style>
  <w:style w:type="character" w:styleId="CommentReference">
    <w:name w:val="annotation reference"/>
    <w:basedOn w:val="DefaultParagraphFont"/>
    <w:uiPriority w:val="99"/>
    <w:semiHidden/>
    <w:unhideWhenUsed/>
    <w:rsid w:val="001E11AA"/>
    <w:rPr>
      <w:sz w:val="16"/>
      <w:szCs w:val="16"/>
    </w:rPr>
  </w:style>
  <w:style w:type="paragraph" w:styleId="CommentText">
    <w:name w:val="annotation text"/>
    <w:basedOn w:val="Normal"/>
    <w:link w:val="CommentTextChar"/>
    <w:uiPriority w:val="99"/>
    <w:semiHidden/>
    <w:unhideWhenUsed/>
    <w:rsid w:val="001E11AA"/>
    <w:pPr>
      <w:spacing w:line="240" w:lineRule="auto"/>
    </w:pPr>
    <w:rPr>
      <w:sz w:val="20"/>
      <w:szCs w:val="20"/>
    </w:rPr>
  </w:style>
  <w:style w:type="character" w:customStyle="1" w:styleId="CommentTextChar">
    <w:name w:val="Comment Text Char"/>
    <w:basedOn w:val="DefaultParagraphFont"/>
    <w:link w:val="CommentText"/>
    <w:uiPriority w:val="99"/>
    <w:semiHidden/>
    <w:rsid w:val="001E11AA"/>
    <w:rPr>
      <w:sz w:val="20"/>
      <w:szCs w:val="20"/>
    </w:rPr>
  </w:style>
  <w:style w:type="paragraph" w:styleId="CommentSubject">
    <w:name w:val="annotation subject"/>
    <w:basedOn w:val="CommentText"/>
    <w:next w:val="CommentText"/>
    <w:link w:val="CommentSubjectChar"/>
    <w:uiPriority w:val="99"/>
    <w:semiHidden/>
    <w:unhideWhenUsed/>
    <w:rsid w:val="001E11AA"/>
    <w:rPr>
      <w:b/>
      <w:bCs/>
    </w:rPr>
  </w:style>
  <w:style w:type="character" w:customStyle="1" w:styleId="CommentSubjectChar">
    <w:name w:val="Comment Subject Char"/>
    <w:basedOn w:val="CommentTextChar"/>
    <w:link w:val="CommentSubject"/>
    <w:uiPriority w:val="99"/>
    <w:semiHidden/>
    <w:rsid w:val="001E1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5ED8-249A-46C5-B836-115C894B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Joanne Tackaberry</cp:lastModifiedBy>
  <cp:revision>6</cp:revision>
  <cp:lastPrinted>2018-02-13T20:54:00Z</cp:lastPrinted>
  <dcterms:created xsi:type="dcterms:W3CDTF">2018-02-14T13:35:00Z</dcterms:created>
  <dcterms:modified xsi:type="dcterms:W3CDTF">2018-02-14T21:28:00Z</dcterms:modified>
</cp:coreProperties>
</file>