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C3" w:rsidRPr="00AE5EE7" w:rsidRDefault="006279C3" w:rsidP="006279C3">
      <w:pPr>
        <w:spacing w:after="0"/>
        <w:jc w:val="center"/>
        <w:rPr>
          <w:rFonts w:ascii="Arial" w:hAnsi="Arial" w:cs="Arial"/>
          <w:b/>
          <w:sz w:val="24"/>
          <w:szCs w:val="24"/>
        </w:rPr>
      </w:pPr>
      <w:r>
        <w:rPr>
          <w:rFonts w:ascii="Arial" w:hAnsi="Arial" w:cs="Arial"/>
          <w:b/>
          <w:sz w:val="24"/>
          <w:szCs w:val="24"/>
        </w:rPr>
        <w:t>Greater Sudbury Hydro Inc.</w:t>
      </w:r>
      <w:r w:rsidRPr="00AE5EE7">
        <w:rPr>
          <w:rFonts w:ascii="Arial" w:hAnsi="Arial" w:cs="Arial"/>
          <w:b/>
          <w:sz w:val="24"/>
          <w:szCs w:val="24"/>
        </w:rPr>
        <w:t xml:space="preserve"> Price </w:t>
      </w:r>
      <w:r>
        <w:rPr>
          <w:rFonts w:ascii="Arial" w:hAnsi="Arial" w:cs="Arial"/>
          <w:b/>
          <w:sz w:val="24"/>
          <w:szCs w:val="24"/>
        </w:rPr>
        <w:t>Cap IR Application (EB-2017-0042</w:t>
      </w:r>
      <w:r w:rsidRPr="00AE5EE7">
        <w:rPr>
          <w:rFonts w:ascii="Arial" w:hAnsi="Arial" w:cs="Arial"/>
          <w:b/>
          <w:sz w:val="24"/>
          <w:szCs w:val="24"/>
        </w:rPr>
        <w:t>)</w:t>
      </w:r>
    </w:p>
    <w:p w:rsidR="006279C3" w:rsidRDefault="006279C3" w:rsidP="006279C3">
      <w:pPr>
        <w:jc w:val="center"/>
        <w:rPr>
          <w:rFonts w:ascii="Arial" w:hAnsi="Arial" w:cs="Arial"/>
          <w:b/>
          <w:sz w:val="24"/>
          <w:szCs w:val="24"/>
        </w:rPr>
      </w:pPr>
      <w:r w:rsidRPr="00AE5EE7">
        <w:rPr>
          <w:rFonts w:ascii="Arial" w:hAnsi="Arial" w:cs="Arial"/>
          <w:b/>
          <w:sz w:val="24"/>
          <w:szCs w:val="24"/>
        </w:rPr>
        <w:t>OEB Staff Questions</w:t>
      </w:r>
    </w:p>
    <w:p w:rsidR="00036C2B" w:rsidRDefault="00036C2B" w:rsidP="008A6077">
      <w:pPr>
        <w:rPr>
          <w:rFonts w:ascii="Arial" w:hAnsi="Arial" w:cs="Arial"/>
          <w:b/>
          <w:sz w:val="24"/>
          <w:szCs w:val="24"/>
        </w:rPr>
      </w:pPr>
    </w:p>
    <w:p w:rsidR="00036C2B" w:rsidRDefault="00036C2B" w:rsidP="008A6077">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1</w:t>
      </w:r>
    </w:p>
    <w:p w:rsidR="00036C2B" w:rsidRDefault="00036C2B" w:rsidP="008A6077">
      <w:pPr>
        <w:rPr>
          <w:rFonts w:ascii="Arial" w:hAnsi="Arial" w:cs="Arial"/>
          <w:b/>
          <w:sz w:val="24"/>
          <w:szCs w:val="24"/>
        </w:rPr>
      </w:pPr>
      <w:r>
        <w:rPr>
          <w:rFonts w:ascii="Arial" w:hAnsi="Arial" w:cs="Arial"/>
          <w:b/>
          <w:sz w:val="24"/>
          <w:szCs w:val="24"/>
        </w:rPr>
        <w:t>References: 2018 IRM Rate Generator Model, Tab 3 Continuity Schedule</w:t>
      </w:r>
    </w:p>
    <w:p w:rsidR="00036C2B" w:rsidRPr="002C15C0" w:rsidRDefault="00213FDC" w:rsidP="008A6077">
      <w:pPr>
        <w:rPr>
          <w:rFonts w:ascii="Arial" w:hAnsi="Arial" w:cs="Arial"/>
          <w:sz w:val="24"/>
          <w:szCs w:val="24"/>
        </w:rPr>
      </w:pPr>
      <w:r>
        <w:rPr>
          <w:rFonts w:ascii="Arial" w:hAnsi="Arial" w:cs="Arial"/>
          <w:sz w:val="24"/>
          <w:szCs w:val="24"/>
        </w:rPr>
        <w:t>The amounts reported in the 201</w:t>
      </w:r>
      <w:r w:rsidR="00907A5A">
        <w:rPr>
          <w:rFonts w:ascii="Arial" w:hAnsi="Arial" w:cs="Arial"/>
          <w:sz w:val="24"/>
          <w:szCs w:val="24"/>
        </w:rPr>
        <w:t>8</w:t>
      </w:r>
      <w:r>
        <w:rPr>
          <w:rFonts w:ascii="Arial" w:hAnsi="Arial" w:cs="Arial"/>
          <w:sz w:val="24"/>
          <w:szCs w:val="24"/>
        </w:rPr>
        <w:t xml:space="preserve"> IRM Rate Generator Model in the DVA continuity schedule for 2015 for accounts 1588 and 1589 differ from what was reported in the 201</w:t>
      </w:r>
      <w:r w:rsidR="00907A5A">
        <w:rPr>
          <w:rFonts w:ascii="Arial" w:hAnsi="Arial" w:cs="Arial"/>
          <w:sz w:val="24"/>
          <w:szCs w:val="24"/>
        </w:rPr>
        <w:t>7</w:t>
      </w:r>
      <w:r>
        <w:rPr>
          <w:rFonts w:ascii="Arial" w:hAnsi="Arial" w:cs="Arial"/>
          <w:sz w:val="24"/>
          <w:szCs w:val="24"/>
        </w:rPr>
        <w:t xml:space="preserve"> IRM Rate Generator Model in the DVA continuity schedule for 2015 for accounts 1588 and 1589.</w:t>
      </w:r>
    </w:p>
    <w:p w:rsidR="00213FDC" w:rsidRDefault="00DC2C45" w:rsidP="008A6077">
      <w:pPr>
        <w:rPr>
          <w:rFonts w:ascii="Arial" w:hAnsi="Arial" w:cs="Arial"/>
          <w:b/>
          <w:sz w:val="24"/>
          <w:szCs w:val="24"/>
        </w:rPr>
      </w:pPr>
      <w:r>
        <w:rPr>
          <w:rFonts w:ascii="Arial" w:hAnsi="Arial" w:cs="Arial"/>
          <w:sz w:val="24"/>
          <w:szCs w:val="24"/>
        </w:rPr>
        <w:t xml:space="preserve">Table 1 - </w:t>
      </w:r>
      <w:r w:rsidR="00213FDC" w:rsidRPr="002C15C0">
        <w:rPr>
          <w:rFonts w:ascii="Arial" w:hAnsi="Arial" w:cs="Arial"/>
          <w:sz w:val="24"/>
          <w:szCs w:val="24"/>
        </w:rPr>
        <w:t>2017 IRM Rate Generator Model – Tab 3 Continuity Schedule</w:t>
      </w:r>
      <w:r w:rsidR="00213FDC" w:rsidRPr="00213FDC">
        <w:rPr>
          <w:noProof/>
          <w:lang w:val="en-US"/>
        </w:rPr>
        <w:drawing>
          <wp:inline distT="0" distB="0" distL="0" distR="0" wp14:anchorId="6AEAE193" wp14:editId="4FDCA43C">
            <wp:extent cx="5943600"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305050"/>
                    </a:xfrm>
                    <a:prstGeom prst="rect">
                      <a:avLst/>
                    </a:prstGeom>
                  </pic:spPr>
                </pic:pic>
              </a:graphicData>
            </a:graphic>
          </wp:inline>
        </w:drawing>
      </w:r>
    </w:p>
    <w:p w:rsidR="00036C2B" w:rsidRDefault="00DC2C45" w:rsidP="008A6077">
      <w:pPr>
        <w:rPr>
          <w:rFonts w:ascii="Arial" w:hAnsi="Arial" w:cs="Arial"/>
          <w:sz w:val="24"/>
          <w:szCs w:val="24"/>
        </w:rPr>
      </w:pPr>
      <w:r>
        <w:rPr>
          <w:rFonts w:ascii="Arial" w:hAnsi="Arial" w:cs="Arial"/>
          <w:sz w:val="24"/>
          <w:szCs w:val="24"/>
        </w:rPr>
        <w:t xml:space="preserve">Table 2 - </w:t>
      </w:r>
      <w:r w:rsidR="00213FDC" w:rsidRPr="002C15C0">
        <w:rPr>
          <w:rFonts w:ascii="Arial" w:hAnsi="Arial" w:cs="Arial"/>
          <w:sz w:val="24"/>
          <w:szCs w:val="24"/>
        </w:rPr>
        <w:t>2018 IRM Rate Generator Model – Tab 3 Continuity Schedule</w:t>
      </w:r>
    </w:p>
    <w:p w:rsidR="00213FDC" w:rsidRPr="002C15C0" w:rsidRDefault="00213FDC" w:rsidP="008A6077">
      <w:pPr>
        <w:rPr>
          <w:rFonts w:ascii="Arial" w:hAnsi="Arial" w:cs="Arial"/>
          <w:sz w:val="24"/>
          <w:szCs w:val="24"/>
        </w:rPr>
      </w:pPr>
      <w:r w:rsidRPr="00213FDC">
        <w:rPr>
          <w:noProof/>
          <w:lang w:val="en-US"/>
        </w:rPr>
        <w:drawing>
          <wp:inline distT="0" distB="0" distL="0" distR="0" wp14:anchorId="5E9577EC" wp14:editId="272688AE">
            <wp:extent cx="5943600" cy="2390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390140"/>
                    </a:xfrm>
                    <a:prstGeom prst="rect">
                      <a:avLst/>
                    </a:prstGeom>
                  </pic:spPr>
                </pic:pic>
              </a:graphicData>
            </a:graphic>
          </wp:inline>
        </w:drawing>
      </w:r>
    </w:p>
    <w:p w:rsidR="00213FDC" w:rsidRDefault="00DC2C45" w:rsidP="008A6077">
      <w:pPr>
        <w:rPr>
          <w:rFonts w:ascii="Arial" w:hAnsi="Arial" w:cs="Arial"/>
          <w:sz w:val="24"/>
          <w:szCs w:val="24"/>
        </w:rPr>
      </w:pPr>
      <w:r>
        <w:rPr>
          <w:rFonts w:ascii="Arial" w:hAnsi="Arial" w:cs="Arial"/>
          <w:sz w:val="24"/>
          <w:szCs w:val="24"/>
        </w:rPr>
        <w:lastRenderedPageBreak/>
        <w:t>Information extracted from the 2017 IRM Rate Generator Model from Tab 3 Continuity Schedule summarizes the principal transactions for 2015.</w:t>
      </w:r>
    </w:p>
    <w:p w:rsidR="00DC2C45" w:rsidRDefault="00DC2C45" w:rsidP="008A6077">
      <w:pPr>
        <w:rPr>
          <w:rFonts w:ascii="Arial" w:hAnsi="Arial" w:cs="Arial"/>
          <w:sz w:val="24"/>
          <w:szCs w:val="24"/>
        </w:rPr>
      </w:pPr>
      <w:r>
        <w:rPr>
          <w:rFonts w:ascii="Arial" w:hAnsi="Arial" w:cs="Arial"/>
          <w:sz w:val="24"/>
          <w:szCs w:val="24"/>
        </w:rPr>
        <w:t>Table 3 – 2015 Principal Transactions from 2017 IRM Rate Generator Model</w:t>
      </w:r>
    </w:p>
    <w:p w:rsidR="00DC2C45" w:rsidRDefault="00DC2C45" w:rsidP="008A6077">
      <w:pPr>
        <w:rPr>
          <w:rFonts w:ascii="Arial" w:hAnsi="Arial" w:cs="Arial"/>
          <w:sz w:val="24"/>
          <w:szCs w:val="24"/>
        </w:rPr>
      </w:pPr>
      <w:r w:rsidRPr="00DC2C45">
        <w:rPr>
          <w:noProof/>
          <w:lang w:val="en-US"/>
        </w:rPr>
        <w:drawing>
          <wp:inline distT="0" distB="0" distL="0" distR="0" wp14:anchorId="781599C5" wp14:editId="6FB909AF">
            <wp:extent cx="2384172" cy="11457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6948" cy="1161537"/>
                    </a:xfrm>
                    <a:prstGeom prst="rect">
                      <a:avLst/>
                    </a:prstGeom>
                    <a:noFill/>
                    <a:ln>
                      <a:noFill/>
                    </a:ln>
                  </pic:spPr>
                </pic:pic>
              </a:graphicData>
            </a:graphic>
          </wp:inline>
        </w:drawing>
      </w:r>
    </w:p>
    <w:p w:rsidR="00DC2C45" w:rsidRDefault="00DC2C45" w:rsidP="008A6077">
      <w:pPr>
        <w:rPr>
          <w:rFonts w:ascii="Arial" w:hAnsi="Arial" w:cs="Arial"/>
          <w:sz w:val="24"/>
          <w:szCs w:val="24"/>
        </w:rPr>
      </w:pPr>
      <w:r>
        <w:rPr>
          <w:rFonts w:ascii="Arial" w:hAnsi="Arial" w:cs="Arial"/>
          <w:sz w:val="24"/>
          <w:szCs w:val="24"/>
        </w:rPr>
        <w:t xml:space="preserve">Information extracted from the 2018 IRM Rate Generator Model from Tab 3 Continuity Schedule summarizes the principal transactions for 2015 and 2016. </w:t>
      </w:r>
    </w:p>
    <w:p w:rsidR="00DC2C45" w:rsidRDefault="00DC2C45" w:rsidP="008A6077">
      <w:pPr>
        <w:rPr>
          <w:rFonts w:ascii="Arial" w:hAnsi="Arial" w:cs="Arial"/>
          <w:sz w:val="24"/>
          <w:szCs w:val="24"/>
        </w:rPr>
      </w:pPr>
      <w:r>
        <w:rPr>
          <w:rFonts w:ascii="Arial" w:hAnsi="Arial" w:cs="Arial"/>
          <w:sz w:val="24"/>
          <w:szCs w:val="24"/>
        </w:rPr>
        <w:t>Table 4 – 2015 and 2016 Principal Transactions from 2018 IRM Rate Generator Model</w:t>
      </w:r>
    </w:p>
    <w:p w:rsidR="00DC2C45" w:rsidRPr="002C15C0" w:rsidRDefault="009E6A6B" w:rsidP="008A6077">
      <w:pPr>
        <w:rPr>
          <w:rFonts w:ascii="Arial" w:hAnsi="Arial" w:cs="Arial"/>
          <w:sz w:val="24"/>
          <w:szCs w:val="24"/>
        </w:rPr>
      </w:pPr>
      <w:r w:rsidRPr="009E6A6B">
        <w:rPr>
          <w:noProof/>
          <w:lang w:val="en-US"/>
        </w:rPr>
        <w:drawing>
          <wp:inline distT="0" distB="0" distL="0" distR="0" wp14:anchorId="6DC3D74A" wp14:editId="50BD8184">
            <wp:extent cx="5943600" cy="11079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07965"/>
                    </a:xfrm>
                    <a:prstGeom prst="rect">
                      <a:avLst/>
                    </a:prstGeom>
                    <a:noFill/>
                    <a:ln>
                      <a:noFill/>
                    </a:ln>
                  </pic:spPr>
                </pic:pic>
              </a:graphicData>
            </a:graphic>
          </wp:inline>
        </w:drawing>
      </w:r>
    </w:p>
    <w:p w:rsidR="00DC2C45" w:rsidRDefault="00DC2C45" w:rsidP="008A6077">
      <w:pPr>
        <w:rPr>
          <w:rFonts w:ascii="Arial" w:hAnsi="Arial" w:cs="Arial"/>
          <w:b/>
          <w:sz w:val="24"/>
          <w:szCs w:val="24"/>
        </w:rPr>
      </w:pPr>
    </w:p>
    <w:p w:rsidR="00213FDC" w:rsidRPr="002C15C0" w:rsidRDefault="00DC2C45" w:rsidP="008A6077">
      <w:pPr>
        <w:rPr>
          <w:rFonts w:ascii="Arial" w:hAnsi="Arial" w:cs="Arial"/>
          <w:sz w:val="24"/>
          <w:szCs w:val="24"/>
        </w:rPr>
      </w:pPr>
      <w:r w:rsidRPr="002C15C0">
        <w:rPr>
          <w:rFonts w:ascii="Arial" w:hAnsi="Arial" w:cs="Arial"/>
          <w:sz w:val="24"/>
          <w:szCs w:val="24"/>
        </w:rPr>
        <w:t>Updating Table 4 above based on 2015 transactions from the 2017 IRM Rate Generator Yields the following table</w:t>
      </w:r>
    </w:p>
    <w:p w:rsidR="00DC2C45" w:rsidRPr="002C15C0" w:rsidRDefault="00DC2C45" w:rsidP="008A6077">
      <w:pPr>
        <w:rPr>
          <w:rFonts w:ascii="Arial" w:hAnsi="Arial" w:cs="Arial"/>
          <w:sz w:val="24"/>
          <w:szCs w:val="24"/>
        </w:rPr>
      </w:pPr>
      <w:r w:rsidRPr="002C15C0">
        <w:rPr>
          <w:rFonts w:ascii="Arial" w:hAnsi="Arial" w:cs="Arial"/>
          <w:sz w:val="24"/>
          <w:szCs w:val="24"/>
        </w:rPr>
        <w:t>Table 5 – Updated 2015 and 2016 Principal Transactions from 2018 IRM Rate Generator</w:t>
      </w:r>
    </w:p>
    <w:p w:rsidR="00DC2C45" w:rsidRDefault="009E6A6B" w:rsidP="008A6077">
      <w:pPr>
        <w:rPr>
          <w:rFonts w:ascii="Arial" w:hAnsi="Arial" w:cs="Arial"/>
          <w:b/>
          <w:sz w:val="24"/>
          <w:szCs w:val="24"/>
        </w:rPr>
      </w:pPr>
      <w:r w:rsidRPr="009E6A6B">
        <w:rPr>
          <w:noProof/>
          <w:lang w:val="en-US"/>
        </w:rPr>
        <w:drawing>
          <wp:inline distT="0" distB="0" distL="0" distR="0" wp14:anchorId="34A0F3C2" wp14:editId="7A1B4DBB">
            <wp:extent cx="5943600" cy="1107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07965"/>
                    </a:xfrm>
                    <a:prstGeom prst="rect">
                      <a:avLst/>
                    </a:prstGeom>
                    <a:noFill/>
                    <a:ln>
                      <a:noFill/>
                    </a:ln>
                  </pic:spPr>
                </pic:pic>
              </a:graphicData>
            </a:graphic>
          </wp:inline>
        </w:drawing>
      </w:r>
    </w:p>
    <w:p w:rsidR="00DC2C45" w:rsidRDefault="00DC2C45" w:rsidP="002C15C0">
      <w:pPr>
        <w:pStyle w:val="ListParagraph"/>
        <w:numPr>
          <w:ilvl w:val="0"/>
          <w:numId w:val="2"/>
        </w:numPr>
        <w:rPr>
          <w:rFonts w:ascii="Arial" w:hAnsi="Arial" w:cs="Arial"/>
          <w:sz w:val="24"/>
          <w:szCs w:val="24"/>
        </w:rPr>
      </w:pPr>
      <w:r w:rsidRPr="002C15C0">
        <w:rPr>
          <w:rFonts w:ascii="Arial" w:hAnsi="Arial" w:cs="Arial"/>
          <w:sz w:val="24"/>
          <w:szCs w:val="24"/>
        </w:rPr>
        <w:t xml:space="preserve">Table 5 above </w:t>
      </w:r>
      <w:r w:rsidR="00843989" w:rsidRPr="002C15C0">
        <w:rPr>
          <w:rFonts w:ascii="Arial" w:hAnsi="Arial" w:cs="Arial"/>
          <w:sz w:val="24"/>
          <w:szCs w:val="24"/>
        </w:rPr>
        <w:t xml:space="preserve">calculates </w:t>
      </w:r>
      <w:r w:rsidRPr="002C15C0">
        <w:rPr>
          <w:rFonts w:ascii="Arial" w:hAnsi="Arial" w:cs="Arial"/>
          <w:sz w:val="24"/>
          <w:szCs w:val="24"/>
        </w:rPr>
        <w:t xml:space="preserve">different </w:t>
      </w:r>
      <w:r w:rsidR="009E6A6B">
        <w:rPr>
          <w:rFonts w:ascii="Arial" w:hAnsi="Arial" w:cs="Arial"/>
          <w:sz w:val="24"/>
          <w:szCs w:val="24"/>
        </w:rPr>
        <w:t xml:space="preserve">total principal balances for accounts 1588 and 1589 </w:t>
      </w:r>
      <w:r w:rsidR="00843989" w:rsidRPr="002C15C0">
        <w:rPr>
          <w:rFonts w:ascii="Arial" w:hAnsi="Arial" w:cs="Arial"/>
          <w:sz w:val="24"/>
          <w:szCs w:val="24"/>
        </w:rPr>
        <w:t xml:space="preserve">than what Greater Sudbury Hydro </w:t>
      </w:r>
      <w:r w:rsidR="009E6A6B">
        <w:rPr>
          <w:rFonts w:ascii="Arial" w:hAnsi="Arial" w:cs="Arial"/>
          <w:sz w:val="24"/>
          <w:szCs w:val="24"/>
        </w:rPr>
        <w:t>filed i</w:t>
      </w:r>
      <w:r w:rsidR="00843989" w:rsidRPr="002C15C0">
        <w:rPr>
          <w:rFonts w:ascii="Arial" w:hAnsi="Arial" w:cs="Arial"/>
          <w:sz w:val="24"/>
          <w:szCs w:val="24"/>
        </w:rPr>
        <w:t>n its application</w:t>
      </w:r>
      <w:r w:rsidRPr="002C15C0">
        <w:rPr>
          <w:rFonts w:ascii="Arial" w:hAnsi="Arial" w:cs="Arial"/>
          <w:sz w:val="24"/>
          <w:szCs w:val="24"/>
        </w:rPr>
        <w:t>.</w:t>
      </w:r>
      <w:r w:rsidR="00843989" w:rsidRPr="002C15C0">
        <w:rPr>
          <w:rFonts w:ascii="Arial" w:hAnsi="Arial" w:cs="Arial"/>
          <w:sz w:val="24"/>
          <w:szCs w:val="24"/>
        </w:rPr>
        <w:t xml:space="preserve"> Please comment on the table above and explain why the amounts Greater Sudbury Hydro </w:t>
      </w:r>
      <w:r w:rsidR="009E6A6B">
        <w:rPr>
          <w:rFonts w:ascii="Arial" w:hAnsi="Arial" w:cs="Arial"/>
          <w:sz w:val="24"/>
          <w:szCs w:val="24"/>
        </w:rPr>
        <w:t>filed</w:t>
      </w:r>
      <w:r w:rsidR="00843989" w:rsidRPr="002C15C0">
        <w:rPr>
          <w:rFonts w:ascii="Arial" w:hAnsi="Arial" w:cs="Arial"/>
          <w:sz w:val="24"/>
          <w:szCs w:val="24"/>
        </w:rPr>
        <w:t xml:space="preserve"> are different? OEB Staff notes that the starting point for the DVA continuity schedule </w:t>
      </w:r>
      <w:r w:rsidR="00E23CCE">
        <w:rPr>
          <w:rFonts w:ascii="Arial" w:hAnsi="Arial" w:cs="Arial"/>
          <w:sz w:val="24"/>
          <w:szCs w:val="24"/>
        </w:rPr>
        <w:t xml:space="preserve">for </w:t>
      </w:r>
      <w:r w:rsidR="00427F21">
        <w:rPr>
          <w:rFonts w:ascii="Arial" w:hAnsi="Arial" w:cs="Arial"/>
          <w:sz w:val="24"/>
          <w:szCs w:val="24"/>
        </w:rPr>
        <w:t xml:space="preserve">the 2015 </w:t>
      </w:r>
      <w:r w:rsidR="00E23CCE">
        <w:rPr>
          <w:rFonts w:ascii="Arial" w:hAnsi="Arial" w:cs="Arial"/>
          <w:sz w:val="24"/>
          <w:szCs w:val="24"/>
        </w:rPr>
        <w:t xml:space="preserve">principal amounts </w:t>
      </w:r>
      <w:r w:rsidR="00843989" w:rsidRPr="002C15C0">
        <w:rPr>
          <w:rFonts w:ascii="Arial" w:hAnsi="Arial" w:cs="Arial"/>
          <w:sz w:val="24"/>
          <w:szCs w:val="24"/>
        </w:rPr>
        <w:t xml:space="preserve">populated in the 2018 IRM Rate Generator Model must be the same as the </w:t>
      </w:r>
      <w:r w:rsidR="00427F21">
        <w:rPr>
          <w:rFonts w:ascii="Arial" w:hAnsi="Arial" w:cs="Arial"/>
          <w:sz w:val="24"/>
          <w:szCs w:val="24"/>
        </w:rPr>
        <w:t xml:space="preserve">2015 </w:t>
      </w:r>
      <w:r w:rsidR="00843989" w:rsidRPr="002C15C0">
        <w:rPr>
          <w:rFonts w:ascii="Arial" w:hAnsi="Arial" w:cs="Arial"/>
          <w:sz w:val="24"/>
          <w:szCs w:val="24"/>
        </w:rPr>
        <w:t xml:space="preserve">information populated in the DVA continuity </w:t>
      </w:r>
      <w:r w:rsidR="00843989" w:rsidRPr="002C15C0">
        <w:rPr>
          <w:rFonts w:ascii="Arial" w:hAnsi="Arial" w:cs="Arial"/>
          <w:sz w:val="24"/>
          <w:szCs w:val="24"/>
        </w:rPr>
        <w:lastRenderedPageBreak/>
        <w:t xml:space="preserve">schedule </w:t>
      </w:r>
      <w:r w:rsidR="00907A5A" w:rsidRPr="002C15C0">
        <w:rPr>
          <w:rFonts w:ascii="Arial" w:hAnsi="Arial" w:cs="Arial"/>
          <w:sz w:val="24"/>
          <w:szCs w:val="24"/>
        </w:rPr>
        <w:t>from</w:t>
      </w:r>
      <w:r w:rsidR="00843989" w:rsidRPr="002C15C0">
        <w:rPr>
          <w:rFonts w:ascii="Arial" w:hAnsi="Arial" w:cs="Arial"/>
          <w:sz w:val="24"/>
          <w:szCs w:val="24"/>
        </w:rPr>
        <w:t xml:space="preserve"> the 2017 IRM Rate Generator Model. </w:t>
      </w:r>
      <w:r w:rsidR="00907A5A" w:rsidRPr="002C15C0">
        <w:rPr>
          <w:rFonts w:ascii="Arial" w:hAnsi="Arial" w:cs="Arial"/>
          <w:sz w:val="24"/>
          <w:szCs w:val="24"/>
        </w:rPr>
        <w:t xml:space="preserve">Meaning that the balances previously approved for disposition cannot be changed. </w:t>
      </w:r>
      <w:r w:rsidR="00843989" w:rsidRPr="002C15C0">
        <w:rPr>
          <w:rFonts w:ascii="Arial" w:hAnsi="Arial" w:cs="Arial"/>
          <w:sz w:val="24"/>
          <w:szCs w:val="24"/>
        </w:rPr>
        <w:t xml:space="preserve">Please update the DVA continuity schedule in the 2018 IRM Rate Generator Model as needed and explain </w:t>
      </w:r>
      <w:r w:rsidR="00907A5A" w:rsidRPr="002C15C0">
        <w:rPr>
          <w:rFonts w:ascii="Arial" w:hAnsi="Arial" w:cs="Arial"/>
          <w:sz w:val="24"/>
          <w:szCs w:val="24"/>
        </w:rPr>
        <w:t xml:space="preserve">the components of each </w:t>
      </w:r>
      <w:r w:rsidR="00843989" w:rsidRPr="002C15C0">
        <w:rPr>
          <w:rFonts w:ascii="Arial" w:hAnsi="Arial" w:cs="Arial"/>
          <w:sz w:val="24"/>
          <w:szCs w:val="24"/>
        </w:rPr>
        <w:t>adjustment made.</w:t>
      </w:r>
    </w:p>
    <w:p w:rsidR="0061795D" w:rsidRPr="00C6337F" w:rsidRDefault="0061795D" w:rsidP="00C6337F">
      <w:pPr>
        <w:pStyle w:val="ListParagraph"/>
        <w:spacing w:after="0" w:line="240" w:lineRule="auto"/>
        <w:contextualSpacing w:val="0"/>
        <w:rPr>
          <w:color w:val="1F497D"/>
          <w:lang w:val="en-US"/>
        </w:rPr>
      </w:pPr>
    </w:p>
    <w:p w:rsidR="0061795D" w:rsidRDefault="0061795D" w:rsidP="00C6337F">
      <w:pPr>
        <w:pStyle w:val="ListParagraph"/>
        <w:spacing w:after="0" w:line="240" w:lineRule="auto"/>
        <w:contextualSpacing w:val="0"/>
        <w:rPr>
          <w:color w:val="1F497D"/>
          <w:lang w:val="en-US"/>
        </w:rPr>
      </w:pPr>
      <w:r w:rsidRPr="00C6337F">
        <w:rPr>
          <w:b/>
          <w:color w:val="1F497D"/>
        </w:rPr>
        <w:t>David Chisholm:</w:t>
      </w:r>
      <w:r>
        <w:rPr>
          <w:color w:val="1F497D"/>
        </w:rPr>
        <w:t xml:space="preserve"> As part of the 2017 IRM rate filing (EB-2016-0072), Sudbury Hydro calculated and included an adjustment that pertained to 2015 year-end balances for 1588 and 1589. This was reflected in the 2015 balance/transactions for that IRM rate filing, and in the balances disposed of</w:t>
      </w:r>
      <w:r w:rsidR="0023189C">
        <w:rPr>
          <w:color w:val="1F497D"/>
        </w:rPr>
        <w:t>. In the 2018 submission, our</w:t>
      </w:r>
      <w:r>
        <w:rPr>
          <w:color w:val="1F497D"/>
        </w:rPr>
        <w:t xml:space="preserve"> intent was to show the principal and interest balances so that they agreed to the original RRR filing/OEB trial balance for 2015, and to show the adjustments for 2015 when they actually flowed through our general ledger (in 2016). The year-end balances for 2016 in the 2018 IRM model (for</w:t>
      </w:r>
      <w:r w:rsidR="0023189C">
        <w:rPr>
          <w:color w:val="1F497D"/>
        </w:rPr>
        <w:t xml:space="preserve"> 1588/1589</w:t>
      </w:r>
      <w:r>
        <w:rPr>
          <w:color w:val="1F497D"/>
        </w:rPr>
        <w:t>) are unchanged regardless of which year those adjustments are shown in the model – this is simply a presentation difference. I have revised the 2018 IRM model to reflect the presentation you are expecting, and have submitted that via RESS.</w:t>
      </w:r>
    </w:p>
    <w:p w:rsidR="0061795D" w:rsidRPr="00C6337F" w:rsidRDefault="0061795D" w:rsidP="00C6337F">
      <w:pPr>
        <w:rPr>
          <w:rFonts w:ascii="Arial" w:hAnsi="Arial" w:cs="Arial"/>
          <w:sz w:val="24"/>
          <w:szCs w:val="24"/>
        </w:rPr>
      </w:pPr>
    </w:p>
    <w:p w:rsidR="007D4C8D" w:rsidRDefault="00E23CCE" w:rsidP="002C15C0">
      <w:pPr>
        <w:pStyle w:val="ListParagraph"/>
        <w:numPr>
          <w:ilvl w:val="0"/>
          <w:numId w:val="2"/>
        </w:numPr>
        <w:rPr>
          <w:rFonts w:ascii="Arial" w:hAnsi="Arial" w:cs="Arial"/>
          <w:sz w:val="24"/>
          <w:szCs w:val="24"/>
        </w:rPr>
      </w:pPr>
      <w:r>
        <w:rPr>
          <w:rFonts w:ascii="Arial" w:hAnsi="Arial" w:cs="Arial"/>
          <w:sz w:val="24"/>
          <w:szCs w:val="24"/>
        </w:rPr>
        <w:t xml:space="preserve">Question 1 refers to discrepancies to </w:t>
      </w:r>
      <w:r w:rsidR="009E6A6B">
        <w:rPr>
          <w:rFonts w:ascii="Arial" w:hAnsi="Arial" w:cs="Arial"/>
          <w:sz w:val="24"/>
          <w:szCs w:val="24"/>
        </w:rPr>
        <w:t xml:space="preserve">total </w:t>
      </w:r>
      <w:r>
        <w:rPr>
          <w:rFonts w:ascii="Arial" w:hAnsi="Arial" w:cs="Arial"/>
          <w:sz w:val="24"/>
          <w:szCs w:val="24"/>
        </w:rPr>
        <w:t xml:space="preserve">principal balances for accounts 1588 and 1589. Please perform the same analysis for carrying charges and provide completed tables 3, 4 and 5 and then </w:t>
      </w:r>
      <w:r w:rsidRPr="00EE7B08">
        <w:rPr>
          <w:rFonts w:ascii="Arial" w:hAnsi="Arial" w:cs="Arial"/>
          <w:sz w:val="24"/>
          <w:szCs w:val="24"/>
        </w:rPr>
        <w:t xml:space="preserve">comment on the </w:t>
      </w:r>
      <w:r>
        <w:rPr>
          <w:rFonts w:ascii="Arial" w:hAnsi="Arial" w:cs="Arial"/>
          <w:sz w:val="24"/>
          <w:szCs w:val="24"/>
        </w:rPr>
        <w:t xml:space="preserve">third table for carrying charges </w:t>
      </w:r>
      <w:r w:rsidRPr="00EE7B08">
        <w:rPr>
          <w:rFonts w:ascii="Arial" w:hAnsi="Arial" w:cs="Arial"/>
          <w:sz w:val="24"/>
          <w:szCs w:val="24"/>
        </w:rPr>
        <w:t xml:space="preserve">and explain why the amounts Greater Sudbury Hydro </w:t>
      </w:r>
      <w:r w:rsidR="009E6A6B">
        <w:rPr>
          <w:rFonts w:ascii="Arial" w:hAnsi="Arial" w:cs="Arial"/>
          <w:sz w:val="24"/>
          <w:szCs w:val="24"/>
        </w:rPr>
        <w:t>filed</w:t>
      </w:r>
      <w:r w:rsidRPr="00EE7B08">
        <w:rPr>
          <w:rFonts w:ascii="Arial" w:hAnsi="Arial" w:cs="Arial"/>
          <w:sz w:val="24"/>
          <w:szCs w:val="24"/>
        </w:rPr>
        <w:t xml:space="preserve"> are different? OEB Staff notes that the starting point for the DVA continuity schedule </w:t>
      </w:r>
      <w:r>
        <w:rPr>
          <w:rFonts w:ascii="Arial" w:hAnsi="Arial" w:cs="Arial"/>
          <w:sz w:val="24"/>
          <w:szCs w:val="24"/>
        </w:rPr>
        <w:t xml:space="preserve">for carrying charges </w:t>
      </w:r>
      <w:r w:rsidRPr="00EE7B08">
        <w:rPr>
          <w:rFonts w:ascii="Arial" w:hAnsi="Arial" w:cs="Arial"/>
          <w:sz w:val="24"/>
          <w:szCs w:val="24"/>
        </w:rPr>
        <w:t xml:space="preserve">populated in the 2018 IRM Rate Generator Model must be the same as the </w:t>
      </w:r>
      <w:r>
        <w:rPr>
          <w:rFonts w:ascii="Arial" w:hAnsi="Arial" w:cs="Arial"/>
          <w:sz w:val="24"/>
          <w:szCs w:val="24"/>
        </w:rPr>
        <w:t xml:space="preserve">2015 </w:t>
      </w:r>
      <w:r w:rsidRPr="00EE7B08">
        <w:rPr>
          <w:rFonts w:ascii="Arial" w:hAnsi="Arial" w:cs="Arial"/>
          <w:sz w:val="24"/>
          <w:szCs w:val="24"/>
        </w:rPr>
        <w:t>information populated in the DVA continuity schedule from the 2017 IRM Rate Generator Model. Meaning that the balances previously approved for disposition cannot be changed. Please update the DVA continuity schedule in the 2018 IRM Rate Generator Model as needed and explain the components of each adjustment made.</w:t>
      </w:r>
    </w:p>
    <w:p w:rsidR="0061795D" w:rsidRDefault="0061795D" w:rsidP="00C6337F">
      <w:pPr>
        <w:pStyle w:val="ListParagraph"/>
        <w:spacing w:after="0" w:line="240" w:lineRule="auto"/>
        <w:contextualSpacing w:val="0"/>
        <w:rPr>
          <w:color w:val="1F497D"/>
        </w:rPr>
      </w:pPr>
    </w:p>
    <w:p w:rsidR="000473CA" w:rsidRDefault="0061795D" w:rsidP="00C6337F">
      <w:pPr>
        <w:pStyle w:val="ListParagraph"/>
        <w:spacing w:after="0" w:line="240" w:lineRule="auto"/>
        <w:contextualSpacing w:val="0"/>
        <w:rPr>
          <w:color w:val="1F497D"/>
        </w:rPr>
      </w:pPr>
      <w:r w:rsidRPr="00C6337F">
        <w:rPr>
          <w:b/>
          <w:color w:val="1F497D"/>
        </w:rPr>
        <w:t>David Chisholm:</w:t>
      </w:r>
      <w:r>
        <w:rPr>
          <w:color w:val="1F497D"/>
        </w:rPr>
        <w:t xml:space="preserve"> Same as part 1 above, the initial submission of the 2018 IRM model has 2015 interest balances that matched our annual RRR submission and OEB trial balance for that year. The disposed-of 2015 carrying charges were calculated for the year after consideration of principal adjustments to 1588 and 1589. </w:t>
      </w:r>
    </w:p>
    <w:p w:rsidR="000473CA" w:rsidRDefault="000473CA" w:rsidP="00C6337F">
      <w:pPr>
        <w:pStyle w:val="ListParagraph"/>
        <w:spacing w:after="0" w:line="240" w:lineRule="auto"/>
        <w:contextualSpacing w:val="0"/>
        <w:rPr>
          <w:color w:val="1F497D"/>
        </w:rPr>
      </w:pPr>
    </w:p>
    <w:p w:rsidR="000473CA" w:rsidRDefault="000473CA" w:rsidP="00C6337F">
      <w:pPr>
        <w:pStyle w:val="ListParagraph"/>
        <w:spacing w:after="0" w:line="240" w:lineRule="auto"/>
        <w:contextualSpacing w:val="0"/>
        <w:rPr>
          <w:color w:val="1F497D"/>
        </w:rPr>
      </w:pPr>
      <w:r>
        <w:rPr>
          <w:color w:val="1F497D"/>
        </w:rPr>
        <w:t xml:space="preserve">However, in looking closely at the interest calculation for 1588 and 1589, I have discovered an issue with our </w:t>
      </w:r>
      <w:r w:rsidR="00C5150E">
        <w:rPr>
          <w:color w:val="1F497D"/>
        </w:rPr>
        <w:t xml:space="preserve">internal continuity </w:t>
      </w:r>
      <w:r>
        <w:rPr>
          <w:color w:val="1F497D"/>
        </w:rPr>
        <w:t xml:space="preserve">spreadsheet for 2016 year-end, which caused an incorrect final year-end adjusting entry to the interest in account 1589 </w:t>
      </w:r>
      <w:r w:rsidR="00C5150E">
        <w:rPr>
          <w:color w:val="1F497D"/>
        </w:rPr>
        <w:t>(</w:t>
      </w:r>
      <w:r>
        <w:rPr>
          <w:color w:val="1F497D"/>
        </w:rPr>
        <w:t>pertaining to 2016</w:t>
      </w:r>
      <w:r w:rsidR="00C5150E">
        <w:rPr>
          <w:color w:val="1F497D"/>
        </w:rPr>
        <w:t xml:space="preserve"> &amp; therefore not yet disposed of)</w:t>
      </w:r>
      <w:r>
        <w:rPr>
          <w:color w:val="1F497D"/>
        </w:rPr>
        <w:t xml:space="preserve">. The adjustment </w:t>
      </w:r>
      <w:r w:rsidR="00EE6836">
        <w:rPr>
          <w:color w:val="1F497D"/>
        </w:rPr>
        <w:t>required</w:t>
      </w:r>
      <w:r>
        <w:rPr>
          <w:color w:val="1F497D"/>
        </w:rPr>
        <w:t xml:space="preserve"> is to debit the 1589 Global Adjustment deferral interest account by $65,972.66. </w:t>
      </w:r>
      <w:r w:rsidR="00CC23F0">
        <w:rPr>
          <w:color w:val="1F497D"/>
        </w:rPr>
        <w:t>F</w:t>
      </w:r>
      <w:r w:rsidR="00C5150E">
        <w:rPr>
          <w:color w:val="1F497D"/>
        </w:rPr>
        <w:t xml:space="preserve">or </w:t>
      </w:r>
      <w:r w:rsidR="00CC23F0">
        <w:rPr>
          <w:color w:val="1F497D"/>
        </w:rPr>
        <w:t>the purpose</w:t>
      </w:r>
      <w:r w:rsidR="00C5150E">
        <w:rPr>
          <w:color w:val="1F497D"/>
        </w:rPr>
        <w:t xml:space="preserve"> of maintaining an accurate balance continuity I have recorded the transaction in our 2017 general ledger and reflected it as an adjustment in the “Interest Adjustments during 2016” column. In the revised 2018 IRM model, the “Variance in RRR vs. 2016 Balance” column now has a variance of $65,973 which is this adjustment.</w:t>
      </w:r>
    </w:p>
    <w:p w:rsidR="009D41D2" w:rsidRDefault="009D41D2" w:rsidP="00C6337F">
      <w:pPr>
        <w:pStyle w:val="ListParagraph"/>
        <w:spacing w:after="0" w:line="240" w:lineRule="auto"/>
        <w:contextualSpacing w:val="0"/>
        <w:rPr>
          <w:color w:val="1F497D"/>
        </w:rPr>
      </w:pPr>
    </w:p>
    <w:p w:rsidR="009D41D2" w:rsidRDefault="009D41D2" w:rsidP="00C6337F">
      <w:pPr>
        <w:pStyle w:val="ListParagraph"/>
        <w:spacing w:after="0" w:line="240" w:lineRule="auto"/>
        <w:contextualSpacing w:val="0"/>
        <w:rPr>
          <w:color w:val="1F497D"/>
        </w:rPr>
      </w:pPr>
      <w:r>
        <w:rPr>
          <w:color w:val="1F497D"/>
        </w:rPr>
        <w:t>Please see the following table to support the adjusted carrying charges for 1589 ($65,973 interest adjustment less ($56,699) existing transactions equals $9,274</w:t>
      </w:r>
      <w:r w:rsidR="005D7C81">
        <w:rPr>
          <w:color w:val="1F497D"/>
        </w:rPr>
        <w:t xml:space="preserve"> total carrying charges</w:t>
      </w:r>
      <w:proofErr w:type="gramStart"/>
      <w:r>
        <w:rPr>
          <w:color w:val="1F497D"/>
        </w:rPr>
        <w:t>) :</w:t>
      </w:r>
      <w:proofErr w:type="gramEnd"/>
    </w:p>
    <w:p w:rsidR="009D41D2" w:rsidRDefault="009D41D2" w:rsidP="00C6337F">
      <w:pPr>
        <w:pStyle w:val="ListParagraph"/>
        <w:spacing w:after="0" w:line="240" w:lineRule="auto"/>
        <w:contextualSpacing w:val="0"/>
        <w:rPr>
          <w:color w:val="1F497D"/>
        </w:rPr>
      </w:pPr>
    </w:p>
    <w:p w:rsidR="005D7C81" w:rsidRDefault="005D7C81" w:rsidP="00C6337F">
      <w:pPr>
        <w:pStyle w:val="ListParagraph"/>
        <w:spacing w:after="0" w:line="240" w:lineRule="auto"/>
        <w:contextualSpacing w:val="0"/>
        <w:rPr>
          <w:color w:val="1F497D"/>
        </w:rPr>
      </w:pPr>
      <w:r w:rsidRPr="005D7C81">
        <w:rPr>
          <w:noProof/>
          <w:lang w:val="en-US"/>
        </w:rPr>
        <w:drawing>
          <wp:inline distT="0" distB="0" distL="0" distR="0">
            <wp:extent cx="5943600" cy="258693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86939"/>
                    </a:xfrm>
                    <a:prstGeom prst="rect">
                      <a:avLst/>
                    </a:prstGeom>
                    <a:noFill/>
                    <a:ln>
                      <a:noFill/>
                    </a:ln>
                  </pic:spPr>
                </pic:pic>
              </a:graphicData>
            </a:graphic>
          </wp:inline>
        </w:drawing>
      </w:r>
    </w:p>
    <w:p w:rsidR="00C5150E" w:rsidRDefault="00C5150E" w:rsidP="00C6337F">
      <w:pPr>
        <w:pStyle w:val="ListParagraph"/>
        <w:spacing w:after="0" w:line="240" w:lineRule="auto"/>
        <w:contextualSpacing w:val="0"/>
        <w:rPr>
          <w:color w:val="1F497D"/>
        </w:rPr>
      </w:pPr>
    </w:p>
    <w:p w:rsidR="0061795D" w:rsidRDefault="00CC23F0" w:rsidP="00C6337F">
      <w:pPr>
        <w:pStyle w:val="ListParagraph"/>
        <w:spacing w:after="0" w:line="240" w:lineRule="auto"/>
        <w:contextualSpacing w:val="0"/>
        <w:rPr>
          <w:color w:val="1F497D"/>
          <w:lang w:val="en-US"/>
        </w:rPr>
      </w:pPr>
      <w:r>
        <w:rPr>
          <w:color w:val="1F497D"/>
        </w:rPr>
        <w:t>We</w:t>
      </w:r>
      <w:bookmarkStart w:id="0" w:name="_GoBack"/>
      <w:bookmarkEnd w:id="0"/>
      <w:r w:rsidR="0061795D">
        <w:rPr>
          <w:color w:val="1F497D"/>
        </w:rPr>
        <w:t xml:space="preserve"> have revised the 2018 IRM model to reflect the presentation you are expecting, and have submitted that via RESS.</w:t>
      </w:r>
    </w:p>
    <w:p w:rsidR="0061795D" w:rsidRPr="00C6337F" w:rsidRDefault="0061795D" w:rsidP="00C6337F">
      <w:pPr>
        <w:rPr>
          <w:rFonts w:ascii="Arial" w:hAnsi="Arial" w:cs="Arial"/>
          <w:sz w:val="24"/>
          <w:szCs w:val="24"/>
        </w:rPr>
      </w:pPr>
    </w:p>
    <w:p w:rsidR="007D4C8D" w:rsidRDefault="007D4C8D" w:rsidP="002C15C0">
      <w:pPr>
        <w:pStyle w:val="ListParagraph"/>
        <w:numPr>
          <w:ilvl w:val="0"/>
          <w:numId w:val="2"/>
        </w:numPr>
        <w:rPr>
          <w:rFonts w:ascii="Arial" w:hAnsi="Arial" w:cs="Arial"/>
          <w:sz w:val="24"/>
          <w:szCs w:val="24"/>
        </w:rPr>
      </w:pPr>
      <w:r>
        <w:rPr>
          <w:rFonts w:ascii="Arial" w:hAnsi="Arial" w:cs="Arial"/>
          <w:sz w:val="24"/>
          <w:szCs w:val="24"/>
        </w:rPr>
        <w:t>Please update application as applicable depending on any adjustments to group 1 accounts as a result of changes relating to questions 1 and 2.</w:t>
      </w:r>
    </w:p>
    <w:p w:rsidR="0061795D" w:rsidRDefault="0061795D" w:rsidP="00C6337F">
      <w:pPr>
        <w:pStyle w:val="ListParagraph"/>
        <w:spacing w:after="0" w:line="240" w:lineRule="auto"/>
        <w:contextualSpacing w:val="0"/>
        <w:rPr>
          <w:color w:val="1F497D"/>
        </w:rPr>
      </w:pPr>
    </w:p>
    <w:p w:rsidR="00EE6836" w:rsidRDefault="0061795D" w:rsidP="00C6337F">
      <w:pPr>
        <w:pStyle w:val="ListParagraph"/>
        <w:spacing w:after="0" w:line="240" w:lineRule="auto"/>
        <w:contextualSpacing w:val="0"/>
        <w:rPr>
          <w:color w:val="1F497D"/>
        </w:rPr>
      </w:pPr>
      <w:r w:rsidRPr="00C6337F">
        <w:rPr>
          <w:b/>
          <w:color w:val="1F497D"/>
        </w:rPr>
        <w:t>David Chisholm:</w:t>
      </w:r>
      <w:r>
        <w:rPr>
          <w:color w:val="1F497D"/>
        </w:rPr>
        <w:t xml:space="preserve"> </w:t>
      </w:r>
      <w:r w:rsidR="009D41D2">
        <w:rPr>
          <w:color w:val="1F497D"/>
        </w:rPr>
        <w:t xml:space="preserve">As discussed above, principal balances are </w:t>
      </w:r>
      <w:r w:rsidR="005D7C81">
        <w:rPr>
          <w:color w:val="1F497D"/>
        </w:rPr>
        <w:t xml:space="preserve">now </w:t>
      </w:r>
      <w:r w:rsidR="009D41D2">
        <w:rPr>
          <w:color w:val="1F497D"/>
        </w:rPr>
        <w:t>re-classed</w:t>
      </w:r>
      <w:r w:rsidR="005D7C81">
        <w:rPr>
          <w:color w:val="1F497D"/>
        </w:rPr>
        <w:t xml:space="preserve"> and the updated IRM model reflects this</w:t>
      </w:r>
      <w:r w:rsidR="009D41D2">
        <w:rPr>
          <w:color w:val="1F497D"/>
        </w:rPr>
        <w:t xml:space="preserve">. An adjustment has been booked </w:t>
      </w:r>
      <w:r w:rsidR="005D7C81">
        <w:rPr>
          <w:color w:val="1F497D"/>
        </w:rPr>
        <w:t xml:space="preserve">to interest pertaining to 1589 and the updated model reflects this also. </w:t>
      </w:r>
    </w:p>
    <w:p w:rsidR="00EE6836" w:rsidRDefault="00EE6836" w:rsidP="00C6337F">
      <w:pPr>
        <w:pStyle w:val="ListParagraph"/>
        <w:spacing w:after="0" w:line="240" w:lineRule="auto"/>
        <w:contextualSpacing w:val="0"/>
        <w:rPr>
          <w:color w:val="1F497D"/>
        </w:rPr>
      </w:pPr>
    </w:p>
    <w:p w:rsidR="0061795D" w:rsidRDefault="00EE6836" w:rsidP="00C6337F">
      <w:pPr>
        <w:pStyle w:val="ListParagraph"/>
        <w:spacing w:after="0" w:line="240" w:lineRule="auto"/>
        <w:contextualSpacing w:val="0"/>
        <w:rPr>
          <w:color w:val="1F497D"/>
          <w:lang w:val="en-US"/>
        </w:rPr>
      </w:pPr>
      <w:r>
        <w:rPr>
          <w:color w:val="1F497D"/>
        </w:rPr>
        <w:t>Sudbury Hydro has verified and can confirm that all other carrying charge amounts reported in the 2018 IRM model are accurate.</w:t>
      </w:r>
    </w:p>
    <w:p w:rsidR="0061795D" w:rsidRPr="00C6337F" w:rsidRDefault="0061795D" w:rsidP="00C6337F">
      <w:pPr>
        <w:rPr>
          <w:rFonts w:ascii="Arial" w:hAnsi="Arial" w:cs="Arial"/>
          <w:sz w:val="24"/>
          <w:szCs w:val="24"/>
        </w:rPr>
      </w:pPr>
    </w:p>
    <w:p w:rsidR="008A6077" w:rsidRDefault="008A6077" w:rsidP="008A6077">
      <w:pPr>
        <w:rPr>
          <w:rFonts w:ascii="Arial" w:hAnsi="Arial" w:cs="Arial"/>
          <w:b/>
          <w:sz w:val="24"/>
          <w:szCs w:val="24"/>
        </w:rPr>
      </w:pPr>
      <w:r w:rsidRPr="00A87532">
        <w:rPr>
          <w:rFonts w:ascii="Arial" w:hAnsi="Arial" w:cs="Arial"/>
          <w:b/>
          <w:sz w:val="24"/>
          <w:szCs w:val="24"/>
        </w:rPr>
        <w:t>OEB Staff Question #</w:t>
      </w:r>
      <w:r w:rsidR="00036C2B">
        <w:rPr>
          <w:rFonts w:ascii="Arial" w:hAnsi="Arial" w:cs="Arial"/>
          <w:b/>
          <w:sz w:val="24"/>
          <w:szCs w:val="24"/>
        </w:rPr>
        <w:t>2</w:t>
      </w:r>
    </w:p>
    <w:p w:rsidR="008A6077" w:rsidRPr="00527C2D" w:rsidRDefault="008A6077" w:rsidP="008A6077">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Rate Generator Model – Tab 3 Continuity Schedule</w:t>
      </w:r>
    </w:p>
    <w:p w:rsidR="002C15C0" w:rsidRDefault="002C15C0" w:rsidP="002C15C0">
      <w:pPr>
        <w:rPr>
          <w:rFonts w:ascii="Arial" w:hAnsi="Arial" w:cs="Arial"/>
          <w:sz w:val="24"/>
          <w:szCs w:val="24"/>
        </w:rPr>
      </w:pPr>
      <w:r w:rsidRPr="00A87532">
        <w:rPr>
          <w:rFonts w:ascii="Arial" w:hAnsi="Arial" w:cs="Arial"/>
          <w:sz w:val="24"/>
          <w:szCs w:val="24"/>
        </w:rPr>
        <w:t xml:space="preserve">With regards to the amount being requested for disposition of </w:t>
      </w:r>
      <w:proofErr w:type="spellStart"/>
      <w:r w:rsidRPr="00A87532">
        <w:rPr>
          <w:rFonts w:ascii="Arial" w:hAnsi="Arial" w:cs="Arial"/>
          <w:sz w:val="24"/>
          <w:szCs w:val="24"/>
        </w:rPr>
        <w:t>USoA</w:t>
      </w:r>
      <w:proofErr w:type="spellEnd"/>
      <w:r w:rsidRPr="00A87532">
        <w:rPr>
          <w:rFonts w:ascii="Arial" w:hAnsi="Arial" w:cs="Arial"/>
          <w:sz w:val="24"/>
          <w:szCs w:val="24"/>
        </w:rPr>
        <w:t xml:space="preserve"> 158</w:t>
      </w:r>
      <w:r>
        <w:rPr>
          <w:rFonts w:ascii="Arial" w:hAnsi="Arial" w:cs="Arial"/>
          <w:sz w:val="24"/>
          <w:szCs w:val="24"/>
        </w:rPr>
        <w:t>8</w:t>
      </w:r>
      <w:r w:rsidRPr="00A87532">
        <w:rPr>
          <w:rFonts w:ascii="Arial" w:hAnsi="Arial" w:cs="Arial"/>
          <w:sz w:val="24"/>
          <w:szCs w:val="24"/>
        </w:rPr>
        <w:t xml:space="preserve"> acc</w:t>
      </w:r>
      <w:r>
        <w:rPr>
          <w:rFonts w:ascii="Arial" w:hAnsi="Arial" w:cs="Arial"/>
          <w:sz w:val="24"/>
          <w:szCs w:val="24"/>
        </w:rPr>
        <w:t xml:space="preserve">ount balance as </w:t>
      </w:r>
      <w:r w:rsidRPr="009624E3">
        <w:rPr>
          <w:rFonts w:ascii="Arial" w:hAnsi="Arial" w:cs="Arial"/>
          <w:b/>
          <w:sz w:val="24"/>
          <w:szCs w:val="24"/>
        </w:rPr>
        <w:t>at Dec. 31, 2015 and Dec. 31, 2016</w:t>
      </w:r>
      <w:r w:rsidRPr="00A87532">
        <w:rPr>
          <w:rFonts w:ascii="Arial" w:hAnsi="Arial" w:cs="Arial"/>
          <w:sz w:val="24"/>
          <w:szCs w:val="24"/>
        </w:rPr>
        <w:t>, all components that flow into Account 158</w:t>
      </w:r>
      <w:r>
        <w:rPr>
          <w:rFonts w:ascii="Arial" w:hAnsi="Arial" w:cs="Arial"/>
          <w:sz w:val="24"/>
          <w:szCs w:val="24"/>
        </w:rPr>
        <w:t>8</w:t>
      </w:r>
      <w:r w:rsidRPr="00A87532">
        <w:rPr>
          <w:rFonts w:ascii="Arial" w:hAnsi="Arial" w:cs="Arial"/>
          <w:sz w:val="24"/>
          <w:szCs w:val="24"/>
        </w:rPr>
        <w:t xml:space="preserve">  (</w:t>
      </w:r>
      <w:proofErr w:type="spellStart"/>
      <w:r w:rsidRPr="00A87532">
        <w:rPr>
          <w:rFonts w:ascii="Arial" w:hAnsi="Arial" w:cs="Arial"/>
          <w:sz w:val="24"/>
          <w:szCs w:val="24"/>
        </w:rPr>
        <w:t>i</w:t>
      </w:r>
      <w:proofErr w:type="spellEnd"/>
      <w:r w:rsidRPr="00A87532">
        <w:rPr>
          <w:rFonts w:ascii="Arial" w:hAnsi="Arial" w:cs="Arial"/>
          <w:sz w:val="24"/>
          <w:szCs w:val="24"/>
        </w:rPr>
        <w:t xml:space="preserve"> to iv in table below) should be all based on actuals at year end. Plea</w:t>
      </w:r>
      <w:r>
        <w:rPr>
          <w:rFonts w:ascii="Arial" w:hAnsi="Arial" w:cs="Arial"/>
          <w:sz w:val="24"/>
          <w:szCs w:val="24"/>
        </w:rPr>
        <w:t xml:space="preserve">se complete the following table for 2015 and 2016 </w:t>
      </w:r>
      <w:r w:rsidRPr="00A87532">
        <w:rPr>
          <w:rFonts w:ascii="Arial" w:hAnsi="Arial" w:cs="Arial"/>
          <w:sz w:val="24"/>
          <w:szCs w:val="24"/>
        </w:rPr>
        <w:t>to</w:t>
      </w:r>
      <w:r>
        <w:rPr>
          <w:rFonts w:ascii="Arial" w:hAnsi="Arial" w:cs="Arial"/>
          <w:sz w:val="24"/>
          <w:szCs w:val="24"/>
        </w:rPr>
        <w:t>:</w:t>
      </w:r>
    </w:p>
    <w:p w:rsidR="002C15C0" w:rsidRPr="00AD1178" w:rsidRDefault="002C15C0" w:rsidP="002C15C0">
      <w:pPr>
        <w:pStyle w:val="ListParagraph"/>
        <w:numPr>
          <w:ilvl w:val="0"/>
          <w:numId w:val="1"/>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rsidR="002C15C0" w:rsidRDefault="002C15C0" w:rsidP="002C15C0">
      <w:pPr>
        <w:pStyle w:val="ListParagraph"/>
        <w:numPr>
          <w:ilvl w:val="0"/>
          <w:numId w:val="1"/>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p w:rsidR="0061795D" w:rsidRDefault="0061795D" w:rsidP="00C6337F">
      <w:pPr>
        <w:spacing w:after="0" w:line="240" w:lineRule="auto"/>
        <w:rPr>
          <w:color w:val="1F497D"/>
        </w:rPr>
      </w:pPr>
      <w:r w:rsidRPr="00C6337F">
        <w:rPr>
          <w:b/>
          <w:color w:val="1F497D"/>
        </w:rPr>
        <w:lastRenderedPageBreak/>
        <w:t>David Chisholm:</w:t>
      </w:r>
      <w:r w:rsidRPr="00C6337F">
        <w:rPr>
          <w:color w:val="1F497D"/>
        </w:rPr>
        <w:t xml:space="preserve"> </w:t>
      </w:r>
      <w:r>
        <w:rPr>
          <w:color w:val="1F497D"/>
        </w:rPr>
        <w:t xml:space="preserve">Just to clarify – Sudbury Hydro is not requesting disposition of </w:t>
      </w:r>
      <w:r w:rsidR="00EE6836">
        <w:rPr>
          <w:color w:val="1F497D"/>
        </w:rPr>
        <w:t xml:space="preserve">Group 1 </w:t>
      </w:r>
      <w:r>
        <w:rPr>
          <w:color w:val="1F497D"/>
        </w:rPr>
        <w:t xml:space="preserve">DVA balances in the 2018 IRM. </w:t>
      </w:r>
      <w:r w:rsidRPr="00C6337F">
        <w:rPr>
          <w:color w:val="1F497D"/>
        </w:rPr>
        <w:t xml:space="preserve"> </w:t>
      </w:r>
    </w:p>
    <w:p w:rsidR="0061795D" w:rsidRPr="00C6337F" w:rsidRDefault="0061795D" w:rsidP="00C6337F">
      <w:pPr>
        <w:spacing w:after="0" w:line="240" w:lineRule="auto"/>
        <w:rPr>
          <w:color w:val="1F497D"/>
          <w:lang w:val="en-US"/>
        </w:rPr>
      </w:pPr>
    </w:p>
    <w:tbl>
      <w:tblPr>
        <w:tblStyle w:val="TableGrid"/>
        <w:tblW w:w="10435" w:type="dxa"/>
        <w:tblLook w:val="04A0" w:firstRow="1" w:lastRow="0" w:firstColumn="1" w:lastColumn="0" w:noHBand="0" w:noVBand="1"/>
      </w:tblPr>
      <w:tblGrid>
        <w:gridCol w:w="389"/>
        <w:gridCol w:w="2486"/>
        <w:gridCol w:w="1350"/>
        <w:gridCol w:w="4230"/>
        <w:gridCol w:w="1980"/>
      </w:tblGrid>
      <w:tr w:rsidR="002C15C0" w:rsidTr="00447947">
        <w:tc>
          <w:tcPr>
            <w:tcW w:w="389" w:type="dxa"/>
          </w:tcPr>
          <w:p w:rsidR="002C15C0" w:rsidRPr="00FE126C" w:rsidRDefault="002C15C0" w:rsidP="00447947">
            <w:pPr>
              <w:rPr>
                <w:rFonts w:ascii="Arial" w:hAnsi="Arial" w:cs="Arial"/>
                <w:sz w:val="20"/>
                <w:szCs w:val="20"/>
              </w:rPr>
            </w:pPr>
          </w:p>
        </w:tc>
        <w:tc>
          <w:tcPr>
            <w:tcW w:w="2486" w:type="dxa"/>
          </w:tcPr>
          <w:p w:rsidR="002C15C0" w:rsidRPr="00FE126C" w:rsidRDefault="002C15C0" w:rsidP="00447947">
            <w:pPr>
              <w:rPr>
                <w:rFonts w:ascii="Arial" w:hAnsi="Arial" w:cs="Arial"/>
                <w:b/>
                <w:sz w:val="20"/>
                <w:szCs w:val="20"/>
              </w:rPr>
            </w:pPr>
            <w:r w:rsidRPr="00FE126C">
              <w:rPr>
                <w:rFonts w:ascii="Arial" w:hAnsi="Arial" w:cs="Arial"/>
                <w:b/>
                <w:sz w:val="20"/>
                <w:szCs w:val="20"/>
              </w:rPr>
              <w:t>Component</w:t>
            </w:r>
          </w:p>
        </w:tc>
        <w:tc>
          <w:tcPr>
            <w:tcW w:w="1350" w:type="dxa"/>
          </w:tcPr>
          <w:p w:rsidR="002C15C0" w:rsidRPr="00FE126C" w:rsidRDefault="002C15C0" w:rsidP="00447947">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rsidR="002C15C0" w:rsidRPr="00FE126C" w:rsidRDefault="002C15C0" w:rsidP="00447947">
            <w:pPr>
              <w:rPr>
                <w:rFonts w:ascii="Arial" w:hAnsi="Arial" w:cs="Arial"/>
                <w:b/>
                <w:sz w:val="20"/>
                <w:szCs w:val="20"/>
              </w:rPr>
            </w:pPr>
            <w:r w:rsidRPr="00FE126C">
              <w:rPr>
                <w:rFonts w:ascii="Arial" w:hAnsi="Arial" w:cs="Arial"/>
                <w:b/>
                <w:sz w:val="20"/>
                <w:szCs w:val="20"/>
              </w:rPr>
              <w:t>Notes/Comments</w:t>
            </w:r>
          </w:p>
        </w:tc>
        <w:tc>
          <w:tcPr>
            <w:tcW w:w="1980" w:type="dxa"/>
          </w:tcPr>
          <w:p w:rsidR="002C15C0" w:rsidRPr="00FE126C" w:rsidRDefault="002C15C0" w:rsidP="00447947">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2C15C0" w:rsidTr="00447947">
        <w:trPr>
          <w:trHeight w:val="1385"/>
        </w:trPr>
        <w:tc>
          <w:tcPr>
            <w:tcW w:w="389" w:type="dxa"/>
          </w:tcPr>
          <w:p w:rsidR="002C15C0" w:rsidRPr="00FE126C" w:rsidRDefault="002C15C0" w:rsidP="00447947">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rsidR="002C15C0" w:rsidRPr="00FE126C" w:rsidRDefault="002C15C0" w:rsidP="00447947">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rsidR="002C15C0" w:rsidRPr="00C6337F" w:rsidRDefault="0061795D" w:rsidP="00C6337F">
            <w:pPr>
              <w:spacing w:after="0" w:line="240" w:lineRule="auto"/>
              <w:rPr>
                <w:color w:val="1F497D"/>
              </w:rPr>
            </w:pPr>
            <w:r w:rsidRPr="00C6337F">
              <w:rPr>
                <w:color w:val="1F497D"/>
              </w:rPr>
              <w:t>Actual</w:t>
            </w:r>
          </w:p>
        </w:tc>
        <w:tc>
          <w:tcPr>
            <w:tcW w:w="4230" w:type="dxa"/>
          </w:tcPr>
          <w:p w:rsidR="002C15C0" w:rsidRPr="00C6337F" w:rsidRDefault="0061795D" w:rsidP="00C6337F">
            <w:pPr>
              <w:spacing w:after="0" w:line="240" w:lineRule="auto"/>
              <w:rPr>
                <w:color w:val="1F497D"/>
              </w:rPr>
            </w:pPr>
            <w:r w:rsidRPr="00C6337F">
              <w:rPr>
                <w:color w:val="1F497D"/>
              </w:rPr>
              <w:t xml:space="preserve">Sudbury Hydro’s year-end process allows us to capture </w:t>
            </w:r>
            <w:r>
              <w:rPr>
                <w:color w:val="1F497D"/>
              </w:rPr>
              <w:t>all billings subsequent to year-end that pertained to the fiscal year. An unbilled revenue true-up adjustment is recorded, and that accrual is actual billings.</w:t>
            </w:r>
          </w:p>
        </w:tc>
        <w:tc>
          <w:tcPr>
            <w:tcW w:w="1980" w:type="dxa"/>
          </w:tcPr>
          <w:p w:rsidR="002C15C0" w:rsidRPr="00C6337F" w:rsidRDefault="00EE6836" w:rsidP="00C6337F">
            <w:pPr>
              <w:spacing w:after="0" w:line="240" w:lineRule="auto"/>
              <w:jc w:val="center"/>
              <w:rPr>
                <w:color w:val="1F497D"/>
              </w:rPr>
            </w:pPr>
            <w:r>
              <w:rPr>
                <w:color w:val="1F497D"/>
              </w:rPr>
              <w:t>Actual #’s Used, no True Up</w:t>
            </w:r>
          </w:p>
        </w:tc>
      </w:tr>
      <w:tr w:rsidR="002C15C0" w:rsidTr="00447947">
        <w:tc>
          <w:tcPr>
            <w:tcW w:w="389" w:type="dxa"/>
          </w:tcPr>
          <w:p w:rsidR="002C15C0" w:rsidRPr="00FE126C" w:rsidRDefault="002C15C0" w:rsidP="00447947">
            <w:pPr>
              <w:rPr>
                <w:rFonts w:ascii="Arial" w:hAnsi="Arial" w:cs="Arial"/>
                <w:sz w:val="20"/>
                <w:szCs w:val="20"/>
              </w:rPr>
            </w:pPr>
            <w:r>
              <w:rPr>
                <w:rFonts w:ascii="Arial" w:hAnsi="Arial" w:cs="Arial"/>
                <w:sz w:val="20"/>
                <w:szCs w:val="20"/>
              </w:rPr>
              <w:t>ii</w:t>
            </w:r>
          </w:p>
        </w:tc>
        <w:tc>
          <w:tcPr>
            <w:tcW w:w="2486" w:type="dxa"/>
          </w:tcPr>
          <w:p w:rsidR="002C15C0" w:rsidRDefault="002C15C0" w:rsidP="00447947">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rsidR="002C15C0" w:rsidRPr="00C6337F" w:rsidRDefault="00EB2868" w:rsidP="00C6337F">
            <w:pPr>
              <w:spacing w:after="0" w:line="240" w:lineRule="auto"/>
              <w:rPr>
                <w:color w:val="1F497D"/>
              </w:rPr>
            </w:pPr>
            <w:r>
              <w:rPr>
                <w:color w:val="1F497D"/>
              </w:rPr>
              <w:t>Actual</w:t>
            </w:r>
          </w:p>
        </w:tc>
        <w:tc>
          <w:tcPr>
            <w:tcW w:w="4230" w:type="dxa"/>
          </w:tcPr>
          <w:p w:rsidR="002C15C0" w:rsidRPr="00C6337F" w:rsidRDefault="00EB2868" w:rsidP="00C6337F">
            <w:pPr>
              <w:spacing w:after="0" w:line="240" w:lineRule="auto"/>
              <w:rPr>
                <w:color w:val="1F497D"/>
              </w:rPr>
            </w:pPr>
            <w:r>
              <w:rPr>
                <w:color w:val="1F497D"/>
              </w:rPr>
              <w:t>An accrual is booked that captures actual commodity billings that are paid subsequent to year-end.</w:t>
            </w:r>
          </w:p>
        </w:tc>
        <w:tc>
          <w:tcPr>
            <w:tcW w:w="1980" w:type="dxa"/>
          </w:tcPr>
          <w:p w:rsidR="002C15C0" w:rsidRPr="00C6337F" w:rsidRDefault="00EE6836" w:rsidP="00C6337F">
            <w:pPr>
              <w:spacing w:after="0" w:line="240" w:lineRule="auto"/>
              <w:jc w:val="center"/>
              <w:rPr>
                <w:color w:val="1F497D"/>
              </w:rPr>
            </w:pPr>
            <w:r>
              <w:rPr>
                <w:color w:val="1F497D"/>
              </w:rPr>
              <w:t>Actual #’s Used, no True Up</w:t>
            </w:r>
          </w:p>
        </w:tc>
      </w:tr>
      <w:tr w:rsidR="002C15C0" w:rsidTr="00447947">
        <w:trPr>
          <w:trHeight w:val="1628"/>
        </w:trPr>
        <w:tc>
          <w:tcPr>
            <w:tcW w:w="389" w:type="dxa"/>
          </w:tcPr>
          <w:p w:rsidR="002C15C0" w:rsidRPr="00FE126C" w:rsidRDefault="002C15C0" w:rsidP="00447947">
            <w:pPr>
              <w:rPr>
                <w:rFonts w:ascii="Arial" w:hAnsi="Arial" w:cs="Arial"/>
                <w:sz w:val="20"/>
                <w:szCs w:val="20"/>
              </w:rPr>
            </w:pPr>
            <w:r>
              <w:rPr>
                <w:rFonts w:ascii="Arial" w:hAnsi="Arial" w:cs="Arial"/>
                <w:sz w:val="20"/>
                <w:szCs w:val="20"/>
              </w:rPr>
              <w:t>iii</w:t>
            </w:r>
          </w:p>
        </w:tc>
        <w:tc>
          <w:tcPr>
            <w:tcW w:w="2486" w:type="dxa"/>
          </w:tcPr>
          <w:p w:rsidR="002C15C0" w:rsidRPr="00FE126C" w:rsidRDefault="002C15C0" w:rsidP="00447947">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rsidR="002C15C0" w:rsidRPr="00C6337F" w:rsidRDefault="00EB2868" w:rsidP="00C6337F">
            <w:pPr>
              <w:spacing w:after="0" w:line="240" w:lineRule="auto"/>
              <w:rPr>
                <w:color w:val="1F497D"/>
              </w:rPr>
            </w:pPr>
            <w:r>
              <w:rPr>
                <w:color w:val="1F497D"/>
              </w:rPr>
              <w:t>Actual</w:t>
            </w:r>
          </w:p>
        </w:tc>
        <w:tc>
          <w:tcPr>
            <w:tcW w:w="4230" w:type="dxa"/>
          </w:tcPr>
          <w:p w:rsidR="002C15C0" w:rsidRPr="00C6337F" w:rsidRDefault="00EB2868" w:rsidP="00C6337F">
            <w:pPr>
              <w:spacing w:after="0" w:line="240" w:lineRule="auto"/>
              <w:rPr>
                <w:color w:val="1F497D"/>
              </w:rPr>
            </w:pPr>
            <w:r>
              <w:rPr>
                <w:color w:val="1F497D"/>
              </w:rPr>
              <w:t>Sudbury Hydro has exhausted significant effort in the past two years in revamping its RPP true up process. The GA attributed to RPP customers is based on actual charges.</w:t>
            </w:r>
          </w:p>
        </w:tc>
        <w:tc>
          <w:tcPr>
            <w:tcW w:w="1980" w:type="dxa"/>
          </w:tcPr>
          <w:p w:rsidR="002C15C0" w:rsidRPr="00C6337F" w:rsidRDefault="00EE6836" w:rsidP="00C6337F">
            <w:pPr>
              <w:spacing w:after="0" w:line="240" w:lineRule="auto"/>
              <w:jc w:val="center"/>
              <w:rPr>
                <w:color w:val="1F497D"/>
              </w:rPr>
            </w:pPr>
            <w:r>
              <w:rPr>
                <w:color w:val="1F497D"/>
              </w:rPr>
              <w:t>Actual #’s Used, no True Up</w:t>
            </w:r>
          </w:p>
        </w:tc>
      </w:tr>
      <w:tr w:rsidR="002C15C0" w:rsidTr="00447947">
        <w:tc>
          <w:tcPr>
            <w:tcW w:w="389" w:type="dxa"/>
          </w:tcPr>
          <w:p w:rsidR="002C15C0" w:rsidRPr="00FE126C" w:rsidRDefault="002C15C0" w:rsidP="00447947">
            <w:pPr>
              <w:rPr>
                <w:rFonts w:ascii="Arial" w:hAnsi="Arial" w:cs="Arial"/>
                <w:sz w:val="20"/>
                <w:szCs w:val="20"/>
              </w:rPr>
            </w:pPr>
            <w:r>
              <w:rPr>
                <w:rFonts w:ascii="Arial" w:hAnsi="Arial" w:cs="Arial"/>
                <w:sz w:val="20"/>
                <w:szCs w:val="20"/>
              </w:rPr>
              <w:t>iv</w:t>
            </w:r>
          </w:p>
        </w:tc>
        <w:tc>
          <w:tcPr>
            <w:tcW w:w="2486" w:type="dxa"/>
          </w:tcPr>
          <w:p w:rsidR="002C15C0" w:rsidRPr="00FE126C" w:rsidRDefault="002C15C0" w:rsidP="00447947">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rsidR="002C15C0" w:rsidRPr="00C6337F" w:rsidRDefault="00EB2868" w:rsidP="00C6337F">
            <w:pPr>
              <w:spacing w:after="0" w:line="240" w:lineRule="auto"/>
              <w:rPr>
                <w:color w:val="1F497D"/>
              </w:rPr>
            </w:pPr>
            <w:r>
              <w:rPr>
                <w:color w:val="1F497D"/>
              </w:rPr>
              <w:t>Actual</w:t>
            </w:r>
          </w:p>
        </w:tc>
        <w:tc>
          <w:tcPr>
            <w:tcW w:w="4230" w:type="dxa"/>
          </w:tcPr>
          <w:p w:rsidR="002C15C0" w:rsidRPr="00C6337F" w:rsidRDefault="00EB2868" w:rsidP="00C6337F">
            <w:pPr>
              <w:spacing w:after="0" w:line="240" w:lineRule="auto"/>
              <w:rPr>
                <w:color w:val="1F497D"/>
              </w:rPr>
            </w:pPr>
            <w:r>
              <w:rPr>
                <w:color w:val="1F497D"/>
              </w:rPr>
              <w:t>Sudbury Hydro has exhausted significant effort in the past two years in revamping its RPP true up process. The kWh split for RPP/non-RPP is based on actual billings for the year.</w:t>
            </w:r>
          </w:p>
        </w:tc>
        <w:tc>
          <w:tcPr>
            <w:tcW w:w="1980" w:type="dxa"/>
          </w:tcPr>
          <w:p w:rsidR="002C15C0" w:rsidRPr="00C6337F" w:rsidRDefault="00EE6836" w:rsidP="00C6337F">
            <w:pPr>
              <w:spacing w:after="0" w:line="240" w:lineRule="auto"/>
              <w:jc w:val="center"/>
              <w:rPr>
                <w:color w:val="1F497D"/>
              </w:rPr>
            </w:pPr>
            <w:r>
              <w:rPr>
                <w:color w:val="1F497D"/>
              </w:rPr>
              <w:t>Actual #’s Used, no True Up</w:t>
            </w:r>
          </w:p>
        </w:tc>
      </w:tr>
      <w:tr w:rsidR="002C15C0" w:rsidTr="00447947">
        <w:tc>
          <w:tcPr>
            <w:tcW w:w="389" w:type="dxa"/>
          </w:tcPr>
          <w:p w:rsidR="002C15C0" w:rsidRPr="00FE126C" w:rsidRDefault="002C15C0" w:rsidP="00447947">
            <w:pPr>
              <w:rPr>
                <w:rFonts w:ascii="Arial" w:hAnsi="Arial" w:cs="Arial"/>
                <w:sz w:val="20"/>
                <w:szCs w:val="20"/>
              </w:rPr>
            </w:pPr>
            <w:r>
              <w:rPr>
                <w:rFonts w:ascii="Arial" w:hAnsi="Arial" w:cs="Arial"/>
                <w:sz w:val="20"/>
                <w:szCs w:val="20"/>
              </w:rPr>
              <w:t>v</w:t>
            </w:r>
          </w:p>
        </w:tc>
        <w:tc>
          <w:tcPr>
            <w:tcW w:w="2486" w:type="dxa"/>
          </w:tcPr>
          <w:p w:rsidR="002C15C0" w:rsidRPr="00FE126C" w:rsidRDefault="002C15C0" w:rsidP="00447947">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tc>
        <w:tc>
          <w:tcPr>
            <w:tcW w:w="1350" w:type="dxa"/>
          </w:tcPr>
          <w:p w:rsidR="002C15C0" w:rsidRPr="00C6337F" w:rsidRDefault="00EB2868" w:rsidP="00C6337F">
            <w:pPr>
              <w:spacing w:after="0" w:line="240" w:lineRule="auto"/>
              <w:rPr>
                <w:color w:val="1F497D"/>
              </w:rPr>
            </w:pPr>
            <w:r>
              <w:rPr>
                <w:color w:val="1F497D"/>
              </w:rPr>
              <w:t>Actual</w:t>
            </w:r>
          </w:p>
        </w:tc>
        <w:tc>
          <w:tcPr>
            <w:tcW w:w="4230" w:type="dxa"/>
          </w:tcPr>
          <w:p w:rsidR="002C15C0" w:rsidRPr="00C6337F" w:rsidRDefault="00EB2868" w:rsidP="00C6337F">
            <w:pPr>
              <w:spacing w:after="0" w:line="240" w:lineRule="auto"/>
              <w:rPr>
                <w:color w:val="1F497D"/>
              </w:rPr>
            </w:pPr>
            <w:r>
              <w:rPr>
                <w:color w:val="1F497D"/>
              </w:rPr>
              <w:t>Sudbury Hydro has exhausted significant effort in the past two years in revamping its RPP true up process. Data inputs to the process are queried from our actual billings for the month</w:t>
            </w:r>
          </w:p>
        </w:tc>
        <w:tc>
          <w:tcPr>
            <w:tcW w:w="1980" w:type="dxa"/>
          </w:tcPr>
          <w:p w:rsidR="002C15C0" w:rsidRPr="00C6337F" w:rsidRDefault="00EE6836" w:rsidP="00C6337F">
            <w:pPr>
              <w:spacing w:after="0" w:line="240" w:lineRule="auto"/>
              <w:jc w:val="center"/>
              <w:rPr>
                <w:color w:val="1F497D"/>
              </w:rPr>
            </w:pPr>
            <w:r>
              <w:rPr>
                <w:color w:val="1F497D"/>
              </w:rPr>
              <w:t>Actual #’s Used, no True Up</w:t>
            </w:r>
          </w:p>
        </w:tc>
      </w:tr>
    </w:tbl>
    <w:p w:rsidR="002C15C0" w:rsidRDefault="002C15C0" w:rsidP="002C15C0">
      <w:pPr>
        <w:rPr>
          <w:rFonts w:ascii="Arial" w:hAnsi="Arial" w:cs="Arial"/>
          <w:b/>
          <w:bCs/>
          <w:i/>
          <w:sz w:val="24"/>
          <w:szCs w:val="24"/>
        </w:rPr>
      </w:pPr>
    </w:p>
    <w:p w:rsidR="00495415" w:rsidRPr="00FF771B" w:rsidRDefault="00D079D0" w:rsidP="00D079D0">
      <w:pPr>
        <w:spacing w:after="0" w:line="240" w:lineRule="auto"/>
        <w:rPr>
          <w:color w:val="1F497D"/>
        </w:rPr>
      </w:pPr>
      <w:r w:rsidRPr="00EE6836">
        <w:rPr>
          <w:b/>
          <w:color w:val="1F497D"/>
        </w:rPr>
        <w:t>David Chisholm:</w:t>
      </w:r>
      <w:r w:rsidRPr="00EE6836">
        <w:rPr>
          <w:color w:val="1F497D"/>
        </w:rPr>
        <w:t xml:space="preserve"> </w:t>
      </w:r>
      <w:r w:rsidR="00EE6836">
        <w:rPr>
          <w:color w:val="1F497D"/>
        </w:rPr>
        <w:t>Actuals are used at year-end, however throughout the year it is necessary to submit an estimate for IESO RPP settlement purposes, and true up this submission quarterly. At year-end Sudbury Hydro’s general ledger does not reflect estimates. Actuals are recorded</w:t>
      </w:r>
      <w:r w:rsidR="007335DF">
        <w:rPr>
          <w:color w:val="1F497D"/>
        </w:rPr>
        <w:t xml:space="preserve"> in the general ledger</w:t>
      </w:r>
      <w:r w:rsidR="00EE6836">
        <w:rPr>
          <w:color w:val="1F497D"/>
        </w:rPr>
        <w:t xml:space="preserve"> after all billings for the fiscal year </w:t>
      </w:r>
      <w:r w:rsidR="007335DF">
        <w:rPr>
          <w:color w:val="1F497D"/>
        </w:rPr>
        <w:t>have occurred.</w:t>
      </w:r>
    </w:p>
    <w:p w:rsidR="00D079D0" w:rsidRDefault="00D079D0" w:rsidP="002C15C0">
      <w:pPr>
        <w:rPr>
          <w:rFonts w:ascii="Arial" w:hAnsi="Arial" w:cs="Arial"/>
          <w:b/>
          <w:bCs/>
          <w:i/>
          <w:sz w:val="24"/>
          <w:szCs w:val="24"/>
        </w:rPr>
      </w:pPr>
    </w:p>
    <w:p w:rsidR="002C15C0" w:rsidRPr="00C6337F" w:rsidRDefault="002C15C0" w:rsidP="002C15C0">
      <w:pPr>
        <w:pStyle w:val="ListParagraph"/>
        <w:numPr>
          <w:ilvl w:val="0"/>
          <w:numId w:val="1"/>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w:t>
      </w:r>
      <w:r>
        <w:rPr>
          <w:rFonts w:ascii="Arial" w:hAnsi="Arial" w:cs="Arial"/>
          <w:sz w:val="24"/>
          <w:szCs w:val="24"/>
        </w:rPr>
        <w:t>b 3 Continuity Schedule for 2015 and 2016</w:t>
      </w:r>
      <w:r w:rsidRPr="00583F39">
        <w:rPr>
          <w:rFonts w:ascii="Arial" w:hAnsi="Arial" w:cs="Arial"/>
          <w:sz w:val="24"/>
          <w:szCs w:val="24"/>
        </w:rPr>
        <w:t xml:space="preserve"> ha</w:t>
      </w:r>
      <w:r>
        <w:rPr>
          <w:rFonts w:ascii="Arial" w:hAnsi="Arial" w:cs="Arial"/>
          <w:sz w:val="24"/>
          <w:szCs w:val="24"/>
        </w:rPr>
        <w:t>s</w:t>
      </w:r>
      <w:r w:rsidRPr="00583F39">
        <w:rPr>
          <w:rFonts w:ascii="Arial" w:hAnsi="Arial" w:cs="Arial"/>
          <w:sz w:val="24"/>
          <w:szCs w:val="24"/>
        </w:rPr>
        <w:t xml:space="preserve"> been </w:t>
      </w:r>
      <w:r w:rsidRPr="00583F39">
        <w:rPr>
          <w:rFonts w:ascii="Arial" w:hAnsi="Arial" w:cs="Arial"/>
          <w:sz w:val="24"/>
          <w:szCs w:val="24"/>
        </w:rPr>
        <w:lastRenderedPageBreak/>
        <w:t xml:space="preserve">adjusted for settlement true-ups where settlement was originally based on estimate and trued up to actuals subsequent to </w:t>
      </w:r>
      <w:r>
        <w:rPr>
          <w:rFonts w:ascii="Arial" w:hAnsi="Arial" w:cs="Arial"/>
          <w:sz w:val="24"/>
          <w:szCs w:val="24"/>
        </w:rPr>
        <w:t xml:space="preserve">2015 and </w:t>
      </w:r>
      <w:r w:rsidRPr="00583F39">
        <w:rPr>
          <w:rFonts w:ascii="Arial" w:hAnsi="Arial" w:cs="Arial"/>
          <w:sz w:val="24"/>
          <w:szCs w:val="24"/>
        </w:rPr>
        <w:t>2016</w:t>
      </w:r>
      <w:r>
        <w:rPr>
          <w:rFonts w:ascii="Arial" w:hAnsi="Arial" w:cs="Arial"/>
          <w:sz w:val="24"/>
          <w:szCs w:val="24"/>
        </w:rPr>
        <w:t>.</w:t>
      </w:r>
    </w:p>
    <w:p w:rsidR="00EB2868" w:rsidRPr="00C6337F" w:rsidRDefault="00EB2868" w:rsidP="00C6337F">
      <w:pPr>
        <w:spacing w:after="0" w:line="240" w:lineRule="auto"/>
        <w:rPr>
          <w:color w:val="1F497D"/>
        </w:rPr>
      </w:pPr>
      <w:r w:rsidRPr="00C6337F">
        <w:rPr>
          <w:b/>
          <w:color w:val="1F497D"/>
        </w:rPr>
        <w:t>David Chisholm:</w:t>
      </w:r>
      <w:r w:rsidRPr="00C6337F">
        <w:rPr>
          <w:color w:val="1F497D"/>
        </w:rPr>
        <w:t xml:space="preserve"> </w:t>
      </w:r>
      <w:r>
        <w:rPr>
          <w:color w:val="1F497D"/>
        </w:rPr>
        <w:t>The true-up adjustments are booked subsequent to year-end (</w:t>
      </w:r>
      <w:proofErr w:type="spellStart"/>
      <w:r>
        <w:rPr>
          <w:color w:val="1F497D"/>
        </w:rPr>
        <w:t>mid February</w:t>
      </w:r>
      <w:proofErr w:type="spellEnd"/>
      <w:r>
        <w:rPr>
          <w:color w:val="1F497D"/>
        </w:rPr>
        <w:t>), but they are adjusted in the fiscal year prior to finalization</w:t>
      </w:r>
      <w:r w:rsidR="002C04B4">
        <w:rPr>
          <w:color w:val="1F497D"/>
        </w:rPr>
        <w:t xml:space="preserve">. Therefore the continuity balances reflect the final </w:t>
      </w:r>
      <w:r w:rsidR="007335DF">
        <w:rPr>
          <w:color w:val="1F497D"/>
        </w:rPr>
        <w:t>actual amounts with no further true-up necessary.</w:t>
      </w:r>
    </w:p>
    <w:p w:rsidR="00EB2868" w:rsidRPr="00C6337F" w:rsidRDefault="00EB2868" w:rsidP="00C6337F">
      <w:pPr>
        <w:rPr>
          <w:rFonts w:ascii="Arial" w:hAnsi="Arial" w:cs="Arial"/>
          <w:b/>
          <w:sz w:val="24"/>
          <w:szCs w:val="24"/>
        </w:rPr>
      </w:pPr>
    </w:p>
    <w:p w:rsidR="00451072" w:rsidRDefault="00CC23F0"/>
    <w:sectPr w:rsidR="00451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C73"/>
    <w:multiLevelType w:val="hybridMultilevel"/>
    <w:tmpl w:val="B5005B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DA3B01"/>
    <w:multiLevelType w:val="hybridMultilevel"/>
    <w:tmpl w:val="DE3C2E78"/>
    <w:lvl w:ilvl="0" w:tplc="BA0E5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77"/>
    <w:rsid w:val="00036C2B"/>
    <w:rsid w:val="000473CA"/>
    <w:rsid w:val="00213FDC"/>
    <w:rsid w:val="0023189C"/>
    <w:rsid w:val="002C04B4"/>
    <w:rsid w:val="002C15C0"/>
    <w:rsid w:val="003D2677"/>
    <w:rsid w:val="00427F21"/>
    <w:rsid w:val="00495415"/>
    <w:rsid w:val="004D05FA"/>
    <w:rsid w:val="00585A36"/>
    <w:rsid w:val="005D7C81"/>
    <w:rsid w:val="0061795D"/>
    <w:rsid w:val="006279C3"/>
    <w:rsid w:val="007335DF"/>
    <w:rsid w:val="007D4C8D"/>
    <w:rsid w:val="00843989"/>
    <w:rsid w:val="008A6077"/>
    <w:rsid w:val="00907A5A"/>
    <w:rsid w:val="009D41D2"/>
    <w:rsid w:val="009E6A6B"/>
    <w:rsid w:val="00B325E1"/>
    <w:rsid w:val="00C5150E"/>
    <w:rsid w:val="00C6337F"/>
    <w:rsid w:val="00CC23F0"/>
    <w:rsid w:val="00D079D0"/>
    <w:rsid w:val="00DC2C45"/>
    <w:rsid w:val="00E23CCE"/>
    <w:rsid w:val="00E25517"/>
    <w:rsid w:val="00E62FEC"/>
    <w:rsid w:val="00EB2868"/>
    <w:rsid w:val="00EE6836"/>
    <w:rsid w:val="00F43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4EDE7-B4F9-4842-85A2-3BCF7D80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77"/>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77"/>
    <w:pPr>
      <w:ind w:left="720"/>
      <w:contextualSpacing/>
    </w:pPr>
  </w:style>
  <w:style w:type="table" w:styleId="TableGrid">
    <w:name w:val="Table Grid"/>
    <w:basedOn w:val="TableNormal"/>
    <w:uiPriority w:val="59"/>
    <w:rsid w:val="008A6077"/>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C2B"/>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7A5A"/>
    <w:rPr>
      <w:sz w:val="16"/>
      <w:szCs w:val="16"/>
    </w:rPr>
  </w:style>
  <w:style w:type="paragraph" w:styleId="CommentText">
    <w:name w:val="annotation text"/>
    <w:basedOn w:val="Normal"/>
    <w:link w:val="CommentTextChar"/>
    <w:uiPriority w:val="99"/>
    <w:semiHidden/>
    <w:unhideWhenUsed/>
    <w:rsid w:val="00907A5A"/>
    <w:pPr>
      <w:spacing w:line="240" w:lineRule="auto"/>
    </w:pPr>
    <w:rPr>
      <w:sz w:val="20"/>
      <w:szCs w:val="20"/>
    </w:rPr>
  </w:style>
  <w:style w:type="character" w:customStyle="1" w:styleId="CommentTextChar">
    <w:name w:val="Comment Text Char"/>
    <w:basedOn w:val="DefaultParagraphFont"/>
    <w:link w:val="CommentText"/>
    <w:uiPriority w:val="99"/>
    <w:semiHidden/>
    <w:rsid w:val="00907A5A"/>
    <w:rPr>
      <w:sz w:val="20"/>
      <w:szCs w:val="20"/>
      <w:lang w:val="en-CA"/>
    </w:rPr>
  </w:style>
  <w:style w:type="paragraph" w:styleId="CommentSubject">
    <w:name w:val="annotation subject"/>
    <w:basedOn w:val="CommentText"/>
    <w:next w:val="CommentText"/>
    <w:link w:val="CommentSubjectChar"/>
    <w:uiPriority w:val="99"/>
    <w:semiHidden/>
    <w:unhideWhenUsed/>
    <w:rsid w:val="00907A5A"/>
    <w:rPr>
      <w:b/>
      <w:bCs/>
    </w:rPr>
  </w:style>
  <w:style w:type="character" w:customStyle="1" w:styleId="CommentSubjectChar">
    <w:name w:val="Comment Subject Char"/>
    <w:basedOn w:val="CommentTextChar"/>
    <w:link w:val="CommentSubject"/>
    <w:uiPriority w:val="99"/>
    <w:semiHidden/>
    <w:rsid w:val="00907A5A"/>
    <w:rPr>
      <w:b/>
      <w:bCs/>
      <w:sz w:val="20"/>
      <w:szCs w:val="20"/>
      <w:lang w:val="en-CA"/>
    </w:rPr>
  </w:style>
  <w:style w:type="paragraph" w:styleId="Revision">
    <w:name w:val="Revision"/>
    <w:hidden/>
    <w:uiPriority w:val="99"/>
    <w:semiHidden/>
    <w:rsid w:val="00907A5A"/>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221505">
      <w:bodyDiv w:val="1"/>
      <w:marLeft w:val="0"/>
      <w:marRight w:val="0"/>
      <w:marTop w:val="0"/>
      <w:marBottom w:val="0"/>
      <w:divBdr>
        <w:top w:val="none" w:sz="0" w:space="0" w:color="auto"/>
        <w:left w:val="none" w:sz="0" w:space="0" w:color="auto"/>
        <w:bottom w:val="none" w:sz="0" w:space="0" w:color="auto"/>
        <w:right w:val="none" w:sz="0" w:space="0" w:color="auto"/>
      </w:divBdr>
    </w:div>
    <w:div w:id="1434127337">
      <w:bodyDiv w:val="1"/>
      <w:marLeft w:val="0"/>
      <w:marRight w:val="0"/>
      <w:marTop w:val="0"/>
      <w:marBottom w:val="0"/>
      <w:divBdr>
        <w:top w:val="none" w:sz="0" w:space="0" w:color="auto"/>
        <w:left w:val="none" w:sz="0" w:space="0" w:color="auto"/>
        <w:bottom w:val="none" w:sz="0" w:space="0" w:color="auto"/>
        <w:right w:val="none" w:sz="0" w:space="0" w:color="auto"/>
      </w:divBdr>
    </w:div>
    <w:div w:id="15475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6</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Abramovitz</dc:creator>
  <cp:keywords/>
  <dc:description/>
  <cp:lastModifiedBy>Chisholm, David</cp:lastModifiedBy>
  <cp:revision>7</cp:revision>
  <dcterms:created xsi:type="dcterms:W3CDTF">2018-02-01T20:54:00Z</dcterms:created>
  <dcterms:modified xsi:type="dcterms:W3CDTF">2018-02-06T13:32:00Z</dcterms:modified>
</cp:coreProperties>
</file>