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19D5B" w14:textId="77777777" w:rsidR="006D46FD" w:rsidRDefault="006D46FD" w:rsidP="00D0773D">
      <w:pPr>
        <w:jc w:val="center"/>
        <w:rPr>
          <w:rFonts w:ascii="Arial" w:hAnsi="Arial" w:cs="Arial"/>
          <w:b/>
          <w:i/>
          <w:sz w:val="28"/>
          <w:szCs w:val="28"/>
        </w:rPr>
      </w:pPr>
    </w:p>
    <w:p w14:paraId="19068A82" w14:textId="4193D76E" w:rsidR="00746080" w:rsidRPr="00394351" w:rsidRDefault="005C518C" w:rsidP="00D0773D">
      <w:pPr>
        <w:jc w:val="center"/>
        <w:rPr>
          <w:rFonts w:ascii="Arial" w:hAnsi="Arial" w:cs="Arial"/>
          <w:b/>
          <w:sz w:val="28"/>
          <w:szCs w:val="28"/>
        </w:rPr>
      </w:pPr>
      <w:r w:rsidRPr="005C518C">
        <w:rPr>
          <w:rFonts w:ascii="Arial" w:hAnsi="Arial" w:cs="Arial"/>
          <w:b/>
          <w:i/>
          <w:sz w:val="28"/>
          <w:szCs w:val="28"/>
        </w:rPr>
        <w:t>ENWIN</w:t>
      </w:r>
      <w:r w:rsidR="00D45071">
        <w:rPr>
          <w:rFonts w:ascii="Arial" w:hAnsi="Arial" w:cs="Arial"/>
          <w:b/>
          <w:sz w:val="28"/>
          <w:szCs w:val="28"/>
        </w:rPr>
        <w:t xml:space="preserve"> Utilities </w:t>
      </w:r>
      <w:r w:rsidR="00465A1E">
        <w:rPr>
          <w:rFonts w:ascii="Arial" w:hAnsi="Arial" w:cs="Arial"/>
          <w:b/>
          <w:sz w:val="28"/>
          <w:szCs w:val="28"/>
        </w:rPr>
        <w:t>Ltd</w:t>
      </w:r>
      <w:r w:rsidR="00D45071">
        <w:rPr>
          <w:rFonts w:ascii="Arial" w:hAnsi="Arial" w:cs="Arial"/>
          <w:b/>
          <w:sz w:val="28"/>
          <w:szCs w:val="28"/>
        </w:rPr>
        <w:t>. (</w:t>
      </w:r>
      <w:r w:rsidRPr="005C518C">
        <w:rPr>
          <w:rFonts w:ascii="Arial" w:hAnsi="Arial" w:cs="Arial"/>
          <w:b/>
          <w:i/>
          <w:sz w:val="28"/>
          <w:szCs w:val="28"/>
        </w:rPr>
        <w:t>ENWIN</w:t>
      </w:r>
      <w:r w:rsidR="00D45071">
        <w:rPr>
          <w:rFonts w:ascii="Arial" w:hAnsi="Arial" w:cs="Arial"/>
          <w:b/>
          <w:sz w:val="28"/>
          <w:szCs w:val="28"/>
        </w:rPr>
        <w:t xml:space="preserve"> Utilities</w:t>
      </w:r>
      <w:r w:rsidR="002F218C">
        <w:rPr>
          <w:rFonts w:ascii="Arial" w:hAnsi="Arial" w:cs="Arial"/>
          <w:b/>
          <w:sz w:val="28"/>
          <w:szCs w:val="28"/>
        </w:rPr>
        <w:t>)</w:t>
      </w:r>
    </w:p>
    <w:p w14:paraId="2AFC659C" w14:textId="77777777" w:rsidR="002F218C" w:rsidRPr="002F218C" w:rsidRDefault="0021184B" w:rsidP="00394351">
      <w:pPr>
        <w:jc w:val="center"/>
        <w:rPr>
          <w:rFonts w:ascii="Arial" w:hAnsi="Arial" w:cs="Arial"/>
          <w:b/>
          <w:sz w:val="24"/>
          <w:szCs w:val="24"/>
        </w:rPr>
      </w:pPr>
      <w:r w:rsidRPr="002F218C">
        <w:rPr>
          <w:rFonts w:ascii="Arial" w:hAnsi="Arial" w:cs="Arial"/>
          <w:b/>
          <w:sz w:val="24"/>
          <w:szCs w:val="24"/>
        </w:rPr>
        <w:t xml:space="preserve">2018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14:paraId="2FD2D6FB" w14:textId="77777777"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D45071">
        <w:rPr>
          <w:rFonts w:ascii="Arial" w:hAnsi="Arial" w:cs="Arial"/>
          <w:b/>
          <w:sz w:val="24"/>
          <w:szCs w:val="24"/>
        </w:rPr>
        <w:t>7-003</w:t>
      </w:r>
      <w:r w:rsidR="00B56997">
        <w:rPr>
          <w:rFonts w:ascii="Arial" w:hAnsi="Arial" w:cs="Arial"/>
          <w:b/>
          <w:sz w:val="24"/>
          <w:szCs w:val="24"/>
        </w:rPr>
        <w:t>7</w:t>
      </w:r>
      <w:r w:rsidR="00B20109" w:rsidRPr="002F218C">
        <w:rPr>
          <w:rFonts w:ascii="Arial" w:hAnsi="Arial" w:cs="Arial"/>
          <w:b/>
          <w:sz w:val="24"/>
          <w:szCs w:val="24"/>
        </w:rPr>
        <w:t xml:space="preserve">                                                                                                                                                                                                                                                                                                                                                     </w:t>
      </w:r>
      <w:r w:rsidR="002F218C" w:rsidRPr="002F218C">
        <w:rPr>
          <w:rFonts w:ascii="Arial" w:hAnsi="Arial" w:cs="Arial"/>
          <w:b/>
          <w:sz w:val="24"/>
          <w:szCs w:val="24"/>
        </w:rPr>
        <w:t xml:space="preserve">                           </w:t>
      </w:r>
    </w:p>
    <w:p w14:paraId="468E35B2" w14:textId="77777777"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14:paraId="58AED7B0" w14:textId="6DFE5F55" w:rsidR="00E6651E" w:rsidRPr="002F218C" w:rsidRDefault="00285AC4" w:rsidP="00304228">
      <w:pPr>
        <w:jc w:val="center"/>
        <w:rPr>
          <w:rFonts w:ascii="Arial" w:hAnsi="Arial" w:cs="Arial"/>
          <w:b/>
          <w:sz w:val="24"/>
          <w:szCs w:val="24"/>
        </w:rPr>
      </w:pPr>
      <w:r>
        <w:rPr>
          <w:rFonts w:ascii="Arial" w:hAnsi="Arial" w:cs="Arial"/>
          <w:b/>
          <w:sz w:val="24"/>
          <w:szCs w:val="24"/>
        </w:rPr>
        <w:t>February 1</w:t>
      </w:r>
      <w:r w:rsidR="005110FD">
        <w:rPr>
          <w:rFonts w:ascii="Arial" w:hAnsi="Arial" w:cs="Arial"/>
          <w:b/>
          <w:sz w:val="24"/>
          <w:szCs w:val="24"/>
        </w:rPr>
        <w:t>, 2018</w:t>
      </w:r>
    </w:p>
    <w:p w14:paraId="4695559A" w14:textId="77777777" w:rsidR="00C44738" w:rsidRDefault="00C44738" w:rsidP="00A668A7">
      <w:pPr>
        <w:spacing w:after="0" w:line="240" w:lineRule="auto"/>
        <w:rPr>
          <w:rFonts w:ascii="Arial" w:hAnsi="Arial" w:cs="Arial"/>
          <w:b/>
          <w:sz w:val="24"/>
          <w:szCs w:val="24"/>
        </w:rPr>
      </w:pPr>
    </w:p>
    <w:p w14:paraId="6A01C68A" w14:textId="77777777" w:rsidR="00C33F52" w:rsidRPr="00C33F52" w:rsidRDefault="007D4194" w:rsidP="00C33F52">
      <w:pPr>
        <w:spacing w:after="0" w:line="240" w:lineRule="auto"/>
        <w:rPr>
          <w:rFonts w:ascii="Arial" w:hAnsi="Arial" w:cs="Arial"/>
          <w:b/>
          <w:color w:val="FF0000"/>
          <w:sz w:val="24"/>
          <w:szCs w:val="24"/>
        </w:rPr>
      </w:pPr>
      <w:r>
        <w:rPr>
          <w:rFonts w:ascii="Arial" w:hAnsi="Arial" w:cs="Arial"/>
          <w:b/>
          <w:sz w:val="24"/>
          <w:szCs w:val="24"/>
        </w:rPr>
        <w:t>Question #1</w:t>
      </w:r>
    </w:p>
    <w:p w14:paraId="612A94EA" w14:textId="77777777" w:rsidR="005110FD" w:rsidRDefault="00C44738" w:rsidP="005110FD">
      <w:pPr>
        <w:spacing w:after="0"/>
        <w:rPr>
          <w:rFonts w:ascii="Arial" w:hAnsi="Arial" w:cs="Arial"/>
          <w:b/>
          <w:sz w:val="24"/>
          <w:szCs w:val="24"/>
        </w:rPr>
      </w:pPr>
      <w:r>
        <w:rPr>
          <w:rFonts w:ascii="Arial" w:hAnsi="Arial" w:cs="Arial"/>
          <w:b/>
          <w:sz w:val="24"/>
          <w:szCs w:val="24"/>
        </w:rPr>
        <w:t>Ref</w:t>
      </w:r>
      <w:r w:rsidR="006D288F">
        <w:rPr>
          <w:rFonts w:ascii="Arial" w:hAnsi="Arial" w:cs="Arial"/>
          <w:b/>
          <w:sz w:val="24"/>
          <w:szCs w:val="24"/>
        </w:rPr>
        <w:t>erence</w:t>
      </w:r>
      <w:r>
        <w:rPr>
          <w:rFonts w:ascii="Arial" w:hAnsi="Arial" w:cs="Arial"/>
          <w:b/>
          <w:sz w:val="24"/>
          <w:szCs w:val="24"/>
        </w:rPr>
        <w:t xml:space="preserve">: Account 1595 (2014) </w:t>
      </w:r>
      <w:proofErr w:type="spellStart"/>
      <w:r>
        <w:rPr>
          <w:rFonts w:ascii="Arial" w:hAnsi="Arial" w:cs="Arial"/>
          <w:b/>
          <w:sz w:val="24"/>
          <w:szCs w:val="24"/>
        </w:rPr>
        <w:t>Mgr</w:t>
      </w:r>
      <w:proofErr w:type="spellEnd"/>
      <w:r>
        <w:rPr>
          <w:rFonts w:ascii="Arial" w:hAnsi="Arial" w:cs="Arial"/>
          <w:b/>
          <w:sz w:val="24"/>
          <w:szCs w:val="24"/>
        </w:rPr>
        <w:t xml:space="preserve"> summary Tables 4, 5 &amp; 6, </w:t>
      </w:r>
      <w:proofErr w:type="spellStart"/>
      <w:r>
        <w:rPr>
          <w:rFonts w:ascii="Arial" w:hAnsi="Arial" w:cs="Arial"/>
          <w:b/>
          <w:sz w:val="24"/>
          <w:szCs w:val="24"/>
        </w:rPr>
        <w:t>pgs</w:t>
      </w:r>
      <w:proofErr w:type="spellEnd"/>
      <w:r>
        <w:rPr>
          <w:rFonts w:ascii="Arial" w:hAnsi="Arial" w:cs="Arial"/>
          <w:b/>
          <w:sz w:val="24"/>
          <w:szCs w:val="24"/>
        </w:rPr>
        <w:t xml:space="preserve"> 9-10</w:t>
      </w:r>
    </w:p>
    <w:p w14:paraId="399FCDB8" w14:textId="77777777" w:rsidR="005110FD" w:rsidRDefault="005110FD" w:rsidP="005110FD">
      <w:pPr>
        <w:spacing w:after="0"/>
        <w:rPr>
          <w:rFonts w:ascii="Arial" w:hAnsi="Arial" w:cs="Arial"/>
          <w:sz w:val="24"/>
          <w:szCs w:val="24"/>
        </w:rPr>
      </w:pPr>
    </w:p>
    <w:p w14:paraId="42A3D739" w14:textId="77777777" w:rsidR="00C44738" w:rsidRPr="00C33F52" w:rsidRDefault="00C33F52" w:rsidP="00C33F52">
      <w:pPr>
        <w:rPr>
          <w:rFonts w:ascii="Arial" w:hAnsi="Arial" w:cs="Arial"/>
          <w:sz w:val="24"/>
          <w:szCs w:val="24"/>
        </w:rPr>
      </w:pPr>
      <w:r w:rsidRPr="00C33F52">
        <w:rPr>
          <w:rFonts w:ascii="Arial" w:hAnsi="Arial" w:cs="Arial"/>
          <w:sz w:val="24"/>
          <w:szCs w:val="24"/>
        </w:rPr>
        <w:t>With respect to Table 4 on page 9 in the Managers Summary, it is stated in explaining the differential of $241,150 that this can be attributed to Large Use, Large Use -3TS and Residential customers.</w:t>
      </w:r>
    </w:p>
    <w:p w14:paraId="22847535" w14:textId="4197F0B6" w:rsidR="00C33F52" w:rsidRDefault="00C33F52" w:rsidP="00EB5B64">
      <w:pPr>
        <w:pStyle w:val="ListParagraph"/>
        <w:numPr>
          <w:ilvl w:val="0"/>
          <w:numId w:val="3"/>
        </w:numPr>
        <w:rPr>
          <w:rFonts w:ascii="Arial" w:hAnsi="Arial" w:cs="Arial"/>
          <w:sz w:val="24"/>
          <w:szCs w:val="24"/>
        </w:rPr>
      </w:pPr>
      <w:r>
        <w:rPr>
          <w:rFonts w:ascii="Arial" w:hAnsi="Arial" w:cs="Arial"/>
          <w:sz w:val="24"/>
          <w:szCs w:val="24"/>
        </w:rPr>
        <w:t xml:space="preserve">A breakdown of this amount between the three referenced customer classes </w:t>
      </w:r>
      <w:r w:rsidR="00183B76">
        <w:rPr>
          <w:rFonts w:ascii="Arial" w:hAnsi="Arial" w:cs="Arial"/>
          <w:sz w:val="24"/>
          <w:szCs w:val="24"/>
        </w:rPr>
        <w:t xml:space="preserve">is provided. </w:t>
      </w:r>
      <w:r w:rsidR="004C5337">
        <w:rPr>
          <w:rFonts w:ascii="Arial" w:hAnsi="Arial" w:cs="Arial"/>
          <w:sz w:val="24"/>
          <w:szCs w:val="24"/>
        </w:rPr>
        <w:t>Please reconcile the actual annualized volumes for each class to the volumes used to determine the rate riders and</w:t>
      </w:r>
      <w:r>
        <w:rPr>
          <w:rFonts w:ascii="Arial" w:hAnsi="Arial" w:cs="Arial"/>
          <w:sz w:val="24"/>
          <w:szCs w:val="24"/>
        </w:rPr>
        <w:t xml:space="preserve"> also provide an explanation for the </w:t>
      </w:r>
      <w:r w:rsidR="004C5337">
        <w:rPr>
          <w:rFonts w:ascii="Arial" w:hAnsi="Arial" w:cs="Arial"/>
          <w:sz w:val="24"/>
          <w:szCs w:val="24"/>
        </w:rPr>
        <w:t xml:space="preserve">volume </w:t>
      </w:r>
      <w:r>
        <w:rPr>
          <w:rFonts w:ascii="Arial" w:hAnsi="Arial" w:cs="Arial"/>
          <w:sz w:val="24"/>
          <w:szCs w:val="24"/>
        </w:rPr>
        <w:t xml:space="preserve">variance </w:t>
      </w:r>
      <w:r w:rsidR="004C5337">
        <w:rPr>
          <w:rFonts w:ascii="Arial" w:hAnsi="Arial" w:cs="Arial"/>
          <w:sz w:val="24"/>
          <w:szCs w:val="24"/>
        </w:rPr>
        <w:t xml:space="preserve">for </w:t>
      </w:r>
      <w:r>
        <w:rPr>
          <w:rFonts w:ascii="Arial" w:hAnsi="Arial" w:cs="Arial"/>
          <w:sz w:val="24"/>
          <w:szCs w:val="24"/>
        </w:rPr>
        <w:t>each of those classes.</w:t>
      </w:r>
    </w:p>
    <w:p w14:paraId="4E914161" w14:textId="77777777" w:rsidR="00C33F52" w:rsidRDefault="00C33F52" w:rsidP="00C33F52">
      <w:pPr>
        <w:pStyle w:val="ListParagraph"/>
        <w:rPr>
          <w:rFonts w:ascii="Arial" w:hAnsi="Arial" w:cs="Arial"/>
          <w:sz w:val="24"/>
          <w:szCs w:val="24"/>
        </w:rPr>
      </w:pPr>
    </w:p>
    <w:p w14:paraId="3585F8E3" w14:textId="77777777" w:rsidR="00C33F52" w:rsidRDefault="00C33F52" w:rsidP="00EB5B64">
      <w:pPr>
        <w:pStyle w:val="ListParagraph"/>
        <w:numPr>
          <w:ilvl w:val="0"/>
          <w:numId w:val="3"/>
        </w:numPr>
        <w:rPr>
          <w:rFonts w:ascii="Arial" w:hAnsi="Arial" w:cs="Arial"/>
          <w:sz w:val="24"/>
          <w:szCs w:val="24"/>
        </w:rPr>
      </w:pPr>
      <w:r>
        <w:rPr>
          <w:rFonts w:ascii="Arial" w:hAnsi="Arial" w:cs="Arial"/>
          <w:sz w:val="24"/>
          <w:szCs w:val="24"/>
        </w:rPr>
        <w:t>Please provide similar explanations for the affected customer classes in Tables 5 and 6.</w:t>
      </w:r>
    </w:p>
    <w:p w14:paraId="6FA9DD5A" w14:textId="77777777" w:rsidR="00CA7201" w:rsidRPr="00285AC4" w:rsidRDefault="00CA7201" w:rsidP="00285AC4">
      <w:pPr>
        <w:pStyle w:val="ListParagraph"/>
        <w:rPr>
          <w:rFonts w:ascii="Arial" w:hAnsi="Arial" w:cs="Arial"/>
          <w:sz w:val="24"/>
          <w:szCs w:val="24"/>
        </w:rPr>
      </w:pPr>
    </w:p>
    <w:p w14:paraId="629DAB12" w14:textId="77777777" w:rsidR="00CA7201" w:rsidRPr="00C33F52" w:rsidRDefault="00CA7201" w:rsidP="00EB5B64">
      <w:pPr>
        <w:pStyle w:val="ListParagraph"/>
        <w:numPr>
          <w:ilvl w:val="0"/>
          <w:numId w:val="3"/>
        </w:numPr>
        <w:rPr>
          <w:rFonts w:ascii="Arial" w:hAnsi="Arial" w:cs="Arial"/>
          <w:sz w:val="24"/>
          <w:szCs w:val="24"/>
        </w:rPr>
      </w:pPr>
      <w:r>
        <w:rPr>
          <w:rFonts w:ascii="Arial" w:hAnsi="Arial" w:cs="Arial"/>
          <w:sz w:val="24"/>
          <w:szCs w:val="24"/>
        </w:rPr>
        <w:t>Please reconcile the amount that is being requested for disposition back to Tables 4, 5 and 6 and ensure that the actual amounts attributable to each customer class are completed and balance back to the recoveries recorded in the general ledger.</w:t>
      </w:r>
    </w:p>
    <w:p w14:paraId="55B8C899" w14:textId="77777777" w:rsidR="00C44738" w:rsidRDefault="00C44738" w:rsidP="00A668A7">
      <w:pPr>
        <w:spacing w:after="0" w:line="240" w:lineRule="auto"/>
        <w:rPr>
          <w:rFonts w:ascii="Arial" w:hAnsi="Arial" w:cs="Arial"/>
          <w:b/>
          <w:sz w:val="24"/>
          <w:szCs w:val="24"/>
        </w:rPr>
      </w:pPr>
    </w:p>
    <w:p w14:paraId="11A8C565" w14:textId="77777777" w:rsidR="00C45B62" w:rsidRDefault="00C45B62">
      <w:pPr>
        <w:rPr>
          <w:rFonts w:ascii="Arial" w:hAnsi="Arial" w:cs="Arial"/>
          <w:b/>
          <w:color w:val="0070C0"/>
          <w:sz w:val="24"/>
          <w:szCs w:val="24"/>
        </w:rPr>
      </w:pPr>
      <w:r w:rsidRPr="00C45B62">
        <w:rPr>
          <w:rFonts w:ascii="Arial" w:hAnsi="Arial" w:cs="Arial"/>
          <w:b/>
          <w:color w:val="0070C0"/>
          <w:sz w:val="24"/>
          <w:szCs w:val="24"/>
        </w:rPr>
        <w:t>RESPONSE</w:t>
      </w:r>
    </w:p>
    <w:p w14:paraId="62EAFEAC" w14:textId="304B170D" w:rsidR="002C0C52" w:rsidRPr="002C0C52" w:rsidRDefault="002D08DF" w:rsidP="00AA4C8A">
      <w:pPr>
        <w:jc w:val="both"/>
        <w:rPr>
          <w:rFonts w:ascii="Arial" w:hAnsi="Arial" w:cs="Arial"/>
          <w:color w:val="0070C0"/>
          <w:sz w:val="24"/>
          <w:szCs w:val="24"/>
        </w:rPr>
      </w:pPr>
      <w:r>
        <w:rPr>
          <w:rFonts w:ascii="Arial" w:hAnsi="Arial" w:cs="Arial"/>
          <w:color w:val="0070C0"/>
          <w:sz w:val="24"/>
          <w:szCs w:val="24"/>
        </w:rPr>
        <w:t>T</w:t>
      </w:r>
      <w:r w:rsidR="00463182">
        <w:rPr>
          <w:rFonts w:ascii="Arial" w:hAnsi="Arial" w:cs="Arial"/>
          <w:color w:val="0070C0"/>
          <w:sz w:val="24"/>
          <w:szCs w:val="24"/>
        </w:rPr>
        <w:t xml:space="preserve">ables 4, 5 and 6 identified the </w:t>
      </w:r>
      <w:r w:rsidR="00BF193F">
        <w:rPr>
          <w:rFonts w:ascii="Arial" w:hAnsi="Arial" w:cs="Arial"/>
          <w:color w:val="0070C0"/>
          <w:sz w:val="24"/>
          <w:szCs w:val="24"/>
        </w:rPr>
        <w:t xml:space="preserve">significant contributors to the </w:t>
      </w:r>
      <w:r w:rsidR="00767EAC">
        <w:rPr>
          <w:rFonts w:ascii="Arial" w:hAnsi="Arial" w:cs="Arial"/>
          <w:color w:val="0070C0"/>
          <w:sz w:val="24"/>
          <w:szCs w:val="24"/>
        </w:rPr>
        <w:t xml:space="preserve">outstanding </w:t>
      </w:r>
      <w:r w:rsidR="00BF193F">
        <w:rPr>
          <w:rFonts w:ascii="Arial" w:hAnsi="Arial" w:cs="Arial"/>
          <w:color w:val="0070C0"/>
          <w:sz w:val="24"/>
          <w:szCs w:val="24"/>
        </w:rPr>
        <w:t xml:space="preserve">balance in the </w:t>
      </w:r>
      <w:r w:rsidR="00767EAC">
        <w:rPr>
          <w:rFonts w:ascii="Arial" w:hAnsi="Arial" w:cs="Arial"/>
          <w:color w:val="0070C0"/>
          <w:sz w:val="24"/>
          <w:szCs w:val="24"/>
        </w:rPr>
        <w:t>sub account 1595</w:t>
      </w:r>
      <w:r w:rsidR="00F7268C" w:rsidDel="00F7268C">
        <w:rPr>
          <w:rFonts w:ascii="Arial" w:hAnsi="Arial" w:cs="Arial"/>
          <w:color w:val="0070C0"/>
          <w:sz w:val="24"/>
          <w:szCs w:val="24"/>
        </w:rPr>
        <w:t xml:space="preserve"> </w:t>
      </w:r>
      <w:r w:rsidR="00F7268C">
        <w:rPr>
          <w:rFonts w:ascii="Arial" w:hAnsi="Arial" w:cs="Arial"/>
          <w:color w:val="0070C0"/>
          <w:sz w:val="24"/>
          <w:szCs w:val="24"/>
        </w:rPr>
        <w:t>(</w:t>
      </w:r>
      <w:r w:rsidR="00767EAC">
        <w:rPr>
          <w:rFonts w:ascii="Arial" w:hAnsi="Arial" w:cs="Arial"/>
          <w:color w:val="0070C0"/>
          <w:sz w:val="24"/>
          <w:szCs w:val="24"/>
        </w:rPr>
        <w:t>2014</w:t>
      </w:r>
      <w:r w:rsidR="00F7268C">
        <w:rPr>
          <w:rFonts w:ascii="Arial" w:hAnsi="Arial" w:cs="Arial"/>
          <w:color w:val="0070C0"/>
          <w:sz w:val="24"/>
          <w:szCs w:val="24"/>
        </w:rPr>
        <w:t>)</w:t>
      </w:r>
      <w:r w:rsidR="006F37B4">
        <w:rPr>
          <w:rFonts w:ascii="Arial" w:hAnsi="Arial" w:cs="Arial"/>
          <w:color w:val="0070C0"/>
          <w:sz w:val="24"/>
          <w:szCs w:val="24"/>
        </w:rPr>
        <w:t>.  Other rate classes contributed small amounts to the outstanding balance, accounting for the remaining difference between the closing balance and the totals in Tables 4, 5 and 6.</w:t>
      </w:r>
      <w:r w:rsidR="00971192">
        <w:rPr>
          <w:rFonts w:ascii="Arial" w:hAnsi="Arial" w:cs="Arial"/>
          <w:color w:val="0070C0"/>
          <w:sz w:val="24"/>
          <w:szCs w:val="24"/>
        </w:rPr>
        <w:t xml:space="preserve">  The closing principal balance for sub-account 1595</w:t>
      </w:r>
      <w:r w:rsidR="00F7268C">
        <w:rPr>
          <w:rFonts w:ascii="Arial" w:hAnsi="Arial" w:cs="Arial"/>
          <w:color w:val="0070C0"/>
          <w:sz w:val="24"/>
          <w:szCs w:val="24"/>
        </w:rPr>
        <w:t xml:space="preserve"> (</w:t>
      </w:r>
      <w:r w:rsidR="00971192">
        <w:rPr>
          <w:rFonts w:ascii="Arial" w:hAnsi="Arial" w:cs="Arial"/>
          <w:color w:val="0070C0"/>
          <w:sz w:val="24"/>
          <w:szCs w:val="24"/>
        </w:rPr>
        <w:t>2014</w:t>
      </w:r>
      <w:r w:rsidR="00F7268C">
        <w:rPr>
          <w:rFonts w:ascii="Arial" w:hAnsi="Arial" w:cs="Arial"/>
          <w:color w:val="0070C0"/>
          <w:sz w:val="24"/>
          <w:szCs w:val="24"/>
        </w:rPr>
        <w:t>)</w:t>
      </w:r>
      <w:r w:rsidR="005017B6">
        <w:rPr>
          <w:rFonts w:ascii="Arial" w:hAnsi="Arial" w:cs="Arial"/>
          <w:color w:val="0070C0"/>
          <w:sz w:val="24"/>
          <w:szCs w:val="24"/>
        </w:rPr>
        <w:t xml:space="preserve"> is </w:t>
      </w:r>
      <w:r w:rsidR="002C6C26">
        <w:rPr>
          <w:rFonts w:ascii="Arial" w:hAnsi="Arial" w:cs="Arial"/>
          <w:color w:val="0070C0"/>
          <w:sz w:val="24"/>
          <w:szCs w:val="24"/>
        </w:rPr>
        <w:t>$</w:t>
      </w:r>
      <w:r w:rsidR="005017B6">
        <w:rPr>
          <w:rFonts w:ascii="Arial" w:hAnsi="Arial" w:cs="Arial"/>
          <w:color w:val="0070C0"/>
          <w:sz w:val="24"/>
          <w:szCs w:val="24"/>
        </w:rPr>
        <w:t>1,497,787</w:t>
      </w:r>
      <w:r w:rsidR="00767EAC">
        <w:rPr>
          <w:rFonts w:ascii="Arial" w:hAnsi="Arial" w:cs="Arial"/>
          <w:color w:val="0070C0"/>
          <w:sz w:val="24"/>
          <w:szCs w:val="24"/>
        </w:rPr>
        <w:t xml:space="preserve">.  </w:t>
      </w:r>
      <w:proofErr w:type="gramStart"/>
      <w:r w:rsidR="00767EAC">
        <w:rPr>
          <w:rFonts w:ascii="Arial" w:hAnsi="Arial" w:cs="Arial"/>
          <w:color w:val="0070C0"/>
          <w:sz w:val="24"/>
          <w:szCs w:val="24"/>
        </w:rPr>
        <w:t xml:space="preserve">The </w:t>
      </w:r>
      <w:r w:rsidR="00D9253B">
        <w:rPr>
          <w:rFonts w:ascii="Arial" w:hAnsi="Arial" w:cs="Arial"/>
          <w:color w:val="0070C0"/>
          <w:sz w:val="24"/>
          <w:szCs w:val="24"/>
        </w:rPr>
        <w:t>customer classe</w:t>
      </w:r>
      <w:r w:rsidR="00767EAC">
        <w:rPr>
          <w:rFonts w:ascii="Arial" w:hAnsi="Arial" w:cs="Arial"/>
          <w:color w:val="0070C0"/>
          <w:sz w:val="24"/>
          <w:szCs w:val="24"/>
        </w:rPr>
        <w:t>s identified in Tables 4,</w:t>
      </w:r>
      <w:r w:rsidR="00D9253B">
        <w:rPr>
          <w:rFonts w:ascii="Arial" w:hAnsi="Arial" w:cs="Arial"/>
          <w:color w:val="0070C0"/>
          <w:sz w:val="24"/>
          <w:szCs w:val="24"/>
        </w:rPr>
        <w:t xml:space="preserve"> </w:t>
      </w:r>
      <w:r w:rsidR="00767EAC">
        <w:rPr>
          <w:rFonts w:ascii="Arial" w:hAnsi="Arial" w:cs="Arial"/>
          <w:color w:val="0070C0"/>
          <w:sz w:val="24"/>
          <w:szCs w:val="24"/>
        </w:rPr>
        <w:t>5</w:t>
      </w:r>
      <w:r w:rsidR="000F0FDF">
        <w:rPr>
          <w:rFonts w:ascii="Arial" w:hAnsi="Arial" w:cs="Arial"/>
          <w:color w:val="0070C0"/>
          <w:sz w:val="24"/>
          <w:szCs w:val="24"/>
        </w:rPr>
        <w:t xml:space="preserve"> and</w:t>
      </w:r>
      <w:r w:rsidR="002C6C26">
        <w:rPr>
          <w:rFonts w:ascii="Arial" w:hAnsi="Arial" w:cs="Arial"/>
          <w:color w:val="0070C0"/>
          <w:sz w:val="24"/>
          <w:szCs w:val="24"/>
        </w:rPr>
        <w:t xml:space="preserve"> </w:t>
      </w:r>
      <w:r w:rsidR="00767EAC">
        <w:rPr>
          <w:rFonts w:ascii="Arial" w:hAnsi="Arial" w:cs="Arial"/>
          <w:color w:val="0070C0"/>
          <w:sz w:val="24"/>
          <w:szCs w:val="24"/>
        </w:rPr>
        <w:t xml:space="preserve">6 </w:t>
      </w:r>
      <w:r w:rsidR="00846B24">
        <w:rPr>
          <w:rFonts w:ascii="Arial" w:hAnsi="Arial" w:cs="Arial"/>
          <w:color w:val="0070C0"/>
          <w:sz w:val="24"/>
          <w:szCs w:val="24"/>
        </w:rPr>
        <w:t xml:space="preserve">account for </w:t>
      </w:r>
      <w:r w:rsidR="009A1237">
        <w:rPr>
          <w:rFonts w:ascii="Arial" w:hAnsi="Arial" w:cs="Arial"/>
          <w:color w:val="0070C0"/>
          <w:sz w:val="24"/>
          <w:szCs w:val="24"/>
        </w:rPr>
        <w:t>$1,197,037</w:t>
      </w:r>
      <w:r w:rsidR="00846B24">
        <w:rPr>
          <w:rFonts w:ascii="Arial" w:hAnsi="Arial" w:cs="Arial"/>
          <w:color w:val="0070C0"/>
          <w:sz w:val="24"/>
          <w:szCs w:val="24"/>
        </w:rPr>
        <w:t xml:space="preserve"> of the total.</w:t>
      </w:r>
      <w:proofErr w:type="gramEnd"/>
    </w:p>
    <w:p w14:paraId="2CF48779" w14:textId="239EB712" w:rsidR="007D4194" w:rsidRDefault="00A320BF" w:rsidP="00AA4C8A">
      <w:pPr>
        <w:jc w:val="both"/>
        <w:rPr>
          <w:rFonts w:ascii="Arial" w:hAnsi="Arial" w:cs="Arial"/>
          <w:color w:val="0070C0"/>
          <w:sz w:val="24"/>
          <w:szCs w:val="24"/>
        </w:rPr>
      </w:pPr>
      <w:r>
        <w:rPr>
          <w:rFonts w:ascii="Arial" w:hAnsi="Arial" w:cs="Arial"/>
          <w:color w:val="0070C0"/>
          <w:sz w:val="24"/>
          <w:szCs w:val="24"/>
        </w:rPr>
        <w:lastRenderedPageBreak/>
        <w:t xml:space="preserve">The volumetric numbers used to determine the </w:t>
      </w:r>
      <w:r w:rsidR="003F60E3">
        <w:rPr>
          <w:rFonts w:ascii="Arial" w:hAnsi="Arial" w:cs="Arial"/>
          <w:color w:val="0070C0"/>
          <w:sz w:val="24"/>
          <w:szCs w:val="24"/>
        </w:rPr>
        <w:t>2014 r</w:t>
      </w:r>
      <w:r>
        <w:rPr>
          <w:rFonts w:ascii="Arial" w:hAnsi="Arial" w:cs="Arial"/>
          <w:color w:val="0070C0"/>
          <w:sz w:val="24"/>
          <w:szCs w:val="24"/>
        </w:rPr>
        <w:t xml:space="preserve">ate riders were </w:t>
      </w:r>
      <w:r w:rsidR="003F60E3">
        <w:rPr>
          <w:rFonts w:ascii="Arial" w:hAnsi="Arial" w:cs="Arial"/>
          <w:color w:val="0070C0"/>
          <w:sz w:val="24"/>
          <w:szCs w:val="24"/>
        </w:rPr>
        <w:t>based on 2013 consumption and demand data</w:t>
      </w:r>
      <w:r>
        <w:rPr>
          <w:rFonts w:ascii="Arial" w:hAnsi="Arial" w:cs="Arial"/>
          <w:color w:val="0070C0"/>
          <w:sz w:val="24"/>
          <w:szCs w:val="24"/>
        </w:rPr>
        <w:t xml:space="preserve">.  The </w:t>
      </w:r>
      <w:r w:rsidR="00622CAE">
        <w:rPr>
          <w:rFonts w:ascii="Arial" w:hAnsi="Arial" w:cs="Arial"/>
          <w:color w:val="0070C0"/>
          <w:sz w:val="24"/>
          <w:szCs w:val="24"/>
        </w:rPr>
        <w:t xml:space="preserve">volumetric numbers used to identify the significant contributors to the outstanding balance are from the disposition period.  </w:t>
      </w:r>
      <w:r w:rsidR="000F0FDF">
        <w:rPr>
          <w:rFonts w:ascii="Arial" w:hAnsi="Arial" w:cs="Arial"/>
          <w:color w:val="0070C0"/>
          <w:sz w:val="24"/>
          <w:szCs w:val="24"/>
        </w:rPr>
        <w:t>T</w:t>
      </w:r>
      <w:r w:rsidR="00622CAE">
        <w:rPr>
          <w:rFonts w:ascii="Arial" w:hAnsi="Arial" w:cs="Arial"/>
          <w:color w:val="0070C0"/>
          <w:sz w:val="24"/>
          <w:szCs w:val="24"/>
        </w:rPr>
        <w:t xml:space="preserve">he </w:t>
      </w:r>
      <w:r w:rsidR="00F640A4" w:rsidRPr="00F640A4">
        <w:rPr>
          <w:rFonts w:ascii="Arial" w:hAnsi="Arial" w:cs="Arial"/>
          <w:i/>
          <w:color w:val="0070C0"/>
          <w:sz w:val="24"/>
          <w:szCs w:val="24"/>
        </w:rPr>
        <w:t>“</w:t>
      </w:r>
      <w:r w:rsidR="00622CAE" w:rsidRPr="00F640A4">
        <w:rPr>
          <w:rFonts w:ascii="Arial" w:hAnsi="Arial" w:cs="Arial"/>
          <w:i/>
          <w:color w:val="0070C0"/>
          <w:sz w:val="24"/>
          <w:szCs w:val="24"/>
        </w:rPr>
        <w:t>Rate Rider for Deferral/Variance Account Disposition including WMP</w:t>
      </w:r>
      <w:r w:rsidR="00F640A4" w:rsidRPr="00F640A4">
        <w:rPr>
          <w:rFonts w:ascii="Arial" w:hAnsi="Arial" w:cs="Arial"/>
          <w:i/>
          <w:color w:val="0070C0"/>
          <w:sz w:val="24"/>
          <w:szCs w:val="24"/>
        </w:rPr>
        <w:t>”</w:t>
      </w:r>
      <w:r w:rsidR="00622CAE">
        <w:rPr>
          <w:rFonts w:ascii="Arial" w:hAnsi="Arial" w:cs="Arial"/>
          <w:color w:val="0070C0"/>
          <w:sz w:val="24"/>
          <w:szCs w:val="24"/>
        </w:rPr>
        <w:t xml:space="preserve"> and </w:t>
      </w:r>
      <w:r w:rsidR="00F640A4" w:rsidRPr="00F640A4">
        <w:rPr>
          <w:rFonts w:ascii="Arial" w:hAnsi="Arial" w:cs="Arial"/>
          <w:i/>
          <w:color w:val="0070C0"/>
          <w:sz w:val="24"/>
          <w:szCs w:val="24"/>
        </w:rPr>
        <w:t>“</w:t>
      </w:r>
      <w:r w:rsidR="00622CAE" w:rsidRPr="00F640A4">
        <w:rPr>
          <w:rFonts w:ascii="Arial" w:hAnsi="Arial" w:cs="Arial"/>
          <w:i/>
          <w:color w:val="0070C0"/>
          <w:sz w:val="24"/>
          <w:szCs w:val="24"/>
        </w:rPr>
        <w:t>Rate Rider for Deferral/Variance A</w:t>
      </w:r>
      <w:r w:rsidR="00F640A4" w:rsidRPr="00F640A4">
        <w:rPr>
          <w:rFonts w:ascii="Arial" w:hAnsi="Arial" w:cs="Arial"/>
          <w:i/>
          <w:color w:val="0070C0"/>
          <w:sz w:val="24"/>
          <w:szCs w:val="24"/>
        </w:rPr>
        <w:t>ccount Disposition excluding WMP”</w:t>
      </w:r>
      <w:r w:rsidR="00F640A4">
        <w:rPr>
          <w:rFonts w:ascii="Arial" w:hAnsi="Arial" w:cs="Arial"/>
          <w:color w:val="0070C0"/>
          <w:sz w:val="24"/>
          <w:szCs w:val="24"/>
        </w:rPr>
        <w:t xml:space="preserve"> disposition period was </w:t>
      </w:r>
      <w:r w:rsidR="00622CAE">
        <w:rPr>
          <w:rFonts w:ascii="Arial" w:hAnsi="Arial" w:cs="Arial"/>
          <w:color w:val="0070C0"/>
          <w:sz w:val="24"/>
          <w:szCs w:val="24"/>
        </w:rPr>
        <w:t>Aug</w:t>
      </w:r>
      <w:r w:rsidR="00F640A4">
        <w:rPr>
          <w:rFonts w:ascii="Arial" w:hAnsi="Arial" w:cs="Arial"/>
          <w:color w:val="0070C0"/>
          <w:sz w:val="24"/>
          <w:szCs w:val="24"/>
        </w:rPr>
        <w:t xml:space="preserve">ust </w:t>
      </w:r>
      <w:r w:rsidR="00622CAE">
        <w:rPr>
          <w:rFonts w:ascii="Arial" w:hAnsi="Arial" w:cs="Arial"/>
          <w:color w:val="0070C0"/>
          <w:sz w:val="24"/>
          <w:szCs w:val="24"/>
        </w:rPr>
        <w:t>1, 2014</w:t>
      </w:r>
      <w:r w:rsidR="00F640A4">
        <w:rPr>
          <w:rFonts w:ascii="Arial" w:hAnsi="Arial" w:cs="Arial"/>
          <w:color w:val="0070C0"/>
          <w:sz w:val="24"/>
          <w:szCs w:val="24"/>
        </w:rPr>
        <w:t xml:space="preserve"> until Ju</w:t>
      </w:r>
      <w:r w:rsidR="000F0FDF">
        <w:rPr>
          <w:rFonts w:ascii="Arial" w:hAnsi="Arial" w:cs="Arial"/>
          <w:color w:val="0070C0"/>
          <w:sz w:val="24"/>
          <w:szCs w:val="24"/>
        </w:rPr>
        <w:t xml:space="preserve">ly 31, 2015.  </w:t>
      </w:r>
      <w:r w:rsidR="000F0FDF" w:rsidRPr="007D4A08">
        <w:rPr>
          <w:rFonts w:ascii="Arial" w:hAnsi="Arial" w:cs="Arial"/>
          <w:i/>
          <w:color w:val="0070C0"/>
          <w:sz w:val="24"/>
          <w:szCs w:val="24"/>
        </w:rPr>
        <w:t xml:space="preserve">The </w:t>
      </w:r>
      <w:r w:rsidR="007D4A08" w:rsidRPr="007D4A08">
        <w:rPr>
          <w:rFonts w:ascii="Arial" w:hAnsi="Arial" w:cs="Arial"/>
          <w:i/>
          <w:color w:val="0070C0"/>
          <w:sz w:val="24"/>
          <w:szCs w:val="24"/>
        </w:rPr>
        <w:t>“</w:t>
      </w:r>
      <w:r w:rsidR="000F0FDF" w:rsidRPr="007D4A08">
        <w:rPr>
          <w:rFonts w:ascii="Arial" w:hAnsi="Arial" w:cs="Arial"/>
          <w:i/>
          <w:color w:val="0070C0"/>
          <w:sz w:val="24"/>
          <w:szCs w:val="24"/>
        </w:rPr>
        <w:t>Rate Rider for Global Adjustment Account Disposition applicable only for Non-RPP, non-WMP Customers</w:t>
      </w:r>
      <w:r w:rsidR="000F0FDF">
        <w:rPr>
          <w:rFonts w:ascii="Arial" w:hAnsi="Arial" w:cs="Arial"/>
          <w:color w:val="0070C0"/>
          <w:sz w:val="24"/>
          <w:szCs w:val="24"/>
        </w:rPr>
        <w:t>” disposition period was August 1, 2014 until April 30, 2016.</w:t>
      </w:r>
    </w:p>
    <w:p w14:paraId="5E2A9DBE" w14:textId="5599BA76" w:rsidR="00353701" w:rsidRDefault="00353701" w:rsidP="00AA4C8A">
      <w:pPr>
        <w:jc w:val="both"/>
        <w:rPr>
          <w:rFonts w:ascii="Arial" w:hAnsi="Arial" w:cs="Arial"/>
          <w:color w:val="0070C0"/>
          <w:sz w:val="24"/>
          <w:szCs w:val="24"/>
        </w:rPr>
      </w:pPr>
      <w:r>
        <w:rPr>
          <w:rFonts w:ascii="Arial" w:hAnsi="Arial" w:cs="Arial"/>
          <w:color w:val="0070C0"/>
          <w:sz w:val="24"/>
          <w:szCs w:val="24"/>
        </w:rPr>
        <w:t>Generally</w:t>
      </w:r>
      <w:r w:rsidR="00B603C7">
        <w:rPr>
          <w:rFonts w:ascii="Arial" w:hAnsi="Arial" w:cs="Arial"/>
          <w:color w:val="0070C0"/>
          <w:sz w:val="24"/>
          <w:szCs w:val="24"/>
        </w:rPr>
        <w:t>,</w:t>
      </w:r>
      <w:r>
        <w:rPr>
          <w:rFonts w:ascii="Arial" w:hAnsi="Arial" w:cs="Arial"/>
          <w:color w:val="0070C0"/>
          <w:sz w:val="24"/>
          <w:szCs w:val="24"/>
        </w:rPr>
        <w:t xml:space="preserve"> reductions in load can be attributed to a </w:t>
      </w:r>
      <w:r w:rsidR="00AA4C8A">
        <w:rPr>
          <w:rFonts w:ascii="Arial" w:hAnsi="Arial" w:cs="Arial"/>
          <w:color w:val="0070C0"/>
          <w:sz w:val="24"/>
          <w:szCs w:val="24"/>
        </w:rPr>
        <w:t>cooler summer in</w:t>
      </w:r>
      <w:r w:rsidR="00C37357">
        <w:rPr>
          <w:rFonts w:ascii="Arial" w:hAnsi="Arial" w:cs="Arial"/>
          <w:color w:val="0070C0"/>
          <w:sz w:val="24"/>
          <w:szCs w:val="24"/>
        </w:rPr>
        <w:t xml:space="preserve"> 2014</w:t>
      </w:r>
      <w:r w:rsidR="00197EAC">
        <w:rPr>
          <w:rFonts w:ascii="Arial" w:hAnsi="Arial" w:cs="Arial"/>
          <w:color w:val="0070C0"/>
          <w:sz w:val="24"/>
          <w:szCs w:val="24"/>
        </w:rPr>
        <w:t xml:space="preserve"> and customer driven conservation</w:t>
      </w:r>
      <w:r w:rsidR="00C37357">
        <w:rPr>
          <w:rFonts w:ascii="Arial" w:hAnsi="Arial" w:cs="Arial"/>
          <w:color w:val="0070C0"/>
          <w:sz w:val="24"/>
          <w:szCs w:val="24"/>
        </w:rPr>
        <w:t xml:space="preserve">.  </w:t>
      </w:r>
      <w:r w:rsidR="00AA4C8A">
        <w:rPr>
          <w:rFonts w:ascii="Arial" w:hAnsi="Arial" w:cs="Arial"/>
          <w:color w:val="0070C0"/>
          <w:sz w:val="24"/>
          <w:szCs w:val="24"/>
        </w:rPr>
        <w:t xml:space="preserve">The </w:t>
      </w:r>
      <w:r w:rsidR="009A15A7">
        <w:rPr>
          <w:rFonts w:ascii="Arial" w:hAnsi="Arial" w:cs="Arial"/>
          <w:color w:val="0070C0"/>
          <w:sz w:val="24"/>
          <w:szCs w:val="24"/>
        </w:rPr>
        <w:t>Government of Canada’s Top 10</w:t>
      </w:r>
      <w:r w:rsidR="00C37357">
        <w:rPr>
          <w:rFonts w:ascii="Arial" w:hAnsi="Arial" w:cs="Arial"/>
          <w:color w:val="0070C0"/>
          <w:sz w:val="24"/>
          <w:szCs w:val="24"/>
        </w:rPr>
        <w:t xml:space="preserve"> </w:t>
      </w:r>
      <w:r w:rsidR="00197EAC">
        <w:rPr>
          <w:rFonts w:ascii="Arial" w:hAnsi="Arial" w:cs="Arial"/>
          <w:color w:val="0070C0"/>
          <w:sz w:val="24"/>
          <w:szCs w:val="24"/>
        </w:rPr>
        <w:t>Weather S</w:t>
      </w:r>
      <w:r w:rsidR="00BF15C3">
        <w:rPr>
          <w:rFonts w:ascii="Arial" w:hAnsi="Arial" w:cs="Arial"/>
          <w:color w:val="0070C0"/>
          <w:sz w:val="24"/>
          <w:szCs w:val="24"/>
        </w:rPr>
        <w:t>tories for 2014 states:</w:t>
      </w:r>
      <w:r w:rsidR="009A15A7">
        <w:rPr>
          <w:rFonts w:ascii="Arial" w:hAnsi="Arial" w:cs="Arial"/>
          <w:color w:val="0070C0"/>
          <w:sz w:val="24"/>
          <w:szCs w:val="24"/>
        </w:rPr>
        <w:t xml:space="preserve"> “</w:t>
      </w:r>
      <w:r w:rsidR="009A15A7" w:rsidRPr="00846B24">
        <w:rPr>
          <w:rFonts w:ascii="Arial" w:hAnsi="Arial" w:cs="Arial"/>
          <w:i/>
          <w:color w:val="0070C0"/>
          <w:sz w:val="24"/>
          <w:szCs w:val="24"/>
        </w:rPr>
        <w:t>For Windsor, which typically leads the East with the warmest summers, it was the coldest July in 22 years. In southern Ontario, July and August were the second coldest two months in 55 years of records.”</w:t>
      </w:r>
    </w:p>
    <w:p w14:paraId="629DC515" w14:textId="0B213494" w:rsidR="004C1F0E" w:rsidRDefault="00DD2D17" w:rsidP="00AA4C8A">
      <w:pPr>
        <w:jc w:val="both"/>
        <w:rPr>
          <w:rFonts w:ascii="Arial" w:hAnsi="Arial" w:cs="Arial"/>
          <w:b/>
          <w:sz w:val="24"/>
          <w:szCs w:val="24"/>
        </w:rPr>
      </w:pPr>
      <w:r>
        <w:rPr>
          <w:rFonts w:ascii="Arial" w:hAnsi="Arial" w:cs="Arial"/>
          <w:color w:val="0070C0"/>
          <w:sz w:val="24"/>
          <w:szCs w:val="24"/>
        </w:rPr>
        <w:t xml:space="preserve">The variance in </w:t>
      </w:r>
      <w:r w:rsidR="001C5D8C">
        <w:rPr>
          <w:rFonts w:ascii="Arial" w:hAnsi="Arial" w:cs="Arial"/>
          <w:color w:val="0070C0"/>
          <w:sz w:val="24"/>
          <w:szCs w:val="24"/>
        </w:rPr>
        <w:t xml:space="preserve">annualized volumes from </w:t>
      </w:r>
      <w:r w:rsidR="004C1F0E">
        <w:rPr>
          <w:rFonts w:ascii="Arial" w:hAnsi="Arial" w:cs="Arial"/>
          <w:color w:val="0070C0"/>
          <w:sz w:val="24"/>
          <w:szCs w:val="24"/>
        </w:rPr>
        <w:t>Table 4</w:t>
      </w:r>
      <w:r w:rsidR="00876DA9">
        <w:rPr>
          <w:rFonts w:ascii="Arial" w:hAnsi="Arial" w:cs="Arial"/>
          <w:color w:val="0070C0"/>
          <w:sz w:val="24"/>
          <w:szCs w:val="24"/>
        </w:rPr>
        <w:t xml:space="preserve"> which includes WMP</w:t>
      </w:r>
      <w:r w:rsidR="00942FF5">
        <w:rPr>
          <w:rFonts w:ascii="Arial" w:hAnsi="Arial" w:cs="Arial"/>
          <w:color w:val="0070C0"/>
          <w:sz w:val="24"/>
          <w:szCs w:val="24"/>
        </w:rPr>
        <w:t xml:space="preserve">, </w:t>
      </w:r>
      <w:r w:rsidR="00876DA9">
        <w:rPr>
          <w:rFonts w:ascii="Arial" w:hAnsi="Arial" w:cs="Arial"/>
          <w:color w:val="0070C0"/>
          <w:sz w:val="24"/>
          <w:szCs w:val="24"/>
        </w:rPr>
        <w:t xml:space="preserve">shown </w:t>
      </w:r>
      <w:r w:rsidR="00942FF5">
        <w:rPr>
          <w:rFonts w:ascii="Arial" w:hAnsi="Arial" w:cs="Arial"/>
          <w:color w:val="0070C0"/>
          <w:sz w:val="24"/>
          <w:szCs w:val="24"/>
        </w:rPr>
        <w:t>below as Table IR-1A</w:t>
      </w:r>
      <w:r w:rsidR="008E5912">
        <w:rPr>
          <w:rFonts w:ascii="Arial" w:hAnsi="Arial" w:cs="Arial"/>
          <w:color w:val="0070C0"/>
          <w:sz w:val="24"/>
          <w:szCs w:val="24"/>
        </w:rPr>
        <w:t>,</w:t>
      </w:r>
      <w:r w:rsidR="004C1F0E">
        <w:rPr>
          <w:rFonts w:ascii="Arial" w:hAnsi="Arial" w:cs="Arial"/>
          <w:color w:val="0070C0"/>
          <w:sz w:val="24"/>
          <w:szCs w:val="24"/>
        </w:rPr>
        <w:t xml:space="preserve"> </w:t>
      </w:r>
      <w:r w:rsidR="00876DA9">
        <w:rPr>
          <w:rFonts w:ascii="Arial" w:hAnsi="Arial" w:cs="Arial"/>
          <w:color w:val="0070C0"/>
          <w:sz w:val="24"/>
          <w:szCs w:val="24"/>
        </w:rPr>
        <w:t xml:space="preserve">indicates </w:t>
      </w:r>
      <w:r w:rsidR="004C1F0E">
        <w:rPr>
          <w:rFonts w:ascii="Arial" w:hAnsi="Arial" w:cs="Arial"/>
          <w:color w:val="0070C0"/>
          <w:sz w:val="24"/>
          <w:szCs w:val="24"/>
        </w:rPr>
        <w:t xml:space="preserve"> a reduction </w:t>
      </w:r>
      <w:r>
        <w:rPr>
          <w:rFonts w:ascii="Arial" w:hAnsi="Arial" w:cs="Arial"/>
          <w:color w:val="0070C0"/>
          <w:sz w:val="24"/>
          <w:szCs w:val="24"/>
        </w:rPr>
        <w:t>of 8% in R</w:t>
      </w:r>
      <w:r w:rsidR="004C1F0E">
        <w:rPr>
          <w:rFonts w:ascii="Arial" w:hAnsi="Arial" w:cs="Arial"/>
          <w:color w:val="0070C0"/>
          <w:sz w:val="24"/>
          <w:szCs w:val="24"/>
        </w:rPr>
        <w:t>esidential consumption</w:t>
      </w:r>
      <w:r>
        <w:rPr>
          <w:rFonts w:ascii="Arial" w:hAnsi="Arial" w:cs="Arial"/>
          <w:color w:val="0070C0"/>
          <w:sz w:val="24"/>
          <w:szCs w:val="24"/>
        </w:rPr>
        <w:t xml:space="preserve">,   33% reduction in Large Use – Regular and </w:t>
      </w:r>
      <w:r w:rsidR="008D68F2">
        <w:rPr>
          <w:rFonts w:ascii="Arial" w:hAnsi="Arial" w:cs="Arial"/>
          <w:color w:val="0070C0"/>
          <w:sz w:val="24"/>
          <w:szCs w:val="24"/>
        </w:rPr>
        <w:t xml:space="preserve">a </w:t>
      </w:r>
      <w:r w:rsidR="008E5912">
        <w:rPr>
          <w:rFonts w:ascii="Arial" w:hAnsi="Arial" w:cs="Arial"/>
          <w:color w:val="0070C0"/>
          <w:sz w:val="24"/>
          <w:szCs w:val="24"/>
        </w:rPr>
        <w:t>12% reduction in Large Use – 3TS.</w:t>
      </w:r>
      <w:r w:rsidR="002C04CB">
        <w:rPr>
          <w:rFonts w:ascii="Arial" w:hAnsi="Arial" w:cs="Arial"/>
          <w:color w:val="0070C0"/>
          <w:sz w:val="24"/>
          <w:szCs w:val="24"/>
        </w:rPr>
        <w:t xml:space="preserve">  </w:t>
      </w:r>
    </w:p>
    <w:p w14:paraId="1386B3E6" w14:textId="0811A87C" w:rsidR="00CB52AE" w:rsidRPr="002C04CB" w:rsidRDefault="001C5D8C" w:rsidP="007D4194">
      <w:pPr>
        <w:spacing w:after="0" w:line="240" w:lineRule="auto"/>
        <w:rPr>
          <w:rFonts w:ascii="Arial" w:hAnsi="Arial" w:cs="Arial"/>
          <w:b/>
          <w:color w:val="0070C0"/>
          <w:sz w:val="24"/>
          <w:szCs w:val="24"/>
        </w:rPr>
      </w:pPr>
      <w:r w:rsidRPr="002C04CB">
        <w:rPr>
          <w:rFonts w:ascii="Arial" w:hAnsi="Arial" w:cs="Arial"/>
          <w:b/>
          <w:color w:val="0070C0"/>
          <w:sz w:val="24"/>
          <w:szCs w:val="24"/>
        </w:rPr>
        <w:t xml:space="preserve">Table </w:t>
      </w:r>
      <w:r w:rsidR="00942FF5" w:rsidRPr="002C04CB">
        <w:rPr>
          <w:rFonts w:ascii="Arial" w:hAnsi="Arial" w:cs="Arial"/>
          <w:b/>
          <w:color w:val="0070C0"/>
          <w:sz w:val="24"/>
          <w:szCs w:val="24"/>
        </w:rPr>
        <w:t>IR-</w:t>
      </w:r>
      <w:r w:rsidRPr="002C04CB">
        <w:rPr>
          <w:rFonts w:ascii="Arial" w:hAnsi="Arial" w:cs="Arial"/>
          <w:b/>
          <w:color w:val="0070C0"/>
          <w:sz w:val="24"/>
          <w:szCs w:val="24"/>
        </w:rPr>
        <w:t xml:space="preserve">1A </w:t>
      </w:r>
    </w:p>
    <w:p w14:paraId="16BF1515" w14:textId="77777777" w:rsidR="008E5912" w:rsidRDefault="00942FF5" w:rsidP="008E5912">
      <w:pPr>
        <w:rPr>
          <w:rFonts w:ascii="Arial" w:hAnsi="Arial" w:cs="Arial"/>
          <w:color w:val="0070C0"/>
          <w:sz w:val="24"/>
          <w:szCs w:val="24"/>
        </w:rPr>
      </w:pPr>
      <w:r>
        <w:rPr>
          <w:noProof/>
          <w:lang w:eastAsia="en-CA"/>
        </w:rPr>
        <w:drawing>
          <wp:inline distT="0" distB="0" distL="0" distR="0" wp14:anchorId="5EFBEF52" wp14:editId="02190BFD">
            <wp:extent cx="5943600" cy="1757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757045"/>
                    </a:xfrm>
                    <a:prstGeom prst="rect">
                      <a:avLst/>
                    </a:prstGeom>
                  </pic:spPr>
                </pic:pic>
              </a:graphicData>
            </a:graphic>
          </wp:inline>
        </w:drawing>
      </w:r>
      <w:r w:rsidR="008E5912" w:rsidRPr="008E5912">
        <w:rPr>
          <w:rFonts w:ascii="Arial" w:hAnsi="Arial" w:cs="Arial"/>
          <w:color w:val="0070C0"/>
          <w:sz w:val="24"/>
          <w:szCs w:val="24"/>
        </w:rPr>
        <w:t xml:space="preserve"> </w:t>
      </w:r>
    </w:p>
    <w:p w14:paraId="315D1582" w14:textId="77777777" w:rsidR="0041701C" w:rsidRDefault="00876DA9" w:rsidP="00AA4C8A">
      <w:pPr>
        <w:jc w:val="both"/>
        <w:rPr>
          <w:rFonts w:ascii="Arial" w:hAnsi="Arial" w:cs="Arial"/>
          <w:sz w:val="24"/>
          <w:szCs w:val="24"/>
        </w:rPr>
      </w:pPr>
      <w:r>
        <w:rPr>
          <w:rFonts w:ascii="Arial" w:hAnsi="Arial" w:cs="Arial"/>
          <w:color w:val="0070C0"/>
          <w:sz w:val="24"/>
          <w:szCs w:val="24"/>
        </w:rPr>
        <w:t>The variance in annualized volumes from Table 5 which excludes WMP, shown below as Table IR-1</w:t>
      </w:r>
      <w:r w:rsidR="008D68F2">
        <w:rPr>
          <w:rFonts w:ascii="Arial" w:hAnsi="Arial" w:cs="Arial"/>
          <w:color w:val="0070C0"/>
          <w:sz w:val="24"/>
          <w:szCs w:val="24"/>
        </w:rPr>
        <w:t>B</w:t>
      </w:r>
      <w:r>
        <w:rPr>
          <w:rFonts w:ascii="Arial" w:hAnsi="Arial" w:cs="Arial"/>
          <w:color w:val="0070C0"/>
          <w:sz w:val="24"/>
          <w:szCs w:val="24"/>
        </w:rPr>
        <w:t xml:space="preserve">, indicates a reduction of 8% in Residential consumption and </w:t>
      </w:r>
      <w:r w:rsidR="008D68F2">
        <w:rPr>
          <w:rFonts w:ascii="Arial" w:hAnsi="Arial" w:cs="Arial"/>
          <w:color w:val="0070C0"/>
          <w:sz w:val="24"/>
          <w:szCs w:val="24"/>
        </w:rPr>
        <w:t xml:space="preserve">a </w:t>
      </w:r>
      <w:r>
        <w:rPr>
          <w:rFonts w:ascii="Arial" w:hAnsi="Arial" w:cs="Arial"/>
          <w:color w:val="0070C0"/>
          <w:sz w:val="24"/>
          <w:szCs w:val="24"/>
        </w:rPr>
        <w:t>1</w:t>
      </w:r>
      <w:r w:rsidR="008D68F2">
        <w:rPr>
          <w:rFonts w:ascii="Arial" w:hAnsi="Arial" w:cs="Arial"/>
          <w:color w:val="0070C0"/>
          <w:sz w:val="24"/>
          <w:szCs w:val="24"/>
        </w:rPr>
        <w:t>9</w:t>
      </w:r>
      <w:r>
        <w:rPr>
          <w:rFonts w:ascii="Arial" w:hAnsi="Arial" w:cs="Arial"/>
          <w:color w:val="0070C0"/>
          <w:sz w:val="24"/>
          <w:szCs w:val="24"/>
        </w:rPr>
        <w:t>% reduction in Large Use – 3TS.</w:t>
      </w:r>
      <w:r w:rsidR="00942FF5" w:rsidRPr="001C5D8C">
        <w:rPr>
          <w:rFonts w:ascii="Arial" w:hAnsi="Arial" w:cs="Arial"/>
          <w:sz w:val="24"/>
          <w:szCs w:val="24"/>
        </w:rPr>
        <w:t xml:space="preserve"> </w:t>
      </w:r>
    </w:p>
    <w:p w14:paraId="54191988" w14:textId="77777777" w:rsidR="00A10904" w:rsidRDefault="00A10904" w:rsidP="0041701C">
      <w:pPr>
        <w:spacing w:after="0"/>
        <w:rPr>
          <w:rFonts w:ascii="Arial" w:hAnsi="Arial" w:cs="Arial"/>
          <w:b/>
          <w:color w:val="0070C0"/>
          <w:sz w:val="24"/>
          <w:szCs w:val="24"/>
        </w:rPr>
      </w:pPr>
      <w:r>
        <w:rPr>
          <w:rFonts w:ascii="Arial" w:hAnsi="Arial" w:cs="Arial"/>
          <w:b/>
          <w:color w:val="0070C0"/>
          <w:sz w:val="24"/>
          <w:szCs w:val="24"/>
        </w:rPr>
        <w:br w:type="page"/>
      </w:r>
    </w:p>
    <w:p w14:paraId="6484C411" w14:textId="2D84A0C9" w:rsidR="0041701C" w:rsidRPr="002C04CB" w:rsidRDefault="0041701C" w:rsidP="0041701C">
      <w:pPr>
        <w:spacing w:after="0"/>
        <w:rPr>
          <w:rFonts w:ascii="Arial" w:hAnsi="Arial" w:cs="Arial"/>
          <w:b/>
          <w:color w:val="0070C0"/>
          <w:sz w:val="24"/>
          <w:szCs w:val="24"/>
        </w:rPr>
      </w:pPr>
      <w:r w:rsidRPr="002C04CB">
        <w:rPr>
          <w:rFonts w:ascii="Arial" w:hAnsi="Arial" w:cs="Arial"/>
          <w:b/>
          <w:color w:val="0070C0"/>
          <w:sz w:val="24"/>
          <w:szCs w:val="24"/>
        </w:rPr>
        <w:lastRenderedPageBreak/>
        <w:t>Table IR-1B</w:t>
      </w:r>
    </w:p>
    <w:p w14:paraId="556A2B8C" w14:textId="63B2049C" w:rsidR="0041701C" w:rsidRPr="0041701C" w:rsidRDefault="0041701C" w:rsidP="008D68F2">
      <w:pPr>
        <w:rPr>
          <w:rFonts w:ascii="Arial" w:hAnsi="Arial" w:cs="Arial"/>
          <w:color w:val="0070C0"/>
          <w:sz w:val="24"/>
          <w:szCs w:val="24"/>
        </w:rPr>
      </w:pPr>
      <w:r>
        <w:rPr>
          <w:noProof/>
          <w:lang w:eastAsia="en-CA"/>
        </w:rPr>
        <w:drawing>
          <wp:inline distT="0" distB="0" distL="0" distR="0" wp14:anchorId="3F67ADC3" wp14:editId="32C812F5">
            <wp:extent cx="5943600" cy="1726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726565"/>
                    </a:xfrm>
                    <a:prstGeom prst="rect">
                      <a:avLst/>
                    </a:prstGeom>
                  </pic:spPr>
                </pic:pic>
              </a:graphicData>
            </a:graphic>
          </wp:inline>
        </w:drawing>
      </w:r>
    </w:p>
    <w:p w14:paraId="44013AC3" w14:textId="6A703ADC" w:rsidR="00416E38" w:rsidRDefault="00416E38" w:rsidP="00AA4C8A">
      <w:pPr>
        <w:spacing w:after="160"/>
        <w:jc w:val="both"/>
        <w:rPr>
          <w:rFonts w:ascii="Arial" w:hAnsi="Arial" w:cs="Arial"/>
          <w:sz w:val="24"/>
          <w:szCs w:val="24"/>
        </w:rPr>
      </w:pPr>
      <w:r>
        <w:rPr>
          <w:rFonts w:ascii="Arial" w:hAnsi="Arial" w:cs="Arial"/>
          <w:color w:val="0070C0"/>
          <w:sz w:val="24"/>
          <w:szCs w:val="24"/>
        </w:rPr>
        <w:t xml:space="preserve">The variance in annualized volumes from Table 6 which is only non-RPP and excludes WMP, shown below as Table IR-1C, indicates a reduction of 44% in Residential consumption, 2% reduction  in GS &gt;50 kW, 55% reduction in Large Use – Regular  and a </w:t>
      </w:r>
      <w:r w:rsidR="00DB75EE">
        <w:rPr>
          <w:rFonts w:ascii="Arial" w:hAnsi="Arial" w:cs="Arial"/>
          <w:color w:val="0070C0"/>
          <w:sz w:val="24"/>
          <w:szCs w:val="24"/>
        </w:rPr>
        <w:t>46</w:t>
      </w:r>
      <w:r>
        <w:rPr>
          <w:rFonts w:ascii="Arial" w:hAnsi="Arial" w:cs="Arial"/>
          <w:color w:val="0070C0"/>
          <w:sz w:val="24"/>
          <w:szCs w:val="24"/>
        </w:rPr>
        <w:t>% reduction in Large Use – 3TS.</w:t>
      </w:r>
      <w:r w:rsidRPr="001C5D8C">
        <w:rPr>
          <w:rFonts w:ascii="Arial" w:hAnsi="Arial" w:cs="Arial"/>
          <w:sz w:val="24"/>
          <w:szCs w:val="24"/>
        </w:rPr>
        <w:t xml:space="preserve"> </w:t>
      </w:r>
    </w:p>
    <w:p w14:paraId="13EABF40" w14:textId="30DD5E26" w:rsidR="002C04CB" w:rsidRPr="002C04CB" w:rsidRDefault="002679AD" w:rsidP="00AA4C8A">
      <w:pPr>
        <w:spacing w:after="160"/>
        <w:jc w:val="both"/>
        <w:rPr>
          <w:rFonts w:ascii="Arial" w:hAnsi="Arial" w:cs="Arial"/>
          <w:color w:val="0070C0"/>
          <w:sz w:val="24"/>
          <w:szCs w:val="24"/>
        </w:rPr>
      </w:pPr>
      <w:r>
        <w:rPr>
          <w:rFonts w:ascii="Arial" w:hAnsi="Arial" w:cs="Arial"/>
          <w:color w:val="0070C0"/>
          <w:sz w:val="24"/>
          <w:szCs w:val="24"/>
        </w:rPr>
        <w:t xml:space="preserve">From 2013 to 2015, there was a 26% reduction in the number of non-RPP </w:t>
      </w:r>
      <w:r w:rsidR="002C04CB" w:rsidRPr="002C04CB">
        <w:rPr>
          <w:rFonts w:ascii="Arial" w:hAnsi="Arial" w:cs="Arial"/>
          <w:color w:val="0070C0"/>
          <w:sz w:val="24"/>
          <w:szCs w:val="24"/>
        </w:rPr>
        <w:t>residential customer</w:t>
      </w:r>
      <w:r>
        <w:rPr>
          <w:rFonts w:ascii="Arial" w:hAnsi="Arial" w:cs="Arial"/>
          <w:color w:val="0070C0"/>
          <w:sz w:val="24"/>
          <w:szCs w:val="24"/>
        </w:rPr>
        <w:t>s</w:t>
      </w:r>
      <w:r w:rsidR="002C04CB" w:rsidRPr="002C04CB">
        <w:rPr>
          <w:rFonts w:ascii="Arial" w:hAnsi="Arial" w:cs="Arial"/>
          <w:color w:val="0070C0"/>
          <w:sz w:val="24"/>
          <w:szCs w:val="24"/>
        </w:rPr>
        <w:t xml:space="preserve"> </w:t>
      </w:r>
      <w:r>
        <w:rPr>
          <w:rFonts w:ascii="Arial" w:hAnsi="Arial" w:cs="Arial"/>
          <w:color w:val="0070C0"/>
          <w:sz w:val="24"/>
          <w:szCs w:val="24"/>
        </w:rPr>
        <w:t>(</w:t>
      </w:r>
      <w:r w:rsidR="002C04CB" w:rsidRPr="002C04CB">
        <w:rPr>
          <w:rFonts w:ascii="Arial" w:hAnsi="Arial" w:cs="Arial"/>
          <w:color w:val="0070C0"/>
          <w:sz w:val="24"/>
          <w:szCs w:val="24"/>
        </w:rPr>
        <w:t>enrolled with a retailer</w:t>
      </w:r>
      <w:r>
        <w:rPr>
          <w:rFonts w:ascii="Arial" w:hAnsi="Arial" w:cs="Arial"/>
          <w:color w:val="0070C0"/>
          <w:sz w:val="24"/>
          <w:szCs w:val="24"/>
        </w:rPr>
        <w:t>).  Th</w:t>
      </w:r>
      <w:r w:rsidR="003606DD">
        <w:rPr>
          <w:rFonts w:ascii="Arial" w:hAnsi="Arial" w:cs="Arial"/>
          <w:color w:val="0070C0"/>
          <w:sz w:val="24"/>
          <w:szCs w:val="24"/>
        </w:rPr>
        <w:t>is</w:t>
      </w:r>
      <w:r>
        <w:rPr>
          <w:rFonts w:ascii="Arial" w:hAnsi="Arial" w:cs="Arial"/>
          <w:color w:val="0070C0"/>
          <w:sz w:val="24"/>
          <w:szCs w:val="24"/>
        </w:rPr>
        <w:t xml:space="preserve"> disposition p</w:t>
      </w:r>
      <w:r w:rsidR="00EC62D6">
        <w:rPr>
          <w:rFonts w:ascii="Arial" w:hAnsi="Arial" w:cs="Arial"/>
          <w:color w:val="0070C0"/>
          <w:sz w:val="24"/>
          <w:szCs w:val="24"/>
        </w:rPr>
        <w:t>eriod was for a 21 month period [August 1, 2014 until April 30, 2016],</w:t>
      </w:r>
      <w:r>
        <w:rPr>
          <w:rFonts w:ascii="Arial" w:hAnsi="Arial" w:cs="Arial"/>
          <w:color w:val="0070C0"/>
          <w:sz w:val="24"/>
          <w:szCs w:val="24"/>
        </w:rPr>
        <w:t xml:space="preserve"> but only included one summer</w:t>
      </w:r>
      <w:r w:rsidR="003606DD">
        <w:rPr>
          <w:rFonts w:ascii="Arial" w:hAnsi="Arial" w:cs="Arial"/>
          <w:color w:val="0070C0"/>
          <w:sz w:val="24"/>
          <w:szCs w:val="24"/>
        </w:rPr>
        <w:t xml:space="preserve"> period, </w:t>
      </w:r>
      <w:r w:rsidR="005C518C" w:rsidRPr="005C518C">
        <w:rPr>
          <w:rFonts w:ascii="Arial" w:hAnsi="Arial" w:cs="Arial"/>
          <w:i/>
          <w:color w:val="0070C0"/>
          <w:sz w:val="24"/>
          <w:szCs w:val="24"/>
        </w:rPr>
        <w:t>ENWIN</w:t>
      </w:r>
      <w:r w:rsidR="003606DD">
        <w:rPr>
          <w:rFonts w:ascii="Arial" w:hAnsi="Arial" w:cs="Arial"/>
          <w:color w:val="0070C0"/>
          <w:sz w:val="24"/>
          <w:szCs w:val="24"/>
        </w:rPr>
        <w:t xml:space="preserve"> is a summer peaking utility which may account for some of the variances.</w:t>
      </w:r>
      <w:r w:rsidR="00D26069">
        <w:rPr>
          <w:rFonts w:ascii="Arial" w:hAnsi="Arial" w:cs="Arial"/>
          <w:color w:val="0070C0"/>
          <w:sz w:val="24"/>
          <w:szCs w:val="24"/>
        </w:rPr>
        <w:t xml:space="preserve">  </w:t>
      </w:r>
      <w:r w:rsidR="00682ECC">
        <w:rPr>
          <w:rFonts w:ascii="Arial" w:hAnsi="Arial" w:cs="Arial"/>
          <w:color w:val="0070C0"/>
          <w:sz w:val="24"/>
          <w:szCs w:val="24"/>
        </w:rPr>
        <w:t>An additional item reflected in the reduction of usage</w:t>
      </w:r>
      <w:r w:rsidR="00353701">
        <w:rPr>
          <w:rFonts w:ascii="Arial" w:hAnsi="Arial" w:cs="Arial"/>
          <w:color w:val="0070C0"/>
          <w:sz w:val="24"/>
          <w:szCs w:val="24"/>
        </w:rPr>
        <w:t xml:space="preserve">, the </w:t>
      </w:r>
      <w:r w:rsidR="00E35207">
        <w:rPr>
          <w:rFonts w:ascii="Arial" w:hAnsi="Arial" w:cs="Arial"/>
          <w:color w:val="0070C0"/>
          <w:sz w:val="24"/>
          <w:szCs w:val="24"/>
        </w:rPr>
        <w:t xml:space="preserve">non-RPP </w:t>
      </w:r>
      <w:r w:rsidR="00D26069">
        <w:rPr>
          <w:rFonts w:ascii="Arial" w:hAnsi="Arial" w:cs="Arial"/>
          <w:color w:val="0070C0"/>
          <w:sz w:val="24"/>
          <w:szCs w:val="24"/>
        </w:rPr>
        <w:t xml:space="preserve">kW </w:t>
      </w:r>
      <w:r w:rsidR="00682ECC">
        <w:rPr>
          <w:rFonts w:ascii="Arial" w:hAnsi="Arial" w:cs="Arial"/>
          <w:color w:val="0070C0"/>
          <w:sz w:val="24"/>
          <w:szCs w:val="24"/>
        </w:rPr>
        <w:t>used to calculate this rate rider</w:t>
      </w:r>
      <w:r w:rsidR="00C26472">
        <w:rPr>
          <w:rFonts w:ascii="Arial" w:hAnsi="Arial" w:cs="Arial"/>
          <w:color w:val="0070C0"/>
          <w:sz w:val="24"/>
          <w:szCs w:val="24"/>
        </w:rPr>
        <w:t xml:space="preserve"> in the original 2014 rate application (EB-2014-0156)</w:t>
      </w:r>
      <w:r w:rsidR="00682ECC">
        <w:rPr>
          <w:rFonts w:ascii="Arial" w:hAnsi="Arial" w:cs="Arial"/>
          <w:color w:val="0070C0"/>
          <w:sz w:val="24"/>
          <w:szCs w:val="24"/>
        </w:rPr>
        <w:t xml:space="preserve"> incorrectly included WMP</w:t>
      </w:r>
      <w:r w:rsidR="00C26472">
        <w:rPr>
          <w:rFonts w:ascii="Arial" w:hAnsi="Arial" w:cs="Arial"/>
          <w:color w:val="0070C0"/>
          <w:sz w:val="24"/>
          <w:szCs w:val="24"/>
        </w:rPr>
        <w:t>, resulting in the original rate riders being understated for the Large Use – Regular and Large Use – 3TS rate classes</w:t>
      </w:r>
      <w:r w:rsidR="00353701">
        <w:rPr>
          <w:rFonts w:ascii="Arial" w:hAnsi="Arial" w:cs="Arial"/>
          <w:color w:val="0070C0"/>
          <w:sz w:val="24"/>
          <w:szCs w:val="24"/>
        </w:rPr>
        <w:t>.</w:t>
      </w:r>
      <w:r w:rsidR="00AC013F">
        <w:rPr>
          <w:rFonts w:ascii="Arial" w:hAnsi="Arial" w:cs="Arial"/>
          <w:color w:val="0070C0"/>
          <w:sz w:val="24"/>
          <w:szCs w:val="24"/>
        </w:rPr>
        <w:t xml:space="preserve">  </w:t>
      </w:r>
      <w:r w:rsidR="005C518C" w:rsidRPr="005C518C">
        <w:rPr>
          <w:rFonts w:ascii="Arial" w:hAnsi="Arial" w:cs="Arial"/>
          <w:i/>
          <w:color w:val="0070C0"/>
          <w:sz w:val="24"/>
          <w:szCs w:val="24"/>
        </w:rPr>
        <w:t>ENWIN</w:t>
      </w:r>
      <w:r w:rsidR="00AC013F">
        <w:rPr>
          <w:rFonts w:ascii="Arial" w:hAnsi="Arial" w:cs="Arial"/>
          <w:color w:val="0070C0"/>
          <w:sz w:val="24"/>
          <w:szCs w:val="24"/>
        </w:rPr>
        <w:t xml:space="preserve"> has confirmed the customers in Large Use – Regular and Large Use – 3TS rate classes are exactly the same customers</w:t>
      </w:r>
      <w:r w:rsidR="00E35207">
        <w:rPr>
          <w:rFonts w:ascii="Arial" w:hAnsi="Arial" w:cs="Arial"/>
          <w:color w:val="0070C0"/>
          <w:sz w:val="24"/>
          <w:szCs w:val="24"/>
        </w:rPr>
        <w:t xml:space="preserve"> in 2018</w:t>
      </w:r>
      <w:r w:rsidR="00AC013F">
        <w:rPr>
          <w:rFonts w:ascii="Arial" w:hAnsi="Arial" w:cs="Arial"/>
          <w:color w:val="0070C0"/>
          <w:sz w:val="24"/>
          <w:szCs w:val="24"/>
        </w:rPr>
        <w:t xml:space="preserve"> </w:t>
      </w:r>
      <w:r w:rsidR="00A031BE">
        <w:rPr>
          <w:rFonts w:ascii="Arial" w:hAnsi="Arial" w:cs="Arial"/>
          <w:color w:val="0070C0"/>
          <w:sz w:val="24"/>
          <w:szCs w:val="24"/>
        </w:rPr>
        <w:t xml:space="preserve">as in </w:t>
      </w:r>
      <w:r w:rsidR="00E35207">
        <w:rPr>
          <w:rFonts w:ascii="Arial" w:hAnsi="Arial" w:cs="Arial"/>
          <w:color w:val="0070C0"/>
          <w:sz w:val="24"/>
          <w:szCs w:val="24"/>
        </w:rPr>
        <w:t xml:space="preserve">existed in </w:t>
      </w:r>
      <w:r w:rsidR="00AC013F">
        <w:rPr>
          <w:rFonts w:ascii="Arial" w:hAnsi="Arial" w:cs="Arial"/>
          <w:color w:val="0070C0"/>
          <w:sz w:val="24"/>
          <w:szCs w:val="24"/>
        </w:rPr>
        <w:t>2013.</w:t>
      </w:r>
    </w:p>
    <w:p w14:paraId="48B24C35" w14:textId="77777777" w:rsidR="00DB75EE" w:rsidRPr="002C04CB" w:rsidRDefault="00DB75EE" w:rsidP="0082001A">
      <w:pPr>
        <w:spacing w:after="0"/>
        <w:rPr>
          <w:rFonts w:ascii="Arial" w:hAnsi="Arial" w:cs="Arial"/>
          <w:b/>
          <w:color w:val="0070C0"/>
          <w:sz w:val="24"/>
          <w:szCs w:val="24"/>
        </w:rPr>
      </w:pPr>
      <w:r w:rsidRPr="002C04CB">
        <w:rPr>
          <w:rFonts w:ascii="Arial" w:hAnsi="Arial" w:cs="Arial"/>
          <w:b/>
          <w:color w:val="0070C0"/>
          <w:sz w:val="24"/>
          <w:szCs w:val="24"/>
        </w:rPr>
        <w:t>Table IR-1C</w:t>
      </w:r>
    </w:p>
    <w:p w14:paraId="6D32C5C4" w14:textId="77777777" w:rsidR="002F69BB" w:rsidRDefault="00DB75EE" w:rsidP="008D68F2">
      <w:pPr>
        <w:rPr>
          <w:rFonts w:ascii="Arial" w:hAnsi="Arial" w:cs="Arial"/>
          <w:sz w:val="24"/>
          <w:szCs w:val="24"/>
        </w:rPr>
      </w:pPr>
      <w:r>
        <w:rPr>
          <w:noProof/>
          <w:lang w:eastAsia="en-CA"/>
        </w:rPr>
        <w:drawing>
          <wp:inline distT="0" distB="0" distL="0" distR="0" wp14:anchorId="30723082" wp14:editId="6388EAB3">
            <wp:extent cx="5943600" cy="1622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622425"/>
                    </a:xfrm>
                    <a:prstGeom prst="rect">
                      <a:avLst/>
                    </a:prstGeom>
                  </pic:spPr>
                </pic:pic>
              </a:graphicData>
            </a:graphic>
          </wp:inline>
        </w:drawing>
      </w:r>
    </w:p>
    <w:p w14:paraId="32941CA0" w14:textId="340D712E" w:rsidR="00F640A4" w:rsidRPr="001C5D8C" w:rsidRDefault="005C518C" w:rsidP="00AA4C8A">
      <w:pPr>
        <w:jc w:val="both"/>
        <w:rPr>
          <w:rFonts w:ascii="Arial" w:hAnsi="Arial" w:cs="Arial"/>
          <w:sz w:val="24"/>
          <w:szCs w:val="24"/>
        </w:rPr>
      </w:pPr>
      <w:r w:rsidRPr="005C518C">
        <w:rPr>
          <w:rFonts w:ascii="Arial" w:hAnsi="Arial" w:cs="Arial"/>
          <w:i/>
          <w:color w:val="0070C0"/>
          <w:sz w:val="24"/>
          <w:szCs w:val="24"/>
        </w:rPr>
        <w:t>ENWIN</w:t>
      </w:r>
      <w:r w:rsidR="002F69BB" w:rsidRPr="00D26069">
        <w:rPr>
          <w:rFonts w:ascii="Arial" w:hAnsi="Arial" w:cs="Arial"/>
          <w:color w:val="0070C0"/>
          <w:sz w:val="24"/>
          <w:szCs w:val="24"/>
        </w:rPr>
        <w:t xml:space="preserve"> has confirmed the balances of sub-account 1595</w:t>
      </w:r>
      <w:r w:rsidR="00604C03">
        <w:rPr>
          <w:rFonts w:ascii="Arial" w:hAnsi="Arial" w:cs="Arial"/>
          <w:color w:val="0070C0"/>
          <w:sz w:val="24"/>
          <w:szCs w:val="24"/>
        </w:rPr>
        <w:t xml:space="preserve"> (</w:t>
      </w:r>
      <w:r w:rsidR="002F69BB" w:rsidRPr="00D26069">
        <w:rPr>
          <w:rFonts w:ascii="Arial" w:hAnsi="Arial" w:cs="Arial"/>
          <w:color w:val="0070C0"/>
          <w:sz w:val="24"/>
          <w:szCs w:val="24"/>
        </w:rPr>
        <w:t>2014</w:t>
      </w:r>
      <w:r w:rsidR="00604C03">
        <w:rPr>
          <w:rFonts w:ascii="Arial" w:hAnsi="Arial" w:cs="Arial"/>
          <w:color w:val="0070C0"/>
          <w:sz w:val="24"/>
          <w:szCs w:val="24"/>
        </w:rPr>
        <w:t>)</w:t>
      </w:r>
      <w:r w:rsidR="002F69BB" w:rsidRPr="00D26069">
        <w:rPr>
          <w:rFonts w:ascii="Arial" w:hAnsi="Arial" w:cs="Arial"/>
          <w:color w:val="0070C0"/>
          <w:sz w:val="24"/>
          <w:szCs w:val="24"/>
        </w:rPr>
        <w:t xml:space="preserve"> are </w:t>
      </w:r>
      <w:r w:rsidR="004E215B" w:rsidRPr="00D26069">
        <w:rPr>
          <w:rFonts w:ascii="Arial" w:hAnsi="Arial" w:cs="Arial"/>
          <w:color w:val="0070C0"/>
          <w:sz w:val="24"/>
          <w:szCs w:val="24"/>
        </w:rPr>
        <w:t>completed and balance back to the recoveries recorded in the general ledger.</w:t>
      </w:r>
      <w:r w:rsidR="00F640A4" w:rsidRPr="001C5D8C">
        <w:rPr>
          <w:rFonts w:ascii="Arial" w:hAnsi="Arial" w:cs="Arial"/>
          <w:sz w:val="24"/>
          <w:szCs w:val="24"/>
        </w:rPr>
        <w:br w:type="page"/>
      </w:r>
    </w:p>
    <w:p w14:paraId="3BFE0A65" w14:textId="215770EE" w:rsidR="007D4194" w:rsidRDefault="007D4194" w:rsidP="007D4194">
      <w:pPr>
        <w:spacing w:after="0" w:line="240" w:lineRule="auto"/>
        <w:rPr>
          <w:rFonts w:ascii="Arial" w:hAnsi="Arial" w:cs="Arial"/>
          <w:b/>
          <w:sz w:val="24"/>
          <w:szCs w:val="24"/>
        </w:rPr>
      </w:pPr>
      <w:r>
        <w:rPr>
          <w:rFonts w:ascii="Arial" w:hAnsi="Arial" w:cs="Arial"/>
          <w:b/>
          <w:sz w:val="24"/>
          <w:szCs w:val="24"/>
        </w:rPr>
        <w:lastRenderedPageBreak/>
        <w:t>Question #2</w:t>
      </w:r>
    </w:p>
    <w:p w14:paraId="1BE18B93" w14:textId="77777777" w:rsidR="007D4194" w:rsidRDefault="007D4194" w:rsidP="007D4194">
      <w:pPr>
        <w:spacing w:after="0" w:line="240" w:lineRule="auto"/>
        <w:rPr>
          <w:rFonts w:ascii="Arial" w:hAnsi="Arial" w:cs="Arial"/>
          <w:b/>
          <w:sz w:val="24"/>
          <w:szCs w:val="24"/>
        </w:rPr>
      </w:pPr>
      <w:r>
        <w:rPr>
          <w:rFonts w:ascii="Arial" w:hAnsi="Arial" w:cs="Arial"/>
          <w:b/>
          <w:sz w:val="24"/>
          <w:szCs w:val="24"/>
        </w:rPr>
        <w:t>Ref</w:t>
      </w:r>
      <w:r w:rsidR="006D288F">
        <w:rPr>
          <w:rFonts w:ascii="Arial" w:hAnsi="Arial" w:cs="Arial"/>
          <w:b/>
          <w:sz w:val="24"/>
          <w:szCs w:val="24"/>
        </w:rPr>
        <w:t>erence</w:t>
      </w:r>
      <w:r>
        <w:rPr>
          <w:rFonts w:ascii="Arial" w:hAnsi="Arial" w:cs="Arial"/>
          <w:b/>
          <w:sz w:val="24"/>
          <w:szCs w:val="24"/>
        </w:rPr>
        <w:t>: IRM Model – Tab 3 “Continuity Schedule”</w:t>
      </w:r>
    </w:p>
    <w:p w14:paraId="36B459CC" w14:textId="77777777" w:rsidR="007D4194" w:rsidRDefault="007D4194" w:rsidP="007D4194">
      <w:pPr>
        <w:spacing w:after="0" w:line="240" w:lineRule="auto"/>
        <w:rPr>
          <w:rFonts w:ascii="Arial" w:hAnsi="Arial" w:cs="Arial"/>
          <w:b/>
          <w:sz w:val="24"/>
          <w:szCs w:val="24"/>
        </w:rPr>
      </w:pPr>
    </w:p>
    <w:p w14:paraId="3FE5C751" w14:textId="77777777" w:rsidR="007D4194" w:rsidRDefault="007D4194" w:rsidP="007D4194">
      <w:pPr>
        <w:spacing w:after="0"/>
        <w:rPr>
          <w:rFonts w:ascii="Arial" w:hAnsi="Arial" w:cs="Arial"/>
          <w:sz w:val="24"/>
          <w:szCs w:val="24"/>
        </w:rPr>
      </w:pPr>
      <w:r>
        <w:rPr>
          <w:rFonts w:ascii="Arial" w:hAnsi="Arial" w:cs="Arial"/>
          <w:sz w:val="24"/>
          <w:szCs w:val="24"/>
        </w:rPr>
        <w:t>With respect to the continuity schedule provided in the IRM Model, please complete for the year 2014, the two columns headed “Transactions Debit / (Credit) during 2014” and “OEB-Approved Disposition during 2014”.</w:t>
      </w:r>
    </w:p>
    <w:p w14:paraId="6D1C50F4" w14:textId="77777777" w:rsidR="007D4194" w:rsidRDefault="007D4194">
      <w:pPr>
        <w:rPr>
          <w:rFonts w:ascii="Arial" w:hAnsi="Arial" w:cs="Arial"/>
          <w:b/>
          <w:sz w:val="24"/>
          <w:szCs w:val="24"/>
        </w:rPr>
      </w:pPr>
    </w:p>
    <w:p w14:paraId="763B1FD5" w14:textId="77777777" w:rsidR="00C45B62" w:rsidRDefault="007D4194">
      <w:pPr>
        <w:rPr>
          <w:rFonts w:ascii="Arial" w:hAnsi="Arial" w:cs="Arial"/>
          <w:b/>
          <w:sz w:val="24"/>
          <w:szCs w:val="24"/>
        </w:rPr>
      </w:pPr>
      <w:r>
        <w:rPr>
          <w:noProof/>
          <w:lang w:eastAsia="en-CA"/>
        </w:rPr>
        <w:drawing>
          <wp:inline distT="0" distB="0" distL="0" distR="0" wp14:anchorId="1B75325E" wp14:editId="7A19FDA9">
            <wp:extent cx="5943600" cy="2534285"/>
            <wp:effectExtent l="19050" t="19050" r="1905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534285"/>
                    </a:xfrm>
                    <a:prstGeom prst="rect">
                      <a:avLst/>
                    </a:prstGeom>
                    <a:ln>
                      <a:solidFill>
                        <a:schemeClr val="tx1"/>
                      </a:solidFill>
                    </a:ln>
                  </pic:spPr>
                </pic:pic>
              </a:graphicData>
            </a:graphic>
          </wp:inline>
        </w:drawing>
      </w:r>
    </w:p>
    <w:p w14:paraId="0F1FA5CC" w14:textId="77777777" w:rsidR="00C45B62" w:rsidRPr="00C45B62" w:rsidRDefault="00C45B62" w:rsidP="00C45B62">
      <w:pPr>
        <w:rPr>
          <w:rFonts w:ascii="Arial" w:hAnsi="Arial" w:cs="Arial"/>
          <w:color w:val="0070C0"/>
          <w:sz w:val="24"/>
          <w:szCs w:val="24"/>
        </w:rPr>
      </w:pPr>
      <w:r w:rsidRPr="00C45B62">
        <w:rPr>
          <w:rFonts w:ascii="Arial" w:hAnsi="Arial" w:cs="Arial"/>
          <w:b/>
          <w:color w:val="0070C0"/>
          <w:sz w:val="24"/>
          <w:szCs w:val="24"/>
        </w:rPr>
        <w:t>RESPONSE</w:t>
      </w:r>
    </w:p>
    <w:p w14:paraId="725A9B5F" w14:textId="0BAA05F8" w:rsidR="005110FD" w:rsidRPr="00511791" w:rsidRDefault="005C518C" w:rsidP="00AA4C8A">
      <w:pPr>
        <w:jc w:val="both"/>
        <w:rPr>
          <w:rFonts w:ascii="Arial" w:hAnsi="Arial" w:cs="Arial"/>
          <w:sz w:val="24"/>
          <w:szCs w:val="24"/>
        </w:rPr>
      </w:pPr>
      <w:r w:rsidRPr="005C518C">
        <w:rPr>
          <w:rFonts w:ascii="Arial" w:hAnsi="Arial" w:cs="Arial"/>
          <w:i/>
          <w:color w:val="0070C0"/>
          <w:sz w:val="24"/>
          <w:szCs w:val="24"/>
        </w:rPr>
        <w:t>ENWIN</w:t>
      </w:r>
      <w:r w:rsidR="003A316E" w:rsidRPr="003A316E">
        <w:rPr>
          <w:rFonts w:ascii="Arial" w:hAnsi="Arial" w:cs="Arial"/>
          <w:color w:val="0070C0"/>
          <w:sz w:val="24"/>
          <w:szCs w:val="24"/>
        </w:rPr>
        <w:t xml:space="preserve"> has updated the 1595 Continuity Schedule for the 2014 year to reflect the ‘Transaction Debit/Credit during 2014’ detail as well as the ‘OEB Approved Disposition during 2014’.</w:t>
      </w:r>
      <w:r w:rsidR="0012657D">
        <w:rPr>
          <w:rFonts w:ascii="Arial" w:hAnsi="Arial" w:cs="Arial"/>
          <w:color w:val="0070C0"/>
          <w:sz w:val="24"/>
          <w:szCs w:val="24"/>
        </w:rPr>
        <w:t xml:space="preserve">  There is no change to the account balance </w:t>
      </w:r>
      <w:r w:rsidR="00974189">
        <w:rPr>
          <w:rFonts w:ascii="Arial" w:hAnsi="Arial" w:cs="Arial"/>
          <w:color w:val="0070C0"/>
          <w:sz w:val="24"/>
          <w:szCs w:val="24"/>
        </w:rPr>
        <w:t xml:space="preserve">requested for </w:t>
      </w:r>
      <w:r w:rsidR="0012657D">
        <w:rPr>
          <w:rFonts w:ascii="Arial" w:hAnsi="Arial" w:cs="Arial"/>
          <w:color w:val="0070C0"/>
          <w:sz w:val="24"/>
          <w:szCs w:val="24"/>
        </w:rPr>
        <w:t>disposition</w:t>
      </w:r>
      <w:r w:rsidR="00974189">
        <w:rPr>
          <w:rFonts w:ascii="Arial" w:hAnsi="Arial" w:cs="Arial"/>
          <w:color w:val="0070C0"/>
          <w:sz w:val="24"/>
          <w:szCs w:val="24"/>
        </w:rPr>
        <w:t xml:space="preserve"> in the present application</w:t>
      </w:r>
      <w:r w:rsidR="0012657D">
        <w:rPr>
          <w:rFonts w:ascii="Arial" w:hAnsi="Arial" w:cs="Arial"/>
          <w:color w:val="0070C0"/>
          <w:sz w:val="24"/>
          <w:szCs w:val="24"/>
        </w:rPr>
        <w:t>.</w:t>
      </w:r>
      <w:r w:rsidR="005110FD" w:rsidRPr="00511791">
        <w:rPr>
          <w:rFonts w:ascii="Arial" w:hAnsi="Arial" w:cs="Arial"/>
          <w:sz w:val="24"/>
          <w:szCs w:val="24"/>
        </w:rPr>
        <w:br w:type="page"/>
      </w:r>
    </w:p>
    <w:p w14:paraId="190779BC" w14:textId="77777777" w:rsidR="0029762E" w:rsidRPr="00C076A6" w:rsidRDefault="00304228" w:rsidP="00A668A7">
      <w:pPr>
        <w:spacing w:after="0" w:line="240" w:lineRule="auto"/>
        <w:rPr>
          <w:rFonts w:ascii="Arial" w:hAnsi="Arial" w:cs="Arial"/>
          <w:b/>
          <w:sz w:val="24"/>
          <w:szCs w:val="24"/>
        </w:rPr>
      </w:pPr>
      <w:r w:rsidRPr="00C076A6">
        <w:rPr>
          <w:rFonts w:ascii="Arial" w:hAnsi="Arial" w:cs="Arial"/>
          <w:b/>
          <w:sz w:val="24"/>
          <w:szCs w:val="24"/>
        </w:rPr>
        <w:lastRenderedPageBreak/>
        <w:t>Question</w:t>
      </w:r>
      <w:r w:rsidR="008539D9" w:rsidRPr="00C076A6">
        <w:rPr>
          <w:rFonts w:ascii="Arial" w:hAnsi="Arial" w:cs="Arial"/>
          <w:b/>
          <w:sz w:val="24"/>
          <w:szCs w:val="24"/>
        </w:rPr>
        <w:t xml:space="preserve"> #</w:t>
      </w:r>
      <w:r w:rsidR="00C44738">
        <w:rPr>
          <w:rFonts w:ascii="Arial" w:hAnsi="Arial" w:cs="Arial"/>
          <w:b/>
          <w:sz w:val="24"/>
          <w:szCs w:val="24"/>
        </w:rPr>
        <w:t>3</w:t>
      </w:r>
    </w:p>
    <w:p w14:paraId="4ED5DC44" w14:textId="77777777" w:rsidR="00C076A6" w:rsidRPr="00C076A6" w:rsidRDefault="00343D6E" w:rsidP="00C076A6">
      <w:pPr>
        <w:rPr>
          <w:rFonts w:ascii="Arial" w:hAnsi="Arial" w:cs="Arial"/>
          <w:b/>
          <w:bCs/>
          <w:sz w:val="24"/>
          <w:szCs w:val="24"/>
          <w:lang w:val="en-US"/>
        </w:rPr>
      </w:pPr>
      <w:r w:rsidRPr="00C076A6">
        <w:rPr>
          <w:rFonts w:ascii="Arial" w:hAnsi="Arial" w:cs="Arial"/>
          <w:b/>
          <w:sz w:val="24"/>
          <w:szCs w:val="24"/>
        </w:rPr>
        <w:t>Ref</w:t>
      </w:r>
      <w:r w:rsidR="006D288F">
        <w:rPr>
          <w:rFonts w:ascii="Arial" w:hAnsi="Arial" w:cs="Arial"/>
          <w:b/>
          <w:sz w:val="24"/>
          <w:szCs w:val="24"/>
        </w:rPr>
        <w:t>erence</w:t>
      </w:r>
      <w:r w:rsidRPr="00C076A6">
        <w:rPr>
          <w:rFonts w:ascii="Arial" w:hAnsi="Arial" w:cs="Arial"/>
          <w:b/>
          <w:sz w:val="24"/>
          <w:szCs w:val="24"/>
        </w:rPr>
        <w:t xml:space="preserve">: </w:t>
      </w:r>
      <w:r w:rsidR="007D4194">
        <w:rPr>
          <w:rFonts w:ascii="Arial" w:hAnsi="Arial" w:cs="Arial"/>
          <w:b/>
          <w:bCs/>
          <w:sz w:val="24"/>
          <w:szCs w:val="24"/>
          <w:lang w:val="en-US"/>
        </w:rPr>
        <w:t>IRM Model – Tab 3 “</w:t>
      </w:r>
      <w:r w:rsidR="00C076A6" w:rsidRPr="00C076A6">
        <w:rPr>
          <w:rFonts w:ascii="Arial" w:hAnsi="Arial" w:cs="Arial"/>
          <w:b/>
          <w:bCs/>
          <w:sz w:val="24"/>
          <w:szCs w:val="24"/>
          <w:lang w:val="en-US"/>
        </w:rPr>
        <w:t>Continuity Schedule</w:t>
      </w:r>
      <w:r w:rsidR="007D4194">
        <w:rPr>
          <w:rFonts w:ascii="Arial" w:hAnsi="Arial" w:cs="Arial"/>
          <w:b/>
          <w:bCs/>
          <w:sz w:val="24"/>
          <w:szCs w:val="24"/>
          <w:lang w:val="en-US"/>
        </w:rPr>
        <w:t>”</w:t>
      </w:r>
      <w:r w:rsidR="00C076A6" w:rsidRPr="00C076A6">
        <w:rPr>
          <w:rFonts w:ascii="Arial" w:hAnsi="Arial" w:cs="Arial"/>
          <w:b/>
          <w:bCs/>
          <w:sz w:val="24"/>
          <w:szCs w:val="24"/>
          <w:lang w:val="en-US"/>
        </w:rPr>
        <w:t xml:space="preserve"> </w:t>
      </w:r>
    </w:p>
    <w:p w14:paraId="7D6FF4AA" w14:textId="5521E9C1" w:rsidR="00C076A6" w:rsidRDefault="00C076A6" w:rsidP="00C076A6">
      <w:pPr>
        <w:autoSpaceDE w:val="0"/>
        <w:autoSpaceDN w:val="0"/>
        <w:adjustRightInd w:val="0"/>
        <w:spacing w:after="0"/>
        <w:rPr>
          <w:rFonts w:ascii="Arial" w:hAnsi="Arial" w:cs="Arial"/>
          <w:sz w:val="24"/>
          <w:szCs w:val="24"/>
        </w:rPr>
      </w:pPr>
      <w:r>
        <w:rPr>
          <w:rFonts w:ascii="Arial" w:hAnsi="Arial" w:cs="Arial"/>
          <w:sz w:val="24"/>
          <w:szCs w:val="24"/>
          <w:lang w:val="en-US"/>
        </w:rPr>
        <w:t xml:space="preserve">On Tab 3 of the IRM model, </w:t>
      </w:r>
      <w:r w:rsidR="005C518C" w:rsidRPr="005C518C">
        <w:rPr>
          <w:rFonts w:ascii="Arial" w:hAnsi="Arial" w:cs="Arial"/>
          <w:i/>
          <w:sz w:val="24"/>
          <w:szCs w:val="24"/>
          <w:lang w:val="en-US"/>
        </w:rPr>
        <w:t>ENWIN</w:t>
      </w:r>
      <w:r w:rsidR="007D4194">
        <w:rPr>
          <w:rFonts w:ascii="Arial" w:hAnsi="Arial" w:cs="Arial"/>
          <w:sz w:val="24"/>
          <w:szCs w:val="24"/>
          <w:lang w:val="en-US"/>
        </w:rPr>
        <w:t xml:space="preserve"> Utilities</w:t>
      </w:r>
      <w:r>
        <w:rPr>
          <w:rFonts w:ascii="Arial" w:hAnsi="Arial" w:cs="Arial"/>
          <w:sz w:val="24"/>
          <w:szCs w:val="24"/>
          <w:lang w:val="en-US"/>
        </w:rPr>
        <w:t xml:space="preserve"> reported balances ($1,497,922) in account 1595 under 2015 Board-Approved Disposition during 2015. Please provide explanation for this balance.</w:t>
      </w:r>
    </w:p>
    <w:p w14:paraId="4B0A2767" w14:textId="77777777" w:rsidR="00C076A6" w:rsidRDefault="00C076A6" w:rsidP="00923824">
      <w:pPr>
        <w:rPr>
          <w:rFonts w:ascii="Arial" w:hAnsi="Arial" w:cs="Arial"/>
          <w:sz w:val="24"/>
          <w:szCs w:val="24"/>
        </w:rPr>
      </w:pPr>
    </w:p>
    <w:p w14:paraId="5F9667D1" w14:textId="77777777" w:rsidR="00C076A6" w:rsidRDefault="00C076A6" w:rsidP="00923824">
      <w:pPr>
        <w:rPr>
          <w:rFonts w:ascii="Arial" w:hAnsi="Arial" w:cs="Arial"/>
          <w:sz w:val="24"/>
          <w:szCs w:val="24"/>
        </w:rPr>
      </w:pPr>
      <w:r>
        <w:rPr>
          <w:noProof/>
          <w:lang w:eastAsia="en-CA"/>
        </w:rPr>
        <w:drawing>
          <wp:inline distT="0" distB="0" distL="0" distR="0" wp14:anchorId="52254177" wp14:editId="7A4D62D8">
            <wp:extent cx="5943600" cy="2640330"/>
            <wp:effectExtent l="19050" t="19050" r="1905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640330"/>
                    </a:xfrm>
                    <a:prstGeom prst="rect">
                      <a:avLst/>
                    </a:prstGeom>
                    <a:ln>
                      <a:solidFill>
                        <a:schemeClr val="tx1"/>
                      </a:solidFill>
                    </a:ln>
                  </pic:spPr>
                </pic:pic>
              </a:graphicData>
            </a:graphic>
          </wp:inline>
        </w:drawing>
      </w:r>
    </w:p>
    <w:p w14:paraId="45E3661A" w14:textId="77777777" w:rsidR="00C45B62" w:rsidRPr="00C45B62" w:rsidRDefault="00C45B62" w:rsidP="00C45B62">
      <w:pPr>
        <w:rPr>
          <w:rFonts w:ascii="Arial" w:hAnsi="Arial" w:cs="Arial"/>
          <w:color w:val="0070C0"/>
          <w:sz w:val="24"/>
          <w:szCs w:val="24"/>
        </w:rPr>
      </w:pPr>
      <w:r w:rsidRPr="00C45B62">
        <w:rPr>
          <w:rFonts w:ascii="Arial" w:hAnsi="Arial" w:cs="Arial"/>
          <w:b/>
          <w:color w:val="0070C0"/>
          <w:sz w:val="24"/>
          <w:szCs w:val="24"/>
        </w:rPr>
        <w:t>RESPONSE</w:t>
      </w:r>
    </w:p>
    <w:p w14:paraId="318D0E46" w14:textId="44C4C406" w:rsidR="0012657D" w:rsidRDefault="0012657D" w:rsidP="00AA4C8A">
      <w:pPr>
        <w:jc w:val="both"/>
        <w:rPr>
          <w:rFonts w:ascii="Arial" w:hAnsi="Arial" w:cs="Arial"/>
          <w:color w:val="0070C0"/>
          <w:sz w:val="24"/>
          <w:szCs w:val="24"/>
        </w:rPr>
      </w:pPr>
      <w:r w:rsidRPr="0012657D">
        <w:rPr>
          <w:rFonts w:ascii="Arial" w:hAnsi="Arial" w:cs="Arial"/>
          <w:color w:val="0070C0"/>
          <w:sz w:val="24"/>
          <w:szCs w:val="24"/>
        </w:rPr>
        <w:t xml:space="preserve">The balance of ($1,497,922) represents the disposition of </w:t>
      </w:r>
      <w:r w:rsidR="003C7CC3">
        <w:rPr>
          <w:rFonts w:ascii="Arial" w:hAnsi="Arial" w:cs="Arial"/>
          <w:color w:val="0070C0"/>
          <w:sz w:val="24"/>
          <w:szCs w:val="24"/>
        </w:rPr>
        <w:t>G</w:t>
      </w:r>
      <w:r w:rsidRPr="0012657D">
        <w:rPr>
          <w:rFonts w:ascii="Arial" w:hAnsi="Arial" w:cs="Arial"/>
          <w:color w:val="0070C0"/>
          <w:sz w:val="24"/>
          <w:szCs w:val="24"/>
        </w:rPr>
        <w:t>roup 1 deferral and variance account balances for the period ending 2013</w:t>
      </w:r>
      <w:r w:rsidR="0068189C">
        <w:rPr>
          <w:rFonts w:ascii="Arial" w:hAnsi="Arial" w:cs="Arial"/>
          <w:color w:val="0070C0"/>
          <w:sz w:val="24"/>
          <w:szCs w:val="24"/>
        </w:rPr>
        <w:t>, approved in 2015</w:t>
      </w:r>
      <w:r w:rsidRPr="0012657D">
        <w:rPr>
          <w:rFonts w:ascii="Arial" w:hAnsi="Arial" w:cs="Arial"/>
          <w:color w:val="0070C0"/>
          <w:sz w:val="24"/>
          <w:szCs w:val="24"/>
        </w:rPr>
        <w:t xml:space="preserve">.  A copy of the approved </w:t>
      </w:r>
      <w:r w:rsidR="006764B2">
        <w:rPr>
          <w:rFonts w:ascii="Arial" w:hAnsi="Arial" w:cs="Arial"/>
          <w:color w:val="0070C0"/>
          <w:sz w:val="24"/>
          <w:szCs w:val="24"/>
        </w:rPr>
        <w:t xml:space="preserve">account balances for disposition from the </w:t>
      </w:r>
      <w:r w:rsidR="00AF165C">
        <w:rPr>
          <w:rFonts w:ascii="Arial" w:hAnsi="Arial" w:cs="Arial"/>
          <w:color w:val="0070C0"/>
          <w:sz w:val="24"/>
          <w:szCs w:val="24"/>
        </w:rPr>
        <w:t>Decision and Order</w:t>
      </w:r>
      <w:r w:rsidR="00296882">
        <w:rPr>
          <w:rFonts w:ascii="Arial" w:hAnsi="Arial" w:cs="Arial"/>
          <w:color w:val="0070C0"/>
          <w:sz w:val="24"/>
          <w:szCs w:val="24"/>
        </w:rPr>
        <w:t xml:space="preserve"> </w:t>
      </w:r>
      <w:r w:rsidR="006764B2">
        <w:rPr>
          <w:rFonts w:ascii="Arial" w:hAnsi="Arial" w:cs="Arial"/>
          <w:color w:val="0070C0"/>
          <w:sz w:val="24"/>
          <w:szCs w:val="24"/>
        </w:rPr>
        <w:t>of</w:t>
      </w:r>
      <w:r w:rsidR="00AF165C" w:rsidRPr="0012657D">
        <w:rPr>
          <w:rFonts w:ascii="Arial" w:hAnsi="Arial" w:cs="Arial"/>
          <w:color w:val="0070C0"/>
          <w:sz w:val="24"/>
          <w:szCs w:val="24"/>
        </w:rPr>
        <w:t xml:space="preserve"> </w:t>
      </w:r>
      <w:r w:rsidRPr="0012657D">
        <w:rPr>
          <w:rFonts w:ascii="Arial" w:hAnsi="Arial" w:cs="Arial"/>
          <w:color w:val="0070C0"/>
          <w:sz w:val="24"/>
          <w:szCs w:val="24"/>
        </w:rPr>
        <w:t xml:space="preserve">EB-2014-0069 is provided </w:t>
      </w:r>
      <w:r>
        <w:rPr>
          <w:rFonts w:ascii="Arial" w:hAnsi="Arial" w:cs="Arial"/>
          <w:color w:val="0070C0"/>
          <w:sz w:val="24"/>
          <w:szCs w:val="24"/>
        </w:rPr>
        <w:t xml:space="preserve">below </w:t>
      </w:r>
      <w:r w:rsidRPr="0012657D">
        <w:rPr>
          <w:rFonts w:ascii="Arial" w:hAnsi="Arial" w:cs="Arial"/>
          <w:color w:val="0070C0"/>
          <w:sz w:val="24"/>
          <w:szCs w:val="24"/>
        </w:rPr>
        <w:t>w</w:t>
      </w:r>
      <w:r>
        <w:rPr>
          <w:rFonts w:ascii="Arial" w:hAnsi="Arial" w:cs="Arial"/>
          <w:color w:val="0070C0"/>
          <w:sz w:val="24"/>
          <w:szCs w:val="24"/>
        </w:rPr>
        <w:t>hich</w:t>
      </w:r>
      <w:r w:rsidRPr="0012657D">
        <w:rPr>
          <w:rFonts w:ascii="Arial" w:hAnsi="Arial" w:cs="Arial"/>
          <w:color w:val="0070C0"/>
          <w:sz w:val="24"/>
          <w:szCs w:val="24"/>
        </w:rPr>
        <w:t xml:space="preserve"> includes the details for the balance.</w:t>
      </w:r>
      <w:r w:rsidR="0068189C">
        <w:rPr>
          <w:rFonts w:ascii="Arial" w:hAnsi="Arial" w:cs="Arial"/>
          <w:color w:val="0070C0"/>
          <w:sz w:val="24"/>
          <w:szCs w:val="24"/>
        </w:rPr>
        <w:t xml:space="preserve">  The balance and interest is added as OEB-Approved Disposition during 2015, the interest columns are used for calculated interest.</w:t>
      </w:r>
    </w:p>
    <w:p w14:paraId="7C5FE4D7" w14:textId="64419C61" w:rsidR="000F7DC3" w:rsidRDefault="0012657D">
      <w:pPr>
        <w:rPr>
          <w:rFonts w:ascii="Arial" w:hAnsi="Arial" w:cs="Arial"/>
          <w:b/>
          <w:sz w:val="24"/>
          <w:szCs w:val="24"/>
        </w:rPr>
      </w:pPr>
      <w:r>
        <w:rPr>
          <w:noProof/>
          <w:lang w:eastAsia="en-CA"/>
        </w:rPr>
        <w:lastRenderedPageBreak/>
        <w:drawing>
          <wp:inline distT="0" distB="0" distL="0" distR="0" wp14:anchorId="44191393" wp14:editId="011969BA">
            <wp:extent cx="5943600" cy="3685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685540"/>
                    </a:xfrm>
                    <a:prstGeom prst="rect">
                      <a:avLst/>
                    </a:prstGeom>
                  </pic:spPr>
                </pic:pic>
              </a:graphicData>
            </a:graphic>
          </wp:inline>
        </w:drawing>
      </w:r>
      <w:r w:rsidR="000F7DC3">
        <w:rPr>
          <w:rFonts w:ascii="Arial" w:hAnsi="Arial" w:cs="Arial"/>
          <w:b/>
          <w:sz w:val="24"/>
          <w:szCs w:val="24"/>
        </w:rPr>
        <w:br w:type="page"/>
      </w:r>
    </w:p>
    <w:p w14:paraId="05DB0F3C" w14:textId="77777777" w:rsidR="000F7DC3" w:rsidRDefault="000F7DC3" w:rsidP="00976380">
      <w:pPr>
        <w:spacing w:after="0"/>
        <w:rPr>
          <w:rFonts w:ascii="Arial" w:hAnsi="Arial" w:cs="Arial"/>
          <w:b/>
          <w:sz w:val="24"/>
          <w:szCs w:val="24"/>
        </w:rPr>
      </w:pPr>
    </w:p>
    <w:p w14:paraId="2D986B61" w14:textId="77777777" w:rsidR="00CF58A8" w:rsidRDefault="00C44738" w:rsidP="00976380">
      <w:pPr>
        <w:spacing w:after="0"/>
        <w:rPr>
          <w:rFonts w:ascii="Arial" w:hAnsi="Arial" w:cs="Arial"/>
          <w:b/>
          <w:sz w:val="24"/>
          <w:szCs w:val="24"/>
        </w:rPr>
      </w:pPr>
      <w:r>
        <w:rPr>
          <w:rFonts w:ascii="Arial" w:hAnsi="Arial" w:cs="Arial"/>
          <w:b/>
          <w:sz w:val="24"/>
          <w:szCs w:val="24"/>
        </w:rPr>
        <w:t>Question #4</w:t>
      </w:r>
    </w:p>
    <w:p w14:paraId="4B5C3CD5" w14:textId="77777777" w:rsidR="00113DB8" w:rsidRDefault="00113DB8" w:rsidP="00976380">
      <w:pPr>
        <w:spacing w:after="0"/>
        <w:rPr>
          <w:rFonts w:ascii="Arial" w:hAnsi="Arial" w:cs="Arial"/>
          <w:b/>
          <w:sz w:val="24"/>
          <w:szCs w:val="24"/>
        </w:rPr>
      </w:pPr>
      <w:r>
        <w:rPr>
          <w:rFonts w:ascii="Arial" w:hAnsi="Arial" w:cs="Arial"/>
          <w:b/>
          <w:sz w:val="24"/>
          <w:szCs w:val="24"/>
        </w:rPr>
        <w:t>Ref</w:t>
      </w:r>
      <w:r w:rsidR="006D288F">
        <w:rPr>
          <w:rFonts w:ascii="Arial" w:hAnsi="Arial" w:cs="Arial"/>
          <w:b/>
          <w:sz w:val="24"/>
          <w:szCs w:val="24"/>
        </w:rPr>
        <w:t>erence</w:t>
      </w:r>
      <w:r>
        <w:rPr>
          <w:rFonts w:ascii="Arial" w:hAnsi="Arial" w:cs="Arial"/>
          <w:b/>
          <w:sz w:val="24"/>
          <w:szCs w:val="24"/>
        </w:rPr>
        <w:t xml:space="preserve">: Gross Billing, </w:t>
      </w:r>
      <w:r w:rsidR="001C4140">
        <w:rPr>
          <w:rFonts w:ascii="Arial" w:hAnsi="Arial" w:cs="Arial"/>
          <w:b/>
          <w:sz w:val="24"/>
          <w:szCs w:val="24"/>
        </w:rPr>
        <w:t xml:space="preserve">Retail Transmission Rate Determination, </w:t>
      </w:r>
      <w:r>
        <w:rPr>
          <w:rFonts w:ascii="Arial" w:hAnsi="Arial" w:cs="Arial"/>
          <w:b/>
          <w:sz w:val="24"/>
          <w:szCs w:val="24"/>
        </w:rPr>
        <w:t>page 13</w:t>
      </w:r>
    </w:p>
    <w:p w14:paraId="2C9693FE" w14:textId="77777777" w:rsidR="00113DB8" w:rsidRDefault="00113DB8" w:rsidP="00976380">
      <w:pPr>
        <w:spacing w:after="0"/>
        <w:rPr>
          <w:rFonts w:ascii="Arial" w:hAnsi="Arial" w:cs="Arial"/>
          <w:b/>
          <w:sz w:val="24"/>
          <w:szCs w:val="24"/>
        </w:rPr>
      </w:pPr>
    </w:p>
    <w:p w14:paraId="27B83E3B" w14:textId="687C938E" w:rsidR="00113DB8" w:rsidRPr="00113DB8" w:rsidRDefault="00113DB8" w:rsidP="00976380">
      <w:pPr>
        <w:spacing w:after="0"/>
        <w:rPr>
          <w:rFonts w:ascii="Arial" w:hAnsi="Arial" w:cs="Arial"/>
          <w:sz w:val="24"/>
          <w:szCs w:val="24"/>
        </w:rPr>
      </w:pPr>
      <w:r>
        <w:rPr>
          <w:rFonts w:ascii="Arial" w:hAnsi="Arial" w:cs="Arial"/>
          <w:sz w:val="24"/>
          <w:szCs w:val="24"/>
        </w:rPr>
        <w:t>In its Manager</w:t>
      </w:r>
      <w:r w:rsidR="007D4194">
        <w:rPr>
          <w:rFonts w:ascii="Arial" w:hAnsi="Arial" w:cs="Arial"/>
          <w:sz w:val="24"/>
          <w:szCs w:val="24"/>
        </w:rPr>
        <w:t>s</w:t>
      </w:r>
      <w:r>
        <w:rPr>
          <w:rFonts w:ascii="Arial" w:hAnsi="Arial" w:cs="Arial"/>
          <w:sz w:val="24"/>
          <w:szCs w:val="24"/>
        </w:rPr>
        <w:t xml:space="preserve"> S</w:t>
      </w:r>
      <w:r w:rsidRPr="00113DB8">
        <w:rPr>
          <w:rFonts w:ascii="Arial" w:hAnsi="Arial" w:cs="Arial"/>
          <w:sz w:val="24"/>
          <w:szCs w:val="24"/>
        </w:rPr>
        <w:t xml:space="preserve">ummary, </w:t>
      </w:r>
      <w:r w:rsidR="005C518C" w:rsidRPr="005C518C">
        <w:rPr>
          <w:rFonts w:ascii="Arial" w:hAnsi="Arial" w:cs="Arial"/>
          <w:i/>
          <w:sz w:val="24"/>
          <w:szCs w:val="24"/>
        </w:rPr>
        <w:t>ENWIN</w:t>
      </w:r>
      <w:r w:rsidR="007D4194">
        <w:rPr>
          <w:rFonts w:ascii="Arial" w:hAnsi="Arial" w:cs="Arial"/>
          <w:sz w:val="24"/>
          <w:szCs w:val="24"/>
        </w:rPr>
        <w:t xml:space="preserve"> Utilities</w:t>
      </w:r>
      <w:r w:rsidRPr="00113DB8">
        <w:rPr>
          <w:rFonts w:ascii="Arial" w:hAnsi="Arial" w:cs="Arial"/>
          <w:sz w:val="24"/>
          <w:szCs w:val="24"/>
        </w:rPr>
        <w:t xml:space="preserve"> requested that a note be added on the final approved Tariff of Rates and Charges to each customer class to the Retail Transmission Rate – Line and Transfo</w:t>
      </w:r>
      <w:r w:rsidR="001C4140">
        <w:rPr>
          <w:rFonts w:ascii="Arial" w:hAnsi="Arial" w:cs="Arial"/>
          <w:sz w:val="24"/>
          <w:szCs w:val="24"/>
        </w:rPr>
        <w:t>rmation Connection Service Rate in order to provide for gross load billing related to Eligible Load Displacement Generation.</w:t>
      </w:r>
    </w:p>
    <w:p w14:paraId="13ED8613" w14:textId="77777777" w:rsidR="00CA7201" w:rsidRDefault="00CA7201" w:rsidP="00285AC4">
      <w:pPr>
        <w:pStyle w:val="ListParagraph"/>
        <w:spacing w:after="0"/>
        <w:rPr>
          <w:rFonts w:ascii="Arial" w:hAnsi="Arial" w:cs="Arial"/>
          <w:sz w:val="24"/>
          <w:szCs w:val="24"/>
        </w:rPr>
      </w:pPr>
    </w:p>
    <w:p w14:paraId="1A3D3164" w14:textId="39910ECF" w:rsidR="001C4140" w:rsidRDefault="001C4140" w:rsidP="00EB5B64">
      <w:pPr>
        <w:pStyle w:val="ListParagraph"/>
        <w:numPr>
          <w:ilvl w:val="0"/>
          <w:numId w:val="2"/>
        </w:numPr>
        <w:spacing w:after="0"/>
        <w:rPr>
          <w:rFonts w:ascii="Arial" w:hAnsi="Arial" w:cs="Arial"/>
          <w:sz w:val="24"/>
          <w:szCs w:val="24"/>
        </w:rPr>
      </w:pPr>
      <w:r>
        <w:rPr>
          <w:rFonts w:ascii="Arial" w:hAnsi="Arial" w:cs="Arial"/>
          <w:sz w:val="24"/>
          <w:szCs w:val="24"/>
        </w:rPr>
        <w:t xml:space="preserve">Please provide a detailed explanation of </w:t>
      </w:r>
      <w:r w:rsidR="005C518C" w:rsidRPr="005C518C">
        <w:rPr>
          <w:rFonts w:ascii="Arial" w:hAnsi="Arial" w:cs="Arial"/>
          <w:i/>
          <w:sz w:val="24"/>
          <w:szCs w:val="24"/>
        </w:rPr>
        <w:t>ENWIN</w:t>
      </w:r>
      <w:r w:rsidR="007D4194">
        <w:rPr>
          <w:rFonts w:ascii="Arial" w:hAnsi="Arial" w:cs="Arial"/>
          <w:sz w:val="24"/>
          <w:szCs w:val="24"/>
        </w:rPr>
        <w:t xml:space="preserve"> Utilities’</w:t>
      </w:r>
      <w:r>
        <w:rPr>
          <w:rFonts w:ascii="Arial" w:hAnsi="Arial" w:cs="Arial"/>
          <w:sz w:val="24"/>
          <w:szCs w:val="24"/>
        </w:rPr>
        <w:t xml:space="preserve"> reasons for proposing gross load billing related to Eligible Load Displacement Generation including the rate impacts if any on this proposal on the affected customer groups, as well as any effects on any other customers.</w:t>
      </w:r>
    </w:p>
    <w:p w14:paraId="389C7C6E" w14:textId="77777777" w:rsidR="00CA7201" w:rsidRPr="00285AC4" w:rsidRDefault="00CA7201" w:rsidP="00285AC4">
      <w:pPr>
        <w:pStyle w:val="ListParagraph"/>
        <w:rPr>
          <w:rFonts w:ascii="Arial" w:hAnsi="Arial" w:cs="Arial"/>
          <w:sz w:val="24"/>
          <w:szCs w:val="24"/>
        </w:rPr>
      </w:pPr>
    </w:p>
    <w:p w14:paraId="665E5D27" w14:textId="7EEB2BA7" w:rsidR="00CA7201" w:rsidRDefault="00CA7201" w:rsidP="00EB5B64">
      <w:pPr>
        <w:pStyle w:val="ListParagraph"/>
        <w:numPr>
          <w:ilvl w:val="0"/>
          <w:numId w:val="2"/>
        </w:numPr>
        <w:spacing w:after="0"/>
        <w:rPr>
          <w:rFonts w:ascii="Arial" w:hAnsi="Arial" w:cs="Arial"/>
          <w:sz w:val="24"/>
          <w:szCs w:val="24"/>
        </w:rPr>
      </w:pPr>
      <w:r>
        <w:rPr>
          <w:rFonts w:ascii="Arial" w:hAnsi="Arial" w:cs="Arial"/>
          <w:sz w:val="24"/>
          <w:szCs w:val="24"/>
        </w:rPr>
        <w:t>Please state the specific OEB policies on which this requ</w:t>
      </w:r>
      <w:r w:rsidR="005E3604">
        <w:rPr>
          <w:rFonts w:ascii="Arial" w:hAnsi="Arial" w:cs="Arial"/>
          <w:sz w:val="24"/>
          <w:szCs w:val="24"/>
        </w:rPr>
        <w:t>e</w:t>
      </w:r>
      <w:r>
        <w:rPr>
          <w:rFonts w:ascii="Arial" w:hAnsi="Arial" w:cs="Arial"/>
          <w:sz w:val="24"/>
          <w:szCs w:val="24"/>
        </w:rPr>
        <w:t>s</w:t>
      </w:r>
      <w:r w:rsidR="005E3604">
        <w:rPr>
          <w:rFonts w:ascii="Arial" w:hAnsi="Arial" w:cs="Arial"/>
          <w:sz w:val="24"/>
          <w:szCs w:val="24"/>
        </w:rPr>
        <w:t>t</w:t>
      </w:r>
      <w:r>
        <w:rPr>
          <w:rFonts w:ascii="Arial" w:hAnsi="Arial" w:cs="Arial"/>
          <w:sz w:val="24"/>
          <w:szCs w:val="24"/>
        </w:rPr>
        <w:t xml:space="preserve"> is based.</w:t>
      </w:r>
    </w:p>
    <w:p w14:paraId="4D288F2A" w14:textId="77777777" w:rsidR="005E3604" w:rsidRPr="00285AC4" w:rsidRDefault="005E3604" w:rsidP="00285AC4">
      <w:pPr>
        <w:spacing w:after="0"/>
        <w:rPr>
          <w:rFonts w:ascii="Arial" w:hAnsi="Arial" w:cs="Arial"/>
          <w:sz w:val="24"/>
          <w:szCs w:val="24"/>
        </w:rPr>
      </w:pPr>
    </w:p>
    <w:p w14:paraId="28090A9D" w14:textId="3977B0A0" w:rsidR="005E3604" w:rsidRDefault="005E3604" w:rsidP="00EB5B64">
      <w:pPr>
        <w:pStyle w:val="ListParagraph"/>
        <w:numPr>
          <w:ilvl w:val="0"/>
          <w:numId w:val="2"/>
        </w:numPr>
        <w:spacing w:after="0"/>
        <w:rPr>
          <w:rFonts w:ascii="Arial" w:hAnsi="Arial" w:cs="Arial"/>
          <w:sz w:val="24"/>
          <w:szCs w:val="24"/>
        </w:rPr>
      </w:pPr>
      <w:r>
        <w:rPr>
          <w:rFonts w:ascii="Arial" w:hAnsi="Arial" w:cs="Arial"/>
          <w:sz w:val="24"/>
          <w:szCs w:val="24"/>
        </w:rPr>
        <w:t xml:space="preserve">In prior years how has </w:t>
      </w:r>
      <w:r w:rsidR="005C518C" w:rsidRPr="005C518C">
        <w:rPr>
          <w:rFonts w:ascii="Arial" w:hAnsi="Arial" w:cs="Arial"/>
          <w:i/>
          <w:sz w:val="24"/>
          <w:szCs w:val="24"/>
        </w:rPr>
        <w:t>ENWIN</w:t>
      </w:r>
      <w:r>
        <w:rPr>
          <w:rFonts w:ascii="Arial" w:hAnsi="Arial" w:cs="Arial"/>
          <w:sz w:val="24"/>
          <w:szCs w:val="24"/>
        </w:rPr>
        <w:t xml:space="preserve"> Utilities billed load displacement generators for </w:t>
      </w:r>
      <w:r w:rsidRPr="00113DB8">
        <w:rPr>
          <w:rFonts w:ascii="Arial" w:hAnsi="Arial" w:cs="Arial"/>
          <w:sz w:val="24"/>
          <w:szCs w:val="24"/>
        </w:rPr>
        <w:t>– Line and Transfo</w:t>
      </w:r>
      <w:r>
        <w:rPr>
          <w:rFonts w:ascii="Arial" w:hAnsi="Arial" w:cs="Arial"/>
          <w:sz w:val="24"/>
          <w:szCs w:val="24"/>
        </w:rPr>
        <w:t xml:space="preserve">rmation Connection </w:t>
      </w:r>
      <w:proofErr w:type="gramStart"/>
      <w:r>
        <w:rPr>
          <w:rFonts w:ascii="Arial" w:hAnsi="Arial" w:cs="Arial"/>
          <w:sz w:val="24"/>
          <w:szCs w:val="24"/>
        </w:rPr>
        <w:t>Service.</w:t>
      </w:r>
      <w:proofErr w:type="gramEnd"/>
    </w:p>
    <w:p w14:paraId="7DE8E007" w14:textId="77777777" w:rsidR="001C4140" w:rsidRPr="001C4140" w:rsidRDefault="001C4140" w:rsidP="001C4140">
      <w:pPr>
        <w:spacing w:after="0"/>
        <w:rPr>
          <w:rFonts w:ascii="Arial" w:hAnsi="Arial" w:cs="Arial"/>
          <w:sz w:val="24"/>
          <w:szCs w:val="24"/>
        </w:rPr>
      </w:pPr>
    </w:p>
    <w:p w14:paraId="69E7792E" w14:textId="3874E76F" w:rsidR="001C4140" w:rsidRDefault="00113DB8" w:rsidP="00EB5B64">
      <w:pPr>
        <w:pStyle w:val="ListParagraph"/>
        <w:numPr>
          <w:ilvl w:val="0"/>
          <w:numId w:val="2"/>
        </w:numPr>
        <w:spacing w:after="0"/>
        <w:rPr>
          <w:rFonts w:ascii="Arial" w:hAnsi="Arial" w:cs="Arial"/>
          <w:sz w:val="24"/>
          <w:szCs w:val="24"/>
        </w:rPr>
      </w:pPr>
      <w:r w:rsidRPr="00113DB8">
        <w:rPr>
          <w:rFonts w:ascii="Arial" w:hAnsi="Arial" w:cs="Arial"/>
          <w:sz w:val="24"/>
          <w:szCs w:val="24"/>
        </w:rPr>
        <w:t xml:space="preserve">Please </w:t>
      </w:r>
      <w:r w:rsidR="001C4140">
        <w:rPr>
          <w:rFonts w:ascii="Arial" w:hAnsi="Arial" w:cs="Arial"/>
          <w:sz w:val="24"/>
          <w:szCs w:val="24"/>
        </w:rPr>
        <w:t xml:space="preserve">state whether </w:t>
      </w:r>
      <w:r w:rsidR="005C518C" w:rsidRPr="005C518C">
        <w:rPr>
          <w:rFonts w:ascii="Arial" w:hAnsi="Arial" w:cs="Arial"/>
          <w:i/>
          <w:sz w:val="24"/>
          <w:szCs w:val="24"/>
        </w:rPr>
        <w:t>ENWIN</w:t>
      </w:r>
      <w:r w:rsidR="001C4140">
        <w:rPr>
          <w:rFonts w:ascii="Arial" w:hAnsi="Arial" w:cs="Arial"/>
          <w:sz w:val="24"/>
          <w:szCs w:val="24"/>
        </w:rPr>
        <w:t xml:space="preserve"> </w:t>
      </w:r>
      <w:r w:rsidR="007D4194">
        <w:rPr>
          <w:rFonts w:ascii="Arial" w:hAnsi="Arial" w:cs="Arial"/>
          <w:sz w:val="24"/>
          <w:szCs w:val="24"/>
        </w:rPr>
        <w:t xml:space="preserve">Utilities </w:t>
      </w:r>
      <w:r w:rsidR="001C4140">
        <w:rPr>
          <w:rFonts w:ascii="Arial" w:hAnsi="Arial" w:cs="Arial"/>
          <w:sz w:val="24"/>
          <w:szCs w:val="24"/>
        </w:rPr>
        <w:t>has discussed this proposed change with the affected customers and if so what the results of this discussion were.  If not, please explain why.</w:t>
      </w:r>
    </w:p>
    <w:p w14:paraId="7020D7AA" w14:textId="77777777" w:rsidR="001C4140" w:rsidRPr="001C4140" w:rsidRDefault="001C4140" w:rsidP="001C4140">
      <w:pPr>
        <w:pStyle w:val="ListParagraph"/>
        <w:rPr>
          <w:rFonts w:ascii="Arial" w:hAnsi="Arial" w:cs="Arial"/>
          <w:sz w:val="24"/>
          <w:szCs w:val="24"/>
        </w:rPr>
      </w:pPr>
    </w:p>
    <w:p w14:paraId="36FE7B8F" w14:textId="4D4C8D0C" w:rsidR="00113DB8" w:rsidRPr="001C4140" w:rsidRDefault="001C4140" w:rsidP="00EB5B64">
      <w:pPr>
        <w:pStyle w:val="ListParagraph"/>
        <w:numPr>
          <w:ilvl w:val="0"/>
          <w:numId w:val="2"/>
        </w:numPr>
        <w:spacing w:after="0"/>
        <w:rPr>
          <w:rFonts w:ascii="Arial" w:hAnsi="Arial" w:cs="Arial"/>
          <w:sz w:val="24"/>
          <w:szCs w:val="24"/>
        </w:rPr>
      </w:pPr>
      <w:r>
        <w:rPr>
          <w:rFonts w:ascii="Arial" w:hAnsi="Arial" w:cs="Arial"/>
          <w:sz w:val="24"/>
          <w:szCs w:val="24"/>
        </w:rPr>
        <w:t>Please p</w:t>
      </w:r>
      <w:r w:rsidR="00113DB8" w:rsidRPr="001C4140">
        <w:rPr>
          <w:rFonts w:ascii="Arial" w:hAnsi="Arial" w:cs="Arial"/>
          <w:sz w:val="24"/>
          <w:szCs w:val="24"/>
        </w:rPr>
        <w:t xml:space="preserve">rovide </w:t>
      </w:r>
      <w:r w:rsidR="004C5337">
        <w:rPr>
          <w:rFonts w:ascii="Arial" w:hAnsi="Arial" w:cs="Arial"/>
          <w:sz w:val="24"/>
          <w:szCs w:val="24"/>
        </w:rPr>
        <w:t>further</w:t>
      </w:r>
      <w:r w:rsidR="00113DB8" w:rsidRPr="001C4140">
        <w:rPr>
          <w:rFonts w:ascii="Arial" w:hAnsi="Arial" w:cs="Arial"/>
          <w:sz w:val="24"/>
          <w:szCs w:val="24"/>
        </w:rPr>
        <w:t xml:space="preserve"> explanation </w:t>
      </w:r>
      <w:r w:rsidR="004C5337">
        <w:rPr>
          <w:rFonts w:ascii="Arial" w:hAnsi="Arial" w:cs="Arial"/>
          <w:sz w:val="24"/>
          <w:szCs w:val="24"/>
        </w:rPr>
        <w:t>regarding</w:t>
      </w:r>
      <w:r w:rsidR="00113DB8" w:rsidRPr="001C4140">
        <w:rPr>
          <w:rFonts w:ascii="Arial" w:hAnsi="Arial" w:cs="Arial"/>
          <w:sz w:val="24"/>
          <w:szCs w:val="24"/>
        </w:rPr>
        <w:t xml:space="preserve"> the wording that </w:t>
      </w:r>
      <w:r w:rsidR="005C518C" w:rsidRPr="005C518C">
        <w:rPr>
          <w:rFonts w:ascii="Arial" w:hAnsi="Arial" w:cs="Arial"/>
          <w:i/>
          <w:sz w:val="24"/>
          <w:szCs w:val="24"/>
        </w:rPr>
        <w:t>ENWIN</w:t>
      </w:r>
      <w:r w:rsidR="007D4194">
        <w:rPr>
          <w:rFonts w:ascii="Arial" w:hAnsi="Arial" w:cs="Arial"/>
          <w:sz w:val="24"/>
          <w:szCs w:val="24"/>
        </w:rPr>
        <w:t xml:space="preserve"> Utilities</w:t>
      </w:r>
      <w:r w:rsidR="00113DB8" w:rsidRPr="001C4140">
        <w:rPr>
          <w:rFonts w:ascii="Arial" w:hAnsi="Arial" w:cs="Arial"/>
          <w:sz w:val="24"/>
          <w:szCs w:val="24"/>
        </w:rPr>
        <w:t xml:space="preserve"> is proposing for the note.  </w:t>
      </w:r>
    </w:p>
    <w:p w14:paraId="5BD6FEE1" w14:textId="77777777" w:rsidR="00113DB8" w:rsidRPr="00113DB8" w:rsidRDefault="00113DB8" w:rsidP="00976380">
      <w:pPr>
        <w:spacing w:after="0"/>
        <w:rPr>
          <w:rFonts w:ascii="Arial" w:hAnsi="Arial" w:cs="Arial"/>
          <w:sz w:val="24"/>
          <w:szCs w:val="24"/>
        </w:rPr>
      </w:pPr>
    </w:p>
    <w:p w14:paraId="61FCE716" w14:textId="0336051A" w:rsidR="00113DB8" w:rsidRDefault="00113DB8" w:rsidP="00EB5B64">
      <w:pPr>
        <w:pStyle w:val="ListParagraph"/>
        <w:numPr>
          <w:ilvl w:val="0"/>
          <w:numId w:val="2"/>
        </w:numPr>
        <w:spacing w:after="0"/>
        <w:rPr>
          <w:rFonts w:ascii="Arial" w:hAnsi="Arial" w:cs="Arial"/>
          <w:sz w:val="24"/>
          <w:szCs w:val="24"/>
        </w:rPr>
      </w:pPr>
      <w:r>
        <w:rPr>
          <w:rFonts w:ascii="Arial" w:hAnsi="Arial" w:cs="Arial"/>
          <w:sz w:val="24"/>
          <w:szCs w:val="24"/>
        </w:rPr>
        <w:t xml:space="preserve">Is </w:t>
      </w:r>
      <w:r w:rsidR="005C518C" w:rsidRPr="005C518C">
        <w:rPr>
          <w:rFonts w:ascii="Arial" w:hAnsi="Arial" w:cs="Arial"/>
          <w:i/>
          <w:sz w:val="24"/>
          <w:szCs w:val="24"/>
        </w:rPr>
        <w:t>ENWIN</w:t>
      </w:r>
      <w:r>
        <w:rPr>
          <w:rFonts w:ascii="Arial" w:hAnsi="Arial" w:cs="Arial"/>
          <w:sz w:val="24"/>
          <w:szCs w:val="24"/>
        </w:rPr>
        <w:t xml:space="preserve"> </w:t>
      </w:r>
      <w:r w:rsidR="007D4194">
        <w:rPr>
          <w:rFonts w:ascii="Arial" w:hAnsi="Arial" w:cs="Arial"/>
          <w:sz w:val="24"/>
          <w:szCs w:val="24"/>
        </w:rPr>
        <w:t>Util</w:t>
      </w:r>
      <w:r w:rsidR="00183B76">
        <w:rPr>
          <w:rFonts w:ascii="Arial" w:hAnsi="Arial" w:cs="Arial"/>
          <w:sz w:val="24"/>
          <w:szCs w:val="24"/>
        </w:rPr>
        <w:t>i</w:t>
      </w:r>
      <w:r w:rsidR="007D4194">
        <w:rPr>
          <w:rFonts w:ascii="Arial" w:hAnsi="Arial" w:cs="Arial"/>
          <w:sz w:val="24"/>
          <w:szCs w:val="24"/>
        </w:rPr>
        <w:t xml:space="preserve">ties </w:t>
      </w:r>
      <w:r>
        <w:rPr>
          <w:rFonts w:ascii="Arial" w:hAnsi="Arial" w:cs="Arial"/>
          <w:sz w:val="24"/>
          <w:szCs w:val="24"/>
        </w:rPr>
        <w:t xml:space="preserve">planning to incur </w:t>
      </w:r>
      <w:r w:rsidR="00CA7201">
        <w:rPr>
          <w:rFonts w:ascii="Arial" w:hAnsi="Arial" w:cs="Arial"/>
          <w:sz w:val="24"/>
          <w:szCs w:val="24"/>
        </w:rPr>
        <w:t xml:space="preserve">additional </w:t>
      </w:r>
      <w:r>
        <w:rPr>
          <w:rFonts w:ascii="Arial" w:hAnsi="Arial" w:cs="Arial"/>
          <w:sz w:val="24"/>
          <w:szCs w:val="24"/>
        </w:rPr>
        <w:t>expenses</w:t>
      </w:r>
      <w:r w:rsidR="007425DF">
        <w:rPr>
          <w:rFonts w:ascii="Arial" w:hAnsi="Arial" w:cs="Arial"/>
          <w:sz w:val="24"/>
          <w:szCs w:val="24"/>
        </w:rPr>
        <w:t xml:space="preserve"> </w:t>
      </w:r>
      <w:r w:rsidR="00CA7201">
        <w:rPr>
          <w:rFonts w:ascii="Arial" w:hAnsi="Arial" w:cs="Arial"/>
          <w:sz w:val="24"/>
          <w:szCs w:val="24"/>
        </w:rPr>
        <w:t xml:space="preserve">related to this proposal </w:t>
      </w:r>
      <w:r w:rsidR="007425DF">
        <w:rPr>
          <w:rFonts w:ascii="Arial" w:hAnsi="Arial" w:cs="Arial"/>
          <w:sz w:val="24"/>
          <w:szCs w:val="24"/>
        </w:rPr>
        <w:t>and billing purposes</w:t>
      </w:r>
      <w:r>
        <w:rPr>
          <w:rFonts w:ascii="Arial" w:hAnsi="Arial" w:cs="Arial"/>
          <w:sz w:val="24"/>
          <w:szCs w:val="24"/>
        </w:rPr>
        <w:t xml:space="preserve">, and if so, please provide the </w:t>
      </w:r>
      <w:proofErr w:type="gramStart"/>
      <w:r w:rsidR="00CD169B">
        <w:rPr>
          <w:rFonts w:ascii="Arial" w:hAnsi="Arial" w:cs="Arial"/>
          <w:sz w:val="24"/>
          <w:szCs w:val="24"/>
        </w:rPr>
        <w:t>a</w:t>
      </w:r>
      <w:r>
        <w:rPr>
          <w:rFonts w:ascii="Arial" w:hAnsi="Arial" w:cs="Arial"/>
          <w:sz w:val="24"/>
          <w:szCs w:val="24"/>
        </w:rPr>
        <w:t>mount.</w:t>
      </w:r>
      <w:proofErr w:type="gramEnd"/>
    </w:p>
    <w:p w14:paraId="3E3A1FAB" w14:textId="77777777" w:rsidR="00113DB8" w:rsidRPr="001C4140" w:rsidRDefault="00113DB8" w:rsidP="001C4140">
      <w:pPr>
        <w:spacing w:after="0"/>
        <w:rPr>
          <w:rFonts w:ascii="Arial" w:hAnsi="Arial" w:cs="Arial"/>
          <w:sz w:val="24"/>
          <w:szCs w:val="24"/>
        </w:rPr>
      </w:pPr>
    </w:p>
    <w:p w14:paraId="0E6B9D15" w14:textId="77777777" w:rsidR="00C45B62" w:rsidRPr="00C45B62" w:rsidRDefault="00C45B62" w:rsidP="00C45B62">
      <w:pPr>
        <w:rPr>
          <w:rFonts w:ascii="Arial" w:hAnsi="Arial" w:cs="Arial"/>
          <w:color w:val="0070C0"/>
          <w:sz w:val="24"/>
          <w:szCs w:val="24"/>
        </w:rPr>
      </w:pPr>
      <w:r w:rsidRPr="00C45B62">
        <w:rPr>
          <w:rFonts w:ascii="Arial" w:hAnsi="Arial" w:cs="Arial"/>
          <w:b/>
          <w:color w:val="0070C0"/>
          <w:sz w:val="24"/>
          <w:szCs w:val="24"/>
        </w:rPr>
        <w:t>RESPONSE</w:t>
      </w:r>
    </w:p>
    <w:p w14:paraId="6510A797" w14:textId="473A6B24" w:rsidR="00BC0E1A" w:rsidRDefault="005C518C" w:rsidP="00AA4C8A">
      <w:pPr>
        <w:pStyle w:val="ListParagraph"/>
        <w:numPr>
          <w:ilvl w:val="0"/>
          <w:numId w:val="16"/>
        </w:numPr>
        <w:spacing w:after="0"/>
        <w:jc w:val="both"/>
        <w:rPr>
          <w:rFonts w:ascii="Arial" w:hAnsi="Arial" w:cs="Arial"/>
          <w:color w:val="0070C0"/>
          <w:sz w:val="24"/>
          <w:szCs w:val="24"/>
        </w:rPr>
      </w:pPr>
      <w:r w:rsidRPr="005C518C">
        <w:rPr>
          <w:rFonts w:ascii="Arial" w:hAnsi="Arial" w:cs="Arial"/>
          <w:i/>
          <w:color w:val="0070C0"/>
          <w:sz w:val="24"/>
          <w:szCs w:val="24"/>
        </w:rPr>
        <w:t>ENWIN</w:t>
      </w:r>
      <w:r w:rsidR="00BC0E1A">
        <w:rPr>
          <w:rFonts w:ascii="Arial" w:hAnsi="Arial" w:cs="Arial"/>
          <w:color w:val="0070C0"/>
          <w:sz w:val="24"/>
          <w:szCs w:val="24"/>
        </w:rPr>
        <w:t xml:space="preserve">’s </w:t>
      </w:r>
      <w:r w:rsidR="002D6E73">
        <w:rPr>
          <w:rFonts w:ascii="Arial" w:hAnsi="Arial" w:cs="Arial"/>
          <w:color w:val="0070C0"/>
          <w:sz w:val="24"/>
          <w:szCs w:val="24"/>
        </w:rPr>
        <w:t xml:space="preserve">proposal for </w:t>
      </w:r>
      <w:r w:rsidR="00BC0E1A">
        <w:rPr>
          <w:rFonts w:ascii="Arial" w:hAnsi="Arial" w:cs="Arial"/>
          <w:color w:val="0070C0"/>
          <w:sz w:val="24"/>
          <w:szCs w:val="24"/>
        </w:rPr>
        <w:t xml:space="preserve">gross load billing </w:t>
      </w:r>
      <w:r w:rsidR="00EC41B6">
        <w:rPr>
          <w:rFonts w:ascii="Arial" w:hAnsi="Arial" w:cs="Arial"/>
          <w:color w:val="0070C0"/>
          <w:sz w:val="24"/>
          <w:szCs w:val="24"/>
        </w:rPr>
        <w:t>o</w:t>
      </w:r>
      <w:r w:rsidR="001F44D1">
        <w:rPr>
          <w:rFonts w:ascii="Arial" w:hAnsi="Arial" w:cs="Arial"/>
          <w:color w:val="0070C0"/>
          <w:sz w:val="24"/>
          <w:szCs w:val="24"/>
        </w:rPr>
        <w:t xml:space="preserve">f </w:t>
      </w:r>
      <w:r w:rsidR="001F44D1" w:rsidRPr="00EC41B6">
        <w:rPr>
          <w:rFonts w:ascii="Arial" w:hAnsi="Arial" w:cs="Arial"/>
          <w:color w:val="0070C0"/>
          <w:sz w:val="24"/>
          <w:szCs w:val="24"/>
        </w:rPr>
        <w:t>Retail Transmission Rate - Line and Transformation Connection</w:t>
      </w:r>
      <w:r w:rsidR="001F44D1">
        <w:rPr>
          <w:rFonts w:ascii="Arial" w:hAnsi="Arial" w:cs="Arial"/>
          <w:color w:val="0070C0"/>
          <w:sz w:val="24"/>
          <w:szCs w:val="24"/>
        </w:rPr>
        <w:t xml:space="preserve"> charges</w:t>
      </w:r>
      <w:r w:rsidR="00EC41B6">
        <w:rPr>
          <w:rFonts w:ascii="Arial" w:hAnsi="Arial" w:cs="Arial"/>
          <w:color w:val="0070C0"/>
          <w:sz w:val="24"/>
          <w:szCs w:val="24"/>
        </w:rPr>
        <w:t xml:space="preserve"> </w:t>
      </w:r>
      <w:r w:rsidR="00BC0E1A">
        <w:rPr>
          <w:rFonts w:ascii="Arial" w:hAnsi="Arial" w:cs="Arial"/>
          <w:color w:val="0070C0"/>
          <w:sz w:val="24"/>
          <w:szCs w:val="24"/>
        </w:rPr>
        <w:t>related to Eligible Load Displacement Generation</w:t>
      </w:r>
      <w:r w:rsidR="00244CE0">
        <w:rPr>
          <w:rFonts w:ascii="Arial" w:hAnsi="Arial" w:cs="Arial"/>
          <w:color w:val="0070C0"/>
          <w:sz w:val="24"/>
          <w:szCs w:val="24"/>
        </w:rPr>
        <w:t xml:space="preserve"> (“LDG”) </w:t>
      </w:r>
      <w:r w:rsidR="002D6E73">
        <w:rPr>
          <w:rFonts w:ascii="Arial" w:hAnsi="Arial" w:cs="Arial"/>
          <w:color w:val="0070C0"/>
          <w:sz w:val="24"/>
          <w:szCs w:val="24"/>
        </w:rPr>
        <w:t xml:space="preserve">is </w:t>
      </w:r>
      <w:r w:rsidR="00BC0E1A">
        <w:rPr>
          <w:rFonts w:ascii="Arial" w:hAnsi="Arial" w:cs="Arial"/>
          <w:color w:val="0070C0"/>
          <w:sz w:val="24"/>
          <w:szCs w:val="24"/>
        </w:rPr>
        <w:t xml:space="preserve">due to </w:t>
      </w:r>
      <w:r w:rsidR="00933C0C">
        <w:rPr>
          <w:rFonts w:ascii="Arial" w:hAnsi="Arial" w:cs="Arial"/>
          <w:color w:val="0070C0"/>
          <w:sz w:val="24"/>
          <w:szCs w:val="24"/>
        </w:rPr>
        <w:t xml:space="preserve">Hydro One informing </w:t>
      </w:r>
      <w:r w:rsidRPr="005C518C">
        <w:rPr>
          <w:rFonts w:ascii="Arial" w:hAnsi="Arial" w:cs="Arial"/>
          <w:i/>
          <w:color w:val="0070C0"/>
          <w:sz w:val="24"/>
          <w:szCs w:val="24"/>
        </w:rPr>
        <w:t>ENWIN</w:t>
      </w:r>
      <w:r w:rsidR="00933C0C">
        <w:rPr>
          <w:rFonts w:ascii="Arial" w:hAnsi="Arial" w:cs="Arial"/>
          <w:color w:val="0070C0"/>
          <w:sz w:val="24"/>
          <w:szCs w:val="24"/>
        </w:rPr>
        <w:t xml:space="preserve"> </w:t>
      </w:r>
      <w:r w:rsidR="00244CE0">
        <w:rPr>
          <w:rFonts w:ascii="Arial" w:hAnsi="Arial" w:cs="Arial"/>
          <w:color w:val="0070C0"/>
          <w:sz w:val="24"/>
          <w:szCs w:val="24"/>
        </w:rPr>
        <w:t xml:space="preserve">they would be applying these charges to </w:t>
      </w:r>
      <w:r w:rsidR="00EC41B6">
        <w:rPr>
          <w:rFonts w:ascii="Arial" w:hAnsi="Arial" w:cs="Arial"/>
          <w:color w:val="0070C0"/>
          <w:sz w:val="24"/>
          <w:szCs w:val="24"/>
        </w:rPr>
        <w:t xml:space="preserve">eligible </w:t>
      </w:r>
      <w:r w:rsidR="000E4185">
        <w:rPr>
          <w:rFonts w:ascii="Arial" w:hAnsi="Arial" w:cs="Arial"/>
          <w:color w:val="0070C0"/>
          <w:sz w:val="24"/>
          <w:szCs w:val="24"/>
        </w:rPr>
        <w:t>L</w:t>
      </w:r>
      <w:r w:rsidR="00244CE0">
        <w:rPr>
          <w:rFonts w:ascii="Arial" w:hAnsi="Arial" w:cs="Arial"/>
          <w:color w:val="0070C0"/>
          <w:sz w:val="24"/>
          <w:szCs w:val="24"/>
        </w:rPr>
        <w:t>DG</w:t>
      </w:r>
      <w:r w:rsidR="000E4185">
        <w:rPr>
          <w:rFonts w:ascii="Arial" w:hAnsi="Arial" w:cs="Arial"/>
          <w:color w:val="0070C0"/>
          <w:sz w:val="24"/>
          <w:szCs w:val="24"/>
        </w:rPr>
        <w:t xml:space="preserve"> in </w:t>
      </w:r>
      <w:r w:rsidR="000E4185">
        <w:rPr>
          <w:rFonts w:ascii="Arial" w:hAnsi="Arial" w:cs="Arial"/>
          <w:i/>
          <w:color w:val="0070C0"/>
          <w:sz w:val="24"/>
          <w:szCs w:val="24"/>
        </w:rPr>
        <w:t>ENWIN</w:t>
      </w:r>
      <w:r w:rsidR="000E4185">
        <w:rPr>
          <w:rFonts w:ascii="Arial" w:hAnsi="Arial" w:cs="Arial"/>
          <w:color w:val="0070C0"/>
          <w:sz w:val="24"/>
          <w:szCs w:val="24"/>
        </w:rPr>
        <w:t>’s service territory</w:t>
      </w:r>
      <w:r w:rsidR="00EC41B6">
        <w:rPr>
          <w:rFonts w:ascii="Arial" w:hAnsi="Arial" w:cs="Arial"/>
          <w:color w:val="0070C0"/>
          <w:sz w:val="24"/>
          <w:szCs w:val="24"/>
        </w:rPr>
        <w:t xml:space="preserve">.  </w:t>
      </w:r>
      <w:r w:rsidR="00EC41B6" w:rsidRPr="00EC41B6">
        <w:rPr>
          <w:rFonts w:ascii="Arial" w:hAnsi="Arial" w:cs="Arial"/>
          <w:color w:val="0070C0"/>
          <w:sz w:val="24"/>
          <w:szCs w:val="24"/>
        </w:rPr>
        <w:t xml:space="preserve">In the absence of a Gross Billing of Retail Transmission Rate - Line and Transformation Connection, the rest of </w:t>
      </w:r>
      <w:r w:rsidRPr="005C518C">
        <w:rPr>
          <w:rFonts w:ascii="Arial" w:hAnsi="Arial" w:cs="Arial"/>
          <w:i/>
          <w:color w:val="0070C0"/>
          <w:sz w:val="24"/>
          <w:szCs w:val="24"/>
        </w:rPr>
        <w:t>ENWIN</w:t>
      </w:r>
      <w:r w:rsidR="00EC41B6" w:rsidRPr="00EC41B6">
        <w:rPr>
          <w:rFonts w:ascii="Arial" w:hAnsi="Arial" w:cs="Arial"/>
          <w:color w:val="0070C0"/>
          <w:sz w:val="24"/>
          <w:szCs w:val="24"/>
        </w:rPr>
        <w:t xml:space="preserve">’s customer classes are subsidizing the gross load billing transmission costs for the one pending LDG customer and any future LDG customers in </w:t>
      </w:r>
      <w:r w:rsidRPr="005C518C">
        <w:rPr>
          <w:rFonts w:ascii="Arial" w:hAnsi="Arial" w:cs="Arial"/>
          <w:i/>
          <w:color w:val="0070C0"/>
          <w:sz w:val="24"/>
          <w:szCs w:val="24"/>
        </w:rPr>
        <w:t>ENWIN</w:t>
      </w:r>
      <w:r w:rsidR="00EC41B6" w:rsidRPr="00EC41B6">
        <w:rPr>
          <w:rFonts w:ascii="Arial" w:hAnsi="Arial" w:cs="Arial"/>
          <w:color w:val="0070C0"/>
          <w:sz w:val="24"/>
          <w:szCs w:val="24"/>
        </w:rPr>
        <w:t xml:space="preserve">’s service territory.  </w:t>
      </w:r>
    </w:p>
    <w:p w14:paraId="406946BB" w14:textId="77777777" w:rsidR="00933C0C" w:rsidRPr="00933C0C" w:rsidRDefault="00933C0C" w:rsidP="00933C0C">
      <w:pPr>
        <w:spacing w:after="0"/>
        <w:rPr>
          <w:rFonts w:ascii="Arial" w:hAnsi="Arial" w:cs="Arial"/>
          <w:color w:val="0070C0"/>
          <w:sz w:val="24"/>
          <w:szCs w:val="24"/>
        </w:rPr>
      </w:pPr>
    </w:p>
    <w:p w14:paraId="4666ED87" w14:textId="77777777" w:rsidR="00933C0C" w:rsidRDefault="00933C0C" w:rsidP="00BC0E1A">
      <w:pPr>
        <w:pStyle w:val="ListParagraph"/>
        <w:spacing w:after="0"/>
        <w:rPr>
          <w:rFonts w:ascii="Arial" w:hAnsi="Arial" w:cs="Arial"/>
          <w:color w:val="0070C0"/>
          <w:sz w:val="24"/>
          <w:szCs w:val="24"/>
        </w:rPr>
      </w:pPr>
      <w:r>
        <w:rPr>
          <w:rFonts w:ascii="Arial" w:hAnsi="Arial" w:cs="Arial"/>
          <w:color w:val="0070C0"/>
          <w:sz w:val="24"/>
          <w:szCs w:val="24"/>
        </w:rPr>
        <w:lastRenderedPageBreak/>
        <w:t>From the Manager’s Summary:</w:t>
      </w:r>
    </w:p>
    <w:p w14:paraId="49C91FE9" w14:textId="0D3E03ED" w:rsidR="000254E5" w:rsidRDefault="00BC0E1A" w:rsidP="00D86F15">
      <w:pPr>
        <w:pStyle w:val="ListParagraph"/>
        <w:spacing w:after="0"/>
        <w:ind w:left="1440" w:right="1440"/>
        <w:jc w:val="both"/>
        <w:rPr>
          <w:rFonts w:ascii="Arial" w:hAnsi="Arial" w:cs="Arial"/>
          <w:color w:val="0070C0"/>
          <w:sz w:val="24"/>
          <w:szCs w:val="24"/>
        </w:rPr>
      </w:pPr>
      <w:r w:rsidRPr="00BC0E1A">
        <w:rPr>
          <w:rFonts w:ascii="Arial" w:hAnsi="Arial" w:cs="Arial"/>
          <w:color w:val="0070C0"/>
          <w:sz w:val="24"/>
          <w:szCs w:val="24"/>
        </w:rPr>
        <w:t xml:space="preserve">On November 16, 2016 through a Detailed Technical Connection Assessment report, Hydro One Networks Inc. (“Hydro One”) informed </w:t>
      </w:r>
      <w:r w:rsidR="005C518C" w:rsidRPr="005C518C">
        <w:rPr>
          <w:rFonts w:ascii="Arial" w:hAnsi="Arial" w:cs="Arial"/>
          <w:i/>
          <w:color w:val="0070C0"/>
          <w:sz w:val="24"/>
          <w:szCs w:val="24"/>
        </w:rPr>
        <w:t>ENWIN</w:t>
      </w:r>
      <w:r w:rsidRPr="00BC0E1A">
        <w:rPr>
          <w:rFonts w:ascii="Arial" w:hAnsi="Arial" w:cs="Arial"/>
          <w:color w:val="0070C0"/>
          <w:sz w:val="24"/>
          <w:szCs w:val="24"/>
        </w:rPr>
        <w:t xml:space="preserve"> that gross load billing of Transmission Line and Transformation Connection service charges would apply to </w:t>
      </w:r>
      <w:r w:rsidR="005C518C" w:rsidRPr="005C518C">
        <w:rPr>
          <w:rFonts w:ascii="Arial" w:hAnsi="Arial" w:cs="Arial"/>
          <w:i/>
          <w:color w:val="0070C0"/>
          <w:sz w:val="24"/>
          <w:szCs w:val="24"/>
        </w:rPr>
        <w:t>ENWIN</w:t>
      </w:r>
      <w:r w:rsidRPr="00BC0E1A">
        <w:rPr>
          <w:rFonts w:ascii="Arial" w:hAnsi="Arial" w:cs="Arial"/>
          <w:color w:val="0070C0"/>
          <w:sz w:val="24"/>
          <w:szCs w:val="24"/>
        </w:rPr>
        <w:t xml:space="preserve"> due to the presence of an LDG customer with installed capacity above the threshold of 2 MW of renewable generation and 1 MW for non-renewable generation, as outlined in the Rate Order for 2016 Uniform Electricity Transmission Rates (EB-2015-0313), “The Customer shall install metering facilities in accordance with the IESO Rules as Gross Load Billing (GLB) would be applicable to the LDG facility as per Ontario Transmission Rate Schedule” .  On an annual basis, the IESO will determine and charge to </w:t>
      </w:r>
      <w:r w:rsidR="005C518C" w:rsidRPr="005C518C">
        <w:rPr>
          <w:rFonts w:ascii="Arial" w:hAnsi="Arial" w:cs="Arial"/>
          <w:i/>
          <w:color w:val="0070C0"/>
          <w:sz w:val="24"/>
          <w:szCs w:val="24"/>
        </w:rPr>
        <w:t>ENWIN</w:t>
      </w:r>
      <w:r w:rsidRPr="00BC0E1A">
        <w:rPr>
          <w:rFonts w:ascii="Arial" w:hAnsi="Arial" w:cs="Arial"/>
          <w:color w:val="0070C0"/>
          <w:sz w:val="24"/>
          <w:szCs w:val="24"/>
        </w:rPr>
        <w:t xml:space="preserve"> the gross load billing of Transmission Line and Connection Service charges which apply specifically to the generation activities of our one pending LDG customer (and any future LDG customers with capacity above the specified threshold for renewable and non-renewable generation) in </w:t>
      </w:r>
      <w:r w:rsidR="005C518C" w:rsidRPr="005C518C">
        <w:rPr>
          <w:rFonts w:ascii="Arial" w:hAnsi="Arial" w:cs="Arial"/>
          <w:i/>
          <w:color w:val="0070C0"/>
          <w:sz w:val="24"/>
          <w:szCs w:val="24"/>
        </w:rPr>
        <w:t>ENWIN</w:t>
      </w:r>
      <w:r w:rsidRPr="00BC0E1A">
        <w:rPr>
          <w:rFonts w:ascii="Arial" w:hAnsi="Arial" w:cs="Arial"/>
          <w:color w:val="0070C0"/>
          <w:sz w:val="24"/>
          <w:szCs w:val="24"/>
        </w:rPr>
        <w:t>’s distribution system.</w:t>
      </w:r>
    </w:p>
    <w:p w14:paraId="2146703A" w14:textId="77777777" w:rsidR="000254E5" w:rsidRDefault="000254E5" w:rsidP="00B7626F">
      <w:pPr>
        <w:pStyle w:val="ListParagraph"/>
        <w:ind w:left="1440" w:right="1440"/>
        <w:jc w:val="both"/>
        <w:rPr>
          <w:rFonts w:ascii="Arial" w:hAnsi="Arial" w:cs="Arial"/>
          <w:color w:val="0070C0"/>
          <w:sz w:val="24"/>
          <w:szCs w:val="24"/>
        </w:rPr>
      </w:pPr>
    </w:p>
    <w:p w14:paraId="530AFFE8" w14:textId="760D2FFC" w:rsidR="00113DB8" w:rsidRDefault="000254E5" w:rsidP="00D86F15">
      <w:pPr>
        <w:pStyle w:val="ListParagraph"/>
        <w:spacing w:after="0"/>
        <w:ind w:left="1440" w:right="1440"/>
        <w:jc w:val="both"/>
        <w:rPr>
          <w:rFonts w:ascii="Arial" w:hAnsi="Arial" w:cs="Arial"/>
          <w:color w:val="0070C0"/>
          <w:sz w:val="24"/>
          <w:szCs w:val="24"/>
        </w:rPr>
      </w:pPr>
      <w:r w:rsidRPr="000254E5">
        <w:rPr>
          <w:rFonts w:ascii="Arial" w:hAnsi="Arial" w:cs="Arial"/>
          <w:color w:val="0070C0"/>
          <w:sz w:val="24"/>
          <w:szCs w:val="24"/>
        </w:rPr>
        <w:t xml:space="preserve">In the absence of a Gross Billing of Retail Transmission Rate - Line and Transformation Connection, the rest of </w:t>
      </w:r>
      <w:r w:rsidR="005C518C" w:rsidRPr="005C518C">
        <w:rPr>
          <w:rFonts w:ascii="Arial" w:hAnsi="Arial" w:cs="Arial"/>
          <w:i/>
          <w:color w:val="0070C0"/>
          <w:sz w:val="24"/>
          <w:szCs w:val="24"/>
        </w:rPr>
        <w:t>ENWIN</w:t>
      </w:r>
      <w:r w:rsidRPr="000254E5">
        <w:rPr>
          <w:rFonts w:ascii="Arial" w:hAnsi="Arial" w:cs="Arial"/>
          <w:color w:val="0070C0"/>
          <w:sz w:val="24"/>
          <w:szCs w:val="24"/>
        </w:rPr>
        <w:t xml:space="preserve">’s customer classes are subsidizing the gross load billing transmission costs for the one pending LDG customer and any future LDG customers in </w:t>
      </w:r>
      <w:r w:rsidR="005C518C" w:rsidRPr="005C518C">
        <w:rPr>
          <w:rFonts w:ascii="Arial" w:hAnsi="Arial" w:cs="Arial"/>
          <w:i/>
          <w:color w:val="0070C0"/>
          <w:sz w:val="24"/>
          <w:szCs w:val="24"/>
        </w:rPr>
        <w:t>ENWIN</w:t>
      </w:r>
      <w:r w:rsidRPr="000254E5">
        <w:rPr>
          <w:rFonts w:ascii="Arial" w:hAnsi="Arial" w:cs="Arial"/>
          <w:color w:val="0070C0"/>
          <w:sz w:val="24"/>
          <w:szCs w:val="24"/>
        </w:rPr>
        <w:t xml:space="preserve">’s service territory.  It is unreasonable for all other classes to pay the costs directly related to a specific customer, in this case an LDG customer, while the LDG customer benefits through savings.  </w:t>
      </w:r>
      <w:r w:rsidR="005C518C" w:rsidRPr="005C518C">
        <w:rPr>
          <w:rFonts w:ascii="Arial" w:hAnsi="Arial" w:cs="Arial"/>
          <w:i/>
          <w:color w:val="0070C0"/>
          <w:sz w:val="24"/>
          <w:szCs w:val="24"/>
        </w:rPr>
        <w:t>ENWIN</w:t>
      </w:r>
      <w:r w:rsidRPr="000254E5">
        <w:rPr>
          <w:rFonts w:ascii="Arial" w:hAnsi="Arial" w:cs="Arial"/>
          <w:color w:val="0070C0"/>
          <w:sz w:val="24"/>
          <w:szCs w:val="24"/>
        </w:rPr>
        <w:t xml:space="preserve"> suggests the costs associated to a specific customer/class should be recovered by that specific customer/class.</w:t>
      </w:r>
    </w:p>
    <w:p w14:paraId="29C934CB" w14:textId="77777777" w:rsidR="001F44D1" w:rsidRDefault="001F44D1" w:rsidP="000254E5">
      <w:pPr>
        <w:pStyle w:val="ListParagraph"/>
        <w:spacing w:after="0"/>
        <w:rPr>
          <w:rFonts w:ascii="Arial" w:hAnsi="Arial" w:cs="Arial"/>
          <w:color w:val="0070C0"/>
          <w:sz w:val="24"/>
          <w:szCs w:val="24"/>
        </w:rPr>
      </w:pPr>
    </w:p>
    <w:p w14:paraId="26FB0672" w14:textId="615AC8DC" w:rsidR="001F44D1" w:rsidRDefault="008C3DED" w:rsidP="00AA4C8A">
      <w:pPr>
        <w:pStyle w:val="ListParagraph"/>
        <w:numPr>
          <w:ilvl w:val="0"/>
          <w:numId w:val="16"/>
        </w:numPr>
        <w:spacing w:after="0"/>
        <w:jc w:val="both"/>
        <w:rPr>
          <w:rFonts w:ascii="Arial" w:hAnsi="Arial" w:cs="Arial"/>
          <w:color w:val="0070C0"/>
          <w:sz w:val="24"/>
          <w:szCs w:val="24"/>
        </w:rPr>
      </w:pPr>
      <w:r>
        <w:rPr>
          <w:rFonts w:ascii="Arial" w:hAnsi="Arial" w:cs="Arial"/>
          <w:color w:val="0070C0"/>
          <w:sz w:val="24"/>
          <w:szCs w:val="24"/>
        </w:rPr>
        <w:t xml:space="preserve">The OEB approved Gross Load Billing in a Hydro One Networks Inc. (“Hydro One”) rate proceeding RP-1999-0044.  At line 3.2.39 of the Decision with Reasons of that proceeding, it states “The Board therefore finds that for load customers with new embedded generation that charges for Line and Transformation Connection service should be based on gross load billing”.  The Board further found in that proceeding that “new embedded generation under 1 MW serving existing load should be exempt from gross load billing” (Hydro One’s proposal, with the Board accepting said proposal at section 3.2.44).  Hydro One </w:t>
      </w:r>
      <w:r>
        <w:rPr>
          <w:rFonts w:ascii="Arial" w:hAnsi="Arial" w:cs="Arial"/>
          <w:color w:val="0070C0"/>
          <w:sz w:val="24"/>
          <w:szCs w:val="24"/>
        </w:rPr>
        <w:lastRenderedPageBreak/>
        <w:t>went on to define Existing Embedded Generation as “embedded generation for which required approvals were obtained before October 30, 1998” (at section 3.3.1), and the Board agreeing with Hydro One’s proposal, that “load supplied by the existing embedded generation</w:t>
      </w:r>
      <w:r w:rsidR="004756FF">
        <w:rPr>
          <w:rFonts w:ascii="Arial" w:hAnsi="Arial" w:cs="Arial"/>
          <w:color w:val="0070C0"/>
          <w:sz w:val="24"/>
          <w:szCs w:val="24"/>
        </w:rPr>
        <w:t>, as that term was defined in the application,</w:t>
      </w:r>
      <w:r>
        <w:rPr>
          <w:rFonts w:ascii="Arial" w:hAnsi="Arial" w:cs="Arial"/>
          <w:color w:val="0070C0"/>
          <w:sz w:val="24"/>
          <w:szCs w:val="24"/>
        </w:rPr>
        <w:t xml:space="preserve"> should continue to be billed on a net load basis” (at section 3.3.3).</w:t>
      </w:r>
      <w:r w:rsidR="00C019D3">
        <w:rPr>
          <w:rFonts w:ascii="Arial" w:hAnsi="Arial" w:cs="Arial"/>
          <w:color w:val="0070C0"/>
          <w:sz w:val="24"/>
          <w:szCs w:val="24"/>
        </w:rPr>
        <w:t xml:space="preserve">  Additional </w:t>
      </w:r>
      <w:r w:rsidR="0002546A">
        <w:rPr>
          <w:rFonts w:ascii="Arial" w:hAnsi="Arial" w:cs="Arial"/>
          <w:color w:val="0070C0"/>
          <w:sz w:val="24"/>
          <w:szCs w:val="24"/>
        </w:rPr>
        <w:t xml:space="preserve">OEB references related to this request would be the </w:t>
      </w:r>
      <w:r w:rsidR="004756FF">
        <w:rPr>
          <w:rFonts w:ascii="Arial" w:hAnsi="Arial" w:cs="Arial"/>
          <w:color w:val="0070C0"/>
          <w:sz w:val="24"/>
          <w:szCs w:val="24"/>
        </w:rPr>
        <w:t>Decision and Rate</w:t>
      </w:r>
      <w:r w:rsidR="0002546A" w:rsidRPr="00BC0E1A">
        <w:rPr>
          <w:rFonts w:ascii="Arial" w:hAnsi="Arial" w:cs="Arial"/>
          <w:color w:val="0070C0"/>
          <w:sz w:val="24"/>
          <w:szCs w:val="24"/>
        </w:rPr>
        <w:t xml:space="preserve"> Order for </w:t>
      </w:r>
      <w:r w:rsidR="004756FF" w:rsidRPr="00BC0E1A">
        <w:rPr>
          <w:rFonts w:ascii="Arial" w:hAnsi="Arial" w:cs="Arial"/>
          <w:color w:val="0070C0"/>
          <w:sz w:val="24"/>
          <w:szCs w:val="24"/>
        </w:rPr>
        <w:t>201</w:t>
      </w:r>
      <w:r w:rsidR="004756FF">
        <w:rPr>
          <w:rFonts w:ascii="Arial" w:hAnsi="Arial" w:cs="Arial"/>
          <w:color w:val="0070C0"/>
          <w:sz w:val="24"/>
          <w:szCs w:val="24"/>
        </w:rPr>
        <w:t>7</w:t>
      </w:r>
      <w:r w:rsidR="004756FF" w:rsidRPr="00BC0E1A">
        <w:rPr>
          <w:rFonts w:ascii="Arial" w:hAnsi="Arial" w:cs="Arial"/>
          <w:color w:val="0070C0"/>
          <w:sz w:val="24"/>
          <w:szCs w:val="24"/>
        </w:rPr>
        <w:t xml:space="preserve"> </w:t>
      </w:r>
      <w:r w:rsidR="0002546A" w:rsidRPr="00BC0E1A">
        <w:rPr>
          <w:rFonts w:ascii="Arial" w:hAnsi="Arial" w:cs="Arial"/>
          <w:color w:val="0070C0"/>
          <w:sz w:val="24"/>
          <w:szCs w:val="24"/>
        </w:rPr>
        <w:t>Uniform Transmission Rates (EB-</w:t>
      </w:r>
      <w:r w:rsidR="004756FF" w:rsidRPr="00BC0E1A">
        <w:rPr>
          <w:rFonts w:ascii="Arial" w:hAnsi="Arial" w:cs="Arial"/>
          <w:color w:val="0070C0"/>
          <w:sz w:val="24"/>
          <w:szCs w:val="24"/>
        </w:rPr>
        <w:t>201</w:t>
      </w:r>
      <w:r w:rsidR="004756FF">
        <w:rPr>
          <w:rFonts w:ascii="Arial" w:hAnsi="Arial" w:cs="Arial"/>
          <w:color w:val="0070C0"/>
          <w:sz w:val="24"/>
          <w:szCs w:val="24"/>
        </w:rPr>
        <w:t>7</w:t>
      </w:r>
      <w:r w:rsidR="0002546A" w:rsidRPr="00BC0E1A">
        <w:rPr>
          <w:rFonts w:ascii="Arial" w:hAnsi="Arial" w:cs="Arial"/>
          <w:color w:val="0070C0"/>
          <w:sz w:val="24"/>
          <w:szCs w:val="24"/>
        </w:rPr>
        <w:t>-</w:t>
      </w:r>
      <w:r w:rsidR="004756FF">
        <w:rPr>
          <w:rFonts w:ascii="Arial" w:hAnsi="Arial" w:cs="Arial"/>
          <w:color w:val="0070C0"/>
          <w:sz w:val="24"/>
          <w:szCs w:val="24"/>
        </w:rPr>
        <w:t>0280</w:t>
      </w:r>
      <w:r w:rsidR="004756FF">
        <w:rPr>
          <w:rStyle w:val="FootnoteReference"/>
          <w:rFonts w:ascii="Arial" w:hAnsi="Arial" w:cs="Arial"/>
          <w:color w:val="0070C0"/>
          <w:sz w:val="24"/>
          <w:szCs w:val="24"/>
        </w:rPr>
        <w:footnoteReference w:id="1"/>
      </w:r>
      <w:r w:rsidR="0002546A" w:rsidRPr="00BC0E1A">
        <w:rPr>
          <w:rFonts w:ascii="Arial" w:hAnsi="Arial" w:cs="Arial"/>
          <w:color w:val="0070C0"/>
          <w:sz w:val="24"/>
          <w:szCs w:val="24"/>
        </w:rPr>
        <w:t>),</w:t>
      </w:r>
      <w:r w:rsidR="00801F5C">
        <w:rPr>
          <w:rFonts w:ascii="Arial" w:hAnsi="Arial" w:cs="Arial"/>
          <w:color w:val="0070C0"/>
          <w:sz w:val="24"/>
          <w:szCs w:val="24"/>
        </w:rPr>
        <w:t xml:space="preserve"> </w:t>
      </w:r>
      <w:r w:rsidR="004756FF">
        <w:rPr>
          <w:rFonts w:ascii="Arial" w:hAnsi="Arial" w:cs="Arial"/>
          <w:color w:val="0070C0"/>
          <w:sz w:val="24"/>
          <w:szCs w:val="24"/>
        </w:rPr>
        <w:t xml:space="preserve">and </w:t>
      </w:r>
      <w:r w:rsidR="00801F5C">
        <w:rPr>
          <w:rFonts w:ascii="Arial" w:hAnsi="Arial" w:cs="Arial"/>
          <w:color w:val="0070C0"/>
          <w:sz w:val="24"/>
          <w:szCs w:val="24"/>
        </w:rPr>
        <w:t xml:space="preserve">the </w:t>
      </w:r>
      <w:r w:rsidR="00047791">
        <w:rPr>
          <w:rFonts w:ascii="Arial" w:hAnsi="Arial" w:cs="Arial"/>
          <w:color w:val="0070C0"/>
          <w:sz w:val="24"/>
          <w:szCs w:val="24"/>
        </w:rPr>
        <w:t xml:space="preserve">2016 </w:t>
      </w:r>
      <w:r w:rsidR="00801F5C">
        <w:rPr>
          <w:rFonts w:ascii="Arial" w:hAnsi="Arial" w:cs="Arial"/>
          <w:color w:val="0070C0"/>
          <w:sz w:val="24"/>
          <w:szCs w:val="24"/>
        </w:rPr>
        <w:t xml:space="preserve">Decision and Order for Entegrus </w:t>
      </w:r>
      <w:r w:rsidR="00047791">
        <w:rPr>
          <w:rFonts w:ascii="Arial" w:hAnsi="Arial" w:cs="Arial"/>
          <w:color w:val="0070C0"/>
          <w:sz w:val="24"/>
          <w:szCs w:val="24"/>
        </w:rPr>
        <w:t>(EB-2015-0061)</w:t>
      </w:r>
      <w:r w:rsidR="004756FF">
        <w:rPr>
          <w:rFonts w:ascii="Arial" w:hAnsi="Arial" w:cs="Arial"/>
          <w:color w:val="0070C0"/>
          <w:sz w:val="24"/>
          <w:szCs w:val="24"/>
        </w:rPr>
        <w:t>.</w:t>
      </w:r>
    </w:p>
    <w:p w14:paraId="12ED0C67" w14:textId="77777777" w:rsidR="000379A5" w:rsidRDefault="000379A5" w:rsidP="00AA4C8A">
      <w:pPr>
        <w:pStyle w:val="ListParagraph"/>
        <w:spacing w:after="0"/>
        <w:jc w:val="both"/>
        <w:rPr>
          <w:rFonts w:ascii="Arial" w:hAnsi="Arial" w:cs="Arial"/>
          <w:color w:val="0070C0"/>
          <w:sz w:val="24"/>
          <w:szCs w:val="24"/>
        </w:rPr>
      </w:pPr>
    </w:p>
    <w:p w14:paraId="51988FC4" w14:textId="1921AE22" w:rsidR="000379A5" w:rsidRDefault="000379A5" w:rsidP="00AA4C8A">
      <w:pPr>
        <w:pStyle w:val="ListParagraph"/>
        <w:numPr>
          <w:ilvl w:val="0"/>
          <w:numId w:val="16"/>
        </w:numPr>
        <w:spacing w:after="0"/>
        <w:jc w:val="both"/>
        <w:rPr>
          <w:rFonts w:ascii="Arial" w:hAnsi="Arial" w:cs="Arial"/>
          <w:color w:val="0070C0"/>
          <w:sz w:val="24"/>
          <w:szCs w:val="24"/>
        </w:rPr>
      </w:pPr>
      <w:r w:rsidRPr="00AB3924">
        <w:rPr>
          <w:rFonts w:ascii="Arial" w:hAnsi="Arial" w:cs="Arial"/>
          <w:color w:val="0070C0"/>
          <w:sz w:val="24"/>
          <w:szCs w:val="24"/>
        </w:rPr>
        <w:t>In prior years</w:t>
      </w:r>
      <w:r w:rsidR="00AB3924" w:rsidRPr="00AB3924">
        <w:rPr>
          <w:rFonts w:ascii="Arial" w:hAnsi="Arial" w:cs="Arial"/>
          <w:color w:val="0070C0"/>
          <w:sz w:val="24"/>
          <w:szCs w:val="24"/>
        </w:rPr>
        <w:t xml:space="preserve">, </w:t>
      </w:r>
      <w:r w:rsidR="005C518C" w:rsidRPr="005C518C">
        <w:rPr>
          <w:rFonts w:ascii="Arial" w:hAnsi="Arial" w:cs="Arial"/>
          <w:i/>
          <w:color w:val="0070C0"/>
          <w:sz w:val="24"/>
          <w:szCs w:val="24"/>
        </w:rPr>
        <w:t>ENWIN</w:t>
      </w:r>
      <w:r w:rsidR="00AB3924" w:rsidRPr="00AB3924">
        <w:rPr>
          <w:rFonts w:ascii="Arial" w:hAnsi="Arial" w:cs="Arial"/>
          <w:color w:val="0070C0"/>
          <w:sz w:val="24"/>
          <w:szCs w:val="24"/>
        </w:rPr>
        <w:t xml:space="preserve"> has not had any </w:t>
      </w:r>
      <w:r w:rsidR="004756FF">
        <w:rPr>
          <w:rFonts w:ascii="Arial" w:hAnsi="Arial" w:cs="Arial"/>
          <w:color w:val="0070C0"/>
          <w:sz w:val="24"/>
          <w:szCs w:val="24"/>
        </w:rPr>
        <w:t>Eligible Load Displacement Generation</w:t>
      </w:r>
      <w:r w:rsidR="00AB3924" w:rsidRPr="00AB3924">
        <w:rPr>
          <w:rFonts w:ascii="Arial" w:hAnsi="Arial" w:cs="Arial"/>
          <w:color w:val="0070C0"/>
          <w:sz w:val="24"/>
          <w:szCs w:val="24"/>
        </w:rPr>
        <w:t>.</w:t>
      </w:r>
      <w:r w:rsidRPr="00AB3924">
        <w:rPr>
          <w:rFonts w:ascii="Arial" w:hAnsi="Arial" w:cs="Arial"/>
          <w:color w:val="0070C0"/>
          <w:sz w:val="24"/>
          <w:szCs w:val="24"/>
        </w:rPr>
        <w:t xml:space="preserve"> </w:t>
      </w:r>
    </w:p>
    <w:p w14:paraId="6C24E586" w14:textId="77777777" w:rsidR="00AB3924" w:rsidRPr="00AB3924" w:rsidRDefault="00AB3924" w:rsidP="00AA4C8A">
      <w:pPr>
        <w:pStyle w:val="ListParagraph"/>
        <w:jc w:val="both"/>
        <w:rPr>
          <w:rFonts w:ascii="Arial" w:hAnsi="Arial" w:cs="Arial"/>
          <w:color w:val="0070C0"/>
          <w:sz w:val="24"/>
          <w:szCs w:val="24"/>
        </w:rPr>
      </w:pPr>
    </w:p>
    <w:p w14:paraId="415ED20A" w14:textId="1C76DE54" w:rsidR="000379A5" w:rsidRDefault="005C518C" w:rsidP="00AA4C8A">
      <w:pPr>
        <w:pStyle w:val="ListParagraph"/>
        <w:numPr>
          <w:ilvl w:val="0"/>
          <w:numId w:val="16"/>
        </w:numPr>
        <w:spacing w:after="0"/>
        <w:jc w:val="both"/>
        <w:rPr>
          <w:rFonts w:ascii="Arial" w:hAnsi="Arial" w:cs="Arial"/>
          <w:color w:val="0070C0"/>
          <w:sz w:val="24"/>
          <w:szCs w:val="24"/>
        </w:rPr>
      </w:pPr>
      <w:r w:rsidRPr="005C518C">
        <w:rPr>
          <w:rFonts w:ascii="Arial" w:hAnsi="Arial" w:cs="Arial"/>
          <w:i/>
          <w:color w:val="0070C0"/>
          <w:sz w:val="24"/>
          <w:szCs w:val="24"/>
        </w:rPr>
        <w:t>ENWIN</w:t>
      </w:r>
      <w:r w:rsidR="00AB3924">
        <w:rPr>
          <w:rFonts w:ascii="Arial" w:hAnsi="Arial" w:cs="Arial"/>
          <w:color w:val="0070C0"/>
          <w:sz w:val="24"/>
          <w:szCs w:val="24"/>
        </w:rPr>
        <w:t xml:space="preserve"> has discussed this proposed charge with potential customers</w:t>
      </w:r>
      <w:r w:rsidR="00E264FF">
        <w:rPr>
          <w:rFonts w:ascii="Arial" w:hAnsi="Arial" w:cs="Arial"/>
          <w:color w:val="0070C0"/>
          <w:sz w:val="24"/>
          <w:szCs w:val="24"/>
        </w:rPr>
        <w:t xml:space="preserve"> and the potential customers are continuing forward with their proposed LDG.</w:t>
      </w:r>
      <w:r w:rsidR="004756FF">
        <w:rPr>
          <w:rFonts w:ascii="Arial" w:hAnsi="Arial" w:cs="Arial"/>
          <w:color w:val="0070C0"/>
          <w:sz w:val="24"/>
          <w:szCs w:val="24"/>
        </w:rPr>
        <w:t xml:space="preserve">  The requirement </w:t>
      </w:r>
      <w:r w:rsidR="00F7268C">
        <w:rPr>
          <w:rFonts w:ascii="Arial" w:hAnsi="Arial" w:cs="Arial"/>
          <w:color w:val="0070C0"/>
          <w:sz w:val="24"/>
          <w:szCs w:val="24"/>
        </w:rPr>
        <w:t xml:space="preserve">pertaining to the </w:t>
      </w:r>
      <w:r w:rsidRPr="005C518C">
        <w:rPr>
          <w:rFonts w:ascii="Arial" w:hAnsi="Arial" w:cs="Arial"/>
          <w:i/>
          <w:color w:val="0070C0"/>
          <w:sz w:val="24"/>
          <w:szCs w:val="24"/>
        </w:rPr>
        <w:t>ENWIN</w:t>
      </w:r>
      <w:r w:rsidR="00F7268C">
        <w:rPr>
          <w:rFonts w:ascii="Arial" w:hAnsi="Arial" w:cs="Arial"/>
          <w:color w:val="0070C0"/>
          <w:sz w:val="24"/>
          <w:szCs w:val="24"/>
        </w:rPr>
        <w:t xml:space="preserve"> GS 50 - 4,999 kW customer with an LDG which imminently will be put into service</w:t>
      </w:r>
      <w:r w:rsidR="000C0EE5">
        <w:rPr>
          <w:rFonts w:ascii="Arial" w:hAnsi="Arial" w:cs="Arial"/>
          <w:color w:val="0070C0"/>
          <w:sz w:val="24"/>
          <w:szCs w:val="24"/>
        </w:rPr>
        <w:t xml:space="preserve"> which is referenced in this application</w:t>
      </w:r>
      <w:r w:rsidR="00F7268C">
        <w:rPr>
          <w:rFonts w:ascii="Arial" w:hAnsi="Arial" w:cs="Arial"/>
          <w:color w:val="0070C0"/>
          <w:sz w:val="24"/>
          <w:szCs w:val="24"/>
        </w:rPr>
        <w:t xml:space="preserve"> </w:t>
      </w:r>
      <w:r w:rsidR="004756FF">
        <w:rPr>
          <w:rFonts w:ascii="Arial" w:hAnsi="Arial" w:cs="Arial"/>
          <w:color w:val="0070C0"/>
          <w:sz w:val="24"/>
          <w:szCs w:val="24"/>
        </w:rPr>
        <w:t xml:space="preserve">was clearly established in writing by Hydro One Networks Inc. in their </w:t>
      </w:r>
      <w:r w:rsidR="00F7268C">
        <w:rPr>
          <w:rFonts w:ascii="Arial" w:hAnsi="Arial" w:cs="Arial"/>
          <w:color w:val="0070C0"/>
          <w:sz w:val="24"/>
          <w:szCs w:val="24"/>
        </w:rPr>
        <w:t xml:space="preserve">connection impact assessment </w:t>
      </w:r>
      <w:r w:rsidR="004756FF">
        <w:rPr>
          <w:rFonts w:ascii="Arial" w:hAnsi="Arial" w:cs="Arial"/>
          <w:color w:val="0070C0"/>
          <w:sz w:val="24"/>
          <w:szCs w:val="24"/>
        </w:rPr>
        <w:t>document entitled “</w:t>
      </w:r>
      <w:r w:rsidR="00EE1EF7">
        <w:rPr>
          <w:rFonts w:ascii="Arial" w:hAnsi="Arial" w:cs="Arial"/>
          <w:color w:val="0070C0"/>
          <w:sz w:val="24"/>
          <w:szCs w:val="24"/>
        </w:rPr>
        <w:t xml:space="preserve">Detailed Technical Connection Assessment; Project ID 31,600, Revision 2, dated November 16, 2016”, an excerpt of which is provided, below.  </w:t>
      </w:r>
    </w:p>
    <w:p w14:paraId="527160D6" w14:textId="77777777" w:rsidR="00EE1EF7" w:rsidRPr="005B434F" w:rsidRDefault="00EE1EF7" w:rsidP="005B434F">
      <w:pPr>
        <w:pStyle w:val="ListParagraph"/>
        <w:rPr>
          <w:rFonts w:ascii="Arial" w:hAnsi="Arial" w:cs="Arial"/>
          <w:color w:val="0070C0"/>
          <w:sz w:val="24"/>
          <w:szCs w:val="24"/>
        </w:rPr>
      </w:pPr>
    </w:p>
    <w:p w14:paraId="03D661C4" w14:textId="0377B2A0" w:rsidR="00EE1EF7" w:rsidRDefault="00EE1EF7" w:rsidP="005B434F">
      <w:pPr>
        <w:pStyle w:val="ListParagraph"/>
        <w:spacing w:after="0"/>
        <w:rPr>
          <w:rFonts w:ascii="Arial" w:hAnsi="Arial" w:cs="Arial"/>
          <w:color w:val="0070C0"/>
          <w:sz w:val="24"/>
          <w:szCs w:val="24"/>
        </w:rPr>
      </w:pPr>
      <w:r>
        <w:rPr>
          <w:noProof/>
          <w:lang w:eastAsia="en-CA"/>
        </w:rPr>
        <w:lastRenderedPageBreak/>
        <w:drawing>
          <wp:inline distT="0" distB="0" distL="0" distR="0" wp14:anchorId="220C4EE9" wp14:editId="130532A0">
            <wp:extent cx="5943600" cy="4733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733925"/>
                    </a:xfrm>
                    <a:prstGeom prst="rect">
                      <a:avLst/>
                    </a:prstGeom>
                  </pic:spPr>
                </pic:pic>
              </a:graphicData>
            </a:graphic>
          </wp:inline>
        </w:drawing>
      </w:r>
    </w:p>
    <w:p w14:paraId="789E9096" w14:textId="77777777" w:rsidR="00E264FF" w:rsidRPr="00E264FF" w:rsidRDefault="00E264FF" w:rsidP="00E264FF">
      <w:pPr>
        <w:pStyle w:val="ListParagraph"/>
        <w:rPr>
          <w:rFonts w:ascii="Arial" w:hAnsi="Arial" w:cs="Arial"/>
          <w:color w:val="0070C0"/>
          <w:sz w:val="24"/>
          <w:szCs w:val="24"/>
        </w:rPr>
      </w:pPr>
    </w:p>
    <w:p w14:paraId="646E5ACF" w14:textId="75C56327" w:rsidR="00E264FF" w:rsidRDefault="005C518C" w:rsidP="00AA4C8A">
      <w:pPr>
        <w:pStyle w:val="ListParagraph"/>
        <w:numPr>
          <w:ilvl w:val="0"/>
          <w:numId w:val="16"/>
        </w:numPr>
        <w:spacing w:after="0"/>
        <w:jc w:val="both"/>
        <w:rPr>
          <w:rFonts w:ascii="Arial" w:hAnsi="Arial" w:cs="Arial"/>
          <w:color w:val="0070C0"/>
          <w:sz w:val="24"/>
          <w:szCs w:val="24"/>
        </w:rPr>
      </w:pPr>
      <w:r w:rsidRPr="005C518C">
        <w:rPr>
          <w:rFonts w:ascii="Arial" w:hAnsi="Arial" w:cs="Arial"/>
          <w:i/>
          <w:color w:val="0070C0"/>
          <w:sz w:val="24"/>
          <w:szCs w:val="24"/>
        </w:rPr>
        <w:t>ENWIN</w:t>
      </w:r>
      <w:r w:rsidR="00AA31B9">
        <w:rPr>
          <w:rFonts w:ascii="Arial" w:hAnsi="Arial" w:cs="Arial"/>
          <w:color w:val="0070C0"/>
          <w:sz w:val="24"/>
          <w:szCs w:val="24"/>
        </w:rPr>
        <w:t>’s proposed language for the note is consistent with the la</w:t>
      </w:r>
      <w:r w:rsidR="00C32D50">
        <w:rPr>
          <w:rFonts w:ascii="Arial" w:hAnsi="Arial" w:cs="Arial"/>
          <w:color w:val="0070C0"/>
          <w:sz w:val="24"/>
          <w:szCs w:val="24"/>
        </w:rPr>
        <w:t xml:space="preserve">nguage the OEB approved in the </w:t>
      </w:r>
      <w:r w:rsidR="00F7268C">
        <w:rPr>
          <w:rFonts w:ascii="Arial" w:hAnsi="Arial" w:cs="Arial"/>
          <w:color w:val="0070C0"/>
          <w:sz w:val="24"/>
          <w:szCs w:val="24"/>
        </w:rPr>
        <w:t>Decision and Rate</w:t>
      </w:r>
      <w:r w:rsidR="00F7268C" w:rsidRPr="00BC0E1A">
        <w:rPr>
          <w:rFonts w:ascii="Arial" w:hAnsi="Arial" w:cs="Arial"/>
          <w:color w:val="0070C0"/>
          <w:sz w:val="24"/>
          <w:szCs w:val="24"/>
        </w:rPr>
        <w:t xml:space="preserve"> Order for 201</w:t>
      </w:r>
      <w:r w:rsidR="00F7268C">
        <w:rPr>
          <w:rFonts w:ascii="Arial" w:hAnsi="Arial" w:cs="Arial"/>
          <w:color w:val="0070C0"/>
          <w:sz w:val="24"/>
          <w:szCs w:val="24"/>
        </w:rPr>
        <w:t>7</w:t>
      </w:r>
      <w:r w:rsidR="00F7268C" w:rsidRPr="00BC0E1A">
        <w:rPr>
          <w:rFonts w:ascii="Arial" w:hAnsi="Arial" w:cs="Arial"/>
          <w:color w:val="0070C0"/>
          <w:sz w:val="24"/>
          <w:szCs w:val="24"/>
        </w:rPr>
        <w:t xml:space="preserve"> Uniform Transmission Rates (EB-201</w:t>
      </w:r>
      <w:r w:rsidR="00F7268C">
        <w:rPr>
          <w:rFonts w:ascii="Arial" w:hAnsi="Arial" w:cs="Arial"/>
          <w:color w:val="0070C0"/>
          <w:sz w:val="24"/>
          <w:szCs w:val="24"/>
        </w:rPr>
        <w:t>7</w:t>
      </w:r>
      <w:r w:rsidR="00F7268C" w:rsidRPr="00BC0E1A">
        <w:rPr>
          <w:rFonts w:ascii="Arial" w:hAnsi="Arial" w:cs="Arial"/>
          <w:color w:val="0070C0"/>
          <w:sz w:val="24"/>
          <w:szCs w:val="24"/>
        </w:rPr>
        <w:t>-</w:t>
      </w:r>
      <w:r w:rsidR="00F7268C">
        <w:rPr>
          <w:rFonts w:ascii="Arial" w:hAnsi="Arial" w:cs="Arial"/>
          <w:color w:val="0070C0"/>
          <w:sz w:val="24"/>
          <w:szCs w:val="24"/>
        </w:rPr>
        <w:t xml:space="preserve">0280) as well as the </w:t>
      </w:r>
      <w:r w:rsidR="00C32D50">
        <w:rPr>
          <w:rFonts w:ascii="Arial" w:hAnsi="Arial" w:cs="Arial"/>
          <w:color w:val="0070C0"/>
          <w:sz w:val="24"/>
          <w:szCs w:val="24"/>
        </w:rPr>
        <w:t>D</w:t>
      </w:r>
      <w:r w:rsidR="00AA31B9">
        <w:rPr>
          <w:rFonts w:ascii="Arial" w:hAnsi="Arial" w:cs="Arial"/>
          <w:color w:val="0070C0"/>
          <w:sz w:val="24"/>
          <w:szCs w:val="24"/>
        </w:rPr>
        <w:t xml:space="preserve">ecision and </w:t>
      </w:r>
      <w:r w:rsidR="00C32D50">
        <w:rPr>
          <w:rFonts w:ascii="Arial" w:hAnsi="Arial" w:cs="Arial"/>
          <w:color w:val="0070C0"/>
          <w:sz w:val="24"/>
          <w:szCs w:val="24"/>
        </w:rPr>
        <w:t>O</w:t>
      </w:r>
      <w:r w:rsidR="00AA31B9">
        <w:rPr>
          <w:rFonts w:ascii="Arial" w:hAnsi="Arial" w:cs="Arial"/>
          <w:color w:val="0070C0"/>
          <w:sz w:val="24"/>
          <w:szCs w:val="24"/>
        </w:rPr>
        <w:t xml:space="preserve">rder for Entegrus (EB-2015-0061).  </w:t>
      </w:r>
    </w:p>
    <w:p w14:paraId="6B1BB125" w14:textId="77777777" w:rsidR="00C32D50" w:rsidRPr="00C32D50" w:rsidRDefault="00C32D50" w:rsidP="00AA4C8A">
      <w:pPr>
        <w:pStyle w:val="ListParagraph"/>
        <w:jc w:val="both"/>
        <w:rPr>
          <w:rFonts w:ascii="Arial" w:hAnsi="Arial" w:cs="Arial"/>
          <w:color w:val="0070C0"/>
          <w:sz w:val="24"/>
          <w:szCs w:val="24"/>
        </w:rPr>
      </w:pPr>
    </w:p>
    <w:p w14:paraId="4A48C6A9" w14:textId="49F5F9A0" w:rsidR="00C32D50" w:rsidRDefault="00C32D50" w:rsidP="00AA4C8A">
      <w:pPr>
        <w:pStyle w:val="ListParagraph"/>
        <w:numPr>
          <w:ilvl w:val="0"/>
          <w:numId w:val="16"/>
        </w:numPr>
        <w:spacing w:after="0"/>
        <w:jc w:val="both"/>
        <w:rPr>
          <w:rFonts w:ascii="Arial" w:hAnsi="Arial" w:cs="Arial"/>
          <w:color w:val="0070C0"/>
          <w:sz w:val="24"/>
          <w:szCs w:val="24"/>
        </w:rPr>
      </w:pPr>
      <w:r>
        <w:rPr>
          <w:rFonts w:ascii="Arial" w:hAnsi="Arial" w:cs="Arial"/>
          <w:color w:val="0070C0"/>
          <w:sz w:val="24"/>
          <w:szCs w:val="24"/>
        </w:rPr>
        <w:t xml:space="preserve">This proposal and related billing has been handled by internal </w:t>
      </w:r>
      <w:r w:rsidR="005C518C" w:rsidRPr="005C518C">
        <w:rPr>
          <w:rFonts w:ascii="Arial" w:hAnsi="Arial" w:cs="Arial"/>
          <w:i/>
          <w:color w:val="0070C0"/>
          <w:sz w:val="24"/>
          <w:szCs w:val="24"/>
        </w:rPr>
        <w:t>ENWIN</w:t>
      </w:r>
      <w:r>
        <w:rPr>
          <w:rFonts w:ascii="Arial" w:hAnsi="Arial" w:cs="Arial"/>
          <w:color w:val="0070C0"/>
          <w:sz w:val="24"/>
          <w:szCs w:val="24"/>
        </w:rPr>
        <w:t xml:space="preserve"> staff, no external </w:t>
      </w:r>
      <w:r w:rsidR="0002005D">
        <w:rPr>
          <w:rFonts w:ascii="Arial" w:hAnsi="Arial" w:cs="Arial"/>
          <w:color w:val="0070C0"/>
          <w:sz w:val="24"/>
          <w:szCs w:val="24"/>
        </w:rPr>
        <w:t>expenses are planned.</w:t>
      </w:r>
    </w:p>
    <w:p w14:paraId="0AC763BE" w14:textId="77777777" w:rsidR="000379A5" w:rsidRPr="000379A5" w:rsidRDefault="000379A5" w:rsidP="000379A5">
      <w:pPr>
        <w:spacing w:after="0"/>
        <w:rPr>
          <w:rFonts w:ascii="Arial" w:hAnsi="Arial" w:cs="Arial"/>
          <w:color w:val="0070C0"/>
          <w:sz w:val="24"/>
          <w:szCs w:val="24"/>
        </w:rPr>
      </w:pPr>
    </w:p>
    <w:p w14:paraId="680852A7" w14:textId="77777777" w:rsidR="00113DB8" w:rsidRPr="00113DB8" w:rsidRDefault="00113DB8" w:rsidP="00976380">
      <w:pPr>
        <w:spacing w:after="0"/>
        <w:rPr>
          <w:rFonts w:ascii="Arial" w:hAnsi="Arial" w:cs="Arial"/>
          <w:sz w:val="24"/>
          <w:szCs w:val="24"/>
        </w:rPr>
      </w:pPr>
    </w:p>
    <w:p w14:paraId="2257B5AC" w14:textId="77777777" w:rsidR="00113DB8" w:rsidRPr="00113DB8" w:rsidRDefault="00113DB8" w:rsidP="00976380">
      <w:pPr>
        <w:spacing w:after="0"/>
        <w:rPr>
          <w:rFonts w:ascii="Arial" w:hAnsi="Arial" w:cs="Arial"/>
          <w:sz w:val="24"/>
          <w:szCs w:val="24"/>
        </w:rPr>
      </w:pPr>
    </w:p>
    <w:p w14:paraId="19E15BA2" w14:textId="77777777" w:rsidR="00113DB8" w:rsidRPr="00113DB8" w:rsidRDefault="00113DB8" w:rsidP="00976380">
      <w:pPr>
        <w:spacing w:after="0"/>
        <w:rPr>
          <w:rFonts w:ascii="Arial" w:hAnsi="Arial" w:cs="Arial"/>
          <w:sz w:val="24"/>
          <w:szCs w:val="24"/>
        </w:rPr>
      </w:pPr>
    </w:p>
    <w:p w14:paraId="758508A6" w14:textId="77777777" w:rsidR="00113DB8" w:rsidRDefault="00113DB8">
      <w:pPr>
        <w:rPr>
          <w:rFonts w:ascii="Arial" w:hAnsi="Arial" w:cs="Arial"/>
          <w:b/>
          <w:sz w:val="24"/>
          <w:szCs w:val="24"/>
        </w:rPr>
      </w:pPr>
      <w:r>
        <w:rPr>
          <w:rFonts w:ascii="Arial" w:hAnsi="Arial" w:cs="Arial"/>
          <w:b/>
          <w:sz w:val="24"/>
          <w:szCs w:val="24"/>
        </w:rPr>
        <w:br w:type="page"/>
      </w:r>
    </w:p>
    <w:p w14:paraId="0BA9CE5B" w14:textId="77777777" w:rsidR="00113DB8" w:rsidRPr="00113DB8" w:rsidRDefault="00113DB8" w:rsidP="00976380">
      <w:pPr>
        <w:spacing w:after="0"/>
        <w:rPr>
          <w:rFonts w:ascii="Arial" w:hAnsi="Arial" w:cs="Arial"/>
          <w:b/>
          <w:sz w:val="24"/>
          <w:szCs w:val="24"/>
        </w:rPr>
      </w:pPr>
      <w:r w:rsidRPr="00113DB8">
        <w:rPr>
          <w:rFonts w:ascii="Arial" w:hAnsi="Arial" w:cs="Arial"/>
          <w:b/>
          <w:sz w:val="24"/>
          <w:szCs w:val="24"/>
        </w:rPr>
        <w:lastRenderedPageBreak/>
        <w:t>Question</w:t>
      </w:r>
      <w:r w:rsidR="00C44738">
        <w:rPr>
          <w:rFonts w:ascii="Arial" w:hAnsi="Arial" w:cs="Arial"/>
          <w:b/>
          <w:sz w:val="24"/>
          <w:szCs w:val="24"/>
        </w:rPr>
        <w:t xml:space="preserve"> #5</w:t>
      </w:r>
    </w:p>
    <w:p w14:paraId="0C5E2AE4" w14:textId="77777777" w:rsidR="007D4194" w:rsidRPr="00527C2D" w:rsidRDefault="007D4194" w:rsidP="007D4194">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r>
      <w:r w:rsidRPr="00983952">
        <w:rPr>
          <w:rFonts w:ascii="Arial" w:hAnsi="Arial" w:cs="Arial"/>
          <w:b/>
          <w:bCs/>
          <w:sz w:val="24"/>
          <w:szCs w:val="24"/>
        </w:rPr>
        <w:t xml:space="preserve">GA Analysis Workform – Reconciliation </w:t>
      </w:r>
      <w:r>
        <w:rPr>
          <w:rFonts w:ascii="Arial" w:hAnsi="Arial" w:cs="Arial"/>
          <w:b/>
          <w:bCs/>
          <w:sz w:val="24"/>
          <w:szCs w:val="24"/>
        </w:rPr>
        <w:t>items 1a and 1b</w:t>
      </w:r>
      <w:r>
        <w:rPr>
          <w:rFonts w:ascii="Arial" w:hAnsi="Arial" w:cs="Arial"/>
          <w:b/>
          <w:bCs/>
          <w:sz w:val="24"/>
          <w:szCs w:val="24"/>
        </w:rPr>
        <w:br/>
        <w:t>2018 Rate Generator Model – Tab 3 Continuity Schedule</w:t>
      </w:r>
    </w:p>
    <w:p w14:paraId="13A0184A" w14:textId="77777777" w:rsidR="007D4194" w:rsidRPr="00A87532" w:rsidRDefault="007D4194" w:rsidP="007D4194">
      <w:pPr>
        <w:rPr>
          <w:rFonts w:ascii="Arial" w:hAnsi="Arial" w:cs="Arial"/>
          <w:sz w:val="24"/>
          <w:szCs w:val="24"/>
        </w:rPr>
      </w:pPr>
      <w:r w:rsidRPr="00A87532">
        <w:rPr>
          <w:rFonts w:ascii="Arial" w:hAnsi="Arial" w:cs="Arial"/>
          <w:sz w:val="24"/>
          <w:szCs w:val="24"/>
        </w:rPr>
        <w:t>In booking expense journal entries for Charge Type 1142 (formerly 142), and Charge Type 148 from the IESO invoice, please confirm which of the following approaches is used:</w:t>
      </w:r>
    </w:p>
    <w:p w14:paraId="7FD08FD8" w14:textId="77777777" w:rsidR="007D4194" w:rsidRDefault="007D4194" w:rsidP="007D4194">
      <w:pPr>
        <w:pStyle w:val="ListParagraph"/>
        <w:numPr>
          <w:ilvl w:val="0"/>
          <w:numId w:val="4"/>
        </w:numPr>
        <w:rPr>
          <w:rFonts w:ascii="Arial" w:hAnsi="Arial" w:cs="Arial"/>
          <w:sz w:val="24"/>
          <w:szCs w:val="24"/>
        </w:rPr>
      </w:pPr>
      <w:r w:rsidRPr="000162D6">
        <w:rPr>
          <w:rFonts w:ascii="Arial" w:hAnsi="Arial" w:cs="Arial"/>
          <w:sz w:val="24"/>
          <w:szCs w:val="24"/>
        </w:rPr>
        <w:t>Charge Type 1142 is booked into Account 1588</w:t>
      </w:r>
      <w:r>
        <w:rPr>
          <w:rFonts w:ascii="Arial" w:hAnsi="Arial" w:cs="Arial"/>
          <w:sz w:val="24"/>
          <w:szCs w:val="24"/>
        </w:rPr>
        <w:t>.</w:t>
      </w:r>
      <w:r w:rsidRPr="000162D6">
        <w:rPr>
          <w:rFonts w:ascii="Arial" w:hAnsi="Arial" w:cs="Arial"/>
          <w:sz w:val="24"/>
          <w:szCs w:val="24"/>
        </w:rPr>
        <w:t xml:space="preserve"> Charge Type 148 is pro-rated based on RPP/non-RPP consumption and then booked into Account 1588 and 1589, respectively</w:t>
      </w:r>
      <w:r>
        <w:rPr>
          <w:rStyle w:val="FootnoteReference"/>
          <w:rFonts w:ascii="Arial" w:hAnsi="Arial" w:cs="Arial"/>
          <w:sz w:val="24"/>
          <w:szCs w:val="24"/>
        </w:rPr>
        <w:footnoteReference w:id="2"/>
      </w:r>
      <w:r w:rsidRPr="000162D6">
        <w:rPr>
          <w:rFonts w:ascii="Arial" w:hAnsi="Arial" w:cs="Arial"/>
          <w:sz w:val="24"/>
          <w:szCs w:val="24"/>
        </w:rPr>
        <w:t>.</w:t>
      </w:r>
    </w:p>
    <w:p w14:paraId="7F2B3DD0" w14:textId="77777777" w:rsidR="007D4194" w:rsidRDefault="007D4194" w:rsidP="007D4194">
      <w:pPr>
        <w:pStyle w:val="ListParagraph"/>
        <w:numPr>
          <w:ilvl w:val="0"/>
          <w:numId w:val="4"/>
        </w:numPr>
        <w:rPr>
          <w:rFonts w:ascii="Arial" w:hAnsi="Arial" w:cs="Arial"/>
          <w:sz w:val="24"/>
          <w:szCs w:val="24"/>
        </w:rPr>
      </w:pPr>
      <w:r w:rsidRPr="000162D6">
        <w:rPr>
          <w:rFonts w:ascii="Arial" w:hAnsi="Arial" w:cs="Arial"/>
          <w:sz w:val="24"/>
          <w:szCs w:val="24"/>
        </w:rPr>
        <w:t>Charge Type 1142 is booked into Account 1588</w:t>
      </w:r>
      <w:r>
        <w:rPr>
          <w:rFonts w:ascii="Arial" w:hAnsi="Arial" w:cs="Arial"/>
          <w:sz w:val="24"/>
          <w:szCs w:val="24"/>
        </w:rPr>
        <w:t>. In relation to Charge Type 148, the non-RPP quantities multiplied by the GA rate is booked to account 1589 and the remainder of Charge Type 148 is booked to account 1588.</w:t>
      </w:r>
    </w:p>
    <w:p w14:paraId="38EF4794" w14:textId="77777777" w:rsidR="007D4194" w:rsidRDefault="007D4194" w:rsidP="007D4194">
      <w:pPr>
        <w:pStyle w:val="ListParagraph"/>
        <w:numPr>
          <w:ilvl w:val="0"/>
          <w:numId w:val="4"/>
        </w:numPr>
        <w:rPr>
          <w:rFonts w:ascii="Arial" w:hAnsi="Arial" w:cs="Arial"/>
          <w:sz w:val="24"/>
          <w:szCs w:val="24"/>
        </w:rPr>
      </w:pPr>
      <w:r w:rsidRPr="000162D6">
        <w:rPr>
          <w:rFonts w:ascii="Arial" w:hAnsi="Arial" w:cs="Arial"/>
          <w:sz w:val="24"/>
          <w:szCs w:val="24"/>
        </w:rPr>
        <w:t>Charge Type 148 is booked into Account 1589. The portion of Charge Type 1142 equalling RPP-HOEP for RPP consumption is booked into Account 1588. The portion of Charge Type 1142 equalling GA RPP is credited into Account 1589.</w:t>
      </w:r>
    </w:p>
    <w:p w14:paraId="4E99CBB6" w14:textId="77777777" w:rsidR="007D4194" w:rsidRDefault="007D4194" w:rsidP="007D4194">
      <w:pPr>
        <w:pStyle w:val="ListParagraph"/>
        <w:numPr>
          <w:ilvl w:val="0"/>
          <w:numId w:val="4"/>
        </w:numPr>
        <w:rPr>
          <w:rFonts w:ascii="Arial" w:hAnsi="Arial" w:cs="Arial"/>
          <w:sz w:val="24"/>
          <w:szCs w:val="24"/>
        </w:rPr>
      </w:pPr>
      <w:r>
        <w:rPr>
          <w:rFonts w:ascii="Arial" w:hAnsi="Arial" w:cs="Arial"/>
          <w:sz w:val="24"/>
          <w:szCs w:val="24"/>
        </w:rPr>
        <w:t>If</w:t>
      </w:r>
      <w:r w:rsidRPr="000162D6">
        <w:rPr>
          <w:rFonts w:ascii="Arial" w:hAnsi="Arial" w:cs="Arial"/>
          <w:sz w:val="24"/>
          <w:szCs w:val="24"/>
        </w:rPr>
        <w:t xml:space="preserve"> </w:t>
      </w:r>
      <w:r>
        <w:rPr>
          <w:rFonts w:ascii="Arial" w:hAnsi="Arial" w:cs="Arial"/>
          <w:sz w:val="24"/>
          <w:szCs w:val="24"/>
        </w:rPr>
        <w:t>a</w:t>
      </w:r>
      <w:r w:rsidRPr="000162D6">
        <w:rPr>
          <w:rFonts w:ascii="Arial" w:hAnsi="Arial" w:cs="Arial"/>
          <w:sz w:val="24"/>
          <w:szCs w:val="24"/>
        </w:rPr>
        <w:t>nother approach</w:t>
      </w:r>
      <w:r>
        <w:rPr>
          <w:rFonts w:ascii="Arial" w:hAnsi="Arial" w:cs="Arial"/>
          <w:sz w:val="24"/>
          <w:szCs w:val="24"/>
        </w:rPr>
        <w:t xml:space="preserve"> is used, p</w:t>
      </w:r>
      <w:r w:rsidRPr="000162D6">
        <w:rPr>
          <w:rFonts w:ascii="Arial" w:hAnsi="Arial" w:cs="Arial"/>
          <w:sz w:val="24"/>
          <w:szCs w:val="24"/>
        </w:rPr>
        <w:t>lease explain in detail.</w:t>
      </w:r>
    </w:p>
    <w:p w14:paraId="2315635C" w14:textId="77777777" w:rsidR="002B1731" w:rsidRPr="002B1731" w:rsidRDefault="002B1731" w:rsidP="002B1731">
      <w:pPr>
        <w:pStyle w:val="ListParagraph"/>
        <w:rPr>
          <w:rFonts w:ascii="Arial" w:hAnsi="Arial" w:cs="Arial"/>
          <w:color w:val="0070C0"/>
          <w:sz w:val="24"/>
          <w:szCs w:val="24"/>
        </w:rPr>
      </w:pPr>
    </w:p>
    <w:p w14:paraId="25F316CD" w14:textId="77777777" w:rsidR="00C45B62" w:rsidRPr="002B1731" w:rsidRDefault="00C45B62" w:rsidP="00AA4C8A">
      <w:pPr>
        <w:jc w:val="both"/>
        <w:rPr>
          <w:rFonts w:ascii="Arial" w:hAnsi="Arial" w:cs="Arial"/>
          <w:color w:val="0070C0"/>
          <w:sz w:val="24"/>
          <w:szCs w:val="24"/>
        </w:rPr>
      </w:pPr>
      <w:r w:rsidRPr="002B1731">
        <w:rPr>
          <w:rFonts w:ascii="Arial" w:hAnsi="Arial" w:cs="Arial"/>
          <w:b/>
          <w:color w:val="0070C0"/>
          <w:sz w:val="24"/>
          <w:szCs w:val="24"/>
        </w:rPr>
        <w:t>RESPONSE</w:t>
      </w:r>
    </w:p>
    <w:p w14:paraId="7D28E1E0" w14:textId="62864A22" w:rsidR="00CD1567" w:rsidRPr="00AE108A" w:rsidRDefault="005C518C" w:rsidP="00AA4C8A">
      <w:pPr>
        <w:jc w:val="both"/>
        <w:rPr>
          <w:rFonts w:ascii="Arial" w:hAnsi="Arial" w:cs="Arial"/>
          <w:bCs/>
          <w:sz w:val="24"/>
          <w:szCs w:val="24"/>
        </w:rPr>
      </w:pPr>
      <w:r w:rsidRPr="005C518C">
        <w:rPr>
          <w:rFonts w:ascii="Arial" w:hAnsi="Arial" w:cs="Arial"/>
          <w:bCs/>
          <w:i/>
          <w:color w:val="0070C0"/>
          <w:sz w:val="24"/>
          <w:szCs w:val="24"/>
        </w:rPr>
        <w:t>ENWIN</w:t>
      </w:r>
      <w:r w:rsidR="00404F9A" w:rsidRPr="00404F9A">
        <w:rPr>
          <w:rFonts w:ascii="Arial" w:hAnsi="Arial" w:cs="Arial"/>
          <w:bCs/>
          <w:color w:val="0070C0"/>
          <w:sz w:val="24"/>
          <w:szCs w:val="24"/>
        </w:rPr>
        <w:t xml:space="preserve"> Utilities Ltd. follows th</w:t>
      </w:r>
      <w:r w:rsidR="00404F9A">
        <w:rPr>
          <w:rFonts w:ascii="Arial" w:hAnsi="Arial" w:cs="Arial"/>
          <w:bCs/>
          <w:color w:val="0070C0"/>
          <w:sz w:val="24"/>
          <w:szCs w:val="24"/>
        </w:rPr>
        <w:t>e approach explained in part</w:t>
      </w:r>
      <w:r w:rsidR="00404F9A" w:rsidRPr="00404F9A">
        <w:t xml:space="preserve"> </w:t>
      </w:r>
      <w:r w:rsidR="00404F9A" w:rsidRPr="00404F9A">
        <w:rPr>
          <w:rFonts w:ascii="Arial" w:hAnsi="Arial" w:cs="Arial"/>
          <w:bCs/>
          <w:color w:val="0070C0"/>
          <w:sz w:val="24"/>
          <w:szCs w:val="24"/>
        </w:rPr>
        <w:t>a)</w:t>
      </w:r>
      <w:r w:rsidR="00404F9A" w:rsidRPr="00404F9A">
        <w:rPr>
          <w:rFonts w:ascii="Arial" w:hAnsi="Arial" w:cs="Arial"/>
          <w:bCs/>
          <w:color w:val="0070C0"/>
          <w:sz w:val="24"/>
          <w:szCs w:val="24"/>
        </w:rPr>
        <w:tab/>
        <w:t>Charge Type 1142 is booked into Account 1588. Charge Type 148 is pro-rated based on RPP/non-RPP consumption and then booked into Account 1588 and 1589, respectively</w:t>
      </w:r>
      <w:r w:rsidR="00311C25">
        <w:rPr>
          <w:rFonts w:ascii="Arial" w:hAnsi="Arial" w:cs="Arial"/>
          <w:bCs/>
          <w:color w:val="0070C0"/>
          <w:sz w:val="24"/>
          <w:szCs w:val="24"/>
        </w:rPr>
        <w:t>.</w:t>
      </w:r>
      <w:r w:rsidR="00CD1567" w:rsidRPr="00AE108A">
        <w:rPr>
          <w:rFonts w:ascii="Arial" w:hAnsi="Arial" w:cs="Arial"/>
          <w:bCs/>
          <w:sz w:val="24"/>
          <w:szCs w:val="24"/>
        </w:rPr>
        <w:br w:type="page"/>
      </w:r>
    </w:p>
    <w:p w14:paraId="246E49A2" w14:textId="77777777" w:rsidR="00CD1567" w:rsidRPr="00CD1567" w:rsidRDefault="00CD1567" w:rsidP="00976380">
      <w:pPr>
        <w:spacing w:after="0"/>
        <w:rPr>
          <w:rFonts w:ascii="Arial" w:hAnsi="Arial" w:cs="Arial"/>
          <w:b/>
          <w:sz w:val="24"/>
          <w:szCs w:val="24"/>
        </w:rPr>
      </w:pPr>
      <w:r w:rsidRPr="00CD1567">
        <w:rPr>
          <w:rFonts w:ascii="Arial" w:hAnsi="Arial" w:cs="Arial"/>
          <w:b/>
          <w:sz w:val="24"/>
          <w:szCs w:val="24"/>
        </w:rPr>
        <w:lastRenderedPageBreak/>
        <w:t>Question #6</w:t>
      </w:r>
    </w:p>
    <w:p w14:paraId="360B9E0D" w14:textId="77777777" w:rsidR="00CD1567" w:rsidRDefault="00CD1567" w:rsidP="00CD1567">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r>
      <w:r w:rsidRPr="00983952">
        <w:rPr>
          <w:rFonts w:ascii="Arial" w:hAnsi="Arial" w:cs="Arial"/>
          <w:b/>
          <w:bCs/>
          <w:sz w:val="24"/>
          <w:szCs w:val="24"/>
        </w:rPr>
        <w:t>GA Analysis Workform – Reconciliation items 1a and 1b</w:t>
      </w:r>
      <w:r>
        <w:rPr>
          <w:rFonts w:ascii="Arial" w:hAnsi="Arial" w:cs="Arial"/>
          <w:b/>
          <w:bCs/>
          <w:sz w:val="24"/>
          <w:szCs w:val="24"/>
        </w:rPr>
        <w:t xml:space="preserve"> </w:t>
      </w:r>
      <w:r>
        <w:rPr>
          <w:rFonts w:ascii="Arial" w:hAnsi="Arial" w:cs="Arial"/>
          <w:b/>
          <w:bCs/>
          <w:sz w:val="24"/>
          <w:szCs w:val="24"/>
        </w:rPr>
        <w:br/>
        <w:t>2018 Rate Generator Model – Tab 3 Continuity Schedule</w:t>
      </w:r>
    </w:p>
    <w:p w14:paraId="76BB1629" w14:textId="77777777" w:rsidR="00CD1567" w:rsidRPr="00A87532" w:rsidRDefault="00CD1567" w:rsidP="00CD1567">
      <w:pPr>
        <w:rPr>
          <w:rFonts w:ascii="Arial" w:hAnsi="Arial" w:cs="Arial"/>
          <w:sz w:val="24"/>
          <w:szCs w:val="24"/>
        </w:rPr>
      </w:pPr>
      <w:r w:rsidRPr="00A87532">
        <w:rPr>
          <w:rFonts w:ascii="Arial" w:hAnsi="Arial" w:cs="Arial"/>
          <w:sz w:val="24"/>
          <w:szCs w:val="24"/>
        </w:rPr>
        <w:t>With regards to the amount being requested for disposition of USoA 1589 account balance as at Dec. 31, 2016, all components that flow into Account 1589 (</w:t>
      </w:r>
      <w:proofErr w:type="spellStart"/>
      <w:r w:rsidRPr="00A87532">
        <w:rPr>
          <w:rFonts w:ascii="Arial" w:hAnsi="Arial" w:cs="Arial"/>
          <w:sz w:val="24"/>
          <w:szCs w:val="24"/>
        </w:rPr>
        <w:t>i</w:t>
      </w:r>
      <w:proofErr w:type="spellEnd"/>
      <w:r w:rsidRPr="00A87532">
        <w:rPr>
          <w:rFonts w:ascii="Arial" w:hAnsi="Arial" w:cs="Arial"/>
          <w:sz w:val="24"/>
          <w:szCs w:val="24"/>
        </w:rPr>
        <w:t xml:space="preserve"> to iv in table below) should be based on actuals in the 2018 Rate Generator Model – Tab 3 Continuity. Please complete the following table to:</w:t>
      </w:r>
    </w:p>
    <w:p w14:paraId="024E2101" w14:textId="77777777" w:rsidR="00CD1567" w:rsidRDefault="00CD1567" w:rsidP="00EB5B64">
      <w:pPr>
        <w:pStyle w:val="ListParagraph"/>
        <w:numPr>
          <w:ilvl w:val="1"/>
          <w:numId w:val="5"/>
        </w:numPr>
        <w:rPr>
          <w:rFonts w:ascii="Arial" w:hAnsi="Arial" w:cs="Arial"/>
          <w:sz w:val="24"/>
          <w:szCs w:val="24"/>
        </w:rPr>
      </w:pPr>
      <w:r>
        <w:rPr>
          <w:rFonts w:ascii="Arial" w:hAnsi="Arial" w:cs="Arial"/>
          <w:sz w:val="24"/>
          <w:szCs w:val="24"/>
        </w:rPr>
        <w:t xml:space="preserve">Indicate whether each of the components are based on estimates or actuals at year end, and </w:t>
      </w:r>
    </w:p>
    <w:p w14:paraId="0A54CB74" w14:textId="77777777" w:rsidR="00CD1567" w:rsidRDefault="00CD1567" w:rsidP="00EB5B64">
      <w:pPr>
        <w:pStyle w:val="ListParagraph"/>
        <w:numPr>
          <w:ilvl w:val="1"/>
          <w:numId w:val="5"/>
        </w:numPr>
        <w:rPr>
          <w:rFonts w:ascii="Arial" w:hAnsi="Arial" w:cs="Arial"/>
          <w:sz w:val="24"/>
          <w:szCs w:val="24"/>
        </w:rPr>
      </w:pPr>
      <w:r>
        <w:rPr>
          <w:rFonts w:ascii="Arial" w:hAnsi="Arial" w:cs="Arial"/>
          <w:sz w:val="24"/>
          <w:szCs w:val="24"/>
        </w:rPr>
        <w:t>Quantify the adjustment amount pertaining to each component that is trued-up from estimate to actual.</w:t>
      </w:r>
    </w:p>
    <w:tbl>
      <w:tblPr>
        <w:tblStyle w:val="TableGrid"/>
        <w:tblW w:w="10435" w:type="dxa"/>
        <w:tblLook w:val="04A0" w:firstRow="1" w:lastRow="0" w:firstColumn="1" w:lastColumn="0" w:noHBand="0" w:noVBand="1"/>
      </w:tblPr>
      <w:tblGrid>
        <w:gridCol w:w="381"/>
        <w:gridCol w:w="2119"/>
        <w:gridCol w:w="1084"/>
        <w:gridCol w:w="4781"/>
        <w:gridCol w:w="2070"/>
      </w:tblGrid>
      <w:tr w:rsidR="00CD1567" w14:paraId="2175C975" w14:textId="77777777" w:rsidTr="003806DB">
        <w:tc>
          <w:tcPr>
            <w:tcW w:w="381" w:type="dxa"/>
          </w:tcPr>
          <w:p w14:paraId="720DDB6F" w14:textId="77777777" w:rsidR="00CD1567" w:rsidRPr="00360DCD" w:rsidRDefault="00CD1567" w:rsidP="003806DB">
            <w:pPr>
              <w:rPr>
                <w:rFonts w:ascii="Arial" w:hAnsi="Arial" w:cs="Arial"/>
                <w:sz w:val="20"/>
                <w:szCs w:val="20"/>
              </w:rPr>
            </w:pPr>
          </w:p>
        </w:tc>
        <w:tc>
          <w:tcPr>
            <w:tcW w:w="2119" w:type="dxa"/>
          </w:tcPr>
          <w:p w14:paraId="18A82E4C" w14:textId="77777777" w:rsidR="00CD1567" w:rsidRPr="00360DCD" w:rsidRDefault="00CD1567" w:rsidP="003806DB">
            <w:pPr>
              <w:rPr>
                <w:rFonts w:ascii="Arial" w:hAnsi="Arial" w:cs="Arial"/>
                <w:b/>
                <w:sz w:val="20"/>
                <w:szCs w:val="20"/>
              </w:rPr>
            </w:pPr>
            <w:r w:rsidRPr="00360DCD">
              <w:rPr>
                <w:rFonts w:ascii="Arial" w:hAnsi="Arial" w:cs="Arial"/>
                <w:b/>
                <w:sz w:val="20"/>
                <w:szCs w:val="20"/>
              </w:rPr>
              <w:t>Component</w:t>
            </w:r>
          </w:p>
        </w:tc>
        <w:tc>
          <w:tcPr>
            <w:tcW w:w="1084" w:type="dxa"/>
          </w:tcPr>
          <w:p w14:paraId="0704E36B" w14:textId="77777777" w:rsidR="00CD1567" w:rsidRPr="00360DCD" w:rsidRDefault="00CD1567" w:rsidP="003806DB">
            <w:pPr>
              <w:rPr>
                <w:rFonts w:ascii="Arial" w:hAnsi="Arial" w:cs="Arial"/>
                <w:b/>
                <w:sz w:val="20"/>
                <w:szCs w:val="20"/>
              </w:rPr>
            </w:pPr>
            <w:r w:rsidRPr="00360DCD">
              <w:rPr>
                <w:rFonts w:ascii="Arial" w:hAnsi="Arial" w:cs="Arial"/>
                <w:b/>
                <w:sz w:val="20"/>
                <w:szCs w:val="20"/>
              </w:rPr>
              <w:t>Estimate or Actual</w:t>
            </w:r>
          </w:p>
        </w:tc>
        <w:tc>
          <w:tcPr>
            <w:tcW w:w="4781" w:type="dxa"/>
          </w:tcPr>
          <w:p w14:paraId="61953020" w14:textId="77777777" w:rsidR="00CD1567" w:rsidRPr="00360DCD" w:rsidRDefault="00CD1567" w:rsidP="003806DB">
            <w:pPr>
              <w:rPr>
                <w:rFonts w:ascii="Arial" w:hAnsi="Arial" w:cs="Arial"/>
                <w:b/>
                <w:sz w:val="20"/>
                <w:szCs w:val="20"/>
              </w:rPr>
            </w:pPr>
            <w:r w:rsidRPr="00360DCD">
              <w:rPr>
                <w:rFonts w:ascii="Arial" w:hAnsi="Arial" w:cs="Arial"/>
                <w:b/>
                <w:sz w:val="20"/>
                <w:szCs w:val="20"/>
              </w:rPr>
              <w:t>Notes/Comments</w:t>
            </w:r>
          </w:p>
        </w:tc>
        <w:tc>
          <w:tcPr>
            <w:tcW w:w="2070" w:type="dxa"/>
          </w:tcPr>
          <w:p w14:paraId="33641491" w14:textId="77777777" w:rsidR="00CD1567" w:rsidRPr="00360DCD" w:rsidRDefault="00CD1567" w:rsidP="003806DB">
            <w:pPr>
              <w:rPr>
                <w:rFonts w:ascii="Arial" w:hAnsi="Arial" w:cs="Arial"/>
                <w:b/>
                <w:sz w:val="20"/>
                <w:szCs w:val="20"/>
              </w:rPr>
            </w:pPr>
            <w:r w:rsidRPr="00360DCD">
              <w:rPr>
                <w:rFonts w:ascii="Arial" w:hAnsi="Arial" w:cs="Arial"/>
                <w:b/>
                <w:sz w:val="20"/>
                <w:szCs w:val="20"/>
              </w:rPr>
              <w:t>Quantify True Up  Adjustment</w:t>
            </w:r>
            <w:r>
              <w:rPr>
                <w:rFonts w:ascii="Arial" w:hAnsi="Arial" w:cs="Arial"/>
                <w:b/>
                <w:sz w:val="20"/>
                <w:szCs w:val="20"/>
              </w:rPr>
              <w:t xml:space="preserve"> $ Amount</w:t>
            </w:r>
          </w:p>
        </w:tc>
      </w:tr>
      <w:tr w:rsidR="00CD1567" w14:paraId="6D1CE6B0" w14:textId="77777777" w:rsidTr="003806DB">
        <w:tc>
          <w:tcPr>
            <w:tcW w:w="381" w:type="dxa"/>
          </w:tcPr>
          <w:p w14:paraId="3EBE4B9F" w14:textId="77777777" w:rsidR="00CD1567" w:rsidRPr="00360DCD" w:rsidRDefault="00CD1567" w:rsidP="003806DB">
            <w:pPr>
              <w:rPr>
                <w:rFonts w:ascii="Arial" w:hAnsi="Arial" w:cs="Arial"/>
                <w:sz w:val="20"/>
                <w:szCs w:val="20"/>
              </w:rPr>
            </w:pPr>
            <w:proofErr w:type="spellStart"/>
            <w:r w:rsidRPr="00360DCD">
              <w:rPr>
                <w:rFonts w:ascii="Arial" w:hAnsi="Arial" w:cs="Arial"/>
                <w:sz w:val="20"/>
                <w:szCs w:val="20"/>
              </w:rPr>
              <w:t>i</w:t>
            </w:r>
            <w:proofErr w:type="spellEnd"/>
          </w:p>
        </w:tc>
        <w:tc>
          <w:tcPr>
            <w:tcW w:w="2119" w:type="dxa"/>
          </w:tcPr>
          <w:p w14:paraId="2567DC7E" w14:textId="77777777" w:rsidR="00CD1567" w:rsidRPr="00360DCD" w:rsidRDefault="00CD1567" w:rsidP="003806DB">
            <w:pPr>
              <w:rPr>
                <w:rFonts w:ascii="Arial" w:hAnsi="Arial" w:cs="Arial"/>
                <w:sz w:val="20"/>
                <w:szCs w:val="20"/>
              </w:rPr>
            </w:pPr>
            <w:r w:rsidRPr="00360DCD">
              <w:rPr>
                <w:rFonts w:ascii="Arial" w:hAnsi="Arial" w:cs="Arial"/>
                <w:sz w:val="20"/>
                <w:szCs w:val="20"/>
              </w:rPr>
              <w:t xml:space="preserve">Revenue (i.e. 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360DCD">
              <w:rPr>
                <w:rFonts w:ascii="Arial" w:hAnsi="Arial" w:cs="Arial"/>
                <w:sz w:val="20"/>
                <w:szCs w:val="20"/>
              </w:rPr>
              <w:t xml:space="preserve">) </w:t>
            </w:r>
          </w:p>
          <w:p w14:paraId="1C829D6D" w14:textId="77777777" w:rsidR="00CD1567" w:rsidRPr="00360DCD" w:rsidRDefault="00CD1567" w:rsidP="003806DB">
            <w:pPr>
              <w:rPr>
                <w:rFonts w:ascii="Arial" w:hAnsi="Arial" w:cs="Arial"/>
                <w:sz w:val="20"/>
                <w:szCs w:val="20"/>
              </w:rPr>
            </w:pPr>
          </w:p>
        </w:tc>
        <w:tc>
          <w:tcPr>
            <w:tcW w:w="1084" w:type="dxa"/>
          </w:tcPr>
          <w:p w14:paraId="59DE154B" w14:textId="77777777" w:rsidR="00CD1567" w:rsidRPr="00360DCD" w:rsidRDefault="00CD1567" w:rsidP="003806DB">
            <w:pPr>
              <w:rPr>
                <w:rFonts w:ascii="Arial" w:hAnsi="Arial" w:cs="Arial"/>
                <w:sz w:val="20"/>
                <w:szCs w:val="20"/>
              </w:rPr>
            </w:pPr>
          </w:p>
        </w:tc>
        <w:tc>
          <w:tcPr>
            <w:tcW w:w="4781" w:type="dxa"/>
          </w:tcPr>
          <w:p w14:paraId="37E3CF04" w14:textId="77777777" w:rsidR="00CD1567" w:rsidRPr="00360DCD" w:rsidRDefault="00CD1567" w:rsidP="003806DB">
            <w:pPr>
              <w:rPr>
                <w:rFonts w:ascii="Arial" w:hAnsi="Arial" w:cs="Arial"/>
                <w:sz w:val="20"/>
                <w:szCs w:val="20"/>
              </w:rPr>
            </w:pPr>
          </w:p>
        </w:tc>
        <w:tc>
          <w:tcPr>
            <w:tcW w:w="2070" w:type="dxa"/>
          </w:tcPr>
          <w:p w14:paraId="39898E17" w14:textId="77777777" w:rsidR="00CD1567" w:rsidRPr="00360DCD" w:rsidRDefault="00CD1567" w:rsidP="003806DB">
            <w:pPr>
              <w:jc w:val="center"/>
              <w:rPr>
                <w:rFonts w:ascii="Arial" w:hAnsi="Arial" w:cs="Arial"/>
                <w:sz w:val="20"/>
                <w:szCs w:val="20"/>
              </w:rPr>
            </w:pPr>
          </w:p>
        </w:tc>
      </w:tr>
      <w:tr w:rsidR="00CD1567" w14:paraId="7A9536B4" w14:textId="77777777" w:rsidTr="003806DB">
        <w:tc>
          <w:tcPr>
            <w:tcW w:w="381" w:type="dxa"/>
          </w:tcPr>
          <w:p w14:paraId="08CAE214" w14:textId="77777777" w:rsidR="00CD1567" w:rsidRPr="00360DCD" w:rsidRDefault="00CD1567" w:rsidP="003806DB">
            <w:pPr>
              <w:rPr>
                <w:rFonts w:ascii="Arial" w:hAnsi="Arial" w:cs="Arial"/>
                <w:sz w:val="20"/>
                <w:szCs w:val="20"/>
              </w:rPr>
            </w:pPr>
            <w:r w:rsidRPr="00360DCD">
              <w:rPr>
                <w:rFonts w:ascii="Arial" w:hAnsi="Arial" w:cs="Arial"/>
                <w:sz w:val="20"/>
                <w:szCs w:val="20"/>
              </w:rPr>
              <w:t>ii</w:t>
            </w:r>
          </w:p>
        </w:tc>
        <w:tc>
          <w:tcPr>
            <w:tcW w:w="2119" w:type="dxa"/>
          </w:tcPr>
          <w:p w14:paraId="6A4FE1B8" w14:textId="77777777" w:rsidR="00CD1567" w:rsidRPr="00360DCD" w:rsidRDefault="00CD1567" w:rsidP="003806DB">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14:paraId="1593427D" w14:textId="77777777" w:rsidR="00CD1567" w:rsidRPr="00360DCD" w:rsidRDefault="00CD1567" w:rsidP="003806DB">
            <w:pPr>
              <w:rPr>
                <w:rFonts w:ascii="Arial" w:hAnsi="Arial" w:cs="Arial"/>
                <w:sz w:val="20"/>
                <w:szCs w:val="20"/>
              </w:rPr>
            </w:pPr>
          </w:p>
        </w:tc>
        <w:tc>
          <w:tcPr>
            <w:tcW w:w="1084" w:type="dxa"/>
          </w:tcPr>
          <w:p w14:paraId="4D6A6570" w14:textId="77777777" w:rsidR="00CD1567" w:rsidRPr="00360DCD" w:rsidRDefault="00CD1567" w:rsidP="003806DB">
            <w:pPr>
              <w:rPr>
                <w:rFonts w:ascii="Arial" w:hAnsi="Arial" w:cs="Arial"/>
                <w:sz w:val="20"/>
                <w:szCs w:val="20"/>
              </w:rPr>
            </w:pPr>
          </w:p>
        </w:tc>
        <w:tc>
          <w:tcPr>
            <w:tcW w:w="4781" w:type="dxa"/>
          </w:tcPr>
          <w:p w14:paraId="05C26417" w14:textId="77777777" w:rsidR="00CD1567" w:rsidRPr="00360DCD" w:rsidRDefault="00CD1567" w:rsidP="003806DB">
            <w:pPr>
              <w:rPr>
                <w:rFonts w:ascii="Arial" w:hAnsi="Arial" w:cs="Arial"/>
                <w:sz w:val="20"/>
                <w:szCs w:val="20"/>
              </w:rPr>
            </w:pPr>
          </w:p>
        </w:tc>
        <w:tc>
          <w:tcPr>
            <w:tcW w:w="2070" w:type="dxa"/>
          </w:tcPr>
          <w:p w14:paraId="0D867723" w14:textId="77777777" w:rsidR="00CD1567" w:rsidRPr="00360DCD" w:rsidRDefault="00CD1567" w:rsidP="003806DB">
            <w:pPr>
              <w:rPr>
                <w:rFonts w:ascii="Arial" w:hAnsi="Arial" w:cs="Arial"/>
                <w:sz w:val="20"/>
                <w:szCs w:val="20"/>
              </w:rPr>
            </w:pPr>
          </w:p>
        </w:tc>
      </w:tr>
      <w:tr w:rsidR="00CD1567" w14:paraId="5612779B" w14:textId="77777777" w:rsidTr="003806DB">
        <w:tc>
          <w:tcPr>
            <w:tcW w:w="381" w:type="dxa"/>
          </w:tcPr>
          <w:p w14:paraId="4960920C" w14:textId="77777777" w:rsidR="00CD1567" w:rsidRPr="00360DCD" w:rsidRDefault="00CD1567" w:rsidP="003806DB">
            <w:pPr>
              <w:rPr>
                <w:rFonts w:ascii="Arial" w:hAnsi="Arial" w:cs="Arial"/>
                <w:sz w:val="20"/>
                <w:szCs w:val="20"/>
              </w:rPr>
            </w:pPr>
            <w:r>
              <w:rPr>
                <w:rFonts w:ascii="Arial" w:hAnsi="Arial" w:cs="Arial"/>
                <w:sz w:val="20"/>
                <w:szCs w:val="20"/>
              </w:rPr>
              <w:t>i</w:t>
            </w:r>
            <w:r w:rsidRPr="00360DCD">
              <w:rPr>
                <w:rFonts w:ascii="Arial" w:hAnsi="Arial" w:cs="Arial"/>
                <w:sz w:val="20"/>
                <w:szCs w:val="20"/>
              </w:rPr>
              <w:t>ii</w:t>
            </w:r>
          </w:p>
        </w:tc>
        <w:tc>
          <w:tcPr>
            <w:tcW w:w="2119" w:type="dxa"/>
          </w:tcPr>
          <w:p w14:paraId="18CFBD8A" w14:textId="77777777" w:rsidR="00CD1567" w:rsidRPr="00360DCD" w:rsidRDefault="00CD1567" w:rsidP="003806DB">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p w14:paraId="74A70F2D" w14:textId="77777777" w:rsidR="00CD1567" w:rsidRPr="00360DCD" w:rsidRDefault="00CD1567" w:rsidP="003806DB">
            <w:pPr>
              <w:rPr>
                <w:rFonts w:ascii="Arial" w:hAnsi="Arial" w:cs="Arial"/>
                <w:sz w:val="20"/>
                <w:szCs w:val="20"/>
              </w:rPr>
            </w:pPr>
          </w:p>
        </w:tc>
        <w:tc>
          <w:tcPr>
            <w:tcW w:w="1084" w:type="dxa"/>
          </w:tcPr>
          <w:p w14:paraId="47FE2C74" w14:textId="77777777" w:rsidR="00CD1567" w:rsidRPr="00360DCD" w:rsidRDefault="00CD1567" w:rsidP="003806DB">
            <w:pPr>
              <w:rPr>
                <w:rFonts w:ascii="Arial" w:hAnsi="Arial" w:cs="Arial"/>
                <w:sz w:val="20"/>
                <w:szCs w:val="20"/>
              </w:rPr>
            </w:pPr>
          </w:p>
        </w:tc>
        <w:tc>
          <w:tcPr>
            <w:tcW w:w="4781" w:type="dxa"/>
          </w:tcPr>
          <w:p w14:paraId="7CFC48C3" w14:textId="77777777" w:rsidR="00CD1567" w:rsidRPr="00360DCD" w:rsidRDefault="00CD1567" w:rsidP="003806DB">
            <w:pPr>
              <w:rPr>
                <w:rFonts w:ascii="Arial" w:hAnsi="Arial" w:cs="Arial"/>
                <w:sz w:val="20"/>
                <w:szCs w:val="20"/>
              </w:rPr>
            </w:pPr>
          </w:p>
        </w:tc>
        <w:tc>
          <w:tcPr>
            <w:tcW w:w="2070" w:type="dxa"/>
          </w:tcPr>
          <w:p w14:paraId="75804CE2" w14:textId="77777777" w:rsidR="00CD1567" w:rsidRPr="00360DCD" w:rsidRDefault="00CD1567" w:rsidP="003806DB">
            <w:pPr>
              <w:rPr>
                <w:rFonts w:ascii="Arial" w:hAnsi="Arial" w:cs="Arial"/>
                <w:sz w:val="20"/>
                <w:szCs w:val="20"/>
              </w:rPr>
            </w:pPr>
          </w:p>
        </w:tc>
      </w:tr>
      <w:tr w:rsidR="00CD1567" w14:paraId="43019735" w14:textId="77777777" w:rsidTr="003806DB">
        <w:trPr>
          <w:trHeight w:val="1070"/>
        </w:trPr>
        <w:tc>
          <w:tcPr>
            <w:tcW w:w="381" w:type="dxa"/>
          </w:tcPr>
          <w:p w14:paraId="1D8358BE" w14:textId="77777777" w:rsidR="00CD1567" w:rsidRPr="00360DCD" w:rsidRDefault="00CD1567" w:rsidP="003806DB">
            <w:pPr>
              <w:rPr>
                <w:rFonts w:ascii="Arial" w:hAnsi="Arial" w:cs="Arial"/>
                <w:sz w:val="20"/>
                <w:szCs w:val="20"/>
              </w:rPr>
            </w:pPr>
            <w:r w:rsidRPr="00360DCD">
              <w:rPr>
                <w:rFonts w:ascii="Arial" w:hAnsi="Arial" w:cs="Arial"/>
                <w:sz w:val="20"/>
                <w:szCs w:val="20"/>
              </w:rPr>
              <w:t>iv</w:t>
            </w:r>
          </w:p>
        </w:tc>
        <w:tc>
          <w:tcPr>
            <w:tcW w:w="2119" w:type="dxa"/>
          </w:tcPr>
          <w:p w14:paraId="52F025EC" w14:textId="77777777" w:rsidR="00CD1567" w:rsidRPr="00360DCD" w:rsidRDefault="00CD1567" w:rsidP="003806DB">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 xml:space="preserve">if the approach under </w:t>
            </w:r>
            <w:r>
              <w:rPr>
                <w:rFonts w:ascii="Arial" w:hAnsi="Arial" w:cs="Arial"/>
                <w:sz w:val="20"/>
                <w:szCs w:val="20"/>
              </w:rPr>
              <w:t xml:space="preserve">Staff Question </w:t>
            </w:r>
            <w:r w:rsidRPr="00360DCD">
              <w:rPr>
                <w:rFonts w:ascii="Arial" w:hAnsi="Arial" w:cs="Arial"/>
                <w:sz w:val="20"/>
                <w:szCs w:val="20"/>
              </w:rPr>
              <w:t>1</w:t>
            </w:r>
            <w:r>
              <w:rPr>
                <w:rFonts w:ascii="Arial" w:hAnsi="Arial" w:cs="Arial"/>
                <w:sz w:val="20"/>
                <w:szCs w:val="20"/>
              </w:rPr>
              <w:t>c</w:t>
            </w:r>
            <w:r w:rsidRPr="00360DCD">
              <w:rPr>
                <w:rFonts w:ascii="Arial" w:hAnsi="Arial" w:cs="Arial"/>
                <w:sz w:val="20"/>
                <w:szCs w:val="20"/>
              </w:rPr>
              <w:t xml:space="preserve"> is used</w:t>
            </w:r>
          </w:p>
        </w:tc>
        <w:tc>
          <w:tcPr>
            <w:tcW w:w="1084" w:type="dxa"/>
          </w:tcPr>
          <w:p w14:paraId="61EBB1B7" w14:textId="77777777" w:rsidR="00CD1567" w:rsidRPr="00360DCD" w:rsidRDefault="00CD1567" w:rsidP="003806DB">
            <w:pPr>
              <w:rPr>
                <w:rFonts w:ascii="Arial" w:hAnsi="Arial" w:cs="Arial"/>
                <w:sz w:val="20"/>
                <w:szCs w:val="20"/>
              </w:rPr>
            </w:pPr>
          </w:p>
        </w:tc>
        <w:tc>
          <w:tcPr>
            <w:tcW w:w="4781" w:type="dxa"/>
          </w:tcPr>
          <w:p w14:paraId="2A0D914C" w14:textId="77777777" w:rsidR="00CD1567" w:rsidRPr="00360DCD" w:rsidRDefault="00CD1567" w:rsidP="003806DB">
            <w:pPr>
              <w:rPr>
                <w:rFonts w:ascii="Arial" w:hAnsi="Arial" w:cs="Arial"/>
                <w:sz w:val="20"/>
                <w:szCs w:val="20"/>
              </w:rPr>
            </w:pPr>
          </w:p>
        </w:tc>
        <w:tc>
          <w:tcPr>
            <w:tcW w:w="2070" w:type="dxa"/>
          </w:tcPr>
          <w:p w14:paraId="658BE5F3" w14:textId="77777777" w:rsidR="00CD1567" w:rsidRPr="00360DCD" w:rsidRDefault="00CD1567" w:rsidP="003806DB">
            <w:pPr>
              <w:rPr>
                <w:rFonts w:ascii="Arial" w:hAnsi="Arial" w:cs="Arial"/>
                <w:sz w:val="20"/>
                <w:szCs w:val="20"/>
              </w:rPr>
            </w:pPr>
          </w:p>
        </w:tc>
      </w:tr>
    </w:tbl>
    <w:p w14:paraId="7BF8DBAD" w14:textId="77777777" w:rsidR="00CD1567" w:rsidRDefault="00CD1567" w:rsidP="00EB5B64">
      <w:pPr>
        <w:pStyle w:val="ListParagraph"/>
        <w:numPr>
          <w:ilvl w:val="1"/>
          <w:numId w:val="5"/>
        </w:numPr>
        <w:rPr>
          <w:rFonts w:ascii="Arial" w:hAnsi="Arial" w:cs="Arial"/>
          <w:sz w:val="24"/>
          <w:szCs w:val="24"/>
        </w:rPr>
      </w:pPr>
      <w:r>
        <w:rPr>
          <w:rFonts w:ascii="Arial" w:hAnsi="Arial" w:cs="Arial"/>
          <w:sz w:val="24"/>
          <w:szCs w:val="24"/>
        </w:rPr>
        <w:t xml:space="preserve">For each item in the table above, please confirm that the GA Analysis Workform for 2016 and the 2018 Rate Generator Model Tab 3 Continuity Schedule for 2016 have been adjusted for settlement true-ups where </w:t>
      </w:r>
      <w:r>
        <w:rPr>
          <w:rFonts w:ascii="Arial" w:hAnsi="Arial" w:cs="Arial"/>
          <w:sz w:val="24"/>
          <w:szCs w:val="24"/>
        </w:rPr>
        <w:lastRenderedPageBreak/>
        <w:t xml:space="preserve">settlement was originally based on estimate and trued up to actuals subsequent to 2016. </w:t>
      </w:r>
    </w:p>
    <w:p w14:paraId="2B58204A" w14:textId="77777777" w:rsidR="00404F9A" w:rsidRDefault="002B1731" w:rsidP="00404F9A">
      <w:pPr>
        <w:rPr>
          <w:rFonts w:ascii="Arial" w:hAnsi="Arial" w:cs="Arial"/>
          <w:b/>
          <w:color w:val="0070C0"/>
          <w:sz w:val="24"/>
          <w:szCs w:val="24"/>
        </w:rPr>
      </w:pPr>
      <w:r w:rsidRPr="002B1731">
        <w:rPr>
          <w:rFonts w:ascii="Arial" w:hAnsi="Arial" w:cs="Arial"/>
          <w:b/>
          <w:color w:val="0070C0"/>
          <w:sz w:val="24"/>
          <w:szCs w:val="24"/>
        </w:rPr>
        <w:t>RESPONSE</w:t>
      </w:r>
    </w:p>
    <w:p w14:paraId="06DCC809" w14:textId="6780F093" w:rsidR="00404F9A" w:rsidRPr="00404F9A" w:rsidRDefault="00404F9A" w:rsidP="00404F9A">
      <w:pPr>
        <w:pStyle w:val="ListParagraph"/>
        <w:numPr>
          <w:ilvl w:val="0"/>
          <w:numId w:val="19"/>
        </w:numPr>
        <w:rPr>
          <w:rFonts w:ascii="Arial" w:hAnsi="Arial" w:cs="Arial"/>
          <w:b/>
          <w:color w:val="0070C0"/>
          <w:sz w:val="24"/>
          <w:szCs w:val="24"/>
        </w:rPr>
      </w:pPr>
      <w:r>
        <w:rPr>
          <w:rFonts w:ascii="Arial" w:hAnsi="Arial" w:cs="Arial"/>
          <w:color w:val="0070C0"/>
          <w:sz w:val="24"/>
          <w:szCs w:val="24"/>
        </w:rPr>
        <w:t>a</w:t>
      </w:r>
      <w:r w:rsidRPr="00404F9A">
        <w:rPr>
          <w:rFonts w:ascii="Arial" w:hAnsi="Arial" w:cs="Arial"/>
          <w:color w:val="0070C0"/>
          <w:sz w:val="24"/>
          <w:szCs w:val="24"/>
        </w:rPr>
        <w:t>nd b)</w:t>
      </w:r>
    </w:p>
    <w:tbl>
      <w:tblPr>
        <w:tblStyle w:val="TableGrid"/>
        <w:tblW w:w="10435" w:type="dxa"/>
        <w:tblLook w:val="04A0" w:firstRow="1" w:lastRow="0" w:firstColumn="1" w:lastColumn="0" w:noHBand="0" w:noVBand="1"/>
      </w:tblPr>
      <w:tblGrid>
        <w:gridCol w:w="381"/>
        <w:gridCol w:w="2119"/>
        <w:gridCol w:w="1084"/>
        <w:gridCol w:w="4781"/>
        <w:gridCol w:w="2070"/>
      </w:tblGrid>
      <w:tr w:rsidR="00404F9A" w14:paraId="6497E1A7" w14:textId="77777777" w:rsidTr="00F32890">
        <w:tc>
          <w:tcPr>
            <w:tcW w:w="381" w:type="dxa"/>
          </w:tcPr>
          <w:p w14:paraId="20F6251D" w14:textId="77777777" w:rsidR="00404F9A" w:rsidRPr="00360DCD" w:rsidRDefault="00404F9A" w:rsidP="00F32890">
            <w:pPr>
              <w:rPr>
                <w:rFonts w:ascii="Arial" w:hAnsi="Arial" w:cs="Arial"/>
                <w:sz w:val="20"/>
                <w:szCs w:val="20"/>
              </w:rPr>
            </w:pPr>
          </w:p>
        </w:tc>
        <w:tc>
          <w:tcPr>
            <w:tcW w:w="2119" w:type="dxa"/>
          </w:tcPr>
          <w:p w14:paraId="1DFA95E4" w14:textId="77777777" w:rsidR="00404F9A" w:rsidRPr="00360DCD" w:rsidRDefault="00404F9A" w:rsidP="00F32890">
            <w:pPr>
              <w:rPr>
                <w:rFonts w:ascii="Arial" w:hAnsi="Arial" w:cs="Arial"/>
                <w:b/>
                <w:sz w:val="20"/>
                <w:szCs w:val="20"/>
              </w:rPr>
            </w:pPr>
            <w:r w:rsidRPr="00360DCD">
              <w:rPr>
                <w:rFonts w:ascii="Arial" w:hAnsi="Arial" w:cs="Arial"/>
                <w:b/>
                <w:sz w:val="20"/>
                <w:szCs w:val="20"/>
              </w:rPr>
              <w:t>Component</w:t>
            </w:r>
          </w:p>
        </w:tc>
        <w:tc>
          <w:tcPr>
            <w:tcW w:w="1084" w:type="dxa"/>
          </w:tcPr>
          <w:p w14:paraId="315502D4" w14:textId="77777777" w:rsidR="00404F9A" w:rsidRPr="00360DCD" w:rsidRDefault="00404F9A" w:rsidP="00F32890">
            <w:pPr>
              <w:rPr>
                <w:rFonts w:ascii="Arial" w:hAnsi="Arial" w:cs="Arial"/>
                <w:b/>
                <w:sz w:val="20"/>
                <w:szCs w:val="20"/>
              </w:rPr>
            </w:pPr>
            <w:r w:rsidRPr="00360DCD">
              <w:rPr>
                <w:rFonts w:ascii="Arial" w:hAnsi="Arial" w:cs="Arial"/>
                <w:b/>
                <w:sz w:val="20"/>
                <w:szCs w:val="20"/>
              </w:rPr>
              <w:t>Estimate or Actual</w:t>
            </w:r>
          </w:p>
        </w:tc>
        <w:tc>
          <w:tcPr>
            <w:tcW w:w="4781" w:type="dxa"/>
          </w:tcPr>
          <w:p w14:paraId="255A3EEE" w14:textId="77777777" w:rsidR="00404F9A" w:rsidRPr="00360DCD" w:rsidRDefault="00404F9A" w:rsidP="00F32890">
            <w:pPr>
              <w:rPr>
                <w:rFonts w:ascii="Arial" w:hAnsi="Arial" w:cs="Arial"/>
                <w:b/>
                <w:sz w:val="20"/>
                <w:szCs w:val="20"/>
              </w:rPr>
            </w:pPr>
            <w:r w:rsidRPr="00360DCD">
              <w:rPr>
                <w:rFonts w:ascii="Arial" w:hAnsi="Arial" w:cs="Arial"/>
                <w:b/>
                <w:sz w:val="20"/>
                <w:szCs w:val="20"/>
              </w:rPr>
              <w:t>Notes/Comments</w:t>
            </w:r>
          </w:p>
        </w:tc>
        <w:tc>
          <w:tcPr>
            <w:tcW w:w="2070" w:type="dxa"/>
          </w:tcPr>
          <w:p w14:paraId="122D07FB" w14:textId="77777777" w:rsidR="00404F9A" w:rsidRPr="00360DCD" w:rsidRDefault="00404F9A" w:rsidP="00F32890">
            <w:pPr>
              <w:rPr>
                <w:rFonts w:ascii="Arial" w:hAnsi="Arial" w:cs="Arial"/>
                <w:b/>
                <w:sz w:val="20"/>
                <w:szCs w:val="20"/>
              </w:rPr>
            </w:pPr>
            <w:r w:rsidRPr="00360DCD">
              <w:rPr>
                <w:rFonts w:ascii="Arial" w:hAnsi="Arial" w:cs="Arial"/>
                <w:b/>
                <w:sz w:val="20"/>
                <w:szCs w:val="20"/>
              </w:rPr>
              <w:t>Quantify True Up  Adjustment</w:t>
            </w:r>
            <w:r>
              <w:rPr>
                <w:rFonts w:ascii="Arial" w:hAnsi="Arial" w:cs="Arial"/>
                <w:b/>
                <w:sz w:val="20"/>
                <w:szCs w:val="20"/>
              </w:rPr>
              <w:t xml:space="preserve"> $ Amount</w:t>
            </w:r>
          </w:p>
        </w:tc>
      </w:tr>
      <w:tr w:rsidR="00404F9A" w14:paraId="47F7A1BD" w14:textId="77777777" w:rsidTr="00F32890">
        <w:tc>
          <w:tcPr>
            <w:tcW w:w="381" w:type="dxa"/>
          </w:tcPr>
          <w:p w14:paraId="31B8A9B9" w14:textId="77777777" w:rsidR="00404F9A" w:rsidRPr="00360DCD" w:rsidRDefault="00404F9A" w:rsidP="00F32890">
            <w:pPr>
              <w:rPr>
                <w:rFonts w:ascii="Arial" w:hAnsi="Arial" w:cs="Arial"/>
                <w:sz w:val="20"/>
                <w:szCs w:val="20"/>
              </w:rPr>
            </w:pPr>
            <w:proofErr w:type="spellStart"/>
            <w:r w:rsidRPr="00360DCD">
              <w:rPr>
                <w:rFonts w:ascii="Arial" w:hAnsi="Arial" w:cs="Arial"/>
                <w:sz w:val="20"/>
                <w:szCs w:val="20"/>
              </w:rPr>
              <w:t>i</w:t>
            </w:r>
            <w:proofErr w:type="spellEnd"/>
          </w:p>
        </w:tc>
        <w:tc>
          <w:tcPr>
            <w:tcW w:w="2119" w:type="dxa"/>
          </w:tcPr>
          <w:p w14:paraId="1453E0D2" w14:textId="77777777" w:rsidR="00404F9A" w:rsidRPr="00360DCD" w:rsidRDefault="00404F9A" w:rsidP="00F32890">
            <w:pPr>
              <w:rPr>
                <w:rFonts w:ascii="Arial" w:hAnsi="Arial" w:cs="Arial"/>
                <w:sz w:val="20"/>
                <w:szCs w:val="20"/>
              </w:rPr>
            </w:pPr>
            <w:r w:rsidRPr="00360DCD">
              <w:rPr>
                <w:rFonts w:ascii="Arial" w:hAnsi="Arial" w:cs="Arial"/>
                <w:sz w:val="20"/>
                <w:szCs w:val="20"/>
              </w:rPr>
              <w:t xml:space="preserve">Revenue (i.e. 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360DCD">
              <w:rPr>
                <w:rFonts w:ascii="Arial" w:hAnsi="Arial" w:cs="Arial"/>
                <w:sz w:val="20"/>
                <w:szCs w:val="20"/>
              </w:rPr>
              <w:t xml:space="preserve">) </w:t>
            </w:r>
          </w:p>
          <w:p w14:paraId="70E49E1F" w14:textId="77777777" w:rsidR="00404F9A" w:rsidRPr="00360DCD" w:rsidRDefault="00404F9A" w:rsidP="00F32890">
            <w:pPr>
              <w:rPr>
                <w:rFonts w:ascii="Arial" w:hAnsi="Arial" w:cs="Arial"/>
                <w:sz w:val="20"/>
                <w:szCs w:val="20"/>
              </w:rPr>
            </w:pPr>
          </w:p>
        </w:tc>
        <w:tc>
          <w:tcPr>
            <w:tcW w:w="1084" w:type="dxa"/>
          </w:tcPr>
          <w:p w14:paraId="0D92F032" w14:textId="77777777" w:rsidR="00404F9A" w:rsidRPr="00360DCD" w:rsidRDefault="00404F9A" w:rsidP="00F32890">
            <w:pPr>
              <w:rPr>
                <w:rFonts w:ascii="Arial" w:hAnsi="Arial" w:cs="Arial"/>
                <w:sz w:val="20"/>
                <w:szCs w:val="20"/>
              </w:rPr>
            </w:pPr>
            <w:r>
              <w:rPr>
                <w:rFonts w:ascii="Arial" w:hAnsi="Arial" w:cs="Arial"/>
                <w:color w:val="0070C0"/>
                <w:sz w:val="20"/>
                <w:szCs w:val="20"/>
              </w:rPr>
              <w:t>Actual</w:t>
            </w:r>
          </w:p>
        </w:tc>
        <w:tc>
          <w:tcPr>
            <w:tcW w:w="4781" w:type="dxa"/>
          </w:tcPr>
          <w:p w14:paraId="5915550D" w14:textId="77777777" w:rsidR="00404F9A" w:rsidRPr="00360DCD" w:rsidRDefault="00404F9A" w:rsidP="005F23CE">
            <w:pPr>
              <w:jc w:val="both"/>
              <w:rPr>
                <w:rFonts w:ascii="Arial" w:hAnsi="Arial" w:cs="Arial"/>
                <w:sz w:val="20"/>
                <w:szCs w:val="20"/>
              </w:rPr>
            </w:pPr>
            <w:r>
              <w:rPr>
                <w:rFonts w:ascii="Arial" w:hAnsi="Arial" w:cs="Arial"/>
                <w:color w:val="0070C0"/>
                <w:sz w:val="20"/>
                <w:szCs w:val="20"/>
              </w:rPr>
              <w:t>Final u</w:t>
            </w:r>
            <w:r w:rsidRPr="00E073E0">
              <w:rPr>
                <w:rFonts w:ascii="Arial" w:hAnsi="Arial" w:cs="Arial"/>
                <w:color w:val="0070C0"/>
                <w:sz w:val="20"/>
                <w:szCs w:val="20"/>
              </w:rPr>
              <w:t>nbilled revenue</w:t>
            </w:r>
            <w:r>
              <w:rPr>
                <w:rFonts w:ascii="Arial" w:hAnsi="Arial" w:cs="Arial"/>
                <w:color w:val="0070C0"/>
                <w:sz w:val="20"/>
                <w:szCs w:val="20"/>
              </w:rPr>
              <w:t xml:space="preserve"> for December is confirmed in February of the following year, and backdated into December to ensure the year end number reflects actual. The unbilled amount is reversed in January when the customer is billed.</w:t>
            </w:r>
          </w:p>
        </w:tc>
        <w:tc>
          <w:tcPr>
            <w:tcW w:w="2070" w:type="dxa"/>
          </w:tcPr>
          <w:p w14:paraId="226CB7FB" w14:textId="77777777" w:rsidR="00404F9A" w:rsidRDefault="00404F9A" w:rsidP="00F32890">
            <w:pPr>
              <w:jc w:val="center"/>
              <w:rPr>
                <w:rFonts w:ascii="Arial" w:hAnsi="Arial" w:cs="Arial"/>
                <w:sz w:val="20"/>
                <w:szCs w:val="20"/>
              </w:rPr>
            </w:pPr>
            <w:r>
              <w:rPr>
                <w:rFonts w:ascii="Arial" w:hAnsi="Arial" w:cs="Arial"/>
                <w:sz w:val="20"/>
                <w:szCs w:val="20"/>
              </w:rPr>
              <w:t>0</w:t>
            </w:r>
          </w:p>
          <w:p w14:paraId="3FDACD02" w14:textId="77777777" w:rsidR="00404F9A" w:rsidRPr="00360DCD" w:rsidRDefault="00404F9A" w:rsidP="00F32890">
            <w:pPr>
              <w:jc w:val="center"/>
              <w:rPr>
                <w:rFonts w:ascii="Arial" w:hAnsi="Arial" w:cs="Arial"/>
                <w:sz w:val="20"/>
                <w:szCs w:val="20"/>
              </w:rPr>
            </w:pPr>
          </w:p>
        </w:tc>
      </w:tr>
      <w:tr w:rsidR="00404F9A" w14:paraId="0B290C0A" w14:textId="77777777" w:rsidTr="00F32890">
        <w:tc>
          <w:tcPr>
            <w:tcW w:w="381" w:type="dxa"/>
          </w:tcPr>
          <w:p w14:paraId="0204AB9A" w14:textId="77777777" w:rsidR="00404F9A" w:rsidRPr="00360DCD" w:rsidRDefault="00404F9A" w:rsidP="00F32890">
            <w:pPr>
              <w:rPr>
                <w:rFonts w:ascii="Arial" w:hAnsi="Arial" w:cs="Arial"/>
                <w:sz w:val="20"/>
                <w:szCs w:val="20"/>
              </w:rPr>
            </w:pPr>
            <w:r w:rsidRPr="00360DCD">
              <w:rPr>
                <w:rFonts w:ascii="Arial" w:hAnsi="Arial" w:cs="Arial"/>
                <w:sz w:val="20"/>
                <w:szCs w:val="20"/>
              </w:rPr>
              <w:t>ii</w:t>
            </w:r>
          </w:p>
        </w:tc>
        <w:tc>
          <w:tcPr>
            <w:tcW w:w="2119" w:type="dxa"/>
          </w:tcPr>
          <w:p w14:paraId="0837E18E" w14:textId="77777777" w:rsidR="00404F9A" w:rsidRPr="00360DCD" w:rsidRDefault="00404F9A" w:rsidP="00F3289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14:paraId="62D4B750" w14:textId="77777777" w:rsidR="00404F9A" w:rsidRPr="00360DCD" w:rsidRDefault="00404F9A" w:rsidP="00F32890">
            <w:pPr>
              <w:rPr>
                <w:rFonts w:ascii="Arial" w:hAnsi="Arial" w:cs="Arial"/>
                <w:sz w:val="20"/>
                <w:szCs w:val="20"/>
              </w:rPr>
            </w:pPr>
          </w:p>
        </w:tc>
        <w:tc>
          <w:tcPr>
            <w:tcW w:w="1084" w:type="dxa"/>
          </w:tcPr>
          <w:p w14:paraId="158967C6" w14:textId="77777777" w:rsidR="00404F9A" w:rsidRPr="00E073E0" w:rsidRDefault="00404F9A" w:rsidP="00F32890">
            <w:pPr>
              <w:rPr>
                <w:rFonts w:ascii="Arial" w:hAnsi="Arial" w:cs="Arial"/>
                <w:color w:val="0070C0"/>
                <w:sz w:val="20"/>
                <w:szCs w:val="20"/>
              </w:rPr>
            </w:pPr>
            <w:r>
              <w:rPr>
                <w:rFonts w:ascii="Arial" w:hAnsi="Arial" w:cs="Arial"/>
                <w:color w:val="0070C0"/>
                <w:sz w:val="20"/>
                <w:szCs w:val="20"/>
              </w:rPr>
              <w:t>Actual</w:t>
            </w:r>
          </w:p>
        </w:tc>
        <w:tc>
          <w:tcPr>
            <w:tcW w:w="4781" w:type="dxa"/>
          </w:tcPr>
          <w:p w14:paraId="535EDAD0" w14:textId="10052E2F" w:rsidR="00404F9A" w:rsidRPr="00E073E0" w:rsidRDefault="00404F9A" w:rsidP="005F23CE">
            <w:pPr>
              <w:jc w:val="both"/>
              <w:rPr>
                <w:rFonts w:ascii="Arial" w:hAnsi="Arial" w:cs="Arial"/>
                <w:color w:val="0070C0"/>
                <w:sz w:val="20"/>
                <w:szCs w:val="20"/>
              </w:rPr>
            </w:pPr>
            <w:r>
              <w:rPr>
                <w:rFonts w:ascii="Arial" w:hAnsi="Arial" w:cs="Arial"/>
                <w:color w:val="0070C0"/>
                <w:sz w:val="20"/>
                <w:szCs w:val="20"/>
              </w:rPr>
              <w:t>The January dated IESO invoice pertains to December usage.  All line items on that invoice are backdated into December except HST 900, 950 and 9980 Smart Metering Charge.</w:t>
            </w:r>
            <w:r w:rsidR="00435D8E">
              <w:rPr>
                <w:rFonts w:ascii="Arial" w:hAnsi="Arial" w:cs="Arial"/>
                <w:color w:val="0070C0"/>
                <w:sz w:val="20"/>
                <w:szCs w:val="20"/>
              </w:rPr>
              <w:t xml:space="preserve">  Based on this approach the total dollars are correct, however th</w:t>
            </w:r>
            <w:r w:rsidR="00A6078D">
              <w:rPr>
                <w:rFonts w:ascii="Arial" w:hAnsi="Arial" w:cs="Arial"/>
                <w:color w:val="0070C0"/>
                <w:sz w:val="20"/>
                <w:szCs w:val="20"/>
              </w:rPr>
              <w:t>e segreg</w:t>
            </w:r>
            <w:r w:rsidR="00435D8E">
              <w:rPr>
                <w:rFonts w:ascii="Arial" w:hAnsi="Arial" w:cs="Arial"/>
                <w:color w:val="0070C0"/>
                <w:sz w:val="20"/>
                <w:szCs w:val="20"/>
              </w:rPr>
              <w:t>a</w:t>
            </w:r>
            <w:r w:rsidR="00A6078D">
              <w:rPr>
                <w:rFonts w:ascii="Arial" w:hAnsi="Arial" w:cs="Arial"/>
                <w:color w:val="0070C0"/>
                <w:sz w:val="20"/>
                <w:szCs w:val="20"/>
              </w:rPr>
              <w:t>t</w:t>
            </w:r>
            <w:r w:rsidR="00435D8E">
              <w:rPr>
                <w:rFonts w:ascii="Arial" w:hAnsi="Arial" w:cs="Arial"/>
                <w:color w:val="0070C0"/>
                <w:sz w:val="20"/>
                <w:szCs w:val="20"/>
              </w:rPr>
              <w:t>ion between RPP/non-RPP is not finalized until the next step (see iii)</w:t>
            </w:r>
            <w:r w:rsidR="002938BE">
              <w:rPr>
                <w:rFonts w:ascii="Arial" w:hAnsi="Arial" w:cs="Arial"/>
                <w:color w:val="0070C0"/>
                <w:sz w:val="20"/>
                <w:szCs w:val="20"/>
              </w:rPr>
              <w:t>.</w:t>
            </w:r>
          </w:p>
        </w:tc>
        <w:tc>
          <w:tcPr>
            <w:tcW w:w="2070" w:type="dxa"/>
          </w:tcPr>
          <w:p w14:paraId="78FD4D21" w14:textId="77777777" w:rsidR="00404F9A" w:rsidRDefault="00404F9A" w:rsidP="00F32890">
            <w:pPr>
              <w:rPr>
                <w:rFonts w:ascii="Arial" w:hAnsi="Arial" w:cs="Arial"/>
                <w:sz w:val="20"/>
                <w:szCs w:val="20"/>
              </w:rPr>
            </w:pPr>
            <w:r>
              <w:rPr>
                <w:rFonts w:ascii="Arial" w:hAnsi="Arial" w:cs="Arial"/>
                <w:sz w:val="20"/>
                <w:szCs w:val="20"/>
              </w:rPr>
              <w:t xml:space="preserve">              0</w:t>
            </w:r>
          </w:p>
          <w:p w14:paraId="2884D696" w14:textId="77777777" w:rsidR="00404F9A" w:rsidRPr="00360DCD" w:rsidRDefault="00404F9A" w:rsidP="00F32890">
            <w:pPr>
              <w:rPr>
                <w:rFonts w:ascii="Arial" w:hAnsi="Arial" w:cs="Arial"/>
                <w:sz w:val="20"/>
                <w:szCs w:val="20"/>
              </w:rPr>
            </w:pPr>
          </w:p>
        </w:tc>
      </w:tr>
      <w:tr w:rsidR="00404F9A" w14:paraId="17522BD7" w14:textId="77777777" w:rsidTr="00F32890">
        <w:tc>
          <w:tcPr>
            <w:tcW w:w="381" w:type="dxa"/>
          </w:tcPr>
          <w:p w14:paraId="40BFA36A" w14:textId="77777777" w:rsidR="00404F9A" w:rsidRPr="00360DCD" w:rsidRDefault="00404F9A" w:rsidP="00F32890">
            <w:pPr>
              <w:rPr>
                <w:rFonts w:ascii="Arial" w:hAnsi="Arial" w:cs="Arial"/>
                <w:sz w:val="20"/>
                <w:szCs w:val="20"/>
              </w:rPr>
            </w:pPr>
            <w:r>
              <w:rPr>
                <w:rFonts w:ascii="Arial" w:hAnsi="Arial" w:cs="Arial"/>
                <w:sz w:val="20"/>
                <w:szCs w:val="20"/>
              </w:rPr>
              <w:t>i</w:t>
            </w:r>
            <w:r w:rsidRPr="00360DCD">
              <w:rPr>
                <w:rFonts w:ascii="Arial" w:hAnsi="Arial" w:cs="Arial"/>
                <w:sz w:val="20"/>
                <w:szCs w:val="20"/>
              </w:rPr>
              <w:t>ii</w:t>
            </w:r>
          </w:p>
        </w:tc>
        <w:tc>
          <w:tcPr>
            <w:tcW w:w="2119" w:type="dxa"/>
          </w:tcPr>
          <w:p w14:paraId="12ECF3CD" w14:textId="77777777" w:rsidR="00404F9A" w:rsidRPr="00360DCD" w:rsidRDefault="00404F9A" w:rsidP="00F3289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p w14:paraId="2751AE3B" w14:textId="77777777" w:rsidR="00404F9A" w:rsidRPr="00360DCD" w:rsidRDefault="00404F9A" w:rsidP="00F32890">
            <w:pPr>
              <w:rPr>
                <w:rFonts w:ascii="Arial" w:hAnsi="Arial" w:cs="Arial"/>
                <w:sz w:val="20"/>
                <w:szCs w:val="20"/>
              </w:rPr>
            </w:pPr>
          </w:p>
        </w:tc>
        <w:tc>
          <w:tcPr>
            <w:tcW w:w="1084" w:type="dxa"/>
          </w:tcPr>
          <w:p w14:paraId="0395CE1A" w14:textId="77777777" w:rsidR="00404F9A" w:rsidRPr="00BB77DD" w:rsidRDefault="00404F9A" w:rsidP="00F32890">
            <w:pPr>
              <w:rPr>
                <w:rFonts w:ascii="Arial" w:hAnsi="Arial" w:cs="Arial"/>
                <w:color w:val="0070C0"/>
                <w:sz w:val="20"/>
                <w:szCs w:val="20"/>
              </w:rPr>
            </w:pPr>
            <w:r>
              <w:rPr>
                <w:rFonts w:ascii="Arial" w:hAnsi="Arial" w:cs="Arial"/>
                <w:color w:val="0070C0"/>
                <w:sz w:val="20"/>
                <w:szCs w:val="20"/>
              </w:rPr>
              <w:t>Estimate</w:t>
            </w:r>
          </w:p>
        </w:tc>
        <w:tc>
          <w:tcPr>
            <w:tcW w:w="4781" w:type="dxa"/>
          </w:tcPr>
          <w:p w14:paraId="2510658F" w14:textId="5783712F" w:rsidR="00404F9A" w:rsidRPr="004A0804" w:rsidRDefault="00404F9A" w:rsidP="00012FF8">
            <w:pPr>
              <w:jc w:val="both"/>
              <w:rPr>
                <w:rFonts w:ascii="Arial" w:hAnsi="Arial" w:cs="Arial"/>
                <w:color w:val="0070C0"/>
                <w:sz w:val="20"/>
                <w:szCs w:val="20"/>
              </w:rPr>
            </w:pPr>
            <w:r>
              <w:rPr>
                <w:rFonts w:ascii="Arial" w:hAnsi="Arial" w:cs="Arial"/>
                <w:color w:val="0070C0"/>
                <w:sz w:val="20"/>
                <w:szCs w:val="20"/>
              </w:rPr>
              <w:t xml:space="preserve">The amount in charge type 148 was based on the IESO January invoice. No true-up was entered </w:t>
            </w:r>
            <w:r w:rsidR="00012FF8">
              <w:rPr>
                <w:rFonts w:ascii="Arial" w:hAnsi="Arial" w:cs="Arial"/>
                <w:color w:val="0070C0"/>
                <w:sz w:val="20"/>
                <w:szCs w:val="20"/>
              </w:rPr>
              <w:t>in the g</w:t>
            </w:r>
            <w:r w:rsidR="000E28D5">
              <w:rPr>
                <w:rFonts w:ascii="Arial" w:hAnsi="Arial" w:cs="Arial"/>
                <w:color w:val="0070C0"/>
                <w:sz w:val="20"/>
                <w:szCs w:val="20"/>
              </w:rPr>
              <w:t xml:space="preserve">eneral </w:t>
            </w:r>
            <w:r w:rsidR="00012FF8">
              <w:rPr>
                <w:rFonts w:ascii="Arial" w:hAnsi="Arial" w:cs="Arial"/>
                <w:color w:val="0070C0"/>
                <w:sz w:val="20"/>
                <w:szCs w:val="20"/>
              </w:rPr>
              <w:t>l</w:t>
            </w:r>
            <w:r w:rsidR="000E28D5">
              <w:rPr>
                <w:rFonts w:ascii="Arial" w:hAnsi="Arial" w:cs="Arial"/>
                <w:color w:val="0070C0"/>
                <w:sz w:val="20"/>
                <w:szCs w:val="20"/>
              </w:rPr>
              <w:t xml:space="preserve">edger </w:t>
            </w:r>
            <w:r>
              <w:rPr>
                <w:rFonts w:ascii="Arial" w:hAnsi="Arial" w:cs="Arial"/>
                <w:color w:val="0070C0"/>
                <w:sz w:val="20"/>
                <w:szCs w:val="20"/>
              </w:rPr>
              <w:t xml:space="preserve">for 2016. </w:t>
            </w:r>
            <w:r w:rsidR="00436C5C">
              <w:rPr>
                <w:rFonts w:ascii="Arial" w:hAnsi="Arial" w:cs="Arial"/>
                <w:color w:val="0070C0"/>
                <w:sz w:val="20"/>
                <w:szCs w:val="20"/>
              </w:rPr>
              <w:t xml:space="preserve">An adjustment was made </w:t>
            </w:r>
            <w:r>
              <w:rPr>
                <w:rFonts w:ascii="Arial" w:hAnsi="Arial" w:cs="Arial"/>
                <w:color w:val="0070C0"/>
                <w:sz w:val="20"/>
                <w:szCs w:val="20"/>
              </w:rPr>
              <w:t>in the 2018 IRM Rate Generator Model –Tab 3 under Principal Adjustments during 2016</w:t>
            </w:r>
            <w:r w:rsidR="009D5C00">
              <w:rPr>
                <w:rFonts w:ascii="Arial" w:hAnsi="Arial" w:cs="Arial"/>
                <w:color w:val="0070C0"/>
                <w:sz w:val="20"/>
                <w:szCs w:val="20"/>
              </w:rPr>
              <w:t xml:space="preserve"> which converted the estimate to actual.</w:t>
            </w:r>
            <w:r>
              <w:rPr>
                <w:rFonts w:ascii="Arial" w:hAnsi="Arial" w:cs="Arial"/>
                <w:color w:val="0070C0"/>
                <w:sz w:val="20"/>
                <w:szCs w:val="20"/>
              </w:rPr>
              <w:t xml:space="preserve">  The offset to this true up is in account 1588</w:t>
            </w:r>
            <w:r w:rsidR="002938BE">
              <w:rPr>
                <w:rFonts w:ascii="Arial" w:hAnsi="Arial" w:cs="Arial"/>
                <w:color w:val="0070C0"/>
                <w:sz w:val="20"/>
                <w:szCs w:val="20"/>
              </w:rPr>
              <w:t>.</w:t>
            </w:r>
            <w:r w:rsidR="00264763">
              <w:rPr>
                <w:rFonts w:ascii="Arial" w:hAnsi="Arial" w:cs="Arial"/>
                <w:color w:val="0070C0"/>
                <w:sz w:val="20"/>
                <w:szCs w:val="20"/>
              </w:rPr>
              <w:t xml:space="preserve"> </w:t>
            </w:r>
          </w:p>
        </w:tc>
        <w:tc>
          <w:tcPr>
            <w:tcW w:w="2070" w:type="dxa"/>
          </w:tcPr>
          <w:p w14:paraId="0114D593" w14:textId="77777777" w:rsidR="00404F9A" w:rsidRPr="00360DCD" w:rsidRDefault="00404F9A" w:rsidP="009D5C00">
            <w:pPr>
              <w:jc w:val="center"/>
              <w:rPr>
                <w:rFonts w:ascii="Arial" w:hAnsi="Arial" w:cs="Arial"/>
                <w:sz w:val="20"/>
                <w:szCs w:val="20"/>
              </w:rPr>
            </w:pPr>
            <w:r>
              <w:rPr>
                <w:rFonts w:ascii="Arial" w:hAnsi="Arial" w:cs="Arial"/>
                <w:sz w:val="20"/>
                <w:szCs w:val="20"/>
              </w:rPr>
              <w:t>(1,641,011)</w:t>
            </w:r>
          </w:p>
        </w:tc>
      </w:tr>
      <w:tr w:rsidR="00404F9A" w14:paraId="14BEBD5D" w14:textId="77777777" w:rsidTr="00F32890">
        <w:trPr>
          <w:trHeight w:val="1070"/>
        </w:trPr>
        <w:tc>
          <w:tcPr>
            <w:tcW w:w="381" w:type="dxa"/>
          </w:tcPr>
          <w:p w14:paraId="46689CDD" w14:textId="77777777" w:rsidR="00404F9A" w:rsidRPr="00360DCD" w:rsidRDefault="00404F9A" w:rsidP="00F32890">
            <w:pPr>
              <w:rPr>
                <w:rFonts w:ascii="Arial" w:hAnsi="Arial" w:cs="Arial"/>
                <w:sz w:val="20"/>
                <w:szCs w:val="20"/>
              </w:rPr>
            </w:pPr>
            <w:r w:rsidRPr="00360DCD">
              <w:rPr>
                <w:rFonts w:ascii="Arial" w:hAnsi="Arial" w:cs="Arial"/>
                <w:sz w:val="20"/>
                <w:szCs w:val="20"/>
              </w:rPr>
              <w:t>iv</w:t>
            </w:r>
          </w:p>
        </w:tc>
        <w:tc>
          <w:tcPr>
            <w:tcW w:w="2119" w:type="dxa"/>
          </w:tcPr>
          <w:p w14:paraId="3656B3BF" w14:textId="77777777" w:rsidR="00404F9A" w:rsidRPr="00360DCD" w:rsidRDefault="00404F9A" w:rsidP="00F32890">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 xml:space="preserve">if the approach under </w:t>
            </w:r>
            <w:r>
              <w:rPr>
                <w:rFonts w:ascii="Arial" w:hAnsi="Arial" w:cs="Arial"/>
                <w:sz w:val="20"/>
                <w:szCs w:val="20"/>
              </w:rPr>
              <w:t xml:space="preserve">Staff Question </w:t>
            </w:r>
            <w:r w:rsidRPr="00360DCD">
              <w:rPr>
                <w:rFonts w:ascii="Arial" w:hAnsi="Arial" w:cs="Arial"/>
                <w:sz w:val="20"/>
                <w:szCs w:val="20"/>
              </w:rPr>
              <w:t>1</w:t>
            </w:r>
            <w:r>
              <w:rPr>
                <w:rFonts w:ascii="Arial" w:hAnsi="Arial" w:cs="Arial"/>
                <w:sz w:val="20"/>
                <w:szCs w:val="20"/>
              </w:rPr>
              <w:t>c</w:t>
            </w:r>
            <w:r w:rsidRPr="00360DCD">
              <w:rPr>
                <w:rFonts w:ascii="Arial" w:hAnsi="Arial" w:cs="Arial"/>
                <w:sz w:val="20"/>
                <w:szCs w:val="20"/>
              </w:rPr>
              <w:t xml:space="preserve"> is used</w:t>
            </w:r>
          </w:p>
        </w:tc>
        <w:tc>
          <w:tcPr>
            <w:tcW w:w="1084" w:type="dxa"/>
          </w:tcPr>
          <w:p w14:paraId="373A865F" w14:textId="7BDAAB18" w:rsidR="00404F9A" w:rsidRPr="00BB77DD" w:rsidRDefault="00404F9A" w:rsidP="00F32890">
            <w:pPr>
              <w:rPr>
                <w:rFonts w:ascii="Arial" w:hAnsi="Arial" w:cs="Arial"/>
                <w:color w:val="FF0000"/>
                <w:sz w:val="20"/>
                <w:szCs w:val="20"/>
              </w:rPr>
            </w:pPr>
          </w:p>
        </w:tc>
        <w:tc>
          <w:tcPr>
            <w:tcW w:w="4781" w:type="dxa"/>
          </w:tcPr>
          <w:p w14:paraId="5B41B823" w14:textId="51DA08C5" w:rsidR="00404F9A" w:rsidRPr="00606C65" w:rsidRDefault="005C518C" w:rsidP="005F23CE">
            <w:pPr>
              <w:jc w:val="both"/>
              <w:rPr>
                <w:rFonts w:ascii="Arial" w:hAnsi="Arial" w:cs="Arial"/>
                <w:color w:val="0070C0"/>
                <w:sz w:val="20"/>
                <w:szCs w:val="20"/>
              </w:rPr>
            </w:pPr>
            <w:r w:rsidRPr="005C518C">
              <w:rPr>
                <w:rFonts w:ascii="Arial" w:hAnsi="Arial" w:cs="Arial"/>
                <w:i/>
                <w:color w:val="0070C0"/>
                <w:sz w:val="20"/>
                <w:szCs w:val="20"/>
              </w:rPr>
              <w:t>ENWIN</w:t>
            </w:r>
            <w:r w:rsidR="00404F9A" w:rsidRPr="00C2079D">
              <w:rPr>
                <w:rFonts w:ascii="Arial" w:hAnsi="Arial" w:cs="Arial"/>
                <w:color w:val="0070C0"/>
                <w:sz w:val="20"/>
                <w:szCs w:val="20"/>
              </w:rPr>
              <w:t xml:space="preserve"> believe</w:t>
            </w:r>
            <w:r w:rsidR="009D5C83">
              <w:rPr>
                <w:rFonts w:ascii="Arial" w:hAnsi="Arial" w:cs="Arial"/>
                <w:color w:val="0070C0"/>
                <w:sz w:val="20"/>
                <w:szCs w:val="20"/>
              </w:rPr>
              <w:t>s</w:t>
            </w:r>
            <w:r w:rsidR="00404F9A" w:rsidRPr="00C2079D">
              <w:rPr>
                <w:rFonts w:ascii="Arial" w:hAnsi="Arial" w:cs="Arial"/>
                <w:color w:val="0070C0"/>
                <w:sz w:val="20"/>
                <w:szCs w:val="20"/>
              </w:rPr>
              <w:t xml:space="preserve"> this pertains to Staff Question 5c, not 1c. </w:t>
            </w:r>
            <w:r w:rsidRPr="005C518C">
              <w:rPr>
                <w:rFonts w:ascii="Arial" w:hAnsi="Arial" w:cs="Arial"/>
                <w:i/>
                <w:color w:val="0070C0"/>
                <w:sz w:val="20"/>
                <w:szCs w:val="20"/>
              </w:rPr>
              <w:t>ENWIN</w:t>
            </w:r>
            <w:r w:rsidR="00264763" w:rsidRPr="00C2079D">
              <w:rPr>
                <w:rFonts w:ascii="Arial" w:hAnsi="Arial" w:cs="Arial"/>
                <w:color w:val="0070C0"/>
                <w:sz w:val="20"/>
                <w:szCs w:val="20"/>
              </w:rPr>
              <w:t xml:space="preserve"> does not use the 5c.</w:t>
            </w:r>
            <w:r w:rsidR="00F27C57" w:rsidRPr="00C2079D">
              <w:rPr>
                <w:rFonts w:ascii="Arial" w:hAnsi="Arial" w:cs="Arial"/>
                <w:color w:val="0070C0"/>
                <w:sz w:val="20"/>
                <w:szCs w:val="20"/>
              </w:rPr>
              <w:t>app</w:t>
            </w:r>
            <w:r w:rsidR="00A6078D" w:rsidRPr="00C2079D">
              <w:rPr>
                <w:rFonts w:ascii="Arial" w:hAnsi="Arial" w:cs="Arial"/>
                <w:color w:val="0070C0"/>
                <w:sz w:val="20"/>
                <w:szCs w:val="20"/>
              </w:rPr>
              <w:t>r</w:t>
            </w:r>
            <w:r w:rsidR="00F27C57" w:rsidRPr="00C2079D">
              <w:rPr>
                <w:rFonts w:ascii="Arial" w:hAnsi="Arial" w:cs="Arial"/>
                <w:color w:val="0070C0"/>
                <w:sz w:val="20"/>
                <w:szCs w:val="20"/>
              </w:rPr>
              <w:t>oach.</w:t>
            </w:r>
          </w:p>
        </w:tc>
        <w:tc>
          <w:tcPr>
            <w:tcW w:w="2070" w:type="dxa"/>
          </w:tcPr>
          <w:p w14:paraId="0341F774" w14:textId="0EE2A305" w:rsidR="00404F9A" w:rsidRPr="00360DCD" w:rsidRDefault="00404F9A" w:rsidP="009D5C00">
            <w:pPr>
              <w:jc w:val="center"/>
              <w:rPr>
                <w:rFonts w:ascii="Arial" w:hAnsi="Arial" w:cs="Arial"/>
                <w:sz w:val="20"/>
                <w:szCs w:val="20"/>
              </w:rPr>
            </w:pPr>
          </w:p>
        </w:tc>
      </w:tr>
    </w:tbl>
    <w:p w14:paraId="3A561B1B" w14:textId="00F366CA" w:rsidR="008A1EB2" w:rsidRPr="008A1EB2" w:rsidRDefault="008A1EB2" w:rsidP="005F23CE">
      <w:pPr>
        <w:spacing w:after="0"/>
        <w:jc w:val="both"/>
        <w:rPr>
          <w:rFonts w:ascii="Arial" w:hAnsi="Arial" w:cs="Arial"/>
          <w:color w:val="0070C0"/>
          <w:sz w:val="24"/>
          <w:szCs w:val="24"/>
        </w:rPr>
      </w:pPr>
    </w:p>
    <w:p w14:paraId="22089D44" w14:textId="62BAB5D6" w:rsidR="002B1731" w:rsidRPr="008A1EB2" w:rsidRDefault="00300787" w:rsidP="00300787">
      <w:pPr>
        <w:ind w:left="720" w:hanging="720"/>
        <w:jc w:val="both"/>
        <w:rPr>
          <w:rFonts w:ascii="Arial" w:hAnsi="Arial" w:cs="Arial"/>
          <w:sz w:val="24"/>
          <w:szCs w:val="24"/>
        </w:rPr>
      </w:pPr>
      <w:r>
        <w:rPr>
          <w:rFonts w:ascii="Arial" w:hAnsi="Arial" w:cs="Arial"/>
          <w:i/>
          <w:color w:val="0070C0"/>
          <w:sz w:val="24"/>
          <w:szCs w:val="24"/>
        </w:rPr>
        <w:t>c)</w:t>
      </w:r>
      <w:r>
        <w:rPr>
          <w:rFonts w:ascii="Arial" w:hAnsi="Arial" w:cs="Arial"/>
          <w:i/>
          <w:color w:val="0070C0"/>
          <w:sz w:val="24"/>
          <w:szCs w:val="24"/>
        </w:rPr>
        <w:tab/>
      </w:r>
      <w:r w:rsidR="005C518C" w:rsidRPr="008A1EB2">
        <w:rPr>
          <w:rFonts w:ascii="Arial" w:hAnsi="Arial" w:cs="Arial"/>
          <w:i/>
          <w:color w:val="0070C0"/>
          <w:sz w:val="24"/>
          <w:szCs w:val="24"/>
        </w:rPr>
        <w:t>ENWIN</w:t>
      </w:r>
      <w:r w:rsidR="00404F9A" w:rsidRPr="008A1EB2">
        <w:rPr>
          <w:rFonts w:ascii="Arial" w:hAnsi="Arial" w:cs="Arial"/>
          <w:color w:val="0070C0"/>
          <w:sz w:val="24"/>
          <w:szCs w:val="24"/>
        </w:rPr>
        <w:t xml:space="preserve"> </w:t>
      </w:r>
      <w:r w:rsidR="002938BE" w:rsidRPr="008A1EB2">
        <w:rPr>
          <w:rFonts w:ascii="Arial" w:hAnsi="Arial" w:cs="Arial"/>
          <w:color w:val="0070C0"/>
          <w:sz w:val="24"/>
          <w:szCs w:val="24"/>
        </w:rPr>
        <w:t xml:space="preserve">confirms </w:t>
      </w:r>
      <w:r w:rsidR="001C1B58" w:rsidRPr="008A1EB2">
        <w:rPr>
          <w:rFonts w:ascii="Arial" w:hAnsi="Arial" w:cs="Arial"/>
          <w:color w:val="0070C0"/>
          <w:sz w:val="24"/>
          <w:szCs w:val="24"/>
        </w:rPr>
        <w:t xml:space="preserve">the </w:t>
      </w:r>
      <w:r w:rsidR="00E8388D" w:rsidRPr="008A1EB2">
        <w:rPr>
          <w:rFonts w:ascii="Arial" w:hAnsi="Arial" w:cs="Arial"/>
          <w:color w:val="0070C0"/>
          <w:sz w:val="24"/>
          <w:szCs w:val="24"/>
        </w:rPr>
        <w:t xml:space="preserve">2018 Rate Generator Model and the </w:t>
      </w:r>
      <w:r w:rsidR="001C1B58" w:rsidRPr="008A1EB2">
        <w:rPr>
          <w:rFonts w:ascii="Arial" w:hAnsi="Arial" w:cs="Arial"/>
          <w:color w:val="0070C0"/>
          <w:sz w:val="24"/>
          <w:szCs w:val="24"/>
        </w:rPr>
        <w:t>GA Analysis Workform have been adjusted for settlement true-ups where settlement was originally based on estimate and trued up to actuals subsequent to 2016.</w:t>
      </w:r>
      <w:r w:rsidR="00E8388D" w:rsidRPr="008A1EB2">
        <w:rPr>
          <w:rFonts w:ascii="Arial" w:hAnsi="Arial" w:cs="Arial"/>
          <w:color w:val="0070C0"/>
          <w:sz w:val="24"/>
          <w:szCs w:val="24"/>
        </w:rPr>
        <w:t xml:space="preserve">  The updated models are </w:t>
      </w:r>
      <w:r w:rsidR="00792385" w:rsidRPr="008A1EB2">
        <w:rPr>
          <w:rFonts w:ascii="Arial" w:hAnsi="Arial" w:cs="Arial"/>
          <w:color w:val="0070C0"/>
          <w:sz w:val="24"/>
          <w:szCs w:val="24"/>
        </w:rPr>
        <w:t xml:space="preserve">included as Appendix A – 2018 Rate Generator Model </w:t>
      </w:r>
      <w:r w:rsidR="00847628" w:rsidRPr="008A1EB2">
        <w:rPr>
          <w:rFonts w:ascii="Arial" w:hAnsi="Arial" w:cs="Arial"/>
          <w:color w:val="0070C0"/>
          <w:sz w:val="24"/>
          <w:szCs w:val="24"/>
        </w:rPr>
        <w:t xml:space="preserve">IR </w:t>
      </w:r>
      <w:r w:rsidR="00792385" w:rsidRPr="008A1EB2">
        <w:rPr>
          <w:rFonts w:ascii="Arial" w:hAnsi="Arial" w:cs="Arial"/>
          <w:color w:val="0070C0"/>
          <w:sz w:val="24"/>
          <w:szCs w:val="24"/>
        </w:rPr>
        <w:t>and Appendix B</w:t>
      </w:r>
      <w:r w:rsidR="00847628" w:rsidRPr="008A1EB2">
        <w:rPr>
          <w:rFonts w:ascii="Arial" w:hAnsi="Arial" w:cs="Arial"/>
          <w:color w:val="0070C0"/>
          <w:sz w:val="24"/>
          <w:szCs w:val="24"/>
        </w:rPr>
        <w:t xml:space="preserve"> – GA Analysis Workform IR.</w:t>
      </w:r>
      <w:r w:rsidR="00E8388D" w:rsidRPr="008A1EB2">
        <w:rPr>
          <w:rFonts w:ascii="Arial" w:hAnsi="Arial" w:cs="Arial"/>
          <w:color w:val="0070C0"/>
          <w:sz w:val="24"/>
          <w:szCs w:val="24"/>
        </w:rPr>
        <w:t xml:space="preserve"> </w:t>
      </w:r>
      <w:r w:rsidR="002B1731" w:rsidRPr="008A1EB2">
        <w:rPr>
          <w:rFonts w:ascii="Arial" w:hAnsi="Arial" w:cs="Arial"/>
          <w:sz w:val="24"/>
          <w:szCs w:val="24"/>
        </w:rPr>
        <w:br w:type="page"/>
      </w:r>
    </w:p>
    <w:p w14:paraId="3542C729" w14:textId="6CA8C7DF" w:rsidR="00CD1567" w:rsidRDefault="00CD1567" w:rsidP="00CD1567">
      <w:pPr>
        <w:spacing w:after="0"/>
        <w:rPr>
          <w:rFonts w:ascii="Arial" w:hAnsi="Arial" w:cs="Arial"/>
          <w:b/>
          <w:sz w:val="24"/>
          <w:szCs w:val="24"/>
        </w:rPr>
      </w:pPr>
      <w:r w:rsidRPr="00A87532">
        <w:rPr>
          <w:rFonts w:ascii="Arial" w:hAnsi="Arial" w:cs="Arial"/>
          <w:b/>
          <w:sz w:val="24"/>
          <w:szCs w:val="24"/>
        </w:rPr>
        <w:lastRenderedPageBreak/>
        <w:t>Question #</w:t>
      </w:r>
      <w:r>
        <w:rPr>
          <w:rFonts w:ascii="Arial" w:hAnsi="Arial" w:cs="Arial"/>
          <w:b/>
          <w:sz w:val="24"/>
          <w:szCs w:val="24"/>
        </w:rPr>
        <w:t>7</w:t>
      </w:r>
    </w:p>
    <w:p w14:paraId="5DDF3414" w14:textId="77777777" w:rsidR="00CD1567" w:rsidRDefault="00CD1567" w:rsidP="00CD1567">
      <w:pPr>
        <w:spacing w:after="0"/>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t>2018 Rate Generator Model – Tab 3 Continuity Schedule</w:t>
      </w:r>
    </w:p>
    <w:p w14:paraId="56DDC858" w14:textId="77777777" w:rsidR="00F452D5" w:rsidRPr="00527C2D" w:rsidRDefault="00F452D5" w:rsidP="00CD1567">
      <w:pPr>
        <w:spacing w:after="0"/>
        <w:ind w:left="1440" w:hanging="1440"/>
        <w:rPr>
          <w:rFonts w:ascii="Arial" w:hAnsi="Arial" w:cs="Arial"/>
          <w:b/>
          <w:bCs/>
          <w:sz w:val="24"/>
          <w:szCs w:val="24"/>
        </w:rPr>
      </w:pPr>
    </w:p>
    <w:p w14:paraId="155BB316" w14:textId="41BC68DB" w:rsidR="00CD1567" w:rsidRDefault="00CD1567" w:rsidP="00CD1567">
      <w:pPr>
        <w:spacing w:after="0"/>
        <w:rPr>
          <w:rFonts w:ascii="Arial" w:hAnsi="Arial" w:cs="Arial"/>
          <w:sz w:val="24"/>
          <w:szCs w:val="24"/>
        </w:rPr>
      </w:pPr>
      <w:r w:rsidRPr="00A87532">
        <w:rPr>
          <w:rFonts w:ascii="Arial" w:hAnsi="Arial" w:cs="Arial"/>
          <w:sz w:val="24"/>
          <w:szCs w:val="24"/>
        </w:rPr>
        <w:t>With regards to the amount being requested for disposition of USoA 158</w:t>
      </w:r>
      <w:r>
        <w:rPr>
          <w:rFonts w:ascii="Arial" w:hAnsi="Arial" w:cs="Arial"/>
          <w:sz w:val="24"/>
          <w:szCs w:val="24"/>
        </w:rPr>
        <w:t>8</w:t>
      </w:r>
      <w:r w:rsidRPr="00A87532">
        <w:rPr>
          <w:rFonts w:ascii="Arial" w:hAnsi="Arial" w:cs="Arial"/>
          <w:sz w:val="24"/>
          <w:szCs w:val="24"/>
        </w:rPr>
        <w:t xml:space="preserve"> account balance as at Dec. 31, 2016, all components that flow into Account 158</w:t>
      </w:r>
      <w:r>
        <w:rPr>
          <w:rFonts w:ascii="Arial" w:hAnsi="Arial" w:cs="Arial"/>
          <w:sz w:val="24"/>
          <w:szCs w:val="24"/>
        </w:rPr>
        <w:t>8</w:t>
      </w:r>
      <w:r w:rsidRPr="00A87532">
        <w:rPr>
          <w:rFonts w:ascii="Arial" w:hAnsi="Arial" w:cs="Arial"/>
          <w:sz w:val="24"/>
          <w:szCs w:val="24"/>
        </w:rPr>
        <w:t xml:space="preserve"> (</w:t>
      </w:r>
      <w:proofErr w:type="spellStart"/>
      <w:r w:rsidRPr="00A87532">
        <w:rPr>
          <w:rFonts w:ascii="Arial" w:hAnsi="Arial" w:cs="Arial"/>
          <w:sz w:val="24"/>
          <w:szCs w:val="24"/>
        </w:rPr>
        <w:t>i</w:t>
      </w:r>
      <w:proofErr w:type="spellEnd"/>
      <w:r w:rsidRPr="00A87532">
        <w:rPr>
          <w:rFonts w:ascii="Arial" w:hAnsi="Arial" w:cs="Arial"/>
          <w:sz w:val="24"/>
          <w:szCs w:val="24"/>
        </w:rPr>
        <w:t xml:space="preserve"> to iv in table below) should be all based on actuals at year end. Please complete the following table to</w:t>
      </w:r>
      <w:r>
        <w:rPr>
          <w:rFonts w:ascii="Arial" w:hAnsi="Arial" w:cs="Arial"/>
          <w:sz w:val="24"/>
          <w:szCs w:val="24"/>
        </w:rPr>
        <w:t>:</w:t>
      </w:r>
    </w:p>
    <w:p w14:paraId="79F201AB" w14:textId="77777777" w:rsidR="00CD1567" w:rsidRDefault="00CD1567" w:rsidP="00CD1567">
      <w:pPr>
        <w:spacing w:after="0"/>
        <w:rPr>
          <w:rFonts w:ascii="Arial" w:hAnsi="Arial" w:cs="Arial"/>
          <w:sz w:val="24"/>
          <w:szCs w:val="24"/>
        </w:rPr>
      </w:pPr>
    </w:p>
    <w:p w14:paraId="5437038B" w14:textId="77777777" w:rsidR="00CD1567" w:rsidRPr="00AD1178" w:rsidRDefault="00CD1567" w:rsidP="00EB5B64">
      <w:pPr>
        <w:pStyle w:val="ListParagraph"/>
        <w:numPr>
          <w:ilvl w:val="0"/>
          <w:numId w:val="6"/>
        </w:numPr>
        <w:ind w:left="360"/>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14:paraId="5D8FC03D" w14:textId="77777777" w:rsidR="00CD1567" w:rsidRPr="00AD1178" w:rsidRDefault="00CD1567" w:rsidP="00EB5B64">
      <w:pPr>
        <w:pStyle w:val="ListParagraph"/>
        <w:numPr>
          <w:ilvl w:val="0"/>
          <w:numId w:val="6"/>
        </w:numPr>
        <w:ind w:left="360"/>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CD1567" w14:paraId="7EAA736A" w14:textId="77777777" w:rsidTr="003806DB">
        <w:tc>
          <w:tcPr>
            <w:tcW w:w="389" w:type="dxa"/>
          </w:tcPr>
          <w:p w14:paraId="6ECECEB5" w14:textId="77777777" w:rsidR="00CD1567" w:rsidRPr="00FE126C" w:rsidRDefault="00CD1567" w:rsidP="003806DB">
            <w:pPr>
              <w:rPr>
                <w:rFonts w:ascii="Arial" w:hAnsi="Arial" w:cs="Arial"/>
                <w:sz w:val="20"/>
                <w:szCs w:val="20"/>
              </w:rPr>
            </w:pPr>
          </w:p>
        </w:tc>
        <w:tc>
          <w:tcPr>
            <w:tcW w:w="2486" w:type="dxa"/>
          </w:tcPr>
          <w:p w14:paraId="0EDCDAD6" w14:textId="77777777" w:rsidR="00CD1567" w:rsidRPr="00FE126C" w:rsidRDefault="00CD1567" w:rsidP="003806DB">
            <w:pPr>
              <w:rPr>
                <w:rFonts w:ascii="Arial" w:hAnsi="Arial" w:cs="Arial"/>
                <w:b/>
                <w:sz w:val="20"/>
                <w:szCs w:val="20"/>
              </w:rPr>
            </w:pPr>
            <w:r w:rsidRPr="00FE126C">
              <w:rPr>
                <w:rFonts w:ascii="Arial" w:hAnsi="Arial" w:cs="Arial"/>
                <w:b/>
                <w:sz w:val="20"/>
                <w:szCs w:val="20"/>
              </w:rPr>
              <w:t>Component</w:t>
            </w:r>
          </w:p>
        </w:tc>
        <w:tc>
          <w:tcPr>
            <w:tcW w:w="1350" w:type="dxa"/>
          </w:tcPr>
          <w:p w14:paraId="49C3F891" w14:textId="77777777" w:rsidR="00CD1567" w:rsidRPr="00FE126C" w:rsidRDefault="00CD1567" w:rsidP="003806DB">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7E23AEAF" w14:textId="77777777" w:rsidR="00CD1567" w:rsidRPr="00FE126C" w:rsidRDefault="00CD1567" w:rsidP="003806DB">
            <w:pPr>
              <w:rPr>
                <w:rFonts w:ascii="Arial" w:hAnsi="Arial" w:cs="Arial"/>
                <w:b/>
                <w:sz w:val="20"/>
                <w:szCs w:val="20"/>
              </w:rPr>
            </w:pPr>
            <w:r w:rsidRPr="00FE126C">
              <w:rPr>
                <w:rFonts w:ascii="Arial" w:hAnsi="Arial" w:cs="Arial"/>
                <w:b/>
                <w:sz w:val="20"/>
                <w:szCs w:val="20"/>
              </w:rPr>
              <w:t>Notes/Comments</w:t>
            </w:r>
          </w:p>
        </w:tc>
        <w:tc>
          <w:tcPr>
            <w:tcW w:w="1980" w:type="dxa"/>
          </w:tcPr>
          <w:p w14:paraId="39F171E0" w14:textId="77777777" w:rsidR="00CD1567" w:rsidRPr="00FE126C" w:rsidRDefault="00CD1567" w:rsidP="003806DB">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CD1567" w14:paraId="20166AAD" w14:textId="77777777" w:rsidTr="003806DB">
        <w:trPr>
          <w:trHeight w:val="1385"/>
        </w:trPr>
        <w:tc>
          <w:tcPr>
            <w:tcW w:w="389" w:type="dxa"/>
          </w:tcPr>
          <w:p w14:paraId="6C1AAFED" w14:textId="77777777" w:rsidR="00CD1567" w:rsidRPr="00FE126C" w:rsidRDefault="00CD1567" w:rsidP="003806DB">
            <w:pPr>
              <w:rPr>
                <w:rFonts w:ascii="Arial" w:hAnsi="Arial" w:cs="Arial"/>
                <w:sz w:val="20"/>
                <w:szCs w:val="20"/>
              </w:rPr>
            </w:pPr>
            <w:proofErr w:type="spellStart"/>
            <w:r w:rsidRPr="00FE126C">
              <w:rPr>
                <w:rFonts w:ascii="Arial" w:hAnsi="Arial" w:cs="Arial"/>
                <w:sz w:val="20"/>
                <w:szCs w:val="20"/>
              </w:rPr>
              <w:t>i</w:t>
            </w:r>
            <w:proofErr w:type="spellEnd"/>
          </w:p>
        </w:tc>
        <w:tc>
          <w:tcPr>
            <w:tcW w:w="2486" w:type="dxa"/>
          </w:tcPr>
          <w:p w14:paraId="56DC1234" w14:textId="77777777" w:rsidR="00CD1567" w:rsidRPr="00FE126C" w:rsidRDefault="00CD1567" w:rsidP="003806DB">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53B33F83" w14:textId="77777777" w:rsidR="00CD1567" w:rsidRPr="00FE126C" w:rsidRDefault="00CD1567" w:rsidP="003806DB">
            <w:pPr>
              <w:rPr>
                <w:rFonts w:ascii="Arial" w:hAnsi="Arial" w:cs="Arial"/>
                <w:sz w:val="20"/>
                <w:szCs w:val="20"/>
              </w:rPr>
            </w:pPr>
          </w:p>
        </w:tc>
        <w:tc>
          <w:tcPr>
            <w:tcW w:w="4230" w:type="dxa"/>
          </w:tcPr>
          <w:p w14:paraId="1E9870A4" w14:textId="77777777" w:rsidR="00CD1567" w:rsidRPr="00FE126C" w:rsidRDefault="00CD1567" w:rsidP="003806DB">
            <w:pPr>
              <w:rPr>
                <w:rFonts w:ascii="Arial" w:hAnsi="Arial" w:cs="Arial"/>
                <w:sz w:val="20"/>
                <w:szCs w:val="20"/>
              </w:rPr>
            </w:pPr>
          </w:p>
        </w:tc>
        <w:tc>
          <w:tcPr>
            <w:tcW w:w="1980" w:type="dxa"/>
          </w:tcPr>
          <w:p w14:paraId="5925F435" w14:textId="77777777" w:rsidR="00CD1567" w:rsidRPr="00FE126C" w:rsidRDefault="00CD1567" w:rsidP="003806DB">
            <w:pPr>
              <w:rPr>
                <w:rFonts w:ascii="Arial" w:hAnsi="Arial" w:cs="Arial"/>
                <w:sz w:val="20"/>
                <w:szCs w:val="20"/>
              </w:rPr>
            </w:pPr>
          </w:p>
        </w:tc>
      </w:tr>
      <w:tr w:rsidR="00CD1567" w14:paraId="01F7187B" w14:textId="77777777" w:rsidTr="003806DB">
        <w:tc>
          <w:tcPr>
            <w:tcW w:w="389" w:type="dxa"/>
          </w:tcPr>
          <w:p w14:paraId="17072506" w14:textId="77777777" w:rsidR="00CD1567" w:rsidRPr="00FE126C" w:rsidRDefault="00CD1567" w:rsidP="003806DB">
            <w:pPr>
              <w:rPr>
                <w:rFonts w:ascii="Arial" w:hAnsi="Arial" w:cs="Arial"/>
                <w:sz w:val="20"/>
                <w:szCs w:val="20"/>
              </w:rPr>
            </w:pPr>
            <w:r>
              <w:rPr>
                <w:rFonts w:ascii="Arial" w:hAnsi="Arial" w:cs="Arial"/>
                <w:sz w:val="20"/>
                <w:szCs w:val="20"/>
              </w:rPr>
              <w:t>ii</w:t>
            </w:r>
          </w:p>
        </w:tc>
        <w:tc>
          <w:tcPr>
            <w:tcW w:w="2486" w:type="dxa"/>
          </w:tcPr>
          <w:p w14:paraId="0824172C" w14:textId="77777777" w:rsidR="00CD1567" w:rsidRDefault="00CD1567" w:rsidP="003806DB">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6B99AB1A" w14:textId="77777777" w:rsidR="00CD1567" w:rsidRPr="00FE126C" w:rsidRDefault="00CD1567" w:rsidP="003806DB">
            <w:pPr>
              <w:rPr>
                <w:rFonts w:ascii="Arial" w:hAnsi="Arial" w:cs="Arial"/>
                <w:sz w:val="20"/>
                <w:szCs w:val="20"/>
              </w:rPr>
            </w:pPr>
          </w:p>
        </w:tc>
        <w:tc>
          <w:tcPr>
            <w:tcW w:w="4230" w:type="dxa"/>
          </w:tcPr>
          <w:p w14:paraId="01460686" w14:textId="77777777" w:rsidR="00CD1567" w:rsidRPr="00FE126C" w:rsidRDefault="00CD1567" w:rsidP="003806DB">
            <w:pPr>
              <w:rPr>
                <w:rFonts w:ascii="Arial" w:hAnsi="Arial" w:cs="Arial"/>
                <w:sz w:val="20"/>
                <w:szCs w:val="20"/>
              </w:rPr>
            </w:pPr>
          </w:p>
        </w:tc>
        <w:tc>
          <w:tcPr>
            <w:tcW w:w="1980" w:type="dxa"/>
          </w:tcPr>
          <w:p w14:paraId="767502BE" w14:textId="77777777" w:rsidR="00CD1567" w:rsidRPr="00FE126C" w:rsidRDefault="00CD1567" w:rsidP="003806DB">
            <w:pPr>
              <w:rPr>
                <w:rFonts w:ascii="Arial" w:hAnsi="Arial" w:cs="Arial"/>
                <w:sz w:val="20"/>
                <w:szCs w:val="20"/>
              </w:rPr>
            </w:pPr>
          </w:p>
        </w:tc>
      </w:tr>
      <w:tr w:rsidR="00CD1567" w14:paraId="5B6359B4" w14:textId="77777777" w:rsidTr="003806DB">
        <w:trPr>
          <w:trHeight w:val="1628"/>
        </w:trPr>
        <w:tc>
          <w:tcPr>
            <w:tcW w:w="389" w:type="dxa"/>
          </w:tcPr>
          <w:p w14:paraId="7F72E372" w14:textId="34D30C38" w:rsidR="00CD1567" w:rsidRPr="00FE126C" w:rsidRDefault="006B36B8" w:rsidP="003806DB">
            <w:pPr>
              <w:rPr>
                <w:rFonts w:ascii="Arial" w:hAnsi="Arial" w:cs="Arial"/>
                <w:sz w:val="20"/>
                <w:szCs w:val="20"/>
              </w:rPr>
            </w:pPr>
            <w:r>
              <w:rPr>
                <w:rFonts w:ascii="Arial" w:hAnsi="Arial" w:cs="Arial"/>
                <w:sz w:val="20"/>
                <w:szCs w:val="20"/>
              </w:rPr>
              <w:t>iii</w:t>
            </w:r>
          </w:p>
        </w:tc>
        <w:tc>
          <w:tcPr>
            <w:tcW w:w="2486" w:type="dxa"/>
          </w:tcPr>
          <w:p w14:paraId="758C9888" w14:textId="77777777" w:rsidR="00CD1567" w:rsidRPr="00FE126C" w:rsidRDefault="00CD1567" w:rsidP="003806DB">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2DC47D96" w14:textId="77777777" w:rsidR="00CD1567" w:rsidRPr="00FE126C" w:rsidRDefault="00CD1567" w:rsidP="003806DB">
            <w:pPr>
              <w:rPr>
                <w:rFonts w:ascii="Arial" w:hAnsi="Arial" w:cs="Arial"/>
                <w:sz w:val="20"/>
                <w:szCs w:val="20"/>
              </w:rPr>
            </w:pPr>
          </w:p>
        </w:tc>
        <w:tc>
          <w:tcPr>
            <w:tcW w:w="4230" w:type="dxa"/>
          </w:tcPr>
          <w:p w14:paraId="6612B7C9" w14:textId="77777777" w:rsidR="00CD1567" w:rsidRPr="00FE126C" w:rsidRDefault="00CD1567" w:rsidP="003806DB">
            <w:pPr>
              <w:rPr>
                <w:rFonts w:ascii="Arial" w:hAnsi="Arial" w:cs="Arial"/>
                <w:sz w:val="20"/>
                <w:szCs w:val="20"/>
              </w:rPr>
            </w:pPr>
          </w:p>
        </w:tc>
        <w:tc>
          <w:tcPr>
            <w:tcW w:w="1980" w:type="dxa"/>
          </w:tcPr>
          <w:p w14:paraId="7721811E" w14:textId="77777777" w:rsidR="00CD1567" w:rsidRPr="00FE126C" w:rsidRDefault="00CD1567" w:rsidP="003806DB">
            <w:pPr>
              <w:rPr>
                <w:rFonts w:ascii="Arial" w:hAnsi="Arial" w:cs="Arial"/>
                <w:sz w:val="20"/>
                <w:szCs w:val="20"/>
              </w:rPr>
            </w:pPr>
          </w:p>
        </w:tc>
      </w:tr>
      <w:tr w:rsidR="00CD1567" w14:paraId="4AAC64C0" w14:textId="77777777" w:rsidTr="003806DB">
        <w:tc>
          <w:tcPr>
            <w:tcW w:w="389" w:type="dxa"/>
          </w:tcPr>
          <w:p w14:paraId="0D752755" w14:textId="77777777" w:rsidR="00CD1567" w:rsidRPr="00FE126C" w:rsidRDefault="00CD1567" w:rsidP="003806DB">
            <w:pPr>
              <w:rPr>
                <w:rFonts w:ascii="Arial" w:hAnsi="Arial" w:cs="Arial"/>
                <w:sz w:val="20"/>
                <w:szCs w:val="20"/>
              </w:rPr>
            </w:pPr>
            <w:r>
              <w:rPr>
                <w:rFonts w:ascii="Arial" w:hAnsi="Arial" w:cs="Arial"/>
                <w:sz w:val="20"/>
                <w:szCs w:val="20"/>
              </w:rPr>
              <w:t>iv</w:t>
            </w:r>
          </w:p>
        </w:tc>
        <w:tc>
          <w:tcPr>
            <w:tcW w:w="2486" w:type="dxa"/>
          </w:tcPr>
          <w:p w14:paraId="6272B2A8" w14:textId="77777777" w:rsidR="00CD1567" w:rsidRPr="00FE126C" w:rsidRDefault="00CD1567" w:rsidP="003806DB">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653CBB82" w14:textId="77777777" w:rsidR="00CD1567" w:rsidRPr="00FE126C" w:rsidRDefault="00CD1567" w:rsidP="003806DB">
            <w:pPr>
              <w:rPr>
                <w:rFonts w:ascii="Arial" w:hAnsi="Arial" w:cs="Arial"/>
                <w:sz w:val="20"/>
                <w:szCs w:val="20"/>
              </w:rPr>
            </w:pPr>
          </w:p>
        </w:tc>
        <w:tc>
          <w:tcPr>
            <w:tcW w:w="4230" w:type="dxa"/>
          </w:tcPr>
          <w:p w14:paraId="65F25A51" w14:textId="77777777" w:rsidR="00CD1567" w:rsidRPr="00FE126C" w:rsidRDefault="00CD1567" w:rsidP="003806DB">
            <w:pPr>
              <w:rPr>
                <w:rFonts w:ascii="Arial" w:hAnsi="Arial" w:cs="Arial"/>
                <w:sz w:val="20"/>
                <w:szCs w:val="20"/>
              </w:rPr>
            </w:pPr>
          </w:p>
        </w:tc>
        <w:tc>
          <w:tcPr>
            <w:tcW w:w="1980" w:type="dxa"/>
          </w:tcPr>
          <w:p w14:paraId="1D7FCB71" w14:textId="77777777" w:rsidR="00CD1567" w:rsidRPr="00FE126C" w:rsidRDefault="00CD1567" w:rsidP="003806DB">
            <w:pPr>
              <w:rPr>
                <w:rFonts w:ascii="Arial" w:hAnsi="Arial" w:cs="Arial"/>
                <w:sz w:val="20"/>
                <w:szCs w:val="20"/>
              </w:rPr>
            </w:pPr>
          </w:p>
        </w:tc>
      </w:tr>
      <w:tr w:rsidR="00CD1567" w14:paraId="71858511" w14:textId="77777777" w:rsidTr="003806DB">
        <w:tc>
          <w:tcPr>
            <w:tcW w:w="389" w:type="dxa"/>
          </w:tcPr>
          <w:p w14:paraId="52A1E427" w14:textId="77777777" w:rsidR="00CD1567" w:rsidRPr="00FE126C" w:rsidRDefault="00CD1567" w:rsidP="003806DB">
            <w:pPr>
              <w:rPr>
                <w:rFonts w:ascii="Arial" w:hAnsi="Arial" w:cs="Arial"/>
                <w:sz w:val="20"/>
                <w:szCs w:val="20"/>
              </w:rPr>
            </w:pPr>
            <w:r>
              <w:rPr>
                <w:rFonts w:ascii="Arial" w:hAnsi="Arial" w:cs="Arial"/>
                <w:sz w:val="20"/>
                <w:szCs w:val="20"/>
              </w:rPr>
              <w:t>v</w:t>
            </w:r>
          </w:p>
        </w:tc>
        <w:tc>
          <w:tcPr>
            <w:tcW w:w="2486" w:type="dxa"/>
          </w:tcPr>
          <w:p w14:paraId="27BA942C" w14:textId="77777777" w:rsidR="00CD1567" w:rsidRPr="00FE126C" w:rsidRDefault="00CD1567" w:rsidP="003806DB">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14:paraId="3BD313F5" w14:textId="77777777" w:rsidR="00CD1567" w:rsidRPr="00FE126C" w:rsidRDefault="00CD1567" w:rsidP="003806DB">
            <w:pPr>
              <w:rPr>
                <w:rFonts w:ascii="Arial" w:hAnsi="Arial" w:cs="Arial"/>
                <w:sz w:val="20"/>
                <w:szCs w:val="20"/>
              </w:rPr>
            </w:pPr>
          </w:p>
        </w:tc>
        <w:tc>
          <w:tcPr>
            <w:tcW w:w="4230" w:type="dxa"/>
          </w:tcPr>
          <w:p w14:paraId="2BB16BC8" w14:textId="77777777" w:rsidR="00CD1567" w:rsidRPr="00FE126C" w:rsidRDefault="00CD1567" w:rsidP="003806DB">
            <w:pPr>
              <w:rPr>
                <w:rFonts w:ascii="Arial" w:hAnsi="Arial" w:cs="Arial"/>
                <w:sz w:val="20"/>
                <w:szCs w:val="20"/>
              </w:rPr>
            </w:pPr>
          </w:p>
        </w:tc>
        <w:tc>
          <w:tcPr>
            <w:tcW w:w="1980" w:type="dxa"/>
          </w:tcPr>
          <w:p w14:paraId="50809FF6" w14:textId="77777777" w:rsidR="00CD1567" w:rsidRPr="00FE126C" w:rsidRDefault="00CD1567" w:rsidP="003806DB">
            <w:pPr>
              <w:rPr>
                <w:rFonts w:ascii="Arial" w:hAnsi="Arial" w:cs="Arial"/>
                <w:sz w:val="20"/>
                <w:szCs w:val="20"/>
              </w:rPr>
            </w:pPr>
          </w:p>
        </w:tc>
      </w:tr>
    </w:tbl>
    <w:p w14:paraId="2A4EE22D" w14:textId="77777777" w:rsidR="00CD1567" w:rsidRDefault="00CD1567" w:rsidP="00CD1567">
      <w:pPr>
        <w:rPr>
          <w:rFonts w:ascii="Arial" w:hAnsi="Arial" w:cs="Arial"/>
          <w:b/>
          <w:bCs/>
          <w:i/>
          <w:sz w:val="24"/>
          <w:szCs w:val="24"/>
        </w:rPr>
      </w:pPr>
    </w:p>
    <w:p w14:paraId="2F479BB6" w14:textId="77777777" w:rsidR="00EB5B64" w:rsidRPr="002B1731" w:rsidRDefault="00CD1567" w:rsidP="00EB5B64">
      <w:pPr>
        <w:pStyle w:val="ListParagraph"/>
        <w:numPr>
          <w:ilvl w:val="0"/>
          <w:numId w:val="6"/>
        </w:numPr>
        <w:ind w:left="360"/>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Tab 3 Continuity Schedule for 2016 ha</w:t>
      </w:r>
      <w:r>
        <w:rPr>
          <w:rFonts w:ascii="Arial" w:hAnsi="Arial" w:cs="Arial"/>
          <w:sz w:val="24"/>
          <w:szCs w:val="24"/>
        </w:rPr>
        <w:t>ve</w:t>
      </w:r>
      <w:r w:rsidRPr="00583F39">
        <w:rPr>
          <w:rFonts w:ascii="Arial" w:hAnsi="Arial" w:cs="Arial"/>
          <w:sz w:val="24"/>
          <w:szCs w:val="24"/>
        </w:rPr>
        <w:t xml:space="preserve"> been adjusted for settlement true-ups where settlement was originally based on estimate and trued up to actuals subsequent to 2016</w:t>
      </w:r>
      <w:r>
        <w:rPr>
          <w:rFonts w:ascii="Arial" w:hAnsi="Arial" w:cs="Arial"/>
          <w:sz w:val="24"/>
          <w:szCs w:val="24"/>
        </w:rPr>
        <w:t>.</w:t>
      </w:r>
    </w:p>
    <w:p w14:paraId="1BFE2987" w14:textId="77777777" w:rsidR="002B1731" w:rsidRDefault="002B1731" w:rsidP="002B1731">
      <w:pPr>
        <w:rPr>
          <w:rFonts w:ascii="Arial" w:hAnsi="Arial" w:cs="Arial"/>
          <w:b/>
          <w:color w:val="0070C0"/>
          <w:sz w:val="24"/>
          <w:szCs w:val="24"/>
        </w:rPr>
      </w:pPr>
      <w:r w:rsidRPr="002B1731">
        <w:rPr>
          <w:rFonts w:ascii="Arial" w:hAnsi="Arial" w:cs="Arial"/>
          <w:b/>
          <w:color w:val="0070C0"/>
          <w:sz w:val="24"/>
          <w:szCs w:val="24"/>
        </w:rPr>
        <w:lastRenderedPageBreak/>
        <w:t>RESPONSE</w:t>
      </w:r>
    </w:p>
    <w:p w14:paraId="57E79B51" w14:textId="6B3E5614" w:rsidR="001C1B58" w:rsidRPr="001C1B58" w:rsidRDefault="001C1B58" w:rsidP="002B1731">
      <w:pPr>
        <w:rPr>
          <w:rFonts w:ascii="Arial" w:hAnsi="Arial" w:cs="Arial"/>
          <w:color w:val="0070C0"/>
          <w:sz w:val="24"/>
          <w:szCs w:val="24"/>
        </w:rPr>
      </w:pPr>
      <w:r>
        <w:rPr>
          <w:rFonts w:ascii="Arial" w:hAnsi="Arial" w:cs="Arial"/>
          <w:color w:val="0070C0"/>
          <w:sz w:val="24"/>
          <w:szCs w:val="24"/>
        </w:rPr>
        <w:t>a) and b)</w:t>
      </w:r>
    </w:p>
    <w:tbl>
      <w:tblPr>
        <w:tblStyle w:val="TableGrid"/>
        <w:tblW w:w="10435" w:type="dxa"/>
        <w:tblLook w:val="04A0" w:firstRow="1" w:lastRow="0" w:firstColumn="1" w:lastColumn="0" w:noHBand="0" w:noVBand="1"/>
      </w:tblPr>
      <w:tblGrid>
        <w:gridCol w:w="389"/>
        <w:gridCol w:w="2486"/>
        <w:gridCol w:w="1350"/>
        <w:gridCol w:w="4230"/>
        <w:gridCol w:w="1980"/>
      </w:tblGrid>
      <w:tr w:rsidR="001C1B58" w14:paraId="10BDB946" w14:textId="77777777" w:rsidTr="00F32890">
        <w:tc>
          <w:tcPr>
            <w:tcW w:w="389" w:type="dxa"/>
          </w:tcPr>
          <w:p w14:paraId="2B2C1807" w14:textId="77777777" w:rsidR="001C1B58" w:rsidRPr="00FE126C" w:rsidRDefault="001C1B58" w:rsidP="00F32890">
            <w:pPr>
              <w:rPr>
                <w:rFonts w:ascii="Arial" w:hAnsi="Arial" w:cs="Arial"/>
                <w:sz w:val="20"/>
                <w:szCs w:val="20"/>
              </w:rPr>
            </w:pPr>
          </w:p>
        </w:tc>
        <w:tc>
          <w:tcPr>
            <w:tcW w:w="2486" w:type="dxa"/>
          </w:tcPr>
          <w:p w14:paraId="55A299CF" w14:textId="77777777" w:rsidR="001C1B58" w:rsidRPr="00FE126C" w:rsidRDefault="001C1B58" w:rsidP="00F32890">
            <w:pPr>
              <w:rPr>
                <w:rFonts w:ascii="Arial" w:hAnsi="Arial" w:cs="Arial"/>
                <w:b/>
                <w:sz w:val="20"/>
                <w:szCs w:val="20"/>
              </w:rPr>
            </w:pPr>
            <w:r w:rsidRPr="00FE126C">
              <w:rPr>
                <w:rFonts w:ascii="Arial" w:hAnsi="Arial" w:cs="Arial"/>
                <w:b/>
                <w:sz w:val="20"/>
                <w:szCs w:val="20"/>
              </w:rPr>
              <w:t>Component</w:t>
            </w:r>
          </w:p>
        </w:tc>
        <w:tc>
          <w:tcPr>
            <w:tcW w:w="1350" w:type="dxa"/>
          </w:tcPr>
          <w:p w14:paraId="59F38F29" w14:textId="77777777" w:rsidR="001C1B58" w:rsidRPr="00FE126C" w:rsidRDefault="001C1B58" w:rsidP="00F32890">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6FC8067C" w14:textId="77777777" w:rsidR="001C1B58" w:rsidRPr="00FE126C" w:rsidRDefault="001C1B58" w:rsidP="00F32890">
            <w:pPr>
              <w:rPr>
                <w:rFonts w:ascii="Arial" w:hAnsi="Arial" w:cs="Arial"/>
                <w:b/>
                <w:sz w:val="20"/>
                <w:szCs w:val="20"/>
              </w:rPr>
            </w:pPr>
            <w:r w:rsidRPr="00FE126C">
              <w:rPr>
                <w:rFonts w:ascii="Arial" w:hAnsi="Arial" w:cs="Arial"/>
                <w:b/>
                <w:sz w:val="20"/>
                <w:szCs w:val="20"/>
              </w:rPr>
              <w:t>Notes/Comments</w:t>
            </w:r>
          </w:p>
        </w:tc>
        <w:tc>
          <w:tcPr>
            <w:tcW w:w="1980" w:type="dxa"/>
          </w:tcPr>
          <w:p w14:paraId="67ADC725" w14:textId="77777777" w:rsidR="001C1B58" w:rsidRPr="00FE126C" w:rsidRDefault="001C1B58" w:rsidP="00F32890">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1C1B58" w14:paraId="14B5D1D1" w14:textId="77777777" w:rsidTr="00F32890">
        <w:trPr>
          <w:trHeight w:val="1385"/>
        </w:trPr>
        <w:tc>
          <w:tcPr>
            <w:tcW w:w="389" w:type="dxa"/>
          </w:tcPr>
          <w:p w14:paraId="59797C4F" w14:textId="77777777" w:rsidR="001C1B58" w:rsidRPr="00FE126C" w:rsidRDefault="001C1B58" w:rsidP="00F32890">
            <w:pPr>
              <w:rPr>
                <w:rFonts w:ascii="Arial" w:hAnsi="Arial" w:cs="Arial"/>
                <w:sz w:val="20"/>
                <w:szCs w:val="20"/>
              </w:rPr>
            </w:pPr>
            <w:proofErr w:type="spellStart"/>
            <w:r w:rsidRPr="00FE126C">
              <w:rPr>
                <w:rFonts w:ascii="Arial" w:hAnsi="Arial" w:cs="Arial"/>
                <w:sz w:val="20"/>
                <w:szCs w:val="20"/>
              </w:rPr>
              <w:t>i</w:t>
            </w:r>
            <w:proofErr w:type="spellEnd"/>
          </w:p>
        </w:tc>
        <w:tc>
          <w:tcPr>
            <w:tcW w:w="2486" w:type="dxa"/>
          </w:tcPr>
          <w:p w14:paraId="24A2C049" w14:textId="77777777" w:rsidR="001C1B58" w:rsidRPr="00FE126C" w:rsidRDefault="001C1B58" w:rsidP="00F32890">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12B78557" w14:textId="77777777" w:rsidR="001C1B58" w:rsidRPr="009843F8" w:rsidRDefault="001C1B58" w:rsidP="00F32890">
            <w:pPr>
              <w:rPr>
                <w:rFonts w:ascii="Arial" w:hAnsi="Arial" w:cs="Arial"/>
                <w:color w:val="0070C0"/>
                <w:sz w:val="20"/>
                <w:szCs w:val="20"/>
              </w:rPr>
            </w:pPr>
            <w:r>
              <w:rPr>
                <w:rFonts w:ascii="Arial" w:hAnsi="Arial" w:cs="Arial"/>
                <w:color w:val="0070C0"/>
                <w:sz w:val="20"/>
                <w:szCs w:val="20"/>
              </w:rPr>
              <w:t>Actual</w:t>
            </w:r>
          </w:p>
        </w:tc>
        <w:tc>
          <w:tcPr>
            <w:tcW w:w="4230" w:type="dxa"/>
          </w:tcPr>
          <w:p w14:paraId="258325C3" w14:textId="77777777" w:rsidR="001C1B58" w:rsidRPr="00FE126C" w:rsidRDefault="001C1B58" w:rsidP="005F23CE">
            <w:pPr>
              <w:jc w:val="both"/>
              <w:rPr>
                <w:rFonts w:ascii="Arial" w:hAnsi="Arial" w:cs="Arial"/>
                <w:sz w:val="20"/>
                <w:szCs w:val="20"/>
              </w:rPr>
            </w:pPr>
            <w:r>
              <w:rPr>
                <w:rFonts w:ascii="Arial" w:hAnsi="Arial" w:cs="Arial"/>
                <w:color w:val="0070C0"/>
                <w:sz w:val="20"/>
                <w:szCs w:val="20"/>
              </w:rPr>
              <w:t>Final u</w:t>
            </w:r>
            <w:r w:rsidRPr="00E073E0">
              <w:rPr>
                <w:rFonts w:ascii="Arial" w:hAnsi="Arial" w:cs="Arial"/>
                <w:color w:val="0070C0"/>
                <w:sz w:val="20"/>
                <w:szCs w:val="20"/>
              </w:rPr>
              <w:t>nbilled revenue</w:t>
            </w:r>
            <w:r>
              <w:rPr>
                <w:rFonts w:ascii="Arial" w:hAnsi="Arial" w:cs="Arial"/>
                <w:color w:val="0070C0"/>
                <w:sz w:val="20"/>
                <w:szCs w:val="20"/>
              </w:rPr>
              <w:t xml:space="preserve"> for December is confirmed in February of the following year, and backdated into December to ensure the year end number reflects actual. The unbilled amount is reversed in January when the customer is billed.</w:t>
            </w:r>
          </w:p>
        </w:tc>
        <w:tc>
          <w:tcPr>
            <w:tcW w:w="1980" w:type="dxa"/>
          </w:tcPr>
          <w:p w14:paraId="334C646F" w14:textId="77777777" w:rsidR="001C1B58" w:rsidRPr="00FE126C" w:rsidRDefault="001C1B58" w:rsidP="00F32890">
            <w:pPr>
              <w:jc w:val="center"/>
              <w:rPr>
                <w:rFonts w:ascii="Arial" w:hAnsi="Arial" w:cs="Arial"/>
                <w:sz w:val="20"/>
                <w:szCs w:val="20"/>
              </w:rPr>
            </w:pPr>
            <w:r>
              <w:rPr>
                <w:rFonts w:ascii="Arial" w:hAnsi="Arial" w:cs="Arial"/>
                <w:sz w:val="20"/>
                <w:szCs w:val="20"/>
              </w:rPr>
              <w:t>0</w:t>
            </w:r>
          </w:p>
        </w:tc>
      </w:tr>
      <w:tr w:rsidR="001C1B58" w14:paraId="1C50FFBF" w14:textId="77777777" w:rsidTr="00F32890">
        <w:tc>
          <w:tcPr>
            <w:tcW w:w="389" w:type="dxa"/>
          </w:tcPr>
          <w:p w14:paraId="1E3EEA16" w14:textId="77777777" w:rsidR="001C1B58" w:rsidRPr="00FE126C" w:rsidRDefault="001C1B58" w:rsidP="00F32890">
            <w:pPr>
              <w:rPr>
                <w:rFonts w:ascii="Arial" w:hAnsi="Arial" w:cs="Arial"/>
                <w:sz w:val="20"/>
                <w:szCs w:val="20"/>
              </w:rPr>
            </w:pPr>
            <w:r>
              <w:rPr>
                <w:rFonts w:ascii="Arial" w:hAnsi="Arial" w:cs="Arial"/>
                <w:sz w:val="20"/>
                <w:szCs w:val="20"/>
              </w:rPr>
              <w:t>ii</w:t>
            </w:r>
          </w:p>
        </w:tc>
        <w:tc>
          <w:tcPr>
            <w:tcW w:w="2486" w:type="dxa"/>
          </w:tcPr>
          <w:p w14:paraId="6EA71971" w14:textId="77777777" w:rsidR="001C1B58" w:rsidRDefault="001C1B58" w:rsidP="00F32890">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1B8800E2" w14:textId="77777777" w:rsidR="001C1B58" w:rsidRPr="00FE126C" w:rsidRDefault="001C1B58" w:rsidP="00F32890">
            <w:pPr>
              <w:rPr>
                <w:rFonts w:ascii="Arial" w:hAnsi="Arial" w:cs="Arial"/>
                <w:sz w:val="20"/>
                <w:szCs w:val="20"/>
              </w:rPr>
            </w:pPr>
            <w:r w:rsidRPr="009843F8">
              <w:rPr>
                <w:rFonts w:ascii="Arial" w:hAnsi="Arial" w:cs="Arial"/>
                <w:color w:val="0070C0"/>
                <w:sz w:val="20"/>
                <w:szCs w:val="20"/>
              </w:rPr>
              <w:t>Actual</w:t>
            </w:r>
          </w:p>
        </w:tc>
        <w:tc>
          <w:tcPr>
            <w:tcW w:w="4230" w:type="dxa"/>
          </w:tcPr>
          <w:p w14:paraId="4B96A91B" w14:textId="77777777" w:rsidR="001C1B58" w:rsidRPr="00FE126C" w:rsidRDefault="001C1B58" w:rsidP="005F23CE">
            <w:pPr>
              <w:jc w:val="both"/>
              <w:rPr>
                <w:rFonts w:ascii="Arial" w:hAnsi="Arial" w:cs="Arial"/>
                <w:sz w:val="20"/>
                <w:szCs w:val="20"/>
              </w:rPr>
            </w:pPr>
            <w:r>
              <w:rPr>
                <w:rFonts w:ascii="Arial" w:hAnsi="Arial" w:cs="Arial"/>
                <w:color w:val="0070C0"/>
                <w:sz w:val="20"/>
                <w:szCs w:val="20"/>
              </w:rPr>
              <w:t>The January dated IESO invoice pertains to December usage.  All line items on that invoice are backdated into December except HST 900, 950 and 9980 Smart Metering Charge.</w:t>
            </w:r>
          </w:p>
        </w:tc>
        <w:tc>
          <w:tcPr>
            <w:tcW w:w="1980" w:type="dxa"/>
          </w:tcPr>
          <w:p w14:paraId="6DE243D4" w14:textId="77777777" w:rsidR="001C1B58" w:rsidRPr="00FE126C" w:rsidRDefault="001C1B58" w:rsidP="00F32890">
            <w:pPr>
              <w:jc w:val="center"/>
              <w:rPr>
                <w:rFonts w:ascii="Arial" w:hAnsi="Arial" w:cs="Arial"/>
                <w:sz w:val="20"/>
                <w:szCs w:val="20"/>
              </w:rPr>
            </w:pPr>
            <w:r>
              <w:rPr>
                <w:rFonts w:ascii="Arial" w:hAnsi="Arial" w:cs="Arial"/>
                <w:sz w:val="20"/>
                <w:szCs w:val="20"/>
              </w:rPr>
              <w:t>0</w:t>
            </w:r>
          </w:p>
        </w:tc>
      </w:tr>
      <w:tr w:rsidR="001C1B58" w14:paraId="355D5201" w14:textId="77777777" w:rsidTr="00F32890">
        <w:trPr>
          <w:trHeight w:val="1628"/>
        </w:trPr>
        <w:tc>
          <w:tcPr>
            <w:tcW w:w="389" w:type="dxa"/>
          </w:tcPr>
          <w:p w14:paraId="6A70133B" w14:textId="6C0FD712" w:rsidR="001C1B58" w:rsidRPr="00FE126C" w:rsidRDefault="00D44AAE" w:rsidP="00F32890">
            <w:pPr>
              <w:rPr>
                <w:rFonts w:ascii="Arial" w:hAnsi="Arial" w:cs="Arial"/>
                <w:sz w:val="20"/>
                <w:szCs w:val="20"/>
              </w:rPr>
            </w:pPr>
            <w:r>
              <w:rPr>
                <w:rFonts w:ascii="Arial" w:hAnsi="Arial" w:cs="Arial"/>
                <w:sz w:val="20"/>
                <w:szCs w:val="20"/>
              </w:rPr>
              <w:t>iii</w:t>
            </w:r>
          </w:p>
        </w:tc>
        <w:tc>
          <w:tcPr>
            <w:tcW w:w="2486" w:type="dxa"/>
          </w:tcPr>
          <w:p w14:paraId="689EBE42" w14:textId="77777777" w:rsidR="001C1B58" w:rsidRPr="00FE126C" w:rsidRDefault="001C1B58" w:rsidP="00F32890">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2CF5E589" w14:textId="77777777" w:rsidR="001C1B58" w:rsidRPr="005E4D4C" w:rsidRDefault="001C1B58" w:rsidP="00F32890">
            <w:pPr>
              <w:rPr>
                <w:rFonts w:ascii="Arial" w:hAnsi="Arial" w:cs="Arial"/>
                <w:color w:val="0070C0"/>
                <w:sz w:val="20"/>
                <w:szCs w:val="20"/>
              </w:rPr>
            </w:pPr>
            <w:r>
              <w:rPr>
                <w:rFonts w:ascii="Arial" w:hAnsi="Arial" w:cs="Arial"/>
                <w:color w:val="0070C0"/>
                <w:sz w:val="20"/>
                <w:szCs w:val="20"/>
              </w:rPr>
              <w:t>Actual</w:t>
            </w:r>
          </w:p>
        </w:tc>
        <w:tc>
          <w:tcPr>
            <w:tcW w:w="4230" w:type="dxa"/>
          </w:tcPr>
          <w:p w14:paraId="70738066" w14:textId="57776A2C" w:rsidR="001C1B58" w:rsidRPr="00FE126C" w:rsidRDefault="001C1B58" w:rsidP="005F23CE">
            <w:pPr>
              <w:jc w:val="both"/>
              <w:rPr>
                <w:rFonts w:ascii="Arial" w:hAnsi="Arial" w:cs="Arial"/>
                <w:sz w:val="20"/>
                <w:szCs w:val="20"/>
              </w:rPr>
            </w:pPr>
            <w:r>
              <w:rPr>
                <w:rFonts w:ascii="Arial" w:hAnsi="Arial" w:cs="Arial"/>
                <w:color w:val="0070C0"/>
                <w:sz w:val="20"/>
                <w:szCs w:val="20"/>
              </w:rPr>
              <w:t>The January dated IESO invoice pertains to December usage.  All line items on that invoice are backdated into December except HST 900, 950 and 9980 Smart Metering Charge.</w:t>
            </w:r>
            <w:r w:rsidR="003646BE">
              <w:rPr>
                <w:rFonts w:ascii="Arial" w:hAnsi="Arial" w:cs="Arial"/>
                <w:color w:val="0070C0"/>
                <w:sz w:val="20"/>
                <w:szCs w:val="20"/>
              </w:rPr>
              <w:t xml:space="preserve">  </w:t>
            </w:r>
            <w:r w:rsidR="003646BE" w:rsidRPr="003646BE">
              <w:rPr>
                <w:rFonts w:ascii="Arial" w:hAnsi="Arial" w:cs="Arial"/>
                <w:color w:val="0070C0"/>
                <w:sz w:val="20"/>
                <w:szCs w:val="20"/>
              </w:rPr>
              <w:t>Based on this approach the total dollars are correct, however the segregation between RPP/non-RPP is not finalized until the next step (see iv).</w:t>
            </w:r>
          </w:p>
        </w:tc>
        <w:tc>
          <w:tcPr>
            <w:tcW w:w="1980" w:type="dxa"/>
          </w:tcPr>
          <w:p w14:paraId="1A11BBC6" w14:textId="77777777" w:rsidR="001C1B58" w:rsidRPr="00FE126C" w:rsidRDefault="001C1B58" w:rsidP="00F32890">
            <w:pPr>
              <w:jc w:val="center"/>
              <w:rPr>
                <w:rFonts w:ascii="Arial" w:hAnsi="Arial" w:cs="Arial"/>
                <w:sz w:val="20"/>
                <w:szCs w:val="20"/>
              </w:rPr>
            </w:pPr>
            <w:r>
              <w:rPr>
                <w:rFonts w:ascii="Arial" w:hAnsi="Arial" w:cs="Arial"/>
                <w:sz w:val="20"/>
                <w:szCs w:val="20"/>
              </w:rPr>
              <w:t>0</w:t>
            </w:r>
          </w:p>
        </w:tc>
      </w:tr>
      <w:tr w:rsidR="001C1B58" w14:paraId="619037D0" w14:textId="77777777" w:rsidTr="00F32890">
        <w:tc>
          <w:tcPr>
            <w:tcW w:w="389" w:type="dxa"/>
          </w:tcPr>
          <w:p w14:paraId="581FB73F" w14:textId="77777777" w:rsidR="001C1B58" w:rsidRPr="00FE126C" w:rsidRDefault="001C1B58" w:rsidP="00F32890">
            <w:pPr>
              <w:rPr>
                <w:rFonts w:ascii="Arial" w:hAnsi="Arial" w:cs="Arial"/>
                <w:sz w:val="20"/>
                <w:szCs w:val="20"/>
              </w:rPr>
            </w:pPr>
            <w:r>
              <w:rPr>
                <w:rFonts w:ascii="Arial" w:hAnsi="Arial" w:cs="Arial"/>
                <w:sz w:val="20"/>
                <w:szCs w:val="20"/>
              </w:rPr>
              <w:t>iv</w:t>
            </w:r>
          </w:p>
        </w:tc>
        <w:tc>
          <w:tcPr>
            <w:tcW w:w="2486" w:type="dxa"/>
          </w:tcPr>
          <w:p w14:paraId="53C5BF48" w14:textId="77777777" w:rsidR="001C1B58" w:rsidRPr="00FE126C" w:rsidRDefault="001C1B58" w:rsidP="00F32890">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64480D5D" w14:textId="77777777" w:rsidR="001C1B58" w:rsidRPr="006C5AF0" w:rsidRDefault="001C1B58" w:rsidP="00F32890">
            <w:pPr>
              <w:rPr>
                <w:rFonts w:ascii="Arial" w:hAnsi="Arial" w:cs="Arial"/>
                <w:color w:val="0070C0"/>
                <w:sz w:val="20"/>
                <w:szCs w:val="20"/>
              </w:rPr>
            </w:pPr>
            <w:r>
              <w:rPr>
                <w:rFonts w:ascii="Arial" w:hAnsi="Arial" w:cs="Arial"/>
                <w:color w:val="0070C0"/>
                <w:sz w:val="20"/>
                <w:szCs w:val="20"/>
              </w:rPr>
              <w:t>Estimate</w:t>
            </w:r>
          </w:p>
        </w:tc>
        <w:tc>
          <w:tcPr>
            <w:tcW w:w="4230" w:type="dxa"/>
          </w:tcPr>
          <w:p w14:paraId="3B358B51" w14:textId="25FFCD67" w:rsidR="001C1B58" w:rsidRPr="00FE126C" w:rsidRDefault="001C1B58" w:rsidP="005F23CE">
            <w:pPr>
              <w:jc w:val="both"/>
              <w:rPr>
                <w:rFonts w:ascii="Arial" w:hAnsi="Arial" w:cs="Arial"/>
                <w:sz w:val="20"/>
                <w:szCs w:val="20"/>
              </w:rPr>
            </w:pPr>
            <w:r>
              <w:rPr>
                <w:rFonts w:ascii="Arial" w:hAnsi="Arial" w:cs="Arial"/>
                <w:color w:val="0070C0"/>
                <w:sz w:val="20"/>
                <w:szCs w:val="20"/>
              </w:rPr>
              <w:t xml:space="preserve">The amount in charge type 148 was based on the IESO January invoice. No true-up was entered </w:t>
            </w:r>
            <w:r w:rsidR="000E28D5">
              <w:rPr>
                <w:rFonts w:ascii="Arial" w:hAnsi="Arial" w:cs="Arial"/>
                <w:color w:val="0070C0"/>
                <w:sz w:val="20"/>
                <w:szCs w:val="20"/>
              </w:rPr>
              <w:t xml:space="preserve">in the general ledger </w:t>
            </w:r>
            <w:r>
              <w:rPr>
                <w:rFonts w:ascii="Arial" w:hAnsi="Arial" w:cs="Arial"/>
                <w:color w:val="0070C0"/>
                <w:sz w:val="20"/>
                <w:szCs w:val="20"/>
              </w:rPr>
              <w:t>for 2016. This is reflected in the 2018 IRM Rate Generator Model –Tab 3 under Principal Adjustments during 2016.  The offset to this true up</w:t>
            </w:r>
            <w:r w:rsidR="00AF7B00">
              <w:rPr>
                <w:rFonts w:ascii="Arial" w:hAnsi="Arial" w:cs="Arial"/>
                <w:color w:val="0070C0"/>
                <w:sz w:val="20"/>
                <w:szCs w:val="20"/>
              </w:rPr>
              <w:t xml:space="preserve"> to actual</w:t>
            </w:r>
            <w:r>
              <w:rPr>
                <w:rFonts w:ascii="Arial" w:hAnsi="Arial" w:cs="Arial"/>
                <w:color w:val="0070C0"/>
                <w:sz w:val="20"/>
                <w:szCs w:val="20"/>
              </w:rPr>
              <w:t xml:space="preserve"> is in account 1589.</w:t>
            </w:r>
          </w:p>
        </w:tc>
        <w:tc>
          <w:tcPr>
            <w:tcW w:w="1980" w:type="dxa"/>
          </w:tcPr>
          <w:p w14:paraId="102E76CC" w14:textId="77777777" w:rsidR="001C1B58" w:rsidRPr="00FE126C" w:rsidRDefault="001C1B58" w:rsidP="00441960">
            <w:pPr>
              <w:jc w:val="center"/>
              <w:rPr>
                <w:rFonts w:ascii="Arial" w:hAnsi="Arial" w:cs="Arial"/>
                <w:sz w:val="20"/>
                <w:szCs w:val="20"/>
              </w:rPr>
            </w:pPr>
            <w:r>
              <w:rPr>
                <w:rFonts w:ascii="Arial" w:hAnsi="Arial" w:cs="Arial"/>
                <w:sz w:val="20"/>
                <w:szCs w:val="20"/>
              </w:rPr>
              <w:t>1,641,011</w:t>
            </w:r>
          </w:p>
        </w:tc>
      </w:tr>
      <w:tr w:rsidR="001C1B58" w14:paraId="27ED5BCD" w14:textId="77777777" w:rsidTr="00F32890">
        <w:tc>
          <w:tcPr>
            <w:tcW w:w="389" w:type="dxa"/>
          </w:tcPr>
          <w:p w14:paraId="74BA203E" w14:textId="77777777" w:rsidR="001C1B58" w:rsidRPr="00FE126C" w:rsidRDefault="001C1B58" w:rsidP="00F32890">
            <w:pPr>
              <w:rPr>
                <w:rFonts w:ascii="Arial" w:hAnsi="Arial" w:cs="Arial"/>
                <w:sz w:val="20"/>
                <w:szCs w:val="20"/>
              </w:rPr>
            </w:pPr>
            <w:r>
              <w:rPr>
                <w:rFonts w:ascii="Arial" w:hAnsi="Arial" w:cs="Arial"/>
                <w:sz w:val="20"/>
                <w:szCs w:val="20"/>
              </w:rPr>
              <w:t>v</w:t>
            </w:r>
          </w:p>
        </w:tc>
        <w:tc>
          <w:tcPr>
            <w:tcW w:w="2486" w:type="dxa"/>
          </w:tcPr>
          <w:p w14:paraId="2373EA21" w14:textId="77777777" w:rsidR="001C1B58" w:rsidRPr="00FE126C" w:rsidRDefault="001C1B58" w:rsidP="00F32890">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14:paraId="30E9B45A" w14:textId="63DD87A1" w:rsidR="001C1B58" w:rsidRPr="00FE126C" w:rsidRDefault="00831140" w:rsidP="00F32890">
            <w:pPr>
              <w:rPr>
                <w:rFonts w:ascii="Arial" w:hAnsi="Arial" w:cs="Arial"/>
                <w:sz w:val="20"/>
                <w:szCs w:val="20"/>
              </w:rPr>
            </w:pPr>
            <w:r>
              <w:rPr>
                <w:rFonts w:ascii="Arial" w:hAnsi="Arial" w:cs="Arial"/>
                <w:color w:val="0070C0"/>
                <w:sz w:val="20"/>
                <w:szCs w:val="20"/>
              </w:rPr>
              <w:t>Estimate</w:t>
            </w:r>
          </w:p>
        </w:tc>
        <w:tc>
          <w:tcPr>
            <w:tcW w:w="4230" w:type="dxa"/>
          </w:tcPr>
          <w:p w14:paraId="688EBCFA" w14:textId="3FEA7DF6" w:rsidR="00EB06E6" w:rsidRDefault="00B94E34" w:rsidP="005F23CE">
            <w:pPr>
              <w:jc w:val="both"/>
              <w:rPr>
                <w:rFonts w:ascii="Arial" w:hAnsi="Arial" w:cs="Arial"/>
                <w:color w:val="0070C0"/>
                <w:sz w:val="20"/>
                <w:szCs w:val="20"/>
              </w:rPr>
            </w:pPr>
            <w:r>
              <w:rPr>
                <w:rFonts w:ascii="Arial" w:hAnsi="Arial" w:cs="Arial"/>
                <w:color w:val="0070C0"/>
                <w:sz w:val="20"/>
                <w:szCs w:val="20"/>
              </w:rPr>
              <w:t xml:space="preserve">The true up amount for Type 142 is included in the GA true up in </w:t>
            </w:r>
            <w:r w:rsidR="00831140">
              <w:rPr>
                <w:rFonts w:ascii="Arial" w:hAnsi="Arial" w:cs="Arial"/>
                <w:color w:val="0070C0"/>
                <w:sz w:val="20"/>
                <w:szCs w:val="20"/>
              </w:rPr>
              <w:t>item iv</w:t>
            </w:r>
            <w:r>
              <w:rPr>
                <w:rFonts w:ascii="Arial" w:hAnsi="Arial" w:cs="Arial"/>
                <w:color w:val="0070C0"/>
                <w:sz w:val="20"/>
                <w:szCs w:val="20"/>
              </w:rPr>
              <w:t xml:space="preserve"> above.</w:t>
            </w:r>
          </w:p>
          <w:p w14:paraId="401B0B56" w14:textId="35813F6E" w:rsidR="001C1B58" w:rsidRDefault="001C1B58" w:rsidP="005F23CE">
            <w:pPr>
              <w:jc w:val="both"/>
              <w:rPr>
                <w:rFonts w:ascii="Arial" w:hAnsi="Arial" w:cs="Arial"/>
                <w:color w:val="0070C0"/>
                <w:sz w:val="20"/>
                <w:szCs w:val="20"/>
              </w:rPr>
            </w:pPr>
          </w:p>
          <w:p w14:paraId="10B8BBA9" w14:textId="03C1E280" w:rsidR="00EB06E6" w:rsidRPr="00FE126C" w:rsidRDefault="00EB06E6" w:rsidP="005F23CE">
            <w:pPr>
              <w:jc w:val="both"/>
              <w:rPr>
                <w:rFonts w:ascii="Arial" w:hAnsi="Arial" w:cs="Arial"/>
                <w:sz w:val="20"/>
                <w:szCs w:val="20"/>
              </w:rPr>
            </w:pPr>
          </w:p>
        </w:tc>
        <w:tc>
          <w:tcPr>
            <w:tcW w:w="1980" w:type="dxa"/>
          </w:tcPr>
          <w:p w14:paraId="1A040981" w14:textId="65B1A0B4" w:rsidR="001C1B58" w:rsidRPr="00FE126C" w:rsidRDefault="00831140" w:rsidP="00F32890">
            <w:pPr>
              <w:rPr>
                <w:rFonts w:ascii="Arial" w:hAnsi="Arial" w:cs="Arial"/>
                <w:sz w:val="20"/>
                <w:szCs w:val="20"/>
              </w:rPr>
            </w:pPr>
            <w:r>
              <w:rPr>
                <w:rFonts w:ascii="Arial" w:hAnsi="Arial" w:cs="Arial"/>
                <w:sz w:val="20"/>
                <w:szCs w:val="20"/>
              </w:rPr>
              <w:t>Included in item iv</w:t>
            </w:r>
          </w:p>
        </w:tc>
      </w:tr>
    </w:tbl>
    <w:p w14:paraId="692D53E8" w14:textId="77777777" w:rsidR="00F452D5" w:rsidRDefault="00F452D5" w:rsidP="00EB5B64">
      <w:pPr>
        <w:spacing w:after="0"/>
        <w:rPr>
          <w:rFonts w:ascii="Arial" w:hAnsi="Arial" w:cs="Arial"/>
          <w:b/>
          <w:sz w:val="24"/>
          <w:szCs w:val="24"/>
        </w:rPr>
      </w:pPr>
    </w:p>
    <w:p w14:paraId="522914D8" w14:textId="49BAF662" w:rsidR="002B1731" w:rsidRPr="001C1B58" w:rsidRDefault="001C1B58" w:rsidP="00300787">
      <w:pPr>
        <w:spacing w:after="0"/>
        <w:ind w:left="720" w:hanging="720"/>
        <w:rPr>
          <w:rFonts w:ascii="Arial" w:hAnsi="Arial" w:cs="Arial"/>
          <w:sz w:val="24"/>
          <w:szCs w:val="24"/>
        </w:rPr>
      </w:pPr>
      <w:r w:rsidRPr="001C1B58">
        <w:rPr>
          <w:rFonts w:ascii="Arial" w:hAnsi="Arial" w:cs="Arial"/>
          <w:color w:val="0070C0"/>
          <w:sz w:val="24"/>
          <w:szCs w:val="24"/>
        </w:rPr>
        <w:t>c)</w:t>
      </w:r>
      <w:r w:rsidR="00300787">
        <w:rPr>
          <w:rFonts w:ascii="Arial" w:hAnsi="Arial" w:cs="Arial"/>
          <w:color w:val="0070C0"/>
          <w:sz w:val="24"/>
          <w:szCs w:val="24"/>
        </w:rPr>
        <w:tab/>
      </w:r>
      <w:r w:rsidR="005C518C" w:rsidRPr="005C518C">
        <w:rPr>
          <w:rFonts w:ascii="Arial" w:hAnsi="Arial" w:cs="Arial"/>
          <w:i/>
          <w:color w:val="0070C0"/>
          <w:sz w:val="24"/>
          <w:szCs w:val="24"/>
        </w:rPr>
        <w:t>ENWIN</w:t>
      </w:r>
      <w:r w:rsidRPr="001C1B58">
        <w:rPr>
          <w:rFonts w:ascii="Arial" w:hAnsi="Arial" w:cs="Arial"/>
          <w:color w:val="0070C0"/>
          <w:sz w:val="24"/>
          <w:szCs w:val="24"/>
        </w:rPr>
        <w:t xml:space="preserve"> confirms that the 2018 Rate Generator Model Tab 3 Continuity Schedule for 2016 have been adjusted for settlement true-ups where settlement was originally based on estimate and trued up to actuals subsequent to 2016.</w:t>
      </w:r>
      <w:r w:rsidR="002B1731" w:rsidRPr="001C1B58">
        <w:rPr>
          <w:rFonts w:ascii="Arial" w:hAnsi="Arial" w:cs="Arial"/>
          <w:sz w:val="24"/>
          <w:szCs w:val="24"/>
        </w:rPr>
        <w:br w:type="page"/>
      </w:r>
    </w:p>
    <w:p w14:paraId="0AF8CD5E" w14:textId="44C845C3" w:rsidR="00EB5B64" w:rsidRPr="00771CE7" w:rsidRDefault="00EB5B64" w:rsidP="00EB5B64">
      <w:pPr>
        <w:spacing w:after="0"/>
        <w:rPr>
          <w:rFonts w:ascii="Arial" w:hAnsi="Arial" w:cs="Arial"/>
          <w:b/>
          <w:sz w:val="24"/>
          <w:szCs w:val="24"/>
        </w:rPr>
      </w:pPr>
      <w:r w:rsidRPr="00771CE7">
        <w:rPr>
          <w:rFonts w:ascii="Arial" w:hAnsi="Arial" w:cs="Arial"/>
          <w:b/>
          <w:sz w:val="24"/>
          <w:szCs w:val="24"/>
        </w:rPr>
        <w:lastRenderedPageBreak/>
        <w:t>Question #</w:t>
      </w:r>
      <w:r>
        <w:rPr>
          <w:rFonts w:ascii="Arial" w:hAnsi="Arial" w:cs="Arial"/>
          <w:b/>
          <w:sz w:val="24"/>
          <w:szCs w:val="24"/>
        </w:rPr>
        <w:t>8</w:t>
      </w:r>
    </w:p>
    <w:p w14:paraId="05EB39B6" w14:textId="77777777" w:rsidR="00EB5B64" w:rsidRPr="00771CE7" w:rsidRDefault="00EB5B64" w:rsidP="00EB5B64">
      <w:pPr>
        <w:rPr>
          <w:rFonts w:ascii="Arial" w:hAnsi="Arial" w:cs="Arial"/>
          <w:b/>
          <w:sz w:val="24"/>
          <w:szCs w:val="24"/>
        </w:rPr>
      </w:pPr>
      <w:r w:rsidRPr="00771CE7">
        <w:rPr>
          <w:rFonts w:ascii="Arial" w:hAnsi="Arial" w:cs="Arial"/>
          <w:b/>
          <w:sz w:val="24"/>
          <w:szCs w:val="24"/>
        </w:rPr>
        <w:t xml:space="preserve">Reference: GA Analysis Workform – Analysis of expected GA Amount </w:t>
      </w:r>
    </w:p>
    <w:p w14:paraId="2C11B530" w14:textId="77777777" w:rsidR="00EB5B64" w:rsidRDefault="00EB5B64" w:rsidP="00EB5B64">
      <w:pPr>
        <w:pStyle w:val="ListParagraph"/>
        <w:numPr>
          <w:ilvl w:val="0"/>
          <w:numId w:val="7"/>
        </w:numPr>
        <w:rPr>
          <w:rFonts w:ascii="Arial" w:hAnsi="Arial" w:cs="Arial"/>
          <w:sz w:val="24"/>
          <w:szCs w:val="24"/>
        </w:rPr>
      </w:pPr>
      <w:r>
        <w:rPr>
          <w:rFonts w:ascii="Arial" w:hAnsi="Arial" w:cs="Arial"/>
          <w:sz w:val="24"/>
          <w:szCs w:val="24"/>
        </w:rPr>
        <w:t>Please confirm whether customers are billed on a calendar month basis. If not, on what basis are non-RPP Class B customers billed?</w:t>
      </w:r>
    </w:p>
    <w:p w14:paraId="3E60C383" w14:textId="77777777" w:rsidR="007D4194" w:rsidRDefault="007D4194" w:rsidP="007D4194">
      <w:pPr>
        <w:pStyle w:val="ListParagraph"/>
        <w:rPr>
          <w:rFonts w:ascii="Arial" w:hAnsi="Arial" w:cs="Arial"/>
          <w:sz w:val="24"/>
          <w:szCs w:val="24"/>
        </w:rPr>
      </w:pPr>
    </w:p>
    <w:p w14:paraId="21394099" w14:textId="77777777" w:rsidR="00EB5B64" w:rsidRDefault="00EB5B64" w:rsidP="00EB5B64">
      <w:pPr>
        <w:pStyle w:val="ListParagraph"/>
        <w:numPr>
          <w:ilvl w:val="0"/>
          <w:numId w:val="7"/>
        </w:numPr>
        <w:rPr>
          <w:rFonts w:ascii="Arial" w:hAnsi="Arial" w:cs="Arial"/>
          <w:sz w:val="24"/>
          <w:szCs w:val="24"/>
        </w:rPr>
      </w:pPr>
      <w:r w:rsidRPr="00771CE7">
        <w:rPr>
          <w:rFonts w:ascii="Arial" w:hAnsi="Arial" w:cs="Arial"/>
          <w:sz w:val="24"/>
          <w:szCs w:val="24"/>
        </w:rPr>
        <w:t>Please confirm that the Non-RPP Class B kWh amounts entered in column F below represent the</w:t>
      </w:r>
      <w:r>
        <w:rPr>
          <w:rFonts w:ascii="Arial" w:hAnsi="Arial" w:cs="Arial"/>
          <w:sz w:val="24"/>
          <w:szCs w:val="24"/>
        </w:rPr>
        <w:t xml:space="preserve"> actual</w:t>
      </w:r>
      <w:r w:rsidRPr="00771CE7">
        <w:rPr>
          <w:rFonts w:ascii="Arial" w:hAnsi="Arial" w:cs="Arial"/>
          <w:sz w:val="24"/>
          <w:szCs w:val="24"/>
        </w:rPr>
        <w:t xml:space="preserve"> kWh that was </w:t>
      </w:r>
      <w:r>
        <w:rPr>
          <w:rFonts w:ascii="Arial" w:hAnsi="Arial" w:cs="Arial"/>
          <w:sz w:val="24"/>
          <w:szCs w:val="24"/>
        </w:rPr>
        <w:t>consumed by non-RPP Class B customers for each month.</w:t>
      </w:r>
    </w:p>
    <w:p w14:paraId="2C6FF66A" w14:textId="77777777" w:rsidR="00F452D5" w:rsidRDefault="00F452D5" w:rsidP="00DF0B44">
      <w:pPr>
        <w:spacing w:after="0"/>
        <w:rPr>
          <w:rFonts w:ascii="Arial" w:hAnsi="Arial" w:cs="Arial"/>
          <w:b/>
          <w:sz w:val="24"/>
          <w:szCs w:val="24"/>
        </w:rPr>
      </w:pPr>
    </w:p>
    <w:p w14:paraId="3D9EDEB1" w14:textId="77777777" w:rsidR="002B1731" w:rsidRPr="00C45B62" w:rsidRDefault="002B1731" w:rsidP="002B1731">
      <w:pPr>
        <w:rPr>
          <w:rFonts w:ascii="Arial" w:hAnsi="Arial" w:cs="Arial"/>
          <w:color w:val="0070C0"/>
          <w:sz w:val="24"/>
          <w:szCs w:val="24"/>
        </w:rPr>
      </w:pPr>
      <w:r w:rsidRPr="00C45B62">
        <w:rPr>
          <w:rFonts w:ascii="Arial" w:hAnsi="Arial" w:cs="Arial"/>
          <w:b/>
          <w:color w:val="0070C0"/>
          <w:sz w:val="24"/>
          <w:szCs w:val="24"/>
        </w:rPr>
        <w:t>RESPONSE</w:t>
      </w:r>
    </w:p>
    <w:p w14:paraId="5D9D394B" w14:textId="267A0ED9" w:rsidR="00C55FD6" w:rsidRDefault="00C55FD6" w:rsidP="005F23CE">
      <w:pPr>
        <w:pStyle w:val="ListParagraph"/>
        <w:numPr>
          <w:ilvl w:val="0"/>
          <w:numId w:val="15"/>
        </w:numPr>
        <w:spacing w:after="0"/>
        <w:jc w:val="both"/>
        <w:rPr>
          <w:rFonts w:ascii="Arial" w:hAnsi="Arial" w:cs="Arial"/>
          <w:color w:val="0070C0"/>
          <w:sz w:val="24"/>
          <w:szCs w:val="24"/>
        </w:rPr>
      </w:pPr>
      <w:r>
        <w:rPr>
          <w:rFonts w:ascii="Arial" w:hAnsi="Arial" w:cs="Arial"/>
          <w:color w:val="0070C0"/>
          <w:sz w:val="24"/>
          <w:szCs w:val="24"/>
        </w:rPr>
        <w:t xml:space="preserve">Non-RPP Class B customers are billed using monthly cycle billing, the billing cycle </w:t>
      </w:r>
      <w:r w:rsidR="00572F6E">
        <w:rPr>
          <w:rFonts w:ascii="Arial" w:hAnsi="Arial" w:cs="Arial"/>
          <w:color w:val="0070C0"/>
          <w:sz w:val="24"/>
          <w:szCs w:val="24"/>
        </w:rPr>
        <w:t xml:space="preserve">may </w:t>
      </w:r>
      <w:r>
        <w:rPr>
          <w:rFonts w:ascii="Arial" w:hAnsi="Arial" w:cs="Arial"/>
          <w:color w:val="0070C0"/>
          <w:sz w:val="24"/>
          <w:szCs w:val="24"/>
        </w:rPr>
        <w:t xml:space="preserve">span more than one </w:t>
      </w:r>
      <w:r w:rsidR="00572F6E">
        <w:rPr>
          <w:rFonts w:ascii="Arial" w:hAnsi="Arial" w:cs="Arial"/>
          <w:color w:val="0070C0"/>
          <w:sz w:val="24"/>
          <w:szCs w:val="24"/>
        </w:rPr>
        <w:t xml:space="preserve">load </w:t>
      </w:r>
      <w:r>
        <w:rPr>
          <w:rFonts w:ascii="Arial" w:hAnsi="Arial" w:cs="Arial"/>
          <w:color w:val="0070C0"/>
          <w:sz w:val="24"/>
          <w:szCs w:val="24"/>
        </w:rPr>
        <w:t>month</w:t>
      </w:r>
      <w:r w:rsidR="00572F6E">
        <w:rPr>
          <w:rFonts w:ascii="Arial" w:hAnsi="Arial" w:cs="Arial"/>
          <w:color w:val="0070C0"/>
          <w:sz w:val="24"/>
          <w:szCs w:val="24"/>
        </w:rPr>
        <w:t>.</w:t>
      </w:r>
    </w:p>
    <w:p w14:paraId="10DB37E3" w14:textId="77777777" w:rsidR="00572F6E" w:rsidRDefault="00572F6E" w:rsidP="005F23CE">
      <w:pPr>
        <w:pStyle w:val="ListParagraph"/>
        <w:spacing w:after="0"/>
        <w:jc w:val="both"/>
        <w:rPr>
          <w:rFonts w:ascii="Arial" w:hAnsi="Arial" w:cs="Arial"/>
          <w:color w:val="0070C0"/>
          <w:sz w:val="24"/>
          <w:szCs w:val="24"/>
        </w:rPr>
      </w:pPr>
    </w:p>
    <w:p w14:paraId="15AC5F93" w14:textId="23F8E200" w:rsidR="00572F6E" w:rsidRPr="00C55FD6" w:rsidRDefault="00AF60F3" w:rsidP="005F23CE">
      <w:pPr>
        <w:pStyle w:val="ListParagraph"/>
        <w:numPr>
          <w:ilvl w:val="0"/>
          <w:numId w:val="15"/>
        </w:numPr>
        <w:spacing w:after="0"/>
        <w:jc w:val="both"/>
        <w:rPr>
          <w:rFonts w:ascii="Arial" w:hAnsi="Arial" w:cs="Arial"/>
          <w:color w:val="0070C0"/>
          <w:sz w:val="24"/>
          <w:szCs w:val="24"/>
        </w:rPr>
      </w:pPr>
      <w:r>
        <w:rPr>
          <w:rFonts w:ascii="Arial" w:hAnsi="Arial" w:cs="Arial"/>
          <w:color w:val="0070C0"/>
          <w:sz w:val="24"/>
          <w:szCs w:val="24"/>
        </w:rPr>
        <w:t>The Non-RPP Class B kWh amounts entered in column F of the GA Analysis Workform represent the actual kWh consumed by non-RPP Class B customers for each month.</w:t>
      </w:r>
    </w:p>
    <w:p w14:paraId="183ED5DB" w14:textId="3738B60A" w:rsidR="002B1731" w:rsidRPr="00475356" w:rsidRDefault="002B1731" w:rsidP="00475356">
      <w:pPr>
        <w:pStyle w:val="ListParagraph"/>
        <w:numPr>
          <w:ilvl w:val="0"/>
          <w:numId w:val="15"/>
        </w:numPr>
        <w:spacing w:after="0"/>
        <w:rPr>
          <w:rFonts w:ascii="Arial" w:hAnsi="Arial" w:cs="Arial"/>
          <w:b/>
          <w:sz w:val="24"/>
          <w:szCs w:val="24"/>
        </w:rPr>
      </w:pPr>
      <w:r w:rsidRPr="00475356">
        <w:rPr>
          <w:rFonts w:ascii="Arial" w:hAnsi="Arial" w:cs="Arial"/>
          <w:b/>
          <w:sz w:val="24"/>
          <w:szCs w:val="24"/>
        </w:rPr>
        <w:br w:type="page"/>
      </w:r>
    </w:p>
    <w:p w14:paraId="74EECB3C" w14:textId="71D52023" w:rsidR="00DF0B44" w:rsidRPr="00771CE7" w:rsidRDefault="00DF0B44" w:rsidP="00DF0B44">
      <w:pPr>
        <w:spacing w:after="0"/>
        <w:rPr>
          <w:rFonts w:ascii="Arial" w:hAnsi="Arial" w:cs="Arial"/>
          <w:b/>
          <w:sz w:val="24"/>
          <w:szCs w:val="24"/>
        </w:rPr>
      </w:pPr>
      <w:r w:rsidRPr="00771CE7">
        <w:rPr>
          <w:rFonts w:ascii="Arial" w:hAnsi="Arial" w:cs="Arial"/>
          <w:b/>
          <w:sz w:val="24"/>
          <w:szCs w:val="24"/>
        </w:rPr>
        <w:lastRenderedPageBreak/>
        <w:t>Question #</w:t>
      </w:r>
      <w:r w:rsidR="00F97C9B">
        <w:rPr>
          <w:rFonts w:ascii="Arial" w:hAnsi="Arial" w:cs="Arial"/>
          <w:b/>
          <w:sz w:val="24"/>
          <w:szCs w:val="24"/>
        </w:rPr>
        <w:t>9</w:t>
      </w:r>
    </w:p>
    <w:p w14:paraId="07F7C47F" w14:textId="77777777" w:rsidR="00DF0B44" w:rsidRDefault="00DF0B44" w:rsidP="00DF0B44">
      <w:pPr>
        <w:rPr>
          <w:rFonts w:ascii="Arial" w:hAnsi="Arial" w:cs="Arial"/>
          <w:b/>
          <w:sz w:val="24"/>
          <w:szCs w:val="24"/>
        </w:rPr>
      </w:pPr>
      <w:r w:rsidRPr="00771CE7">
        <w:rPr>
          <w:rFonts w:ascii="Arial" w:hAnsi="Arial" w:cs="Arial"/>
          <w:b/>
          <w:sz w:val="24"/>
          <w:szCs w:val="24"/>
        </w:rPr>
        <w:t>Reference: GA Analysis Workform –</w:t>
      </w:r>
      <w:r>
        <w:rPr>
          <w:rFonts w:ascii="Arial" w:hAnsi="Arial" w:cs="Arial"/>
          <w:b/>
          <w:sz w:val="24"/>
          <w:szCs w:val="24"/>
        </w:rPr>
        <w:t xml:space="preserve"> Analysis of expected GA Amount</w:t>
      </w:r>
    </w:p>
    <w:p w14:paraId="4739EDD0" w14:textId="77777777" w:rsidR="004E6985" w:rsidRDefault="004E6985" w:rsidP="0070175B">
      <w:pPr>
        <w:spacing w:after="0"/>
        <w:rPr>
          <w:rFonts w:ascii="Arial" w:hAnsi="Arial" w:cs="Arial"/>
          <w:sz w:val="24"/>
          <w:szCs w:val="24"/>
        </w:rPr>
      </w:pPr>
      <w:r>
        <w:rPr>
          <w:rFonts w:ascii="Arial" w:hAnsi="Arial" w:cs="Arial"/>
          <w:sz w:val="24"/>
          <w:szCs w:val="24"/>
        </w:rPr>
        <w:t>In the GA Analysis Workform, under Note 5 Reconciling Items:</w:t>
      </w:r>
    </w:p>
    <w:p w14:paraId="14652ED0" w14:textId="7E197576" w:rsidR="004E6985" w:rsidRDefault="00F97C9B" w:rsidP="0070175B">
      <w:pPr>
        <w:pStyle w:val="ListParagraph"/>
        <w:numPr>
          <w:ilvl w:val="0"/>
          <w:numId w:val="9"/>
        </w:numPr>
        <w:spacing w:after="0"/>
        <w:rPr>
          <w:rFonts w:ascii="Arial" w:hAnsi="Arial" w:cs="Arial"/>
          <w:sz w:val="24"/>
          <w:szCs w:val="24"/>
        </w:rPr>
      </w:pPr>
      <w:r>
        <w:rPr>
          <w:rFonts w:ascii="Arial" w:hAnsi="Arial" w:cs="Arial"/>
          <w:sz w:val="24"/>
          <w:szCs w:val="24"/>
        </w:rPr>
        <w:t xml:space="preserve">Please </w:t>
      </w:r>
      <w:r w:rsidR="004E6985">
        <w:rPr>
          <w:rFonts w:ascii="Arial" w:hAnsi="Arial" w:cs="Arial"/>
          <w:sz w:val="24"/>
          <w:szCs w:val="24"/>
        </w:rPr>
        <w:t xml:space="preserve">confirm that the amount of $1,001,263 represents </w:t>
      </w:r>
      <w:r>
        <w:rPr>
          <w:rFonts w:ascii="Arial" w:hAnsi="Arial" w:cs="Arial"/>
          <w:sz w:val="24"/>
          <w:szCs w:val="24"/>
        </w:rPr>
        <w:t xml:space="preserve">the net of </w:t>
      </w:r>
      <w:r w:rsidR="004E6985">
        <w:rPr>
          <w:rFonts w:ascii="Arial" w:hAnsi="Arial" w:cs="Arial"/>
          <w:sz w:val="24"/>
          <w:szCs w:val="24"/>
        </w:rPr>
        <w:t xml:space="preserve">all </w:t>
      </w:r>
      <w:r w:rsidR="00D44AAE">
        <w:rPr>
          <w:rFonts w:ascii="Arial" w:hAnsi="Arial" w:cs="Arial"/>
          <w:sz w:val="24"/>
          <w:szCs w:val="24"/>
        </w:rPr>
        <w:t>transactions in</w:t>
      </w:r>
      <w:r w:rsidR="004E6985">
        <w:rPr>
          <w:rFonts w:ascii="Arial" w:hAnsi="Arial" w:cs="Arial"/>
          <w:sz w:val="24"/>
          <w:szCs w:val="24"/>
        </w:rPr>
        <w:t xml:space="preserve"> account 1589 relating to the differences between purchases and sales with respect to Non-RPP Class A charges from the IESO and Sales to Non-RPP Class A customers?</w:t>
      </w:r>
      <w:r>
        <w:rPr>
          <w:rFonts w:ascii="Arial" w:hAnsi="Arial" w:cs="Arial"/>
          <w:sz w:val="24"/>
          <w:szCs w:val="24"/>
        </w:rPr>
        <w:t xml:space="preserve"> If not please adjust the DVA Continuity Schedule accor</w:t>
      </w:r>
      <w:r w:rsidR="00F80156">
        <w:rPr>
          <w:rFonts w:ascii="Arial" w:hAnsi="Arial" w:cs="Arial"/>
          <w:sz w:val="24"/>
          <w:szCs w:val="24"/>
        </w:rPr>
        <w:t>d</w:t>
      </w:r>
      <w:r>
        <w:rPr>
          <w:rFonts w:ascii="Arial" w:hAnsi="Arial" w:cs="Arial"/>
          <w:sz w:val="24"/>
          <w:szCs w:val="24"/>
        </w:rPr>
        <w:t>ingly.</w:t>
      </w:r>
    </w:p>
    <w:p w14:paraId="08C1AAC5" w14:textId="61B1934F" w:rsidR="004E6985" w:rsidRDefault="00F97C9B" w:rsidP="004E6985">
      <w:pPr>
        <w:pStyle w:val="ListParagraph"/>
        <w:numPr>
          <w:ilvl w:val="0"/>
          <w:numId w:val="9"/>
        </w:numPr>
        <w:rPr>
          <w:rFonts w:ascii="Arial" w:hAnsi="Arial" w:cs="Arial"/>
          <w:sz w:val="24"/>
          <w:szCs w:val="24"/>
        </w:rPr>
      </w:pPr>
      <w:r>
        <w:rPr>
          <w:rFonts w:ascii="Arial" w:hAnsi="Arial" w:cs="Arial"/>
          <w:sz w:val="24"/>
          <w:szCs w:val="24"/>
        </w:rPr>
        <w:t>P</w:t>
      </w:r>
      <w:r w:rsidR="004E6985">
        <w:rPr>
          <w:rFonts w:ascii="Arial" w:hAnsi="Arial" w:cs="Arial"/>
          <w:sz w:val="24"/>
          <w:szCs w:val="24"/>
        </w:rPr>
        <w:t>lease explain why there is a balance in the general ledger pertaining to Non-RPP Class A customers at year-end and what it is composed of</w:t>
      </w:r>
      <w:r w:rsidR="00183B76">
        <w:rPr>
          <w:rFonts w:ascii="Arial" w:hAnsi="Arial" w:cs="Arial"/>
          <w:sz w:val="24"/>
          <w:szCs w:val="24"/>
        </w:rPr>
        <w:t xml:space="preserve"> </w:t>
      </w:r>
      <w:r>
        <w:rPr>
          <w:rFonts w:ascii="Arial" w:hAnsi="Arial" w:cs="Arial"/>
          <w:sz w:val="24"/>
          <w:szCs w:val="24"/>
        </w:rPr>
        <w:t>since Class A Customers are billed based on actual GA costs, it is expected that account 1589 has the sum of zero net transaction pertaining to Class A customers.</w:t>
      </w:r>
    </w:p>
    <w:p w14:paraId="2B614016" w14:textId="09E4FFDB" w:rsidR="00FE469A" w:rsidRPr="00FE469A" w:rsidRDefault="004E6985" w:rsidP="0070175B">
      <w:pPr>
        <w:pStyle w:val="ListParagraph"/>
        <w:numPr>
          <w:ilvl w:val="0"/>
          <w:numId w:val="9"/>
        </w:numPr>
        <w:spacing w:after="160"/>
        <w:rPr>
          <w:rFonts w:ascii="Arial" w:hAnsi="Arial" w:cs="Arial"/>
          <w:sz w:val="24"/>
          <w:szCs w:val="24"/>
        </w:rPr>
      </w:pPr>
      <w:r>
        <w:rPr>
          <w:rFonts w:ascii="Arial" w:hAnsi="Arial" w:cs="Arial"/>
          <w:sz w:val="24"/>
          <w:szCs w:val="24"/>
        </w:rPr>
        <w:t xml:space="preserve">Please confirm if the amount of $1,001,263 </w:t>
      </w:r>
      <w:r w:rsidR="00F97C9B">
        <w:rPr>
          <w:rFonts w:ascii="Arial" w:hAnsi="Arial" w:cs="Arial"/>
          <w:sz w:val="24"/>
          <w:szCs w:val="24"/>
        </w:rPr>
        <w:t>has been excluded</w:t>
      </w:r>
      <w:r>
        <w:rPr>
          <w:rFonts w:ascii="Arial" w:hAnsi="Arial" w:cs="Arial"/>
          <w:sz w:val="24"/>
          <w:szCs w:val="24"/>
        </w:rPr>
        <w:t xml:space="preserve"> </w:t>
      </w:r>
      <w:r w:rsidR="00F97C9B">
        <w:rPr>
          <w:rFonts w:ascii="Arial" w:hAnsi="Arial" w:cs="Arial"/>
          <w:sz w:val="24"/>
          <w:szCs w:val="24"/>
        </w:rPr>
        <w:t>from</w:t>
      </w:r>
      <w:r>
        <w:rPr>
          <w:rFonts w:ascii="Arial" w:hAnsi="Arial" w:cs="Arial"/>
          <w:sz w:val="24"/>
          <w:szCs w:val="24"/>
        </w:rPr>
        <w:t xml:space="preserve"> the requested disposition amount</w:t>
      </w:r>
      <w:r w:rsidR="00F97C9B">
        <w:rPr>
          <w:rFonts w:ascii="Arial" w:hAnsi="Arial" w:cs="Arial"/>
          <w:sz w:val="24"/>
          <w:szCs w:val="24"/>
        </w:rPr>
        <w:t xml:space="preserve"> of account 1589 in the DVA Continuity Schedule</w:t>
      </w:r>
      <w:r>
        <w:rPr>
          <w:rFonts w:ascii="Arial" w:hAnsi="Arial" w:cs="Arial"/>
          <w:sz w:val="24"/>
          <w:szCs w:val="24"/>
        </w:rPr>
        <w:t xml:space="preserve">. If </w:t>
      </w:r>
      <w:r w:rsidR="00F97C9B">
        <w:rPr>
          <w:rFonts w:ascii="Arial" w:hAnsi="Arial" w:cs="Arial"/>
          <w:sz w:val="24"/>
          <w:szCs w:val="24"/>
        </w:rPr>
        <w:t>not</w:t>
      </w:r>
      <w:r>
        <w:rPr>
          <w:rFonts w:ascii="Arial" w:hAnsi="Arial" w:cs="Arial"/>
          <w:sz w:val="24"/>
          <w:szCs w:val="24"/>
        </w:rPr>
        <w:t xml:space="preserve">, please adjust the balance </w:t>
      </w:r>
      <w:r w:rsidR="00F97C9B">
        <w:rPr>
          <w:rFonts w:ascii="Arial" w:hAnsi="Arial" w:cs="Arial"/>
          <w:sz w:val="24"/>
          <w:szCs w:val="24"/>
        </w:rPr>
        <w:t xml:space="preserve">being requested for disposition </w:t>
      </w:r>
      <w:r>
        <w:rPr>
          <w:rFonts w:ascii="Arial" w:hAnsi="Arial" w:cs="Arial"/>
          <w:sz w:val="24"/>
          <w:szCs w:val="24"/>
        </w:rPr>
        <w:t>accordingly.</w:t>
      </w:r>
    </w:p>
    <w:p w14:paraId="565571BA" w14:textId="77777777" w:rsidR="00053C87" w:rsidRDefault="00FE469A" w:rsidP="0070175B">
      <w:pPr>
        <w:spacing w:after="160"/>
        <w:rPr>
          <w:rFonts w:ascii="Arial" w:hAnsi="Arial" w:cs="Arial"/>
          <w:color w:val="0070C0"/>
          <w:sz w:val="24"/>
          <w:szCs w:val="24"/>
        </w:rPr>
      </w:pPr>
      <w:r w:rsidRPr="000F1B04">
        <w:rPr>
          <w:rFonts w:ascii="Arial" w:hAnsi="Arial" w:cs="Arial"/>
          <w:b/>
          <w:color w:val="0070C0"/>
          <w:sz w:val="24"/>
          <w:szCs w:val="24"/>
        </w:rPr>
        <w:t>RESPONSE</w:t>
      </w:r>
    </w:p>
    <w:p w14:paraId="336CFE76" w14:textId="77777777" w:rsidR="00053C87" w:rsidRPr="00220235" w:rsidRDefault="00053C87" w:rsidP="0070175B">
      <w:pPr>
        <w:spacing w:after="160"/>
        <w:jc w:val="both"/>
        <w:rPr>
          <w:rFonts w:ascii="Arial" w:hAnsi="Arial" w:cs="Arial"/>
          <w:color w:val="0070C0"/>
          <w:sz w:val="24"/>
          <w:szCs w:val="24"/>
          <w:highlight w:val="yellow"/>
        </w:rPr>
      </w:pPr>
      <w:r>
        <w:rPr>
          <w:rFonts w:ascii="Arial" w:hAnsi="Arial" w:cs="Arial"/>
          <w:color w:val="0070C0"/>
          <w:sz w:val="24"/>
          <w:szCs w:val="24"/>
        </w:rPr>
        <w:t xml:space="preserve">The </w:t>
      </w:r>
      <w:r w:rsidRPr="00C2079D">
        <w:rPr>
          <w:rFonts w:ascii="Arial" w:hAnsi="Arial" w:cs="Arial"/>
          <w:color w:val="0070C0"/>
          <w:sz w:val="24"/>
          <w:szCs w:val="24"/>
        </w:rPr>
        <w:t>$</w:t>
      </w:r>
      <w:r w:rsidRPr="00220235">
        <w:rPr>
          <w:rFonts w:ascii="Arial" w:hAnsi="Arial" w:cs="Arial"/>
          <w:color w:val="0070C0"/>
          <w:sz w:val="24"/>
          <w:szCs w:val="24"/>
        </w:rPr>
        <w:t xml:space="preserve">1,001,263 balance does not represent a balance in the general ledger.  It is presented as a separate reconciling item for the GA Analysis Workform.  </w:t>
      </w:r>
    </w:p>
    <w:p w14:paraId="776ABF7E" w14:textId="422E9E7E" w:rsidR="00053C87" w:rsidRDefault="00053C87" w:rsidP="0070175B">
      <w:pPr>
        <w:spacing w:after="160"/>
        <w:jc w:val="both"/>
        <w:rPr>
          <w:rFonts w:ascii="Arial" w:hAnsi="Arial" w:cs="Arial"/>
          <w:sz w:val="24"/>
          <w:szCs w:val="24"/>
        </w:rPr>
      </w:pPr>
      <w:r w:rsidRPr="00CA2924">
        <w:rPr>
          <w:rFonts w:ascii="Arial" w:hAnsi="Arial" w:cs="Arial"/>
          <w:color w:val="0070C0"/>
          <w:sz w:val="24"/>
          <w:szCs w:val="24"/>
        </w:rPr>
        <w:t>The original submission attempted to isolate unbilled revenue differences excluding any Class A balances.  The $1,001,263 consisted of two elements, the first was the difference between the opening and closing Class A balances within the unbilled revenue and the second was a rebilling issue for a Class A customer</w:t>
      </w:r>
      <w:r w:rsidR="003646BE">
        <w:rPr>
          <w:rFonts w:ascii="Arial" w:hAnsi="Arial" w:cs="Arial"/>
          <w:color w:val="0070C0"/>
          <w:sz w:val="24"/>
          <w:szCs w:val="24"/>
        </w:rPr>
        <w:t xml:space="preserve"> in 2016</w:t>
      </w:r>
      <w:r w:rsidRPr="00CA2924">
        <w:rPr>
          <w:rFonts w:ascii="Arial" w:hAnsi="Arial" w:cs="Arial"/>
          <w:color w:val="0070C0"/>
          <w:sz w:val="24"/>
          <w:szCs w:val="24"/>
        </w:rPr>
        <w:t>.  Upon further investigation the $680,562 unbilled revenue accrual in December 2016 is for a Class A customer and should not be included as part of the disposition.  As a result, the DVA Continuity Schedule was amended to exclude the $680,562 in account 1589 for 2016.</w:t>
      </w:r>
      <w:r>
        <w:rPr>
          <w:rFonts w:ascii="Arial" w:hAnsi="Arial" w:cs="Arial"/>
          <w:sz w:val="24"/>
          <w:szCs w:val="24"/>
        </w:rPr>
        <w:t xml:space="preserve"> </w:t>
      </w:r>
    </w:p>
    <w:p w14:paraId="15D65139" w14:textId="59F6B7EB" w:rsidR="00BB2371" w:rsidRDefault="00053C87" w:rsidP="00053C87">
      <w:pPr>
        <w:rPr>
          <w:rFonts w:ascii="Arial" w:hAnsi="Arial" w:cs="Arial"/>
          <w:color w:val="0070C0"/>
          <w:sz w:val="24"/>
          <w:szCs w:val="24"/>
        </w:rPr>
      </w:pPr>
      <w:r w:rsidRPr="00053C87">
        <w:rPr>
          <w:rFonts w:ascii="Arial" w:hAnsi="Arial" w:cs="Arial"/>
          <w:color w:val="0070C0"/>
          <w:sz w:val="24"/>
          <w:szCs w:val="24"/>
        </w:rPr>
        <w:t>The updated models are included as Appendix A – 2018 Rate Generator Model IR and Appendix B – GA Analysis Workform IR.  </w:t>
      </w:r>
    </w:p>
    <w:p w14:paraId="276F3330" w14:textId="2E687E74" w:rsidR="00A7543F" w:rsidRDefault="006D46FD" w:rsidP="00053C87">
      <w:pPr>
        <w:rPr>
          <w:rFonts w:ascii="Arial" w:hAnsi="Arial" w:cs="Arial"/>
          <w:color w:val="0070C0"/>
          <w:sz w:val="24"/>
          <w:szCs w:val="24"/>
        </w:rPr>
      </w:pPr>
      <w:r>
        <w:rPr>
          <w:rFonts w:ascii="Arial" w:hAnsi="Arial" w:cs="Arial"/>
          <w:color w:val="0070C0"/>
          <w:sz w:val="24"/>
          <w:szCs w:val="24"/>
        </w:rPr>
        <w:t>The changes to the Account 1589 balance results in a change to</w:t>
      </w:r>
      <w:r w:rsidR="00B54D55">
        <w:rPr>
          <w:rFonts w:ascii="Arial" w:hAnsi="Arial" w:cs="Arial"/>
          <w:color w:val="0070C0"/>
          <w:sz w:val="24"/>
          <w:szCs w:val="24"/>
        </w:rPr>
        <w:t xml:space="preserve"> the allocation</w:t>
      </w:r>
      <w:r w:rsidR="0070175B">
        <w:rPr>
          <w:rFonts w:ascii="Arial" w:hAnsi="Arial" w:cs="Arial"/>
          <w:color w:val="0070C0"/>
          <w:sz w:val="24"/>
          <w:szCs w:val="24"/>
        </w:rPr>
        <w:t xml:space="preserve"> to </w:t>
      </w:r>
      <w:r>
        <w:rPr>
          <w:rFonts w:ascii="Arial" w:hAnsi="Arial" w:cs="Arial"/>
          <w:color w:val="0070C0"/>
          <w:sz w:val="24"/>
          <w:szCs w:val="24"/>
        </w:rPr>
        <w:t xml:space="preserve"> </w:t>
      </w:r>
      <w:r>
        <w:rPr>
          <w:rFonts w:ascii="Arial" w:hAnsi="Arial" w:cs="Arial"/>
          <w:i/>
          <w:color w:val="0070C0"/>
          <w:sz w:val="24"/>
          <w:szCs w:val="24"/>
        </w:rPr>
        <w:t>ENWIN</w:t>
      </w:r>
      <w:r>
        <w:rPr>
          <w:rFonts w:ascii="Arial" w:hAnsi="Arial" w:cs="Arial"/>
          <w:color w:val="0070C0"/>
          <w:sz w:val="24"/>
          <w:szCs w:val="24"/>
        </w:rPr>
        <w:t xml:space="preserve">’s </w:t>
      </w:r>
      <w:r w:rsidR="00D272EC">
        <w:rPr>
          <w:rFonts w:ascii="Arial" w:hAnsi="Arial" w:cs="Arial"/>
          <w:color w:val="0070C0"/>
          <w:sz w:val="24"/>
          <w:szCs w:val="24"/>
        </w:rPr>
        <w:t>customers that transitioned between Class A and Class B in 2016.</w:t>
      </w:r>
    </w:p>
    <w:tbl>
      <w:tblPr>
        <w:tblStyle w:val="TableGrid"/>
        <w:tblW w:w="0" w:type="auto"/>
        <w:tblInd w:w="250" w:type="dxa"/>
        <w:tblLook w:val="04A0" w:firstRow="1" w:lastRow="0" w:firstColumn="1" w:lastColumn="0" w:noHBand="0" w:noVBand="1"/>
      </w:tblPr>
      <w:tblGrid>
        <w:gridCol w:w="1843"/>
        <w:gridCol w:w="4290"/>
        <w:gridCol w:w="3193"/>
      </w:tblGrid>
      <w:tr w:rsidR="009943AC" w14:paraId="657435BC" w14:textId="640CDA2A" w:rsidTr="00B54D55">
        <w:tc>
          <w:tcPr>
            <w:tcW w:w="1843" w:type="dxa"/>
          </w:tcPr>
          <w:p w14:paraId="2CA35FB3" w14:textId="133E6BF4" w:rsidR="009943AC" w:rsidRDefault="00BB2371" w:rsidP="00445A54">
            <w:pPr>
              <w:rPr>
                <w:rFonts w:ascii="Arial" w:hAnsi="Arial" w:cs="Arial"/>
                <w:color w:val="0070C0"/>
                <w:sz w:val="24"/>
                <w:szCs w:val="24"/>
              </w:rPr>
            </w:pPr>
            <w:r>
              <w:rPr>
                <w:rFonts w:ascii="Arial" w:hAnsi="Arial" w:cs="Arial"/>
                <w:color w:val="0070C0"/>
                <w:sz w:val="24"/>
                <w:szCs w:val="24"/>
              </w:rPr>
              <w:br w:type="page"/>
            </w:r>
            <w:r w:rsidR="009943AC">
              <w:rPr>
                <w:rFonts w:ascii="Arial" w:hAnsi="Arial" w:cs="Arial"/>
                <w:color w:val="0070C0"/>
                <w:sz w:val="24"/>
                <w:szCs w:val="24"/>
              </w:rPr>
              <w:t>Customer</w:t>
            </w:r>
          </w:p>
        </w:tc>
        <w:tc>
          <w:tcPr>
            <w:tcW w:w="4290" w:type="dxa"/>
          </w:tcPr>
          <w:p w14:paraId="129B28AD" w14:textId="04A3AE9E" w:rsidR="009943AC" w:rsidRDefault="009943AC" w:rsidP="00B54D55">
            <w:pPr>
              <w:jc w:val="center"/>
              <w:rPr>
                <w:rFonts w:ascii="Arial" w:hAnsi="Arial" w:cs="Arial"/>
                <w:color w:val="0070C0"/>
                <w:sz w:val="24"/>
                <w:szCs w:val="24"/>
              </w:rPr>
            </w:pPr>
            <w:r>
              <w:rPr>
                <w:rFonts w:ascii="Arial" w:hAnsi="Arial" w:cs="Arial"/>
                <w:color w:val="0070C0"/>
                <w:sz w:val="24"/>
                <w:szCs w:val="24"/>
              </w:rPr>
              <w:t xml:space="preserve">Updated </w:t>
            </w:r>
            <w:r w:rsidRPr="00DE57EA">
              <w:rPr>
                <w:rFonts w:ascii="Arial" w:hAnsi="Arial" w:cs="Arial"/>
                <w:color w:val="0070C0"/>
                <w:sz w:val="24"/>
                <w:szCs w:val="24"/>
              </w:rPr>
              <w:t xml:space="preserve">Customer Specific GA Allocation During </w:t>
            </w:r>
            <w:r>
              <w:rPr>
                <w:rFonts w:ascii="Arial" w:hAnsi="Arial" w:cs="Arial"/>
                <w:color w:val="0070C0"/>
                <w:sz w:val="24"/>
                <w:szCs w:val="24"/>
              </w:rPr>
              <w:t xml:space="preserve">the Period They Were a Class B </w:t>
            </w:r>
            <w:r w:rsidR="00BB2371">
              <w:rPr>
                <w:rFonts w:ascii="Arial" w:hAnsi="Arial" w:cs="Arial"/>
                <w:color w:val="0070C0"/>
                <w:sz w:val="24"/>
                <w:szCs w:val="24"/>
              </w:rPr>
              <w:t>C</w:t>
            </w:r>
            <w:r w:rsidRPr="00DE57EA">
              <w:rPr>
                <w:rFonts w:ascii="Arial" w:hAnsi="Arial" w:cs="Arial"/>
                <w:color w:val="0070C0"/>
                <w:sz w:val="24"/>
                <w:szCs w:val="24"/>
              </w:rPr>
              <w:t>ustomer</w:t>
            </w:r>
          </w:p>
        </w:tc>
        <w:tc>
          <w:tcPr>
            <w:tcW w:w="3193" w:type="dxa"/>
          </w:tcPr>
          <w:p w14:paraId="5C1A62EF" w14:textId="4FF39E14" w:rsidR="009943AC" w:rsidRDefault="00BB2371" w:rsidP="00445A54">
            <w:pPr>
              <w:rPr>
                <w:rFonts w:ascii="Arial" w:hAnsi="Arial" w:cs="Arial"/>
                <w:color w:val="0070C0"/>
                <w:sz w:val="24"/>
                <w:szCs w:val="24"/>
              </w:rPr>
            </w:pPr>
            <w:r>
              <w:rPr>
                <w:rFonts w:ascii="Arial" w:hAnsi="Arial" w:cs="Arial"/>
                <w:color w:val="0070C0"/>
                <w:sz w:val="24"/>
                <w:szCs w:val="24"/>
              </w:rPr>
              <w:t>Mo</w:t>
            </w:r>
            <w:r w:rsidR="009943AC">
              <w:rPr>
                <w:rFonts w:ascii="Arial" w:hAnsi="Arial" w:cs="Arial"/>
                <w:color w:val="0070C0"/>
                <w:sz w:val="24"/>
                <w:szCs w:val="24"/>
              </w:rPr>
              <w:t xml:space="preserve">nthly </w:t>
            </w:r>
            <w:r>
              <w:rPr>
                <w:rFonts w:ascii="Arial" w:hAnsi="Arial" w:cs="Arial"/>
                <w:color w:val="0070C0"/>
                <w:sz w:val="24"/>
                <w:szCs w:val="24"/>
              </w:rPr>
              <w:t>Equal Payments</w:t>
            </w:r>
          </w:p>
        </w:tc>
      </w:tr>
      <w:tr w:rsidR="009943AC" w14:paraId="7FB7F183" w14:textId="7B525751" w:rsidTr="00B54D55">
        <w:tc>
          <w:tcPr>
            <w:tcW w:w="1843" w:type="dxa"/>
          </w:tcPr>
          <w:p w14:paraId="363E52AD" w14:textId="75015F0A" w:rsidR="009943AC" w:rsidRDefault="009943AC" w:rsidP="00445A54">
            <w:pPr>
              <w:rPr>
                <w:rFonts w:ascii="Arial" w:hAnsi="Arial" w:cs="Arial"/>
                <w:color w:val="0070C0"/>
                <w:sz w:val="24"/>
                <w:szCs w:val="24"/>
              </w:rPr>
            </w:pPr>
            <w:r>
              <w:rPr>
                <w:rFonts w:ascii="Arial" w:hAnsi="Arial" w:cs="Arial"/>
                <w:color w:val="0070C0"/>
                <w:sz w:val="24"/>
                <w:szCs w:val="24"/>
              </w:rPr>
              <w:t>Customer 1</w:t>
            </w:r>
          </w:p>
        </w:tc>
        <w:tc>
          <w:tcPr>
            <w:tcW w:w="4290" w:type="dxa"/>
          </w:tcPr>
          <w:p w14:paraId="0FF68779" w14:textId="5B2B2AEB" w:rsidR="009943AC" w:rsidRPr="004E463F" w:rsidRDefault="009943AC" w:rsidP="004E463F">
            <w:pPr>
              <w:jc w:val="center"/>
              <w:rPr>
                <w:rFonts w:ascii="Arial" w:hAnsi="Arial" w:cs="Arial"/>
                <w:color w:val="FF0000"/>
                <w:sz w:val="24"/>
                <w:szCs w:val="24"/>
              </w:rPr>
            </w:pPr>
            <w:r>
              <w:rPr>
                <w:rFonts w:ascii="Arial" w:hAnsi="Arial" w:cs="Arial"/>
                <w:color w:val="FF0000"/>
                <w:sz w:val="24"/>
                <w:szCs w:val="24"/>
              </w:rPr>
              <w:t>($114,252)</w:t>
            </w:r>
          </w:p>
        </w:tc>
        <w:tc>
          <w:tcPr>
            <w:tcW w:w="3193" w:type="dxa"/>
          </w:tcPr>
          <w:p w14:paraId="20ECBF3B" w14:textId="6F1C6D71" w:rsidR="009943AC" w:rsidRDefault="000E68DC" w:rsidP="004E463F">
            <w:pPr>
              <w:jc w:val="center"/>
              <w:rPr>
                <w:rFonts w:ascii="Arial" w:hAnsi="Arial" w:cs="Arial"/>
                <w:color w:val="FF0000"/>
                <w:sz w:val="24"/>
                <w:szCs w:val="24"/>
              </w:rPr>
            </w:pPr>
            <w:r>
              <w:rPr>
                <w:rFonts w:ascii="Arial" w:hAnsi="Arial" w:cs="Arial"/>
                <w:color w:val="FF0000"/>
                <w:sz w:val="24"/>
                <w:szCs w:val="24"/>
              </w:rPr>
              <w:t>($9,521)</w:t>
            </w:r>
          </w:p>
        </w:tc>
      </w:tr>
      <w:tr w:rsidR="009943AC" w14:paraId="1B8FC400" w14:textId="3570F734" w:rsidTr="00B54D55">
        <w:tc>
          <w:tcPr>
            <w:tcW w:w="1843" w:type="dxa"/>
          </w:tcPr>
          <w:p w14:paraId="4EB93682" w14:textId="50A7EB88" w:rsidR="009943AC" w:rsidRDefault="009943AC" w:rsidP="00445A54">
            <w:pPr>
              <w:rPr>
                <w:rFonts w:ascii="Arial" w:hAnsi="Arial" w:cs="Arial"/>
                <w:color w:val="0070C0"/>
                <w:sz w:val="24"/>
                <w:szCs w:val="24"/>
              </w:rPr>
            </w:pPr>
            <w:r>
              <w:rPr>
                <w:rFonts w:ascii="Arial" w:hAnsi="Arial" w:cs="Arial"/>
                <w:color w:val="0070C0"/>
                <w:sz w:val="24"/>
                <w:szCs w:val="24"/>
              </w:rPr>
              <w:t>Customer 2</w:t>
            </w:r>
          </w:p>
        </w:tc>
        <w:tc>
          <w:tcPr>
            <w:tcW w:w="4290" w:type="dxa"/>
          </w:tcPr>
          <w:p w14:paraId="326D0619" w14:textId="20EF9AF9" w:rsidR="009943AC" w:rsidRPr="004E463F" w:rsidRDefault="009943AC" w:rsidP="004E463F">
            <w:pPr>
              <w:jc w:val="center"/>
              <w:rPr>
                <w:rFonts w:ascii="Arial" w:hAnsi="Arial" w:cs="Arial"/>
                <w:color w:val="FF0000"/>
                <w:sz w:val="24"/>
                <w:szCs w:val="24"/>
              </w:rPr>
            </w:pPr>
            <w:r w:rsidRPr="004E463F">
              <w:rPr>
                <w:rFonts w:ascii="Arial" w:hAnsi="Arial" w:cs="Arial"/>
                <w:color w:val="FF0000"/>
                <w:sz w:val="24"/>
                <w:szCs w:val="24"/>
              </w:rPr>
              <w:t>($76,982)</w:t>
            </w:r>
          </w:p>
        </w:tc>
        <w:tc>
          <w:tcPr>
            <w:tcW w:w="3193" w:type="dxa"/>
          </w:tcPr>
          <w:p w14:paraId="49C84548" w14:textId="4A858C6C" w:rsidR="009943AC" w:rsidRPr="004E463F" w:rsidRDefault="000E68DC" w:rsidP="004E463F">
            <w:pPr>
              <w:jc w:val="center"/>
              <w:rPr>
                <w:rFonts w:ascii="Arial" w:hAnsi="Arial" w:cs="Arial"/>
                <w:color w:val="FF0000"/>
                <w:sz w:val="24"/>
                <w:szCs w:val="24"/>
              </w:rPr>
            </w:pPr>
            <w:r>
              <w:rPr>
                <w:rFonts w:ascii="Arial" w:hAnsi="Arial" w:cs="Arial"/>
                <w:color w:val="FF0000"/>
                <w:sz w:val="24"/>
                <w:szCs w:val="24"/>
              </w:rPr>
              <w:t>($6,415)</w:t>
            </w:r>
          </w:p>
        </w:tc>
      </w:tr>
      <w:tr w:rsidR="009943AC" w14:paraId="3748464D" w14:textId="2316A842" w:rsidTr="00B54D55">
        <w:tc>
          <w:tcPr>
            <w:tcW w:w="1843" w:type="dxa"/>
          </w:tcPr>
          <w:p w14:paraId="755F0272" w14:textId="5503A5A2" w:rsidR="009943AC" w:rsidRDefault="009943AC" w:rsidP="00445A54">
            <w:pPr>
              <w:rPr>
                <w:rFonts w:ascii="Arial" w:hAnsi="Arial" w:cs="Arial"/>
                <w:color w:val="0070C0"/>
                <w:sz w:val="24"/>
                <w:szCs w:val="24"/>
              </w:rPr>
            </w:pPr>
            <w:r>
              <w:rPr>
                <w:rFonts w:ascii="Arial" w:hAnsi="Arial" w:cs="Arial"/>
                <w:color w:val="0070C0"/>
                <w:sz w:val="24"/>
                <w:szCs w:val="24"/>
              </w:rPr>
              <w:t>Customer 3</w:t>
            </w:r>
          </w:p>
        </w:tc>
        <w:tc>
          <w:tcPr>
            <w:tcW w:w="4290" w:type="dxa"/>
          </w:tcPr>
          <w:p w14:paraId="58EDD66F" w14:textId="4101EC40" w:rsidR="009943AC" w:rsidRPr="004E463F" w:rsidRDefault="009943AC" w:rsidP="004B65CF">
            <w:pPr>
              <w:jc w:val="center"/>
              <w:rPr>
                <w:rFonts w:ascii="Arial" w:hAnsi="Arial" w:cs="Arial"/>
                <w:color w:val="FF0000"/>
                <w:sz w:val="24"/>
                <w:szCs w:val="24"/>
              </w:rPr>
            </w:pPr>
            <w:r>
              <w:rPr>
                <w:rFonts w:ascii="Arial" w:hAnsi="Arial" w:cs="Arial"/>
                <w:color w:val="FF0000"/>
                <w:sz w:val="24"/>
                <w:szCs w:val="24"/>
              </w:rPr>
              <w:t>($67,947)</w:t>
            </w:r>
          </w:p>
        </w:tc>
        <w:tc>
          <w:tcPr>
            <w:tcW w:w="3193" w:type="dxa"/>
          </w:tcPr>
          <w:p w14:paraId="3741C24B" w14:textId="557EC0AC" w:rsidR="009943AC" w:rsidRDefault="000E68DC" w:rsidP="004B65CF">
            <w:pPr>
              <w:jc w:val="center"/>
              <w:rPr>
                <w:rFonts w:ascii="Arial" w:hAnsi="Arial" w:cs="Arial"/>
                <w:color w:val="FF0000"/>
                <w:sz w:val="24"/>
                <w:szCs w:val="24"/>
              </w:rPr>
            </w:pPr>
            <w:r>
              <w:rPr>
                <w:rFonts w:ascii="Arial" w:hAnsi="Arial" w:cs="Arial"/>
                <w:color w:val="FF0000"/>
                <w:sz w:val="24"/>
                <w:szCs w:val="24"/>
              </w:rPr>
              <w:t>($5,662)</w:t>
            </w:r>
          </w:p>
        </w:tc>
      </w:tr>
      <w:tr w:rsidR="009943AC" w14:paraId="56EFEF44" w14:textId="70C79AAC" w:rsidTr="00B54D55">
        <w:tc>
          <w:tcPr>
            <w:tcW w:w="1843" w:type="dxa"/>
          </w:tcPr>
          <w:p w14:paraId="6ABDD9FA" w14:textId="5AFD15A6" w:rsidR="009943AC" w:rsidRPr="00DE57EA" w:rsidRDefault="009943AC" w:rsidP="00445A54">
            <w:pPr>
              <w:rPr>
                <w:rFonts w:ascii="Arial" w:hAnsi="Arial" w:cs="Arial"/>
                <w:b/>
                <w:color w:val="0070C0"/>
                <w:sz w:val="24"/>
                <w:szCs w:val="24"/>
              </w:rPr>
            </w:pPr>
            <w:r>
              <w:rPr>
                <w:rFonts w:ascii="Arial" w:hAnsi="Arial" w:cs="Arial"/>
                <w:b/>
                <w:color w:val="0070C0"/>
                <w:sz w:val="24"/>
                <w:szCs w:val="24"/>
              </w:rPr>
              <w:t>Total</w:t>
            </w:r>
          </w:p>
        </w:tc>
        <w:tc>
          <w:tcPr>
            <w:tcW w:w="4290" w:type="dxa"/>
          </w:tcPr>
          <w:p w14:paraId="10603C24" w14:textId="52C9A55C" w:rsidR="009943AC" w:rsidRPr="004E463F" w:rsidRDefault="009943AC" w:rsidP="004B65CF">
            <w:pPr>
              <w:jc w:val="center"/>
              <w:rPr>
                <w:rFonts w:ascii="Arial" w:hAnsi="Arial" w:cs="Arial"/>
                <w:color w:val="FF0000"/>
                <w:sz w:val="24"/>
                <w:szCs w:val="24"/>
              </w:rPr>
            </w:pPr>
            <w:r>
              <w:rPr>
                <w:rFonts w:ascii="Arial" w:hAnsi="Arial" w:cs="Arial"/>
                <w:color w:val="FF0000"/>
                <w:sz w:val="24"/>
                <w:szCs w:val="24"/>
              </w:rPr>
              <w:t>($259,181)</w:t>
            </w:r>
          </w:p>
        </w:tc>
        <w:tc>
          <w:tcPr>
            <w:tcW w:w="3193" w:type="dxa"/>
          </w:tcPr>
          <w:p w14:paraId="3485BA1D" w14:textId="7AB2790C" w:rsidR="009943AC" w:rsidRDefault="000E68DC" w:rsidP="004B65CF">
            <w:pPr>
              <w:jc w:val="center"/>
              <w:rPr>
                <w:rFonts w:ascii="Arial" w:hAnsi="Arial" w:cs="Arial"/>
                <w:color w:val="FF0000"/>
                <w:sz w:val="24"/>
                <w:szCs w:val="24"/>
              </w:rPr>
            </w:pPr>
            <w:r>
              <w:rPr>
                <w:rFonts w:ascii="Arial" w:hAnsi="Arial" w:cs="Arial"/>
                <w:color w:val="FF0000"/>
                <w:sz w:val="24"/>
                <w:szCs w:val="24"/>
              </w:rPr>
              <w:t>($21,598)</w:t>
            </w:r>
          </w:p>
        </w:tc>
      </w:tr>
    </w:tbl>
    <w:p w14:paraId="4A15CF99" w14:textId="11832F8D" w:rsidR="00C33958" w:rsidRPr="00592D5C" w:rsidRDefault="00BB2371" w:rsidP="005F23CE">
      <w:pPr>
        <w:spacing w:after="0"/>
        <w:jc w:val="both"/>
        <w:rPr>
          <w:rFonts w:ascii="Arial" w:hAnsi="Arial" w:cs="Arial"/>
          <w:b/>
          <w:sz w:val="24"/>
          <w:szCs w:val="24"/>
        </w:rPr>
      </w:pPr>
      <w:r>
        <w:rPr>
          <w:rFonts w:ascii="Arial" w:hAnsi="Arial" w:cs="Arial"/>
          <w:b/>
          <w:sz w:val="24"/>
          <w:szCs w:val="24"/>
        </w:rPr>
        <w:br w:type="page"/>
      </w:r>
      <w:r w:rsidR="00C33958" w:rsidRPr="00E632E1">
        <w:rPr>
          <w:rFonts w:ascii="Arial" w:hAnsi="Arial" w:cs="Arial"/>
          <w:b/>
          <w:sz w:val="24"/>
          <w:szCs w:val="24"/>
        </w:rPr>
        <w:lastRenderedPageBreak/>
        <w:t>Question #</w:t>
      </w:r>
      <w:r w:rsidR="00285AC4" w:rsidRPr="00592D5C">
        <w:rPr>
          <w:rFonts w:ascii="Arial" w:hAnsi="Arial" w:cs="Arial"/>
          <w:b/>
          <w:sz w:val="24"/>
          <w:szCs w:val="24"/>
        </w:rPr>
        <w:t>10</w:t>
      </w:r>
    </w:p>
    <w:p w14:paraId="41C9FB05" w14:textId="77777777" w:rsidR="00C33958" w:rsidRDefault="00C33958" w:rsidP="00C33958">
      <w:pPr>
        <w:rPr>
          <w:rFonts w:ascii="Arial" w:hAnsi="Arial" w:cs="Arial"/>
          <w:b/>
          <w:sz w:val="24"/>
          <w:szCs w:val="24"/>
        </w:rPr>
      </w:pPr>
      <w:r w:rsidRPr="00771CE7">
        <w:rPr>
          <w:rFonts w:ascii="Arial" w:hAnsi="Arial" w:cs="Arial"/>
          <w:b/>
          <w:sz w:val="24"/>
          <w:szCs w:val="24"/>
        </w:rPr>
        <w:t>Reference: GA Analysis Workform –</w:t>
      </w:r>
      <w:r>
        <w:rPr>
          <w:rFonts w:ascii="Arial" w:hAnsi="Arial" w:cs="Arial"/>
          <w:b/>
          <w:sz w:val="24"/>
          <w:szCs w:val="24"/>
        </w:rPr>
        <w:t xml:space="preserve"> Analysis of expected GA Amount</w:t>
      </w:r>
    </w:p>
    <w:p w14:paraId="7CAFD1DE" w14:textId="77777777" w:rsidR="004E6985" w:rsidRPr="004E6985" w:rsidRDefault="004E6985" w:rsidP="004E6985">
      <w:pPr>
        <w:rPr>
          <w:rFonts w:ascii="Arial" w:hAnsi="Arial" w:cs="Arial"/>
          <w:sz w:val="24"/>
          <w:szCs w:val="24"/>
        </w:rPr>
      </w:pPr>
      <w:r w:rsidRPr="004E6985">
        <w:rPr>
          <w:rFonts w:ascii="Arial" w:hAnsi="Arial" w:cs="Arial"/>
          <w:sz w:val="24"/>
          <w:szCs w:val="24"/>
        </w:rPr>
        <w:t>In the GA Analysis Workform, under Note 5 Reconciling Items:</w:t>
      </w:r>
    </w:p>
    <w:p w14:paraId="001336CD" w14:textId="77777777" w:rsidR="004E6985" w:rsidRPr="004E6985" w:rsidRDefault="004E6985" w:rsidP="004E6985">
      <w:pPr>
        <w:numPr>
          <w:ilvl w:val="0"/>
          <w:numId w:val="10"/>
        </w:numPr>
        <w:contextualSpacing/>
        <w:rPr>
          <w:rFonts w:ascii="Arial" w:hAnsi="Arial" w:cs="Arial"/>
          <w:sz w:val="24"/>
          <w:szCs w:val="24"/>
        </w:rPr>
      </w:pPr>
      <w:r w:rsidRPr="004E6985">
        <w:rPr>
          <w:rFonts w:ascii="Arial" w:hAnsi="Arial" w:cs="Arial"/>
          <w:sz w:val="24"/>
          <w:szCs w:val="24"/>
        </w:rPr>
        <w:t>Please provide the accrued cost of power dollar amounts and the actual cost of power dollar amounts for items 1a and 1b and explain how those amounts were determined.</w:t>
      </w:r>
    </w:p>
    <w:p w14:paraId="7C2A0167" w14:textId="77777777" w:rsidR="004E6985" w:rsidRPr="004E6985" w:rsidRDefault="004E6985" w:rsidP="004E6985">
      <w:pPr>
        <w:numPr>
          <w:ilvl w:val="0"/>
          <w:numId w:val="10"/>
        </w:numPr>
        <w:contextualSpacing/>
        <w:rPr>
          <w:rFonts w:ascii="Arial" w:hAnsi="Arial" w:cs="Arial"/>
          <w:sz w:val="24"/>
          <w:szCs w:val="24"/>
        </w:rPr>
      </w:pPr>
      <w:r w:rsidRPr="004E6985">
        <w:rPr>
          <w:rFonts w:ascii="Arial" w:hAnsi="Arial" w:cs="Arial"/>
          <w:sz w:val="24"/>
          <w:szCs w:val="24"/>
        </w:rPr>
        <w:t>Please provide the accrued unbilled revenue dollar amounts and the actual revenue dollar amounts for items 2a and 2b and explain how those amounts were determined.</w:t>
      </w:r>
    </w:p>
    <w:p w14:paraId="7284CFB1" w14:textId="77777777" w:rsidR="004E6985" w:rsidRDefault="004E6985" w:rsidP="001E799B">
      <w:pPr>
        <w:numPr>
          <w:ilvl w:val="0"/>
          <w:numId w:val="10"/>
        </w:numPr>
        <w:contextualSpacing/>
        <w:rPr>
          <w:rFonts w:ascii="Arial" w:hAnsi="Arial" w:cs="Arial"/>
          <w:sz w:val="24"/>
          <w:szCs w:val="24"/>
        </w:rPr>
      </w:pPr>
      <w:r w:rsidRPr="004E6985">
        <w:rPr>
          <w:rFonts w:ascii="Arial" w:hAnsi="Arial" w:cs="Arial"/>
          <w:sz w:val="24"/>
          <w:szCs w:val="24"/>
        </w:rPr>
        <w:t xml:space="preserve">Please explain if the amount of ($1,468,808) from line 2b is included in the 2016 proposed balance for disposition. If not, please include this amount in the proposed balance for disposition.  </w:t>
      </w:r>
    </w:p>
    <w:p w14:paraId="6A63090A" w14:textId="77777777" w:rsidR="001E799B" w:rsidRPr="004E6985" w:rsidRDefault="001E799B" w:rsidP="001E799B">
      <w:pPr>
        <w:ind w:left="720"/>
        <w:contextualSpacing/>
        <w:rPr>
          <w:rFonts w:ascii="Arial" w:hAnsi="Arial" w:cs="Arial"/>
          <w:sz w:val="24"/>
          <w:szCs w:val="24"/>
        </w:rPr>
      </w:pPr>
    </w:p>
    <w:p w14:paraId="27758F36" w14:textId="77777777" w:rsidR="00FE469A" w:rsidRPr="00C45B62" w:rsidRDefault="00FE469A" w:rsidP="00FE469A">
      <w:pPr>
        <w:rPr>
          <w:rFonts w:ascii="Arial" w:hAnsi="Arial" w:cs="Arial"/>
          <w:color w:val="0070C0"/>
          <w:sz w:val="24"/>
          <w:szCs w:val="24"/>
        </w:rPr>
      </w:pPr>
      <w:r w:rsidRPr="00C45B62">
        <w:rPr>
          <w:rFonts w:ascii="Arial" w:hAnsi="Arial" w:cs="Arial"/>
          <w:b/>
          <w:color w:val="0070C0"/>
          <w:sz w:val="24"/>
          <w:szCs w:val="24"/>
        </w:rPr>
        <w:t>RESPONSE</w:t>
      </w:r>
    </w:p>
    <w:p w14:paraId="270BE5EF" w14:textId="2E265923" w:rsidR="00D5481A" w:rsidRPr="00D5481A" w:rsidRDefault="005E32B9" w:rsidP="005F23CE">
      <w:pPr>
        <w:pStyle w:val="ListParagraph"/>
        <w:numPr>
          <w:ilvl w:val="0"/>
          <w:numId w:val="21"/>
        </w:numPr>
        <w:spacing w:after="0"/>
        <w:jc w:val="both"/>
        <w:rPr>
          <w:rFonts w:ascii="Arial" w:hAnsi="Arial" w:cs="Arial"/>
          <w:b/>
          <w:sz w:val="24"/>
          <w:szCs w:val="24"/>
        </w:rPr>
      </w:pPr>
      <w:r w:rsidRPr="002B7BA4">
        <w:rPr>
          <w:rFonts w:ascii="Arial" w:hAnsi="Arial" w:cs="Arial"/>
          <w:color w:val="0070C0"/>
          <w:sz w:val="24"/>
          <w:szCs w:val="24"/>
        </w:rPr>
        <w:t xml:space="preserve">Consistent with the responses provided for Question #6 and #7, </w:t>
      </w:r>
      <w:r w:rsidR="005C518C" w:rsidRPr="005C518C">
        <w:rPr>
          <w:rFonts w:ascii="Arial" w:hAnsi="Arial" w:cs="Arial"/>
          <w:i/>
          <w:color w:val="0070C0"/>
          <w:sz w:val="24"/>
          <w:szCs w:val="24"/>
        </w:rPr>
        <w:t>ENWIN</w:t>
      </w:r>
      <w:r w:rsidRPr="002B7BA4">
        <w:rPr>
          <w:rFonts w:ascii="Arial" w:hAnsi="Arial" w:cs="Arial"/>
          <w:color w:val="0070C0"/>
          <w:sz w:val="24"/>
          <w:szCs w:val="24"/>
        </w:rPr>
        <w:t xml:space="preserve"> backdates the total GA accrual into the appropriate period based on subsequent IESO invoicing and details.  </w:t>
      </w:r>
      <w:r w:rsidR="005C518C" w:rsidRPr="005C518C">
        <w:rPr>
          <w:rFonts w:ascii="Arial" w:hAnsi="Arial" w:cs="Arial"/>
          <w:i/>
          <w:color w:val="0070C0"/>
          <w:sz w:val="24"/>
          <w:szCs w:val="24"/>
        </w:rPr>
        <w:t>ENWIN</w:t>
      </w:r>
      <w:r w:rsidRPr="002B7BA4">
        <w:rPr>
          <w:rFonts w:ascii="Arial" w:hAnsi="Arial" w:cs="Arial"/>
          <w:color w:val="0070C0"/>
          <w:sz w:val="24"/>
          <w:szCs w:val="24"/>
        </w:rPr>
        <w:t xml:space="preserve"> d</w:t>
      </w:r>
      <w:r w:rsidR="00FB77AD">
        <w:rPr>
          <w:rFonts w:ascii="Arial" w:hAnsi="Arial" w:cs="Arial"/>
          <w:color w:val="0070C0"/>
          <w:sz w:val="24"/>
          <w:szCs w:val="24"/>
        </w:rPr>
        <w:t>id</w:t>
      </w:r>
      <w:r w:rsidRPr="002B7BA4">
        <w:rPr>
          <w:rFonts w:ascii="Arial" w:hAnsi="Arial" w:cs="Arial"/>
          <w:color w:val="0070C0"/>
          <w:sz w:val="24"/>
          <w:szCs w:val="24"/>
        </w:rPr>
        <w:t xml:space="preserve"> not however retroactively adjust the RPP/non RPP allocation but rather uses an estimate and adjusts when actuals are realized.  </w:t>
      </w:r>
    </w:p>
    <w:p w14:paraId="7D2DA052" w14:textId="77777777" w:rsidR="00D5481A" w:rsidRDefault="00D5481A" w:rsidP="005F23CE">
      <w:pPr>
        <w:pStyle w:val="ListParagraph"/>
        <w:spacing w:after="0"/>
        <w:jc w:val="both"/>
        <w:rPr>
          <w:rFonts w:ascii="Arial" w:hAnsi="Arial" w:cs="Arial"/>
          <w:b/>
          <w:sz w:val="24"/>
          <w:szCs w:val="24"/>
        </w:rPr>
      </w:pPr>
    </w:p>
    <w:p w14:paraId="138D45FC" w14:textId="62174DD7" w:rsidR="00F75BBD" w:rsidRDefault="00F75BBD" w:rsidP="001E799B">
      <w:pPr>
        <w:pStyle w:val="ListParagraph"/>
        <w:spacing w:after="0"/>
        <w:jc w:val="both"/>
        <w:rPr>
          <w:rFonts w:ascii="Arial" w:hAnsi="Arial" w:cs="Arial"/>
          <w:color w:val="0070C0"/>
          <w:sz w:val="24"/>
          <w:szCs w:val="24"/>
        </w:rPr>
      </w:pPr>
      <w:r>
        <w:rPr>
          <w:rFonts w:ascii="Arial" w:hAnsi="Arial" w:cs="Arial"/>
          <w:color w:val="0070C0"/>
          <w:sz w:val="24"/>
          <w:szCs w:val="24"/>
        </w:rPr>
        <w:t xml:space="preserve">The balance of $1,727,054 in line 1a consists of an </w:t>
      </w:r>
      <w:r w:rsidR="001E799B">
        <w:rPr>
          <w:rFonts w:ascii="Arial" w:hAnsi="Arial" w:cs="Arial"/>
          <w:color w:val="0070C0"/>
          <w:sz w:val="24"/>
          <w:szCs w:val="24"/>
        </w:rPr>
        <w:t>estimate</w:t>
      </w:r>
      <w:r>
        <w:rPr>
          <w:rFonts w:ascii="Arial" w:hAnsi="Arial" w:cs="Arial"/>
          <w:color w:val="0070C0"/>
          <w:sz w:val="24"/>
          <w:szCs w:val="24"/>
        </w:rPr>
        <w:t xml:space="preserve"> for the cost of power of </w:t>
      </w:r>
      <w:r w:rsidRPr="00D5481A">
        <w:rPr>
          <w:rFonts w:ascii="Arial" w:hAnsi="Arial" w:cs="Arial"/>
          <w:color w:val="0070C0"/>
          <w:sz w:val="24"/>
          <w:szCs w:val="24"/>
        </w:rPr>
        <w:t xml:space="preserve">$5,937,365 </w:t>
      </w:r>
      <w:r>
        <w:rPr>
          <w:rFonts w:ascii="Arial" w:hAnsi="Arial" w:cs="Arial"/>
          <w:color w:val="0070C0"/>
          <w:sz w:val="24"/>
          <w:szCs w:val="24"/>
        </w:rPr>
        <w:t xml:space="preserve">offset by the </w:t>
      </w:r>
      <w:r w:rsidRPr="00D5481A">
        <w:rPr>
          <w:rFonts w:ascii="Arial" w:hAnsi="Arial" w:cs="Arial"/>
          <w:color w:val="0070C0"/>
          <w:sz w:val="24"/>
          <w:szCs w:val="24"/>
        </w:rPr>
        <w:t>actual cost of power $7,664,419</w:t>
      </w:r>
      <w:r>
        <w:rPr>
          <w:rFonts w:ascii="Arial" w:hAnsi="Arial" w:cs="Arial"/>
          <w:color w:val="0070C0"/>
          <w:sz w:val="24"/>
          <w:szCs w:val="24"/>
        </w:rPr>
        <w:t xml:space="preserve"> for the December 2015 period</w:t>
      </w:r>
      <w:r w:rsidRPr="00D5481A">
        <w:rPr>
          <w:rFonts w:ascii="Arial" w:hAnsi="Arial" w:cs="Arial"/>
          <w:color w:val="0070C0"/>
          <w:sz w:val="24"/>
          <w:szCs w:val="24"/>
        </w:rPr>
        <w:t xml:space="preserve">. The </w:t>
      </w:r>
      <w:r>
        <w:rPr>
          <w:rFonts w:ascii="Arial" w:hAnsi="Arial" w:cs="Arial"/>
          <w:color w:val="0070C0"/>
          <w:sz w:val="24"/>
          <w:szCs w:val="24"/>
        </w:rPr>
        <w:t xml:space="preserve">balance of ($1,641,011) in line 1b consists of an </w:t>
      </w:r>
      <w:r w:rsidR="001E799B">
        <w:rPr>
          <w:rFonts w:ascii="Arial" w:hAnsi="Arial" w:cs="Arial"/>
          <w:color w:val="0070C0"/>
          <w:sz w:val="24"/>
          <w:szCs w:val="24"/>
        </w:rPr>
        <w:t xml:space="preserve">estimate </w:t>
      </w:r>
      <w:r>
        <w:rPr>
          <w:rFonts w:ascii="Arial" w:hAnsi="Arial" w:cs="Arial"/>
          <w:color w:val="0070C0"/>
          <w:sz w:val="24"/>
          <w:szCs w:val="24"/>
        </w:rPr>
        <w:t>for the cost of</w:t>
      </w:r>
      <w:r w:rsidRPr="00D5481A">
        <w:rPr>
          <w:rFonts w:ascii="Arial" w:hAnsi="Arial" w:cs="Arial"/>
          <w:color w:val="0070C0"/>
          <w:sz w:val="24"/>
          <w:szCs w:val="24"/>
        </w:rPr>
        <w:t xml:space="preserve"> power o</w:t>
      </w:r>
      <w:r>
        <w:rPr>
          <w:rFonts w:ascii="Arial" w:hAnsi="Arial" w:cs="Arial"/>
          <w:color w:val="0070C0"/>
          <w:sz w:val="24"/>
          <w:szCs w:val="24"/>
        </w:rPr>
        <w:t>f</w:t>
      </w:r>
      <w:r w:rsidRPr="00D5481A">
        <w:rPr>
          <w:rFonts w:ascii="Arial" w:hAnsi="Arial" w:cs="Arial"/>
          <w:color w:val="0070C0"/>
          <w:sz w:val="24"/>
          <w:szCs w:val="24"/>
        </w:rPr>
        <w:t xml:space="preserve"> $5,870,168 </w:t>
      </w:r>
      <w:r>
        <w:rPr>
          <w:rFonts w:ascii="Arial" w:hAnsi="Arial" w:cs="Arial"/>
          <w:color w:val="0070C0"/>
          <w:sz w:val="24"/>
          <w:szCs w:val="24"/>
        </w:rPr>
        <w:t xml:space="preserve">offset by </w:t>
      </w:r>
      <w:r w:rsidRPr="00D5481A">
        <w:rPr>
          <w:rFonts w:ascii="Arial" w:hAnsi="Arial" w:cs="Arial"/>
          <w:color w:val="0070C0"/>
          <w:sz w:val="24"/>
          <w:szCs w:val="24"/>
        </w:rPr>
        <w:t xml:space="preserve">the actual cost of power </w:t>
      </w:r>
      <w:r>
        <w:rPr>
          <w:rFonts w:ascii="Arial" w:hAnsi="Arial" w:cs="Arial"/>
          <w:color w:val="0070C0"/>
          <w:sz w:val="24"/>
          <w:szCs w:val="24"/>
        </w:rPr>
        <w:t xml:space="preserve">of $7,511,179 </w:t>
      </w:r>
      <w:r w:rsidRPr="00D5481A">
        <w:rPr>
          <w:rFonts w:ascii="Arial" w:hAnsi="Arial" w:cs="Arial"/>
          <w:color w:val="0070C0"/>
          <w:sz w:val="24"/>
          <w:szCs w:val="24"/>
        </w:rPr>
        <w:t>for December 2016</w:t>
      </w:r>
      <w:r>
        <w:rPr>
          <w:rFonts w:ascii="Arial" w:hAnsi="Arial" w:cs="Arial"/>
          <w:color w:val="0070C0"/>
          <w:sz w:val="24"/>
          <w:szCs w:val="24"/>
        </w:rPr>
        <w:t xml:space="preserve"> period</w:t>
      </w:r>
      <w:r w:rsidRPr="00D5481A">
        <w:rPr>
          <w:rFonts w:ascii="Arial" w:hAnsi="Arial" w:cs="Arial"/>
          <w:color w:val="0070C0"/>
          <w:sz w:val="24"/>
          <w:szCs w:val="24"/>
        </w:rPr>
        <w:t>.</w:t>
      </w:r>
    </w:p>
    <w:p w14:paraId="5D98491C" w14:textId="77777777" w:rsidR="00F75BBD" w:rsidRPr="00D5481A" w:rsidRDefault="00F75BBD" w:rsidP="001E799B">
      <w:pPr>
        <w:pStyle w:val="ListParagraph"/>
        <w:spacing w:after="0"/>
        <w:jc w:val="both"/>
        <w:rPr>
          <w:rFonts w:ascii="Arial" w:hAnsi="Arial" w:cs="Arial"/>
          <w:b/>
          <w:sz w:val="24"/>
          <w:szCs w:val="24"/>
        </w:rPr>
      </w:pPr>
    </w:p>
    <w:p w14:paraId="0E59595A" w14:textId="46F07F24" w:rsidR="005E32B9" w:rsidRDefault="005E32B9" w:rsidP="00C5751E">
      <w:pPr>
        <w:pStyle w:val="ListParagraph"/>
        <w:spacing w:after="300"/>
        <w:jc w:val="both"/>
        <w:rPr>
          <w:rFonts w:ascii="Arial" w:hAnsi="Arial" w:cs="Arial"/>
          <w:color w:val="0070C0"/>
          <w:sz w:val="24"/>
          <w:szCs w:val="24"/>
        </w:rPr>
      </w:pPr>
      <w:r w:rsidRPr="00D5481A">
        <w:rPr>
          <w:rFonts w:ascii="Arial" w:hAnsi="Arial" w:cs="Arial"/>
          <w:color w:val="0070C0"/>
          <w:sz w:val="24"/>
          <w:szCs w:val="24"/>
        </w:rPr>
        <w:t>Beginning in 2017, account balances pertaining to 1588 and 1589 will be trued-up per the OEB guidance on the disposition of these accounts</w:t>
      </w:r>
      <w:r w:rsidR="004835EE">
        <w:rPr>
          <w:rFonts w:ascii="Arial" w:hAnsi="Arial" w:cs="Arial"/>
          <w:color w:val="0070C0"/>
          <w:sz w:val="24"/>
          <w:szCs w:val="24"/>
        </w:rPr>
        <w:t xml:space="preserve"> from the</w:t>
      </w:r>
      <w:r w:rsidRPr="00D5481A">
        <w:rPr>
          <w:rFonts w:ascii="Arial" w:hAnsi="Arial" w:cs="Arial"/>
          <w:color w:val="0070C0"/>
          <w:sz w:val="24"/>
          <w:szCs w:val="24"/>
        </w:rPr>
        <w:t xml:space="preserve"> letter dated May 23, 2017.</w:t>
      </w:r>
      <w:r w:rsidR="00C57F63">
        <w:rPr>
          <w:rStyle w:val="FootnoteReference"/>
          <w:rFonts w:ascii="Arial" w:hAnsi="Arial" w:cs="Arial"/>
          <w:color w:val="0070C0"/>
          <w:sz w:val="24"/>
          <w:szCs w:val="24"/>
        </w:rPr>
        <w:footnoteReference w:id="3"/>
      </w:r>
    </w:p>
    <w:p w14:paraId="04CE2988" w14:textId="77777777" w:rsidR="00C5751E" w:rsidRPr="00D5481A" w:rsidRDefault="00C5751E" w:rsidP="00C5751E">
      <w:pPr>
        <w:pStyle w:val="ListParagraph"/>
        <w:spacing w:after="0"/>
        <w:jc w:val="both"/>
        <w:rPr>
          <w:rFonts w:ascii="Arial" w:hAnsi="Arial" w:cs="Arial"/>
          <w:b/>
          <w:sz w:val="24"/>
          <w:szCs w:val="24"/>
        </w:rPr>
      </w:pPr>
    </w:p>
    <w:p w14:paraId="35295EF5" w14:textId="532C4981" w:rsidR="00D5481A" w:rsidRPr="00D5481A" w:rsidRDefault="005E32B9" w:rsidP="005F23CE">
      <w:pPr>
        <w:pStyle w:val="ListParagraph"/>
        <w:numPr>
          <w:ilvl w:val="0"/>
          <w:numId w:val="21"/>
        </w:numPr>
        <w:spacing w:after="0"/>
        <w:jc w:val="both"/>
        <w:rPr>
          <w:rFonts w:ascii="Arial" w:hAnsi="Arial" w:cs="Arial"/>
          <w:b/>
          <w:sz w:val="24"/>
          <w:szCs w:val="24"/>
        </w:rPr>
      </w:pPr>
      <w:r w:rsidRPr="00C70D86">
        <w:rPr>
          <w:rFonts w:ascii="Arial" w:hAnsi="Arial" w:cs="Arial"/>
          <w:color w:val="0070C0"/>
          <w:sz w:val="24"/>
          <w:szCs w:val="24"/>
        </w:rPr>
        <w:t>The balance of $1,547,618 in line 2a consists of accrued unbilled revenue of $8,124,711 and actual revenue of $9,672,329.  The ba</w:t>
      </w:r>
      <w:r w:rsidR="00321BB7">
        <w:rPr>
          <w:rFonts w:ascii="Arial" w:hAnsi="Arial" w:cs="Arial"/>
          <w:color w:val="0070C0"/>
          <w:sz w:val="24"/>
          <w:szCs w:val="24"/>
        </w:rPr>
        <w:t>lance of ($1,468,808) in line 2</w:t>
      </w:r>
      <w:r w:rsidRPr="00C70D86">
        <w:rPr>
          <w:rFonts w:ascii="Arial" w:hAnsi="Arial" w:cs="Arial"/>
          <w:color w:val="0070C0"/>
          <w:sz w:val="24"/>
          <w:szCs w:val="24"/>
        </w:rPr>
        <w:t>b consists of accrued unbilled</w:t>
      </w:r>
      <w:r w:rsidR="005F7CFD">
        <w:rPr>
          <w:rFonts w:ascii="Arial" w:hAnsi="Arial" w:cs="Arial"/>
          <w:color w:val="0070C0"/>
          <w:sz w:val="24"/>
          <w:szCs w:val="24"/>
        </w:rPr>
        <w:t xml:space="preserve"> Global Adjustment</w:t>
      </w:r>
      <w:r w:rsidRPr="00C70D86">
        <w:rPr>
          <w:rFonts w:ascii="Arial" w:hAnsi="Arial" w:cs="Arial"/>
          <w:color w:val="0070C0"/>
          <w:sz w:val="24"/>
          <w:szCs w:val="24"/>
        </w:rPr>
        <w:t xml:space="preserve"> revenue of $7,913,830 and actual</w:t>
      </w:r>
      <w:r w:rsidR="005F7CFD">
        <w:rPr>
          <w:rFonts w:ascii="Arial" w:hAnsi="Arial" w:cs="Arial"/>
          <w:color w:val="0070C0"/>
          <w:sz w:val="24"/>
          <w:szCs w:val="24"/>
        </w:rPr>
        <w:t xml:space="preserve"> Global Adjustment</w:t>
      </w:r>
      <w:r w:rsidRPr="00C70D86">
        <w:rPr>
          <w:rFonts w:ascii="Arial" w:hAnsi="Arial" w:cs="Arial"/>
          <w:color w:val="0070C0"/>
          <w:sz w:val="24"/>
          <w:szCs w:val="24"/>
        </w:rPr>
        <w:t xml:space="preserve"> revenue $9,382,638.</w:t>
      </w:r>
    </w:p>
    <w:p w14:paraId="41249181" w14:textId="77777777" w:rsidR="00D5481A" w:rsidRPr="00D5481A" w:rsidRDefault="00D5481A" w:rsidP="005F23CE">
      <w:pPr>
        <w:pStyle w:val="ListParagraph"/>
        <w:spacing w:after="0"/>
        <w:jc w:val="both"/>
        <w:rPr>
          <w:rFonts w:ascii="Arial" w:hAnsi="Arial" w:cs="Arial"/>
          <w:b/>
          <w:sz w:val="24"/>
          <w:szCs w:val="24"/>
        </w:rPr>
      </w:pPr>
    </w:p>
    <w:p w14:paraId="7AA5031E" w14:textId="355AEDA8" w:rsidR="00FE469A" w:rsidRPr="00D5481A" w:rsidRDefault="00AD2CFF" w:rsidP="005F23CE">
      <w:pPr>
        <w:pStyle w:val="ListParagraph"/>
        <w:numPr>
          <w:ilvl w:val="0"/>
          <w:numId w:val="21"/>
        </w:numPr>
        <w:spacing w:after="0"/>
        <w:jc w:val="both"/>
        <w:rPr>
          <w:rFonts w:ascii="Arial" w:hAnsi="Arial" w:cs="Arial"/>
          <w:b/>
          <w:sz w:val="24"/>
          <w:szCs w:val="24"/>
        </w:rPr>
      </w:pPr>
      <w:r w:rsidRPr="00D054A3">
        <w:rPr>
          <w:rFonts w:ascii="Arial" w:hAnsi="Arial" w:cs="Arial"/>
          <w:color w:val="0070C0"/>
          <w:sz w:val="24"/>
          <w:szCs w:val="24"/>
        </w:rPr>
        <w:lastRenderedPageBreak/>
        <w:t xml:space="preserve">The amount of ($1,468,808) from line 2b is </w:t>
      </w:r>
      <w:r w:rsidR="001E799B">
        <w:rPr>
          <w:rFonts w:ascii="Arial" w:hAnsi="Arial" w:cs="Arial"/>
          <w:color w:val="0070C0"/>
          <w:sz w:val="24"/>
          <w:szCs w:val="24"/>
        </w:rPr>
        <w:t>i</w:t>
      </w:r>
      <w:r w:rsidR="00D054A3" w:rsidRPr="006F02E0">
        <w:rPr>
          <w:rFonts w:ascii="Arial" w:hAnsi="Arial" w:cs="Arial"/>
          <w:color w:val="0070C0"/>
          <w:sz w:val="24"/>
          <w:szCs w:val="24"/>
        </w:rPr>
        <w:t>ncluded</w:t>
      </w:r>
      <w:r w:rsidR="00D054A3" w:rsidRPr="003B6932">
        <w:rPr>
          <w:rFonts w:ascii="Arial" w:hAnsi="Arial" w:cs="Arial"/>
          <w:color w:val="0070C0"/>
          <w:sz w:val="24"/>
          <w:szCs w:val="24"/>
        </w:rPr>
        <w:t xml:space="preserve"> </w:t>
      </w:r>
      <w:r w:rsidR="00D054A3" w:rsidRPr="00511761">
        <w:rPr>
          <w:rFonts w:ascii="Arial" w:hAnsi="Arial" w:cs="Arial"/>
          <w:color w:val="0070C0"/>
          <w:sz w:val="24"/>
          <w:szCs w:val="24"/>
        </w:rPr>
        <w:t>in the prop</w:t>
      </w:r>
      <w:r w:rsidR="006F02E0">
        <w:rPr>
          <w:rFonts w:ascii="Arial" w:hAnsi="Arial" w:cs="Arial"/>
          <w:color w:val="0070C0"/>
          <w:sz w:val="24"/>
          <w:szCs w:val="24"/>
        </w:rPr>
        <w:t>o</w:t>
      </w:r>
      <w:r w:rsidR="00D054A3" w:rsidRPr="006F02E0">
        <w:rPr>
          <w:rFonts w:ascii="Arial" w:hAnsi="Arial" w:cs="Arial"/>
          <w:color w:val="0070C0"/>
          <w:sz w:val="24"/>
          <w:szCs w:val="24"/>
        </w:rPr>
        <w:t>sed balance for disposition in the update</w:t>
      </w:r>
      <w:r w:rsidR="00C57F63">
        <w:rPr>
          <w:rFonts w:ascii="Arial" w:hAnsi="Arial" w:cs="Arial"/>
          <w:color w:val="0070C0"/>
          <w:sz w:val="24"/>
          <w:szCs w:val="24"/>
        </w:rPr>
        <w:t xml:space="preserve">d continuity schedule, attached hereto </w:t>
      </w:r>
      <w:r w:rsidR="00C702CE">
        <w:rPr>
          <w:rFonts w:ascii="Arial" w:hAnsi="Arial" w:cs="Arial"/>
          <w:color w:val="0070C0"/>
          <w:sz w:val="24"/>
          <w:szCs w:val="24"/>
        </w:rPr>
        <w:t>in</w:t>
      </w:r>
      <w:r w:rsidR="00C57F63">
        <w:rPr>
          <w:rFonts w:ascii="Arial" w:hAnsi="Arial" w:cs="Arial"/>
          <w:color w:val="0070C0"/>
          <w:sz w:val="24"/>
          <w:szCs w:val="24"/>
        </w:rPr>
        <w:t xml:space="preserve"> Appendix A</w:t>
      </w:r>
      <w:r w:rsidR="003B6932">
        <w:rPr>
          <w:rFonts w:ascii="Arial" w:hAnsi="Arial" w:cs="Arial"/>
          <w:color w:val="0070C0"/>
          <w:sz w:val="24"/>
          <w:szCs w:val="24"/>
        </w:rPr>
        <w:t>.</w:t>
      </w:r>
      <w:r w:rsidR="00FE469A" w:rsidRPr="00D5481A">
        <w:rPr>
          <w:rFonts w:ascii="Arial" w:hAnsi="Arial" w:cs="Arial"/>
          <w:b/>
          <w:sz w:val="24"/>
          <w:szCs w:val="24"/>
        </w:rPr>
        <w:br w:type="page"/>
      </w:r>
    </w:p>
    <w:p w14:paraId="3C237683" w14:textId="4E53A9C6" w:rsidR="00145A2B" w:rsidRDefault="00285AC4" w:rsidP="00F452D5">
      <w:pPr>
        <w:spacing w:after="0"/>
        <w:rPr>
          <w:rFonts w:ascii="Arial" w:hAnsi="Arial" w:cs="Arial"/>
          <w:b/>
          <w:sz w:val="24"/>
          <w:szCs w:val="24"/>
        </w:rPr>
      </w:pPr>
      <w:r>
        <w:rPr>
          <w:rFonts w:ascii="Arial" w:hAnsi="Arial" w:cs="Arial"/>
          <w:b/>
          <w:sz w:val="24"/>
          <w:szCs w:val="24"/>
        </w:rPr>
        <w:lastRenderedPageBreak/>
        <w:t>Question #11</w:t>
      </w:r>
    </w:p>
    <w:p w14:paraId="378646D9" w14:textId="77777777" w:rsidR="00F452D5" w:rsidRPr="00F452D5" w:rsidRDefault="00F452D5" w:rsidP="00F452D5">
      <w:pPr>
        <w:rPr>
          <w:rFonts w:ascii="Arial" w:hAnsi="Arial"/>
          <w:sz w:val="24"/>
        </w:rPr>
      </w:pPr>
      <w:r w:rsidRPr="00F452D5">
        <w:rPr>
          <w:rFonts w:ascii="Arial" w:hAnsi="Arial" w:cs="Arial"/>
          <w:b/>
          <w:sz w:val="24"/>
          <w:szCs w:val="24"/>
        </w:rPr>
        <w:t xml:space="preserve">Reference: </w:t>
      </w:r>
      <w:r w:rsidRPr="00F452D5">
        <w:rPr>
          <w:rFonts w:ascii="Arial" w:hAnsi="Arial"/>
          <w:sz w:val="24"/>
        </w:rPr>
        <w:t>Tab 2 of LRAMVA work form</w:t>
      </w:r>
    </w:p>
    <w:p w14:paraId="3558C2B5" w14:textId="11976376" w:rsidR="00E85E8D" w:rsidRPr="00F452D5" w:rsidRDefault="005C518C" w:rsidP="00E85E8D">
      <w:pPr>
        <w:rPr>
          <w:rFonts w:ascii="Arial" w:hAnsi="Arial" w:cs="Times New Roman"/>
          <w:sz w:val="24"/>
          <w:szCs w:val="24"/>
        </w:rPr>
      </w:pPr>
      <w:r w:rsidRPr="005C518C">
        <w:rPr>
          <w:rFonts w:ascii="Arial" w:hAnsi="Arial"/>
          <w:i/>
          <w:sz w:val="24"/>
        </w:rPr>
        <w:t>ENWIN</w:t>
      </w:r>
      <w:r w:rsidR="00E85E8D" w:rsidRPr="00F452D5">
        <w:rPr>
          <w:rFonts w:ascii="Arial" w:hAnsi="Arial"/>
          <w:sz w:val="24"/>
        </w:rPr>
        <w:t xml:space="preserve"> Utilities is requesting approval of</w:t>
      </w:r>
      <w:r w:rsidR="00E85E8D" w:rsidRPr="00F452D5">
        <w:rPr>
          <w:rFonts w:ascii="Arial" w:hAnsi="Arial" w:cs="Times New Roman"/>
          <w:sz w:val="24"/>
          <w:szCs w:val="24"/>
        </w:rPr>
        <w:t xml:space="preserve"> a debit balance of $3,444,625 in lost revenues associated with CDM program savings from 2011 to 2016, and carrying </w:t>
      </w:r>
      <w:r w:rsidR="00C61084">
        <w:rPr>
          <w:rFonts w:ascii="Arial" w:hAnsi="Arial" w:cs="Times New Roman"/>
          <w:sz w:val="24"/>
          <w:szCs w:val="24"/>
        </w:rPr>
        <w:t xml:space="preserve">charges up to the end of 2016. </w:t>
      </w:r>
      <w:r w:rsidR="00E85E8D">
        <w:rPr>
          <w:rFonts w:ascii="Arial" w:hAnsi="Arial" w:cs="Times New Roman"/>
          <w:sz w:val="24"/>
          <w:szCs w:val="24"/>
        </w:rPr>
        <w:t xml:space="preserve">In the application, </w:t>
      </w:r>
      <w:r w:rsidR="00E85E8D" w:rsidRPr="00F452D5">
        <w:rPr>
          <w:rFonts w:ascii="Arial" w:hAnsi="Arial" w:cs="Times New Roman"/>
          <w:sz w:val="24"/>
          <w:szCs w:val="24"/>
        </w:rPr>
        <w:t>no CDM forecast savings applied as a comparator against actual savings between 2011 and 2016.</w:t>
      </w:r>
    </w:p>
    <w:p w14:paraId="2932655C" w14:textId="6A38A467" w:rsidR="00E85E8D" w:rsidRPr="00F452D5" w:rsidRDefault="00E85E8D" w:rsidP="00E85E8D">
      <w:pPr>
        <w:pStyle w:val="ListParagraph"/>
        <w:numPr>
          <w:ilvl w:val="0"/>
          <w:numId w:val="11"/>
        </w:numPr>
        <w:spacing w:after="160" w:line="259" w:lineRule="auto"/>
        <w:rPr>
          <w:rFonts w:ascii="Arial" w:hAnsi="Arial" w:cs="Times New Roman"/>
          <w:sz w:val="24"/>
          <w:szCs w:val="24"/>
        </w:rPr>
      </w:pPr>
      <w:r w:rsidRPr="00F452D5">
        <w:rPr>
          <w:rFonts w:ascii="Arial" w:hAnsi="Arial" w:cs="Times New Roman"/>
          <w:sz w:val="24"/>
          <w:szCs w:val="24"/>
        </w:rPr>
        <w:t xml:space="preserve">Please confirm that </w:t>
      </w:r>
      <w:r w:rsidR="005C518C" w:rsidRPr="005C518C">
        <w:rPr>
          <w:rFonts w:ascii="Arial" w:hAnsi="Arial" w:cs="Times New Roman"/>
          <w:i/>
          <w:sz w:val="24"/>
          <w:szCs w:val="24"/>
        </w:rPr>
        <w:t>ENWIN</w:t>
      </w:r>
      <w:r w:rsidRPr="00F452D5">
        <w:rPr>
          <w:rFonts w:ascii="Arial" w:hAnsi="Arial" w:cs="Times New Roman"/>
          <w:sz w:val="24"/>
          <w:szCs w:val="24"/>
        </w:rPr>
        <w:t xml:space="preserve"> Utilities did not have </w:t>
      </w:r>
      <w:r>
        <w:rPr>
          <w:rFonts w:ascii="Arial" w:hAnsi="Arial" w:cs="Times New Roman"/>
          <w:sz w:val="24"/>
          <w:szCs w:val="24"/>
        </w:rPr>
        <w:t xml:space="preserve">a </w:t>
      </w:r>
      <w:r w:rsidRPr="00F452D5">
        <w:rPr>
          <w:rFonts w:ascii="Arial" w:hAnsi="Arial" w:cs="Times New Roman"/>
          <w:sz w:val="24"/>
          <w:szCs w:val="24"/>
        </w:rPr>
        <w:t>CDM manual adjustment and LRAMVA threshold approved as part of its last cost of service application in 2009.</w:t>
      </w:r>
    </w:p>
    <w:p w14:paraId="0D673877" w14:textId="3F99C6C8" w:rsidR="00E85E8D" w:rsidRPr="00F452D5" w:rsidRDefault="00E85E8D" w:rsidP="00E85E8D">
      <w:pPr>
        <w:pStyle w:val="ListParagraph"/>
        <w:numPr>
          <w:ilvl w:val="0"/>
          <w:numId w:val="11"/>
        </w:numPr>
        <w:spacing w:after="160" w:line="259" w:lineRule="auto"/>
        <w:rPr>
          <w:rFonts w:ascii="Arial" w:hAnsi="Arial" w:cs="Times New Roman"/>
          <w:sz w:val="24"/>
          <w:szCs w:val="24"/>
        </w:rPr>
      </w:pPr>
      <w:r w:rsidRPr="00F452D5">
        <w:rPr>
          <w:rFonts w:ascii="Arial" w:hAnsi="Arial" w:cs="Times New Roman"/>
          <w:sz w:val="24"/>
          <w:szCs w:val="24"/>
        </w:rPr>
        <w:t xml:space="preserve">Please confirm that </w:t>
      </w:r>
      <w:r w:rsidR="005C518C" w:rsidRPr="005C518C">
        <w:rPr>
          <w:rFonts w:ascii="Arial" w:hAnsi="Arial" w:cs="Times New Roman"/>
          <w:i/>
          <w:sz w:val="24"/>
          <w:szCs w:val="24"/>
        </w:rPr>
        <w:t>ENWIN</w:t>
      </w:r>
      <w:r w:rsidRPr="00F452D5">
        <w:rPr>
          <w:rFonts w:ascii="Arial" w:hAnsi="Arial" w:cs="Times New Roman"/>
          <w:sz w:val="24"/>
          <w:szCs w:val="24"/>
        </w:rPr>
        <w:t xml:space="preserve"> Utilities did not have CDM manual adjustment</w:t>
      </w:r>
      <w:r>
        <w:rPr>
          <w:rFonts w:ascii="Arial" w:hAnsi="Arial" w:cs="Times New Roman"/>
          <w:sz w:val="24"/>
          <w:szCs w:val="24"/>
        </w:rPr>
        <w:t>s</w:t>
      </w:r>
      <w:r w:rsidRPr="00F452D5">
        <w:rPr>
          <w:rFonts w:ascii="Arial" w:hAnsi="Arial" w:cs="Times New Roman"/>
          <w:sz w:val="24"/>
          <w:szCs w:val="24"/>
        </w:rPr>
        <w:t xml:space="preserve"> and LRAMVA threshold approved as part of its subsequent annual index rate applications.</w:t>
      </w:r>
    </w:p>
    <w:p w14:paraId="56EB2F4F" w14:textId="77777777" w:rsidR="00FE469A" w:rsidRDefault="00FE469A" w:rsidP="00F452D5">
      <w:pPr>
        <w:rPr>
          <w:rFonts w:ascii="Arial" w:hAnsi="Arial"/>
          <w:sz w:val="24"/>
        </w:rPr>
      </w:pPr>
    </w:p>
    <w:p w14:paraId="1782BD9F" w14:textId="77777777" w:rsidR="00FE469A" w:rsidRPr="00C45B62" w:rsidRDefault="00FE469A" w:rsidP="005F23CE">
      <w:pPr>
        <w:jc w:val="both"/>
        <w:rPr>
          <w:rFonts w:ascii="Arial" w:hAnsi="Arial" w:cs="Arial"/>
          <w:color w:val="0070C0"/>
          <w:sz w:val="24"/>
          <w:szCs w:val="24"/>
        </w:rPr>
      </w:pPr>
      <w:r w:rsidRPr="00C45B62">
        <w:rPr>
          <w:rFonts w:ascii="Arial" w:hAnsi="Arial" w:cs="Arial"/>
          <w:b/>
          <w:color w:val="0070C0"/>
          <w:sz w:val="24"/>
          <w:szCs w:val="24"/>
        </w:rPr>
        <w:t>RESPONSE</w:t>
      </w:r>
    </w:p>
    <w:p w14:paraId="37926839" w14:textId="035D757D" w:rsidR="00717197" w:rsidRPr="00717197" w:rsidRDefault="005C518C" w:rsidP="005F23CE">
      <w:pPr>
        <w:pStyle w:val="ListParagraph"/>
        <w:numPr>
          <w:ilvl w:val="0"/>
          <w:numId w:val="17"/>
        </w:numPr>
        <w:jc w:val="both"/>
        <w:rPr>
          <w:rFonts w:ascii="Arial" w:hAnsi="Arial"/>
          <w:sz w:val="24"/>
        </w:rPr>
      </w:pPr>
      <w:r w:rsidRPr="005C518C">
        <w:rPr>
          <w:rFonts w:ascii="Arial" w:hAnsi="Arial"/>
          <w:i/>
          <w:color w:val="0070C0"/>
          <w:sz w:val="24"/>
        </w:rPr>
        <w:t>ENWIN</w:t>
      </w:r>
      <w:r w:rsidR="00717197" w:rsidRPr="00717197">
        <w:rPr>
          <w:rFonts w:ascii="Arial" w:hAnsi="Arial"/>
          <w:color w:val="0070C0"/>
          <w:sz w:val="24"/>
        </w:rPr>
        <w:t xml:space="preserve"> did not have a CDM manual adjustment and LRAMVA threshold approved as part of its last Cost of Service application.</w:t>
      </w:r>
    </w:p>
    <w:p w14:paraId="7E0D45AB" w14:textId="77777777" w:rsidR="00717197" w:rsidRPr="00717197" w:rsidRDefault="00717197" w:rsidP="005F23CE">
      <w:pPr>
        <w:pStyle w:val="ListParagraph"/>
        <w:jc w:val="both"/>
        <w:rPr>
          <w:rFonts w:ascii="Arial" w:hAnsi="Arial"/>
          <w:sz w:val="24"/>
        </w:rPr>
      </w:pPr>
    </w:p>
    <w:p w14:paraId="4BEDEFFE" w14:textId="0E8D2AB1" w:rsidR="00FE469A" w:rsidRPr="00717197" w:rsidRDefault="005C518C" w:rsidP="005F23CE">
      <w:pPr>
        <w:pStyle w:val="ListParagraph"/>
        <w:numPr>
          <w:ilvl w:val="0"/>
          <w:numId w:val="17"/>
        </w:numPr>
        <w:jc w:val="both"/>
        <w:rPr>
          <w:rFonts w:ascii="Arial" w:hAnsi="Arial"/>
          <w:sz w:val="24"/>
        </w:rPr>
      </w:pPr>
      <w:r w:rsidRPr="005C518C">
        <w:rPr>
          <w:rFonts w:ascii="Arial" w:hAnsi="Arial"/>
          <w:i/>
          <w:color w:val="0070C0"/>
          <w:sz w:val="24"/>
        </w:rPr>
        <w:t>ENWIN</w:t>
      </w:r>
      <w:r w:rsidR="00717197" w:rsidRPr="00717197">
        <w:rPr>
          <w:rFonts w:ascii="Arial" w:hAnsi="Arial"/>
          <w:color w:val="0070C0"/>
          <w:sz w:val="24"/>
        </w:rPr>
        <w:t xml:space="preserve"> did not have a CDM manual adjustment and LRAMVA threshold approved as part of its </w:t>
      </w:r>
      <w:r w:rsidR="00A77C94">
        <w:rPr>
          <w:rFonts w:ascii="Arial" w:hAnsi="Arial"/>
          <w:color w:val="0070C0"/>
          <w:sz w:val="24"/>
        </w:rPr>
        <w:t>subsequent annual index rate applications.</w:t>
      </w:r>
      <w:r w:rsidR="00717197" w:rsidRPr="00717197">
        <w:rPr>
          <w:rFonts w:ascii="Arial" w:hAnsi="Arial"/>
          <w:sz w:val="24"/>
        </w:rPr>
        <w:t xml:space="preserve"> </w:t>
      </w:r>
      <w:r w:rsidR="00FE469A" w:rsidRPr="00717197">
        <w:rPr>
          <w:rFonts w:ascii="Arial" w:hAnsi="Arial"/>
          <w:sz w:val="24"/>
        </w:rPr>
        <w:br w:type="page"/>
      </w:r>
    </w:p>
    <w:p w14:paraId="60F29FD9" w14:textId="77777777" w:rsidR="00F452D5" w:rsidRDefault="00F452D5" w:rsidP="00F452D5">
      <w:pPr>
        <w:rPr>
          <w:rFonts w:ascii="Arial" w:hAnsi="Arial"/>
          <w:sz w:val="24"/>
        </w:rPr>
      </w:pPr>
    </w:p>
    <w:p w14:paraId="021CB70C" w14:textId="341599FB" w:rsidR="00F452D5" w:rsidRPr="00F452D5" w:rsidRDefault="00285AC4" w:rsidP="00F452D5">
      <w:pPr>
        <w:spacing w:after="0"/>
        <w:rPr>
          <w:rFonts w:ascii="Arial" w:hAnsi="Arial"/>
          <w:b/>
          <w:sz w:val="24"/>
        </w:rPr>
      </w:pPr>
      <w:r>
        <w:rPr>
          <w:rFonts w:ascii="Arial" w:hAnsi="Arial"/>
          <w:b/>
          <w:sz w:val="24"/>
        </w:rPr>
        <w:t>Question #12</w:t>
      </w:r>
    </w:p>
    <w:p w14:paraId="22A6FDAF" w14:textId="77777777" w:rsidR="00F452D5" w:rsidRPr="00F452D5" w:rsidRDefault="00F452D5" w:rsidP="00F452D5">
      <w:pPr>
        <w:spacing w:after="0"/>
        <w:rPr>
          <w:rFonts w:ascii="Arial" w:hAnsi="Arial" w:cs="Times New Roman"/>
          <w:b/>
          <w:sz w:val="24"/>
          <w:szCs w:val="24"/>
        </w:rPr>
      </w:pPr>
      <w:r w:rsidRPr="00F452D5">
        <w:rPr>
          <w:rFonts w:ascii="Arial" w:hAnsi="Arial"/>
          <w:b/>
          <w:sz w:val="24"/>
        </w:rPr>
        <w:t xml:space="preserve">Reference:  Tab </w:t>
      </w:r>
      <w:r w:rsidRPr="00F452D5">
        <w:rPr>
          <w:rFonts w:ascii="Arial" w:hAnsi="Arial" w:cs="Times New Roman"/>
          <w:b/>
          <w:sz w:val="24"/>
          <w:szCs w:val="24"/>
        </w:rPr>
        <w:t>5 of LRAMVA work form</w:t>
      </w:r>
    </w:p>
    <w:p w14:paraId="7B5EF080" w14:textId="77777777" w:rsidR="00F452D5" w:rsidRDefault="00F452D5" w:rsidP="00F452D5">
      <w:pPr>
        <w:pStyle w:val="NoSpacing"/>
        <w:rPr>
          <w:rFonts w:ascii="Arial" w:hAnsi="Arial" w:cs="Times New Roman"/>
          <w:sz w:val="24"/>
          <w:szCs w:val="24"/>
          <w:lang w:val="en-US"/>
        </w:rPr>
      </w:pPr>
    </w:p>
    <w:p w14:paraId="043D4BC0" w14:textId="4750809A" w:rsidR="00F452D5" w:rsidRPr="00F452D5" w:rsidRDefault="00F452D5" w:rsidP="00F452D5">
      <w:pPr>
        <w:pStyle w:val="NoSpacing"/>
        <w:rPr>
          <w:rFonts w:ascii="Arial" w:hAnsi="Arial" w:cs="Times New Roman"/>
          <w:sz w:val="24"/>
          <w:szCs w:val="24"/>
        </w:rPr>
      </w:pPr>
      <w:r w:rsidRPr="00F452D5">
        <w:rPr>
          <w:rFonts w:ascii="Arial" w:hAnsi="Arial" w:cs="Times New Roman"/>
          <w:sz w:val="24"/>
          <w:szCs w:val="24"/>
          <w:lang w:val="en-US"/>
        </w:rPr>
        <w:t>As part of the 2</w:t>
      </w:r>
      <w:r>
        <w:rPr>
          <w:rFonts w:ascii="Arial" w:hAnsi="Arial" w:cs="Times New Roman"/>
          <w:sz w:val="24"/>
          <w:szCs w:val="24"/>
          <w:lang w:val="en-US"/>
        </w:rPr>
        <w:t xml:space="preserve">016 lost revenue amounts, </w:t>
      </w:r>
      <w:r w:rsidR="005C518C" w:rsidRPr="005C518C">
        <w:rPr>
          <w:rFonts w:ascii="Arial" w:hAnsi="Arial" w:cs="Times New Roman"/>
          <w:i/>
          <w:sz w:val="24"/>
          <w:szCs w:val="24"/>
          <w:lang w:val="en-US"/>
        </w:rPr>
        <w:t>ENWIN</w:t>
      </w:r>
      <w:r>
        <w:rPr>
          <w:rFonts w:ascii="Arial" w:hAnsi="Arial" w:cs="Times New Roman"/>
          <w:sz w:val="24"/>
          <w:szCs w:val="24"/>
          <w:lang w:val="en-US"/>
        </w:rPr>
        <w:t xml:space="preserve"> </w:t>
      </w:r>
      <w:r w:rsidRPr="00F452D5">
        <w:rPr>
          <w:rFonts w:ascii="Arial" w:hAnsi="Arial" w:cs="Times New Roman"/>
          <w:sz w:val="24"/>
          <w:szCs w:val="24"/>
          <w:lang w:val="en-US"/>
        </w:rPr>
        <w:t>Utilities proposed to claim 12 months of demand savings for</w:t>
      </w:r>
      <w:r w:rsidR="000C321D">
        <w:rPr>
          <w:rFonts w:ascii="Arial" w:hAnsi="Arial" w:cs="Times New Roman"/>
          <w:sz w:val="24"/>
          <w:szCs w:val="24"/>
          <w:lang w:val="en-US"/>
        </w:rPr>
        <w:t xml:space="preserve"> a</w:t>
      </w:r>
      <w:r w:rsidRPr="00F452D5">
        <w:rPr>
          <w:rFonts w:ascii="Arial" w:hAnsi="Arial" w:cs="Times New Roman"/>
          <w:sz w:val="24"/>
          <w:szCs w:val="24"/>
          <w:lang w:val="en-US"/>
        </w:rPr>
        <w:t xml:space="preserve"> Building Optimization Pilot program implemented. </w:t>
      </w:r>
      <w:r w:rsidRPr="00F452D5">
        <w:rPr>
          <w:rFonts w:ascii="Arial" w:hAnsi="Arial" w:cs="Times New Roman"/>
          <w:sz w:val="24"/>
          <w:szCs w:val="24"/>
        </w:rPr>
        <w:t>Please discuss the rationale for claiming 12 months of demand savings from the Building Optimization Pilot program in 2016.</w:t>
      </w:r>
    </w:p>
    <w:p w14:paraId="3E8FB1EF" w14:textId="77777777" w:rsidR="00F452D5" w:rsidRDefault="00F452D5" w:rsidP="00F452D5">
      <w:pPr>
        <w:spacing w:after="0" w:line="240" w:lineRule="auto"/>
        <w:rPr>
          <w:rFonts w:ascii="Arial" w:hAnsi="Arial" w:cs="Times New Roman"/>
          <w:sz w:val="24"/>
          <w:szCs w:val="24"/>
        </w:rPr>
      </w:pPr>
    </w:p>
    <w:p w14:paraId="1407DE1B" w14:textId="77777777" w:rsidR="00FE469A" w:rsidRPr="00F452D5" w:rsidRDefault="00FE469A" w:rsidP="00F452D5">
      <w:pPr>
        <w:spacing w:after="0" w:line="240" w:lineRule="auto"/>
        <w:rPr>
          <w:rFonts w:ascii="Arial" w:hAnsi="Arial" w:cs="Times New Roman"/>
          <w:sz w:val="24"/>
          <w:szCs w:val="24"/>
        </w:rPr>
      </w:pPr>
    </w:p>
    <w:p w14:paraId="27F0AA3D" w14:textId="77777777" w:rsidR="00FE469A" w:rsidRPr="00C45B62" w:rsidRDefault="00FE469A" w:rsidP="00FE469A">
      <w:pPr>
        <w:rPr>
          <w:rFonts w:ascii="Arial" w:hAnsi="Arial" w:cs="Arial"/>
          <w:color w:val="0070C0"/>
          <w:sz w:val="24"/>
          <w:szCs w:val="24"/>
        </w:rPr>
      </w:pPr>
      <w:r w:rsidRPr="00C45B62">
        <w:rPr>
          <w:rFonts w:ascii="Arial" w:hAnsi="Arial" w:cs="Arial"/>
          <w:b/>
          <w:color w:val="0070C0"/>
          <w:sz w:val="24"/>
          <w:szCs w:val="24"/>
        </w:rPr>
        <w:t>RESPONSE</w:t>
      </w:r>
    </w:p>
    <w:p w14:paraId="2BCE8833" w14:textId="37939B48" w:rsidR="009E154E" w:rsidRPr="009E154E" w:rsidRDefault="009E154E" w:rsidP="005F23CE">
      <w:pPr>
        <w:jc w:val="both"/>
        <w:rPr>
          <w:rFonts w:ascii="Arial" w:hAnsi="Arial" w:cs="Arial"/>
          <w:color w:val="0070C0"/>
          <w:sz w:val="24"/>
          <w:szCs w:val="24"/>
        </w:rPr>
      </w:pPr>
      <w:proofErr w:type="spellStart"/>
      <w:r w:rsidRPr="009E154E">
        <w:rPr>
          <w:rFonts w:ascii="Arial" w:hAnsi="Arial" w:cs="Arial"/>
          <w:color w:val="0070C0"/>
          <w:sz w:val="24"/>
          <w:szCs w:val="24"/>
        </w:rPr>
        <w:t>Retrocommissioning</w:t>
      </w:r>
      <w:proofErr w:type="spellEnd"/>
      <w:r w:rsidRPr="009E154E">
        <w:rPr>
          <w:rFonts w:ascii="Arial" w:hAnsi="Arial" w:cs="Arial"/>
          <w:color w:val="0070C0"/>
          <w:sz w:val="24"/>
          <w:szCs w:val="24"/>
        </w:rPr>
        <w:t xml:space="preserve"> (</w:t>
      </w:r>
      <w:proofErr w:type="spellStart"/>
      <w:r w:rsidRPr="009E154E">
        <w:rPr>
          <w:rFonts w:ascii="Arial" w:hAnsi="Arial" w:cs="Arial"/>
          <w:color w:val="0070C0"/>
          <w:sz w:val="24"/>
          <w:szCs w:val="24"/>
        </w:rPr>
        <w:t>RCx</w:t>
      </w:r>
      <w:proofErr w:type="spellEnd"/>
      <w:r w:rsidRPr="009E154E">
        <w:rPr>
          <w:rFonts w:ascii="Arial" w:hAnsi="Arial" w:cs="Arial"/>
          <w:color w:val="0070C0"/>
          <w:sz w:val="24"/>
          <w:szCs w:val="24"/>
        </w:rPr>
        <w:t xml:space="preserve">) is a methodical approach to assess and correct existing building operations and procedures to improve the energy performance of a building. Buildings are typically commissioned when they are first put into service with the primary focus that all systems are functional. Over time, operational, structural, procedural and maintenance changes may result in buildings being out of tune and although still functioning, they may not be balanced to ensure performance in an optimal energy efficient state. </w:t>
      </w:r>
      <w:r w:rsidR="005C518C" w:rsidRPr="005C518C">
        <w:rPr>
          <w:rFonts w:ascii="Arial" w:hAnsi="Arial" w:cs="Arial"/>
          <w:i/>
          <w:color w:val="0070C0"/>
          <w:sz w:val="24"/>
          <w:szCs w:val="24"/>
        </w:rPr>
        <w:t>ENWIN</w:t>
      </w:r>
      <w:r w:rsidRPr="009E154E">
        <w:rPr>
          <w:rFonts w:ascii="Arial" w:hAnsi="Arial" w:cs="Arial"/>
          <w:color w:val="0070C0"/>
          <w:sz w:val="24"/>
          <w:szCs w:val="24"/>
        </w:rPr>
        <w:t xml:space="preserve">’s Building Optimization Pilot (BOP) program, which uses the </w:t>
      </w:r>
      <w:proofErr w:type="spellStart"/>
      <w:r w:rsidRPr="009E154E">
        <w:rPr>
          <w:rFonts w:ascii="Arial" w:hAnsi="Arial" w:cs="Arial"/>
          <w:color w:val="0070C0"/>
          <w:sz w:val="24"/>
          <w:szCs w:val="24"/>
        </w:rPr>
        <w:t>RCx</w:t>
      </w:r>
      <w:proofErr w:type="spellEnd"/>
      <w:r w:rsidRPr="009E154E">
        <w:rPr>
          <w:rFonts w:ascii="Arial" w:hAnsi="Arial" w:cs="Arial"/>
          <w:color w:val="0070C0"/>
          <w:sz w:val="24"/>
          <w:szCs w:val="24"/>
        </w:rPr>
        <w:t xml:space="preserve"> approach, was developed to explore the no-cost/low-cost energy savings associated with buildings that are not operating as designed, or to current operational requirements.  </w:t>
      </w:r>
    </w:p>
    <w:p w14:paraId="6D7E9910" w14:textId="33FECCF3" w:rsidR="00285AC4" w:rsidRPr="009E154E" w:rsidRDefault="009E154E" w:rsidP="005F23CE">
      <w:pPr>
        <w:jc w:val="both"/>
        <w:rPr>
          <w:rFonts w:ascii="Arial" w:hAnsi="Arial" w:cs="Arial"/>
          <w:color w:val="0070C0"/>
          <w:sz w:val="24"/>
          <w:szCs w:val="24"/>
        </w:rPr>
      </w:pPr>
      <w:r w:rsidRPr="009E154E">
        <w:rPr>
          <w:rFonts w:ascii="Arial" w:hAnsi="Arial" w:cs="Arial"/>
          <w:color w:val="0070C0"/>
          <w:sz w:val="24"/>
          <w:szCs w:val="24"/>
        </w:rPr>
        <w:t>The BOP program focused on providing participants with incentives (</w:t>
      </w:r>
      <w:proofErr w:type="spellStart"/>
      <w:r w:rsidRPr="009E154E">
        <w:rPr>
          <w:rFonts w:ascii="Arial" w:hAnsi="Arial" w:cs="Arial"/>
          <w:color w:val="0070C0"/>
          <w:sz w:val="24"/>
          <w:szCs w:val="24"/>
        </w:rPr>
        <w:t>RCx</w:t>
      </w:r>
      <w:proofErr w:type="spellEnd"/>
      <w:r w:rsidRPr="009E154E">
        <w:rPr>
          <w:rFonts w:ascii="Arial" w:hAnsi="Arial" w:cs="Arial"/>
          <w:color w:val="0070C0"/>
          <w:sz w:val="24"/>
          <w:szCs w:val="24"/>
        </w:rPr>
        <w:t xml:space="preserve"> technical assessment services and financial incentives for corrective actions) that helped them identify and implement electricity savings solutions through </w:t>
      </w:r>
      <w:proofErr w:type="spellStart"/>
      <w:r w:rsidRPr="009E154E">
        <w:rPr>
          <w:rFonts w:ascii="Arial" w:hAnsi="Arial" w:cs="Arial"/>
          <w:color w:val="0070C0"/>
          <w:sz w:val="24"/>
          <w:szCs w:val="24"/>
        </w:rPr>
        <w:t>RCx</w:t>
      </w:r>
      <w:proofErr w:type="spellEnd"/>
      <w:r w:rsidRPr="009E154E">
        <w:rPr>
          <w:rFonts w:ascii="Arial" w:hAnsi="Arial" w:cs="Arial"/>
          <w:color w:val="0070C0"/>
          <w:sz w:val="24"/>
          <w:szCs w:val="24"/>
        </w:rPr>
        <w:t xml:space="preserve"> activities within their buildings.  The </w:t>
      </w:r>
      <w:proofErr w:type="spellStart"/>
      <w:r w:rsidRPr="009E154E">
        <w:rPr>
          <w:rFonts w:ascii="Arial" w:hAnsi="Arial" w:cs="Arial"/>
          <w:color w:val="0070C0"/>
          <w:sz w:val="24"/>
          <w:szCs w:val="24"/>
        </w:rPr>
        <w:t>RCx</w:t>
      </w:r>
      <w:proofErr w:type="spellEnd"/>
      <w:r w:rsidRPr="009E154E">
        <w:rPr>
          <w:rFonts w:ascii="Arial" w:hAnsi="Arial" w:cs="Arial"/>
          <w:color w:val="0070C0"/>
          <w:sz w:val="24"/>
          <w:szCs w:val="24"/>
        </w:rPr>
        <w:t xml:space="preserve"> technical assessment targeted all energy consuming equipment within the participant’s buildings, and was not specific to HVAC (space cooling) equipment.  Given that the demand savings attributed to the BOP program are not specific to space cooling, </w:t>
      </w:r>
      <w:r w:rsidR="005C518C" w:rsidRPr="005C518C">
        <w:rPr>
          <w:rFonts w:ascii="Arial" w:hAnsi="Arial" w:cs="Arial"/>
          <w:i/>
          <w:color w:val="0070C0"/>
          <w:sz w:val="24"/>
          <w:szCs w:val="24"/>
        </w:rPr>
        <w:t>ENWIN</w:t>
      </w:r>
      <w:r w:rsidRPr="009E154E">
        <w:rPr>
          <w:rFonts w:ascii="Arial" w:hAnsi="Arial" w:cs="Arial"/>
          <w:color w:val="0070C0"/>
          <w:sz w:val="24"/>
          <w:szCs w:val="24"/>
        </w:rPr>
        <w:t xml:space="preserve"> multiplied said savings over a 12 month period as specified in the Board’s updated policy for the LRAM calculation (EB-2016-0182 – Updated Policy for the Lost Revenue Adjustment Mechanism Calculation: Lost Revenue and Peak Demand Savings from Conservation and Demand Management Programs).</w:t>
      </w:r>
    </w:p>
    <w:p w14:paraId="56E5375E" w14:textId="372E6447" w:rsidR="000F0475" w:rsidRPr="000F0475" w:rsidRDefault="000F0475" w:rsidP="005F23CE">
      <w:pPr>
        <w:autoSpaceDE w:val="0"/>
        <w:autoSpaceDN w:val="0"/>
        <w:adjustRightInd w:val="0"/>
        <w:spacing w:after="0" w:line="240" w:lineRule="auto"/>
        <w:jc w:val="both"/>
        <w:rPr>
          <w:rFonts w:ascii="Arial" w:hAnsi="Arial" w:cs="Arial"/>
          <w:color w:val="0070C0"/>
          <w:sz w:val="24"/>
          <w:szCs w:val="24"/>
        </w:rPr>
      </w:pPr>
      <w:r w:rsidRPr="000F0475">
        <w:rPr>
          <w:rFonts w:ascii="Arial" w:hAnsi="Arial" w:cs="Arial"/>
          <w:color w:val="0070C0"/>
          <w:sz w:val="24"/>
          <w:szCs w:val="24"/>
        </w:rPr>
        <w:t>From the OEB's report "Updated Policy for the Lost Revenue Adjustment Mechanism Calculation: Lost Revenues and Peak Demand Savings from Conservation and Demand</w:t>
      </w:r>
      <w:r>
        <w:rPr>
          <w:rFonts w:ascii="Arial" w:hAnsi="Arial" w:cs="Arial"/>
          <w:color w:val="0070C0"/>
          <w:sz w:val="24"/>
          <w:szCs w:val="24"/>
        </w:rPr>
        <w:t xml:space="preserve"> Management Programs":</w:t>
      </w:r>
    </w:p>
    <w:p w14:paraId="73449855" w14:textId="77777777" w:rsidR="000F0475" w:rsidRPr="000F0475" w:rsidRDefault="000F0475" w:rsidP="000F0475">
      <w:pPr>
        <w:autoSpaceDE w:val="0"/>
        <w:autoSpaceDN w:val="0"/>
        <w:adjustRightInd w:val="0"/>
        <w:spacing w:after="0" w:line="240" w:lineRule="auto"/>
        <w:rPr>
          <w:rFonts w:ascii="Arial" w:hAnsi="Arial" w:cs="Arial"/>
          <w:color w:val="0070C0"/>
          <w:sz w:val="24"/>
          <w:szCs w:val="24"/>
        </w:rPr>
      </w:pPr>
    </w:p>
    <w:p w14:paraId="2994F708" w14:textId="77777777" w:rsidR="000F0475" w:rsidRPr="000F0475" w:rsidRDefault="000F0475" w:rsidP="005F23C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ight="720"/>
        <w:jc w:val="both"/>
        <w:rPr>
          <w:rFonts w:ascii="Arial" w:hAnsi="Arial" w:cs="Arial"/>
          <w:color w:val="0070C0"/>
          <w:sz w:val="24"/>
          <w:szCs w:val="24"/>
        </w:rPr>
      </w:pPr>
      <w:r w:rsidRPr="000F0475">
        <w:rPr>
          <w:rFonts w:ascii="Arial" w:hAnsi="Arial" w:cs="Arial"/>
          <w:color w:val="0070C0"/>
          <w:sz w:val="24"/>
          <w:szCs w:val="24"/>
        </w:rPr>
        <w:t>"The IESO indicated that the demand savings from energy efficiency programs shown in the Final CDM Results should generally be multiplied by twelve (12) months to represent the demand savings the distributor has experienced over the entire year (see Table 1)."</w:t>
      </w:r>
    </w:p>
    <w:p w14:paraId="52D5B503" w14:textId="77777777" w:rsidR="000F0475" w:rsidRPr="000F0475" w:rsidRDefault="000F0475" w:rsidP="005F23C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ight="720"/>
        <w:jc w:val="both"/>
        <w:rPr>
          <w:rFonts w:ascii="Arial" w:hAnsi="Arial" w:cs="Arial"/>
          <w:color w:val="0070C0"/>
          <w:sz w:val="24"/>
          <w:szCs w:val="24"/>
        </w:rPr>
      </w:pPr>
    </w:p>
    <w:p w14:paraId="6B8E1C63" w14:textId="77777777" w:rsidR="000F0475" w:rsidRPr="000F0475" w:rsidRDefault="000F0475" w:rsidP="005F23C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ight="720"/>
        <w:jc w:val="both"/>
        <w:rPr>
          <w:rFonts w:ascii="Helv" w:hAnsi="Helv" w:cs="Helv"/>
          <w:color w:val="0070C0"/>
          <w:sz w:val="20"/>
          <w:szCs w:val="20"/>
        </w:rPr>
      </w:pPr>
      <w:r w:rsidRPr="000F0475">
        <w:rPr>
          <w:rFonts w:ascii="Arial" w:hAnsi="Arial" w:cs="Arial"/>
          <w:color w:val="0070C0"/>
          <w:sz w:val="24"/>
          <w:szCs w:val="24"/>
        </w:rPr>
        <w:t>"The OEB agrees with the suggested approach for calculating lost revenues related to peak demand savings from energy efficiency programs as outlined above.  The information provided by the IESO should be relied upon by distributors when calculating the applicable peak demand (kW) savings and resulting lost revenues from energy efficiency programs delivered to demand-billed customers</w:t>
      </w:r>
      <w:r w:rsidRPr="000F0475">
        <w:rPr>
          <w:rFonts w:ascii="Helv" w:hAnsi="Helv" w:cs="Helv"/>
          <w:color w:val="0070C0"/>
          <w:sz w:val="20"/>
          <w:szCs w:val="20"/>
        </w:rPr>
        <w:t>."</w:t>
      </w:r>
    </w:p>
    <w:p w14:paraId="45E3FC2C" w14:textId="77777777" w:rsidR="000F0475" w:rsidRDefault="000F0475" w:rsidP="005F23C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Helv" w:hAnsi="Helv" w:cs="Helv"/>
          <w:color w:val="000000"/>
          <w:sz w:val="20"/>
          <w:szCs w:val="20"/>
        </w:rPr>
      </w:pPr>
    </w:p>
    <w:p w14:paraId="564E07B7" w14:textId="77777777" w:rsidR="000F0475" w:rsidRDefault="000F0475" w:rsidP="000F047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bookmarkStart w:id="0" w:name="_GoBack"/>
      <w:bookmarkEnd w:id="0"/>
    </w:p>
    <w:p w14:paraId="373FDC3C" w14:textId="70FE563D" w:rsidR="00FE469A" w:rsidRDefault="000F0475" w:rsidP="000F0475">
      <w:pPr>
        <w:spacing w:after="0" w:line="240" w:lineRule="auto"/>
        <w:rPr>
          <w:rFonts w:ascii="Arial" w:hAnsi="Arial"/>
          <w:b/>
          <w:sz w:val="24"/>
        </w:rPr>
      </w:pPr>
      <w:r>
        <w:rPr>
          <w:rFonts w:ascii="Helv" w:hAnsi="Helv" w:cs="Helv"/>
          <w:noProof/>
          <w:color w:val="000000"/>
          <w:sz w:val="20"/>
          <w:szCs w:val="20"/>
          <w:lang w:eastAsia="en-CA"/>
        </w:rPr>
        <w:drawing>
          <wp:inline distT="0" distB="0" distL="0" distR="0" wp14:anchorId="0F80AFCE" wp14:editId="771B64FE">
            <wp:extent cx="6003290" cy="47231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3290" cy="4723130"/>
                    </a:xfrm>
                    <a:prstGeom prst="rect">
                      <a:avLst/>
                    </a:prstGeom>
                    <a:noFill/>
                    <a:ln>
                      <a:noFill/>
                    </a:ln>
                  </pic:spPr>
                </pic:pic>
              </a:graphicData>
            </a:graphic>
          </wp:inline>
        </w:drawing>
      </w:r>
      <w:r>
        <w:rPr>
          <w:rFonts w:ascii="Helv" w:hAnsi="Helv" w:cs="Helv"/>
          <w:color w:val="000000"/>
          <w:sz w:val="20"/>
          <w:szCs w:val="20"/>
        </w:rPr>
        <w:t xml:space="preserve"> </w:t>
      </w:r>
      <w:r w:rsidR="00FE469A">
        <w:rPr>
          <w:rFonts w:ascii="Arial" w:hAnsi="Arial"/>
          <w:b/>
          <w:sz w:val="24"/>
        </w:rPr>
        <w:br w:type="page"/>
      </w:r>
    </w:p>
    <w:p w14:paraId="75DA4598" w14:textId="47F904F4" w:rsidR="00F452D5" w:rsidRPr="00F452D5" w:rsidRDefault="00285AC4" w:rsidP="00F452D5">
      <w:pPr>
        <w:spacing w:after="0" w:line="240" w:lineRule="auto"/>
        <w:rPr>
          <w:rFonts w:ascii="Arial" w:hAnsi="Arial"/>
          <w:b/>
          <w:sz w:val="24"/>
        </w:rPr>
      </w:pPr>
      <w:r>
        <w:rPr>
          <w:rFonts w:ascii="Arial" w:hAnsi="Arial"/>
          <w:b/>
          <w:sz w:val="24"/>
        </w:rPr>
        <w:lastRenderedPageBreak/>
        <w:t>Question #13</w:t>
      </w:r>
    </w:p>
    <w:p w14:paraId="51ACD3B3" w14:textId="77777777" w:rsidR="00F452D5" w:rsidRPr="00F452D5" w:rsidRDefault="00F452D5" w:rsidP="00F452D5">
      <w:pPr>
        <w:spacing w:after="0" w:line="240" w:lineRule="auto"/>
        <w:rPr>
          <w:rFonts w:ascii="Arial" w:hAnsi="Arial"/>
          <w:sz w:val="24"/>
        </w:rPr>
      </w:pPr>
    </w:p>
    <w:p w14:paraId="6E42610D" w14:textId="7065A8CF" w:rsidR="00F452D5" w:rsidRPr="00F452D5" w:rsidRDefault="00F452D5" w:rsidP="00F452D5">
      <w:pPr>
        <w:spacing w:after="0" w:line="240" w:lineRule="auto"/>
        <w:rPr>
          <w:rFonts w:ascii="Arial" w:hAnsi="Arial"/>
          <w:sz w:val="24"/>
        </w:rPr>
      </w:pPr>
      <w:r w:rsidRPr="00F452D5">
        <w:rPr>
          <w:rFonts w:ascii="Arial" w:hAnsi="Arial"/>
          <w:sz w:val="24"/>
        </w:rPr>
        <w:t xml:space="preserve">If </w:t>
      </w:r>
      <w:r w:rsidR="005C518C" w:rsidRPr="005C518C">
        <w:rPr>
          <w:rFonts w:ascii="Arial" w:hAnsi="Arial"/>
          <w:i/>
          <w:sz w:val="24"/>
        </w:rPr>
        <w:t>ENWIN</w:t>
      </w:r>
      <w:r w:rsidRPr="00F452D5">
        <w:rPr>
          <w:rFonts w:ascii="Arial" w:hAnsi="Arial"/>
          <w:sz w:val="24"/>
        </w:rPr>
        <w:t xml:space="preserve"> Utilities has made any changes to the LRAMVA work form as a result of its responses to interrogatories, please file an updated LRAMVA work form.</w:t>
      </w:r>
    </w:p>
    <w:p w14:paraId="03922690" w14:textId="77777777" w:rsidR="00F452D5" w:rsidRPr="00F452D5" w:rsidRDefault="00F452D5" w:rsidP="00F452D5">
      <w:pPr>
        <w:spacing w:after="0"/>
        <w:rPr>
          <w:rFonts w:ascii="Arial" w:hAnsi="Arial" w:cs="Arial"/>
          <w:b/>
          <w:sz w:val="24"/>
          <w:szCs w:val="24"/>
        </w:rPr>
      </w:pPr>
    </w:p>
    <w:p w14:paraId="0CE0649D" w14:textId="77777777" w:rsidR="00FE469A" w:rsidRPr="00C45B62" w:rsidRDefault="00FE469A" w:rsidP="005F23CE">
      <w:pPr>
        <w:jc w:val="both"/>
        <w:rPr>
          <w:rFonts w:ascii="Arial" w:hAnsi="Arial" w:cs="Arial"/>
          <w:color w:val="0070C0"/>
          <w:sz w:val="24"/>
          <w:szCs w:val="24"/>
        </w:rPr>
      </w:pPr>
      <w:r w:rsidRPr="00C45B62">
        <w:rPr>
          <w:rFonts w:ascii="Arial" w:hAnsi="Arial" w:cs="Arial"/>
          <w:b/>
          <w:color w:val="0070C0"/>
          <w:sz w:val="24"/>
          <w:szCs w:val="24"/>
        </w:rPr>
        <w:t>RESPONSE</w:t>
      </w:r>
    </w:p>
    <w:p w14:paraId="18DE1916" w14:textId="08AE6156" w:rsidR="00F452D5" w:rsidRPr="00DA09D0" w:rsidRDefault="009E154E" w:rsidP="005F23CE">
      <w:pPr>
        <w:jc w:val="both"/>
        <w:rPr>
          <w:rFonts w:ascii="Arial" w:hAnsi="Arial" w:cs="Arial"/>
          <w:sz w:val="24"/>
          <w:szCs w:val="24"/>
        </w:rPr>
      </w:pPr>
      <w:r w:rsidRPr="009E154E">
        <w:rPr>
          <w:rFonts w:ascii="Arial" w:hAnsi="Arial"/>
          <w:color w:val="0070C0"/>
          <w:sz w:val="24"/>
        </w:rPr>
        <w:t>No changes were required to the LRAMVA work form as a result of the interrogatories.</w:t>
      </w:r>
    </w:p>
    <w:sectPr w:rsidR="00F452D5" w:rsidRPr="00DA09D0" w:rsidSect="0082001A">
      <w:headerReference w:type="default" r:id="rId17"/>
      <w:pgSz w:w="12240" w:h="15840" w:code="1"/>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01BA2" w14:textId="77777777" w:rsidR="00347D89" w:rsidRDefault="00347D89" w:rsidP="00851418">
      <w:pPr>
        <w:spacing w:after="0" w:line="240" w:lineRule="auto"/>
      </w:pPr>
      <w:r>
        <w:separator/>
      </w:r>
    </w:p>
  </w:endnote>
  <w:endnote w:type="continuationSeparator" w:id="0">
    <w:p w14:paraId="036A7383" w14:textId="77777777" w:rsidR="00347D89" w:rsidRDefault="00347D89"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1E1D" w14:textId="77777777" w:rsidR="00347D89" w:rsidRDefault="00347D89" w:rsidP="00851418">
      <w:pPr>
        <w:spacing w:after="0" w:line="240" w:lineRule="auto"/>
      </w:pPr>
      <w:r>
        <w:separator/>
      </w:r>
    </w:p>
  </w:footnote>
  <w:footnote w:type="continuationSeparator" w:id="0">
    <w:p w14:paraId="13417FCE" w14:textId="77777777" w:rsidR="00347D89" w:rsidRDefault="00347D89" w:rsidP="00851418">
      <w:pPr>
        <w:spacing w:after="0" w:line="240" w:lineRule="auto"/>
      </w:pPr>
      <w:r>
        <w:continuationSeparator/>
      </w:r>
    </w:p>
  </w:footnote>
  <w:footnote w:id="1">
    <w:p w14:paraId="554D621F" w14:textId="6F1FBDD2" w:rsidR="004756FF" w:rsidRPr="005B434F" w:rsidRDefault="004756FF">
      <w:pPr>
        <w:pStyle w:val="FootnoteText"/>
        <w:rPr>
          <w:lang w:val="en-US"/>
        </w:rPr>
      </w:pPr>
      <w:r>
        <w:rPr>
          <w:rStyle w:val="FootnoteReference"/>
        </w:rPr>
        <w:footnoteRef/>
      </w:r>
      <w:r>
        <w:t xml:space="preserve"> </w:t>
      </w:r>
      <w:r>
        <w:rPr>
          <w:lang w:val="en-US"/>
        </w:rPr>
        <w:t xml:space="preserve">At Note 3 of the </w:t>
      </w:r>
      <w:r w:rsidRPr="004756FF">
        <w:rPr>
          <w:lang w:val="en-US"/>
        </w:rPr>
        <w:t>2017 ONTARIO UNIFORM TRANSMISSION RATE SCHEDULES</w:t>
      </w:r>
      <w:r>
        <w:rPr>
          <w:lang w:val="en-US"/>
        </w:rPr>
        <w:t>, Terms and Conditions, it states “</w:t>
      </w:r>
      <w:r w:rsidRPr="004756FF">
        <w:rPr>
          <w:lang w:val="en-US"/>
        </w:rPr>
        <w:t>3. The Billing Demand for Line and Transformation Connection Services is defined as the Non-Coincident Peak demand (MW) in any hour of the month. The customer demand in any hour is the sum of (a) the loss-adjusted demand supplied from the  transmission  system  plus  (b)  the  demand  that  is  supplied  by an  embedded  generator  unit  for  which  the  required government approvals are obtained after October 30, 1998 and which have installed capacity of 2MW or more for renewable generation and 1 MW or higher for non-renewable generation, on the demand supplied by the incremental capacity associated with a refurbishment approved after October 30, 1998, to a generator unit that existed on or prior to October 30, 1998.. The term renewable generation refers to a facility that generates electricity from the following sources: wind, solar, Biomass, Bio- oil, Bio-gas, landfill gas, or water. The demand supplied by embedded generation will not be adjusted for losses.</w:t>
      </w:r>
      <w:r>
        <w:rPr>
          <w:lang w:val="en-US"/>
        </w:rPr>
        <w:t>”</w:t>
      </w:r>
    </w:p>
  </w:footnote>
  <w:footnote w:id="2">
    <w:p w14:paraId="7BC4BEB9" w14:textId="77777777" w:rsidR="007D4194" w:rsidRPr="00AD18B6" w:rsidRDefault="007D4194" w:rsidP="007D4194">
      <w:pPr>
        <w:pStyle w:val="FootnoteText"/>
        <w:rPr>
          <w:lang w:val="en-US"/>
        </w:rPr>
      </w:pPr>
      <w:r>
        <w:rPr>
          <w:rStyle w:val="FootnoteReference"/>
        </w:rPr>
        <w:footnoteRef/>
      </w:r>
      <w:r>
        <w:t xml:space="preserve"> </w:t>
      </w:r>
      <w:r>
        <w:rPr>
          <w:lang w:val="en-US"/>
        </w:rPr>
        <w:t>Note</w:t>
      </w:r>
      <w:proofErr w:type="gramStart"/>
      <w:r>
        <w:rPr>
          <w:lang w:val="en-US"/>
        </w:rPr>
        <w:t>,</w:t>
      </w:r>
      <w:proofErr w:type="gramEnd"/>
      <w:r>
        <w:rPr>
          <w:lang w:val="en-US"/>
        </w:rPr>
        <w:t xml:space="preserve"> the following in all references in OEB Staff questions relating to amounts booked to accounts 1588 and 1589. Amounts are not booked directly to accounts USoA 1588 and 1589 relating to power purchase and sale transactions, but are rather booked to the cost of power USoA </w:t>
      </w:r>
      <w:r w:rsidRPr="00AD18B6">
        <w:rPr>
          <w:lang w:val="en-US"/>
        </w:rPr>
        <w:t>4705 Power Purchased</w:t>
      </w:r>
      <w:r>
        <w:rPr>
          <w:lang w:val="en-US"/>
        </w:rPr>
        <w:t xml:space="preserve">/4707 </w:t>
      </w:r>
      <w:r w:rsidRPr="00AD18B6">
        <w:rPr>
          <w:lang w:val="en-US"/>
        </w:rPr>
        <w:t>Charges - Global Adjustment</w:t>
      </w:r>
      <w:r>
        <w:rPr>
          <w:lang w:val="en-US"/>
        </w:rPr>
        <w:t xml:space="preserve"> and the respective Energy Sales USoA accounts, respectively. However, accounts 1588 and 1589 are impacted the same way as accounts 4705/4707 are for cost of power transactions, and the same way as the Energy Sales accounts are for revenue transactions.</w:t>
      </w:r>
    </w:p>
  </w:footnote>
  <w:footnote w:id="3">
    <w:p w14:paraId="3ABFA878" w14:textId="1B4AB143" w:rsidR="00C57F63" w:rsidRDefault="00C57F63">
      <w:pPr>
        <w:pStyle w:val="FootnoteText"/>
      </w:pPr>
      <w:r>
        <w:rPr>
          <w:rStyle w:val="FootnoteReference"/>
        </w:rPr>
        <w:footnoteRef/>
      </w:r>
      <w:r>
        <w:t xml:space="preserve"> </w:t>
      </w:r>
      <w:r w:rsidRPr="00C57F63">
        <w:t xml:space="preserve">OEB letter titled, </w:t>
      </w:r>
      <w:r w:rsidRPr="00EB5AB9">
        <w:rPr>
          <w:i/>
        </w:rPr>
        <w:t>Guidance on Disposition of Accounts 1588 and 1589</w:t>
      </w:r>
      <w:r w:rsidRPr="00C57F6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84AC" w14:textId="77777777"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D45071">
      <w:rPr>
        <w:rFonts w:ascii="Arial" w:hAnsi="Arial" w:cs="Arial"/>
        <w:sz w:val="20"/>
        <w:szCs w:val="20"/>
      </w:rPr>
      <w:t>EnWin Utilities Ltd.</w:t>
    </w:r>
  </w:p>
  <w:p w14:paraId="0CA0AEDA" w14:textId="77777777" w:rsidR="00D5062F" w:rsidRDefault="00DA5F69">
    <w:pPr>
      <w:pStyle w:val="Header"/>
      <w:rPr>
        <w:rFonts w:ascii="Arial" w:hAnsi="Arial" w:cs="Arial"/>
        <w:sz w:val="20"/>
        <w:szCs w:val="20"/>
      </w:rPr>
    </w:pPr>
    <w:r w:rsidRPr="00DA5F69">
      <w:rPr>
        <w:rFonts w:ascii="Arial" w:hAnsi="Arial" w:cs="Arial"/>
        <w:sz w:val="20"/>
        <w:szCs w:val="20"/>
      </w:rPr>
      <w:tab/>
    </w:r>
    <w:r w:rsidRPr="00DA5F69">
      <w:rPr>
        <w:rFonts w:ascii="Arial" w:hAnsi="Arial" w:cs="Arial"/>
        <w:sz w:val="20"/>
        <w:szCs w:val="20"/>
      </w:rPr>
      <w:tab/>
      <w:t>EB-2017-00</w:t>
    </w:r>
    <w:r w:rsidR="00D45071">
      <w:rPr>
        <w:rFonts w:ascii="Arial" w:hAnsi="Arial" w:cs="Arial"/>
        <w:sz w:val="20"/>
        <w:szCs w:val="20"/>
      </w:rPr>
      <w:t>37</w:t>
    </w:r>
  </w:p>
  <w:p w14:paraId="0B60980C" w14:textId="007C2A4E"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0C40DA">
      <w:rPr>
        <w:rFonts w:ascii="Arial" w:hAnsi="Arial" w:cs="Arial"/>
        <w:b/>
        <w:noProof/>
        <w:sz w:val="20"/>
        <w:szCs w:val="20"/>
      </w:rPr>
      <w:t>22</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0C40DA">
      <w:rPr>
        <w:rFonts w:ascii="Arial" w:hAnsi="Arial" w:cs="Arial"/>
        <w:b/>
        <w:noProof/>
        <w:sz w:val="20"/>
        <w:szCs w:val="20"/>
      </w:rPr>
      <w:t>23</w:t>
    </w:r>
    <w:r w:rsidRPr="00DA5F69">
      <w:rPr>
        <w:rFonts w:ascii="Arial" w:hAnsi="Arial" w:cs="Arial"/>
        <w:b/>
        <w:sz w:val="20"/>
        <w:szCs w:val="20"/>
      </w:rPr>
      <w:fldChar w:fldCharType="end"/>
    </w:r>
  </w:p>
  <w:p w14:paraId="13B5B657" w14:textId="77777777" w:rsidR="00D5062F" w:rsidRDefault="00D5062F">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41A2"/>
    <w:multiLevelType w:val="hybridMultilevel"/>
    <w:tmpl w:val="714AC8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AE1ADE"/>
    <w:multiLevelType w:val="hybridMultilevel"/>
    <w:tmpl w:val="2B18B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13BBD"/>
    <w:multiLevelType w:val="hybridMultilevel"/>
    <w:tmpl w:val="CC4C183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5E5912"/>
    <w:multiLevelType w:val="hybridMultilevel"/>
    <w:tmpl w:val="CC4C183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3AB2F73"/>
    <w:multiLevelType w:val="hybridMultilevel"/>
    <w:tmpl w:val="022A5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422671E"/>
    <w:multiLevelType w:val="hybridMultilevel"/>
    <w:tmpl w:val="D9E600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7772899"/>
    <w:multiLevelType w:val="hybridMultilevel"/>
    <w:tmpl w:val="EAEAD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736B1"/>
    <w:multiLevelType w:val="hybridMultilevel"/>
    <w:tmpl w:val="0D8E6130"/>
    <w:lvl w:ilvl="0" w:tplc="4A3A0D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26A32"/>
    <w:multiLevelType w:val="hybridMultilevel"/>
    <w:tmpl w:val="6394A7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EE34FBC"/>
    <w:multiLevelType w:val="hybridMultilevel"/>
    <w:tmpl w:val="F6524032"/>
    <w:lvl w:ilvl="0" w:tplc="98242F32">
      <w:start w:val="1"/>
      <w:numFmt w:val="lowerLetter"/>
      <w:lvlText w:val="%1)"/>
      <w:lvlJc w:val="left"/>
      <w:pPr>
        <w:ind w:left="720" w:hanging="360"/>
      </w:pPr>
      <w:rPr>
        <w:rFont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27814"/>
    <w:multiLevelType w:val="hybridMultilevel"/>
    <w:tmpl w:val="7B841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752F8"/>
    <w:multiLevelType w:val="hybridMultilevel"/>
    <w:tmpl w:val="6082BBE6"/>
    <w:lvl w:ilvl="0" w:tplc="FCB685AC">
      <w:start w:val="3"/>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0BB6C64"/>
    <w:multiLevelType w:val="hybridMultilevel"/>
    <w:tmpl w:val="3E5A54D8"/>
    <w:lvl w:ilvl="0" w:tplc="6B5AC9DA">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97761A3"/>
    <w:multiLevelType w:val="hybridMultilevel"/>
    <w:tmpl w:val="5B508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166FF2"/>
    <w:multiLevelType w:val="hybridMultilevel"/>
    <w:tmpl w:val="F968A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91C0F"/>
    <w:multiLevelType w:val="hybridMultilevel"/>
    <w:tmpl w:val="5426C0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656A63E8"/>
    <w:multiLevelType w:val="hybridMultilevel"/>
    <w:tmpl w:val="1B120AF6"/>
    <w:lvl w:ilvl="0" w:tplc="18829FE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7241D9B"/>
    <w:multiLevelType w:val="hybridMultilevel"/>
    <w:tmpl w:val="28849DEE"/>
    <w:lvl w:ilvl="0" w:tplc="A9D6FA0C">
      <w:start w:val="1"/>
      <w:numFmt w:val="lowerLetter"/>
      <w:lvlText w:val="%1)"/>
      <w:lvlJc w:val="left"/>
      <w:pPr>
        <w:ind w:left="720" w:hanging="360"/>
      </w:pPr>
      <w:rPr>
        <w:rFonts w:hint="default"/>
        <w:color w:val="0070C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8F54A06"/>
    <w:multiLevelType w:val="hybridMultilevel"/>
    <w:tmpl w:val="FA063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3A5461"/>
    <w:multiLevelType w:val="hybridMultilevel"/>
    <w:tmpl w:val="B446525A"/>
    <w:lvl w:ilvl="0" w:tplc="8B3272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89D6B52"/>
    <w:multiLevelType w:val="hybridMultilevel"/>
    <w:tmpl w:val="8B84F006"/>
    <w:lvl w:ilvl="0" w:tplc="C16489C4">
      <w:start w:val="1"/>
      <w:numFmt w:val="lowerLetter"/>
      <w:lvlText w:val="%1)"/>
      <w:lvlJc w:val="left"/>
      <w:pPr>
        <w:ind w:left="720" w:hanging="360"/>
      </w:pPr>
      <w:rPr>
        <w:rFonts w:hint="default"/>
        <w:color w:val="0070C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5"/>
  </w:num>
  <w:num w:numId="2">
    <w:abstractNumId w:val="16"/>
  </w:num>
  <w:num w:numId="3">
    <w:abstractNumId w:val="11"/>
  </w:num>
  <w:num w:numId="4">
    <w:abstractNumId w:val="22"/>
  </w:num>
  <w:num w:numId="5">
    <w:abstractNumId w:val="24"/>
  </w:num>
  <w:num w:numId="6">
    <w:abstractNumId w:val="15"/>
  </w:num>
  <w:num w:numId="7">
    <w:abstractNumId w:val="14"/>
  </w:num>
  <w:num w:numId="8">
    <w:abstractNumId w:val="4"/>
  </w:num>
  <w:num w:numId="9">
    <w:abstractNumId w:val="1"/>
  </w:num>
  <w:num w:numId="10">
    <w:abstractNumId w:val="7"/>
  </w:num>
  <w:num w:numId="11">
    <w:abstractNumId w:val="20"/>
  </w:num>
  <w:num w:numId="12">
    <w:abstractNumId w:val="8"/>
  </w:num>
  <w:num w:numId="13">
    <w:abstractNumId w:val="21"/>
  </w:num>
  <w:num w:numId="14">
    <w:abstractNumId w:val="9"/>
  </w:num>
  <w:num w:numId="15">
    <w:abstractNumId w:val="6"/>
  </w:num>
  <w:num w:numId="16">
    <w:abstractNumId w:val="0"/>
  </w:num>
  <w:num w:numId="17">
    <w:abstractNumId w:val="23"/>
  </w:num>
  <w:num w:numId="18">
    <w:abstractNumId w:val="13"/>
  </w:num>
  <w:num w:numId="19">
    <w:abstractNumId w:val="3"/>
  </w:num>
  <w:num w:numId="20">
    <w:abstractNumId w:val="19"/>
  </w:num>
  <w:num w:numId="21">
    <w:abstractNumId w:val="10"/>
  </w:num>
  <w:num w:numId="22">
    <w:abstractNumId w:val="17"/>
  </w:num>
  <w:num w:numId="23">
    <w:abstractNumId w:val="18"/>
  </w:num>
  <w:num w:numId="24">
    <w:abstractNumId w:val="2"/>
  </w:num>
  <w:num w:numId="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1987"/>
    <w:rsid w:val="00012FF8"/>
    <w:rsid w:val="0001354E"/>
    <w:rsid w:val="0001531F"/>
    <w:rsid w:val="0002005D"/>
    <w:rsid w:val="0002546A"/>
    <w:rsid w:val="000254E5"/>
    <w:rsid w:val="00030C10"/>
    <w:rsid w:val="000379A5"/>
    <w:rsid w:val="000414BC"/>
    <w:rsid w:val="00041BBD"/>
    <w:rsid w:val="000437D6"/>
    <w:rsid w:val="00047791"/>
    <w:rsid w:val="00053C87"/>
    <w:rsid w:val="00080E09"/>
    <w:rsid w:val="000843ED"/>
    <w:rsid w:val="00091244"/>
    <w:rsid w:val="000937E9"/>
    <w:rsid w:val="000A1997"/>
    <w:rsid w:val="000A3E8A"/>
    <w:rsid w:val="000B51CC"/>
    <w:rsid w:val="000C035C"/>
    <w:rsid w:val="000C0EE5"/>
    <w:rsid w:val="000C321D"/>
    <w:rsid w:val="000C40DA"/>
    <w:rsid w:val="000D2EAF"/>
    <w:rsid w:val="000E28D5"/>
    <w:rsid w:val="000E4185"/>
    <w:rsid w:val="000E4C7B"/>
    <w:rsid w:val="000E68DC"/>
    <w:rsid w:val="000F0475"/>
    <w:rsid w:val="000F0DE2"/>
    <w:rsid w:val="000F0FBB"/>
    <w:rsid w:val="000F0FDF"/>
    <w:rsid w:val="000F1B04"/>
    <w:rsid w:val="000F7DC3"/>
    <w:rsid w:val="00112D88"/>
    <w:rsid w:val="00113DB8"/>
    <w:rsid w:val="0012657D"/>
    <w:rsid w:val="00145A2B"/>
    <w:rsid w:val="00146770"/>
    <w:rsid w:val="00150BE5"/>
    <w:rsid w:val="001563E4"/>
    <w:rsid w:val="0016286E"/>
    <w:rsid w:val="0016330B"/>
    <w:rsid w:val="00163BCB"/>
    <w:rsid w:val="00171C5D"/>
    <w:rsid w:val="00175E69"/>
    <w:rsid w:val="0018179E"/>
    <w:rsid w:val="00183B76"/>
    <w:rsid w:val="001872F3"/>
    <w:rsid w:val="00193DA2"/>
    <w:rsid w:val="00197EAC"/>
    <w:rsid w:val="001A016B"/>
    <w:rsid w:val="001A184E"/>
    <w:rsid w:val="001B1072"/>
    <w:rsid w:val="001B2AD3"/>
    <w:rsid w:val="001C1B58"/>
    <w:rsid w:val="001C4140"/>
    <w:rsid w:val="001C5D8C"/>
    <w:rsid w:val="001C7CA4"/>
    <w:rsid w:val="001D2BB6"/>
    <w:rsid w:val="001D7086"/>
    <w:rsid w:val="001E069B"/>
    <w:rsid w:val="001E6EA6"/>
    <w:rsid w:val="001E799B"/>
    <w:rsid w:val="001F44D1"/>
    <w:rsid w:val="002019B9"/>
    <w:rsid w:val="00204A40"/>
    <w:rsid w:val="0021184B"/>
    <w:rsid w:val="002152C0"/>
    <w:rsid w:val="0023076C"/>
    <w:rsid w:val="002363C3"/>
    <w:rsid w:val="00244CE0"/>
    <w:rsid w:val="002466A1"/>
    <w:rsid w:val="002510CD"/>
    <w:rsid w:val="002579E0"/>
    <w:rsid w:val="00264763"/>
    <w:rsid w:val="002679AD"/>
    <w:rsid w:val="002751A2"/>
    <w:rsid w:val="00276440"/>
    <w:rsid w:val="00285AC4"/>
    <w:rsid w:val="00286DC4"/>
    <w:rsid w:val="00293086"/>
    <w:rsid w:val="002938BE"/>
    <w:rsid w:val="002966E4"/>
    <w:rsid w:val="00296882"/>
    <w:rsid w:val="0029762E"/>
    <w:rsid w:val="002A6863"/>
    <w:rsid w:val="002A72E9"/>
    <w:rsid w:val="002B1731"/>
    <w:rsid w:val="002B7C64"/>
    <w:rsid w:val="002C04CB"/>
    <w:rsid w:val="002C0C52"/>
    <w:rsid w:val="002C6C26"/>
    <w:rsid w:val="002D08DF"/>
    <w:rsid w:val="002D2F55"/>
    <w:rsid w:val="002D6E73"/>
    <w:rsid w:val="002F218C"/>
    <w:rsid w:val="002F42F7"/>
    <w:rsid w:val="002F5AA8"/>
    <w:rsid w:val="002F65F7"/>
    <w:rsid w:val="002F69BB"/>
    <w:rsid w:val="00300787"/>
    <w:rsid w:val="00303671"/>
    <w:rsid w:val="00304228"/>
    <w:rsid w:val="00310045"/>
    <w:rsid w:val="00311C25"/>
    <w:rsid w:val="00321BB7"/>
    <w:rsid w:val="00323BCB"/>
    <w:rsid w:val="0032442F"/>
    <w:rsid w:val="0032693C"/>
    <w:rsid w:val="00341DC9"/>
    <w:rsid w:val="00343D6E"/>
    <w:rsid w:val="00347D89"/>
    <w:rsid w:val="00353701"/>
    <w:rsid w:val="0035397C"/>
    <w:rsid w:val="00354A5F"/>
    <w:rsid w:val="003606DD"/>
    <w:rsid w:val="003624ED"/>
    <w:rsid w:val="003646BE"/>
    <w:rsid w:val="00370D5B"/>
    <w:rsid w:val="0037285F"/>
    <w:rsid w:val="003834CA"/>
    <w:rsid w:val="003856F8"/>
    <w:rsid w:val="00391DFD"/>
    <w:rsid w:val="00393FCD"/>
    <w:rsid w:val="00394351"/>
    <w:rsid w:val="0039687D"/>
    <w:rsid w:val="003A01BD"/>
    <w:rsid w:val="003A316E"/>
    <w:rsid w:val="003A7960"/>
    <w:rsid w:val="003B6932"/>
    <w:rsid w:val="003C3D0F"/>
    <w:rsid w:val="003C7CC3"/>
    <w:rsid w:val="003D1D91"/>
    <w:rsid w:val="003D5234"/>
    <w:rsid w:val="003E076C"/>
    <w:rsid w:val="003E7D1C"/>
    <w:rsid w:val="003F609A"/>
    <w:rsid w:val="003F60E3"/>
    <w:rsid w:val="003F7D01"/>
    <w:rsid w:val="0040014C"/>
    <w:rsid w:val="00404F9A"/>
    <w:rsid w:val="00412DC6"/>
    <w:rsid w:val="00416E38"/>
    <w:rsid w:val="0041701C"/>
    <w:rsid w:val="0043160E"/>
    <w:rsid w:val="00435D8E"/>
    <w:rsid w:val="00436C5C"/>
    <w:rsid w:val="00440ED5"/>
    <w:rsid w:val="00441960"/>
    <w:rsid w:val="00463182"/>
    <w:rsid w:val="00464D00"/>
    <w:rsid w:val="00465A1E"/>
    <w:rsid w:val="00471B90"/>
    <w:rsid w:val="00472EFF"/>
    <w:rsid w:val="0047404F"/>
    <w:rsid w:val="00475356"/>
    <w:rsid w:val="004756FF"/>
    <w:rsid w:val="00475BCE"/>
    <w:rsid w:val="004835EE"/>
    <w:rsid w:val="004934A8"/>
    <w:rsid w:val="004A18E1"/>
    <w:rsid w:val="004A5F89"/>
    <w:rsid w:val="004B65CF"/>
    <w:rsid w:val="004C04D5"/>
    <w:rsid w:val="004C1F0E"/>
    <w:rsid w:val="004C1F32"/>
    <w:rsid w:val="004C5337"/>
    <w:rsid w:val="004D46E0"/>
    <w:rsid w:val="004E215B"/>
    <w:rsid w:val="004E463F"/>
    <w:rsid w:val="004E6985"/>
    <w:rsid w:val="005012EA"/>
    <w:rsid w:val="005017B6"/>
    <w:rsid w:val="005110FD"/>
    <w:rsid w:val="00511282"/>
    <w:rsid w:val="00511761"/>
    <w:rsid w:val="00511791"/>
    <w:rsid w:val="005117CF"/>
    <w:rsid w:val="005216D6"/>
    <w:rsid w:val="005349C8"/>
    <w:rsid w:val="00553935"/>
    <w:rsid w:val="00572F6E"/>
    <w:rsid w:val="00592D5C"/>
    <w:rsid w:val="005934F6"/>
    <w:rsid w:val="005A69AC"/>
    <w:rsid w:val="005B0481"/>
    <w:rsid w:val="005B3CA7"/>
    <w:rsid w:val="005B434F"/>
    <w:rsid w:val="005B4C39"/>
    <w:rsid w:val="005B6E11"/>
    <w:rsid w:val="005C4D50"/>
    <w:rsid w:val="005C518C"/>
    <w:rsid w:val="005C5C6B"/>
    <w:rsid w:val="005D372A"/>
    <w:rsid w:val="005E2750"/>
    <w:rsid w:val="005E32B9"/>
    <w:rsid w:val="005E3604"/>
    <w:rsid w:val="005E77DD"/>
    <w:rsid w:val="005F23CE"/>
    <w:rsid w:val="005F7CFD"/>
    <w:rsid w:val="00601C3B"/>
    <w:rsid w:val="00604C03"/>
    <w:rsid w:val="0060662D"/>
    <w:rsid w:val="006125B7"/>
    <w:rsid w:val="00622523"/>
    <w:rsid w:val="00622CAE"/>
    <w:rsid w:val="00634992"/>
    <w:rsid w:val="0063554D"/>
    <w:rsid w:val="006504D5"/>
    <w:rsid w:val="006546FF"/>
    <w:rsid w:val="006561C4"/>
    <w:rsid w:val="006604B5"/>
    <w:rsid w:val="006659F5"/>
    <w:rsid w:val="006764B2"/>
    <w:rsid w:val="0068189C"/>
    <w:rsid w:val="00682ECC"/>
    <w:rsid w:val="0069057C"/>
    <w:rsid w:val="00691C29"/>
    <w:rsid w:val="00691C49"/>
    <w:rsid w:val="00692FC5"/>
    <w:rsid w:val="006A6276"/>
    <w:rsid w:val="006A6B6B"/>
    <w:rsid w:val="006B36B8"/>
    <w:rsid w:val="006B7A95"/>
    <w:rsid w:val="006D288F"/>
    <w:rsid w:val="006D46FD"/>
    <w:rsid w:val="006D4780"/>
    <w:rsid w:val="006E48C7"/>
    <w:rsid w:val="006F02E0"/>
    <w:rsid w:val="006F37B4"/>
    <w:rsid w:val="0070175B"/>
    <w:rsid w:val="00717197"/>
    <w:rsid w:val="00730318"/>
    <w:rsid w:val="007425DF"/>
    <w:rsid w:val="00746080"/>
    <w:rsid w:val="00754006"/>
    <w:rsid w:val="007640D9"/>
    <w:rsid w:val="00767EAC"/>
    <w:rsid w:val="00776FED"/>
    <w:rsid w:val="00781998"/>
    <w:rsid w:val="0079160F"/>
    <w:rsid w:val="00792385"/>
    <w:rsid w:val="00794B4A"/>
    <w:rsid w:val="007D4194"/>
    <w:rsid w:val="007D4A08"/>
    <w:rsid w:val="007D4B3E"/>
    <w:rsid w:val="007F40FF"/>
    <w:rsid w:val="007F6839"/>
    <w:rsid w:val="00801F5C"/>
    <w:rsid w:val="00806D93"/>
    <w:rsid w:val="0082001A"/>
    <w:rsid w:val="00831140"/>
    <w:rsid w:val="00832A00"/>
    <w:rsid w:val="00834E7C"/>
    <w:rsid w:val="00846B24"/>
    <w:rsid w:val="00847628"/>
    <w:rsid w:val="00850053"/>
    <w:rsid w:val="00851418"/>
    <w:rsid w:val="008539D9"/>
    <w:rsid w:val="00861138"/>
    <w:rsid w:val="00863CE8"/>
    <w:rsid w:val="0087639C"/>
    <w:rsid w:val="00876DA9"/>
    <w:rsid w:val="008A0688"/>
    <w:rsid w:val="008A1EB2"/>
    <w:rsid w:val="008A303D"/>
    <w:rsid w:val="008A5D3A"/>
    <w:rsid w:val="008B6D75"/>
    <w:rsid w:val="008C3DED"/>
    <w:rsid w:val="008C5000"/>
    <w:rsid w:val="008C74E3"/>
    <w:rsid w:val="008D68F2"/>
    <w:rsid w:val="008D7712"/>
    <w:rsid w:val="008E5912"/>
    <w:rsid w:val="008F688C"/>
    <w:rsid w:val="008F73E8"/>
    <w:rsid w:val="00904C73"/>
    <w:rsid w:val="00916BB7"/>
    <w:rsid w:val="00923824"/>
    <w:rsid w:val="00933C0C"/>
    <w:rsid w:val="00937121"/>
    <w:rsid w:val="00942FF5"/>
    <w:rsid w:val="00953C66"/>
    <w:rsid w:val="009643D1"/>
    <w:rsid w:val="009677A0"/>
    <w:rsid w:val="00971192"/>
    <w:rsid w:val="00974189"/>
    <w:rsid w:val="00976380"/>
    <w:rsid w:val="009807D8"/>
    <w:rsid w:val="00983A06"/>
    <w:rsid w:val="009943AC"/>
    <w:rsid w:val="009A1237"/>
    <w:rsid w:val="009A15A7"/>
    <w:rsid w:val="009A2316"/>
    <w:rsid w:val="009B5DE8"/>
    <w:rsid w:val="009C17CC"/>
    <w:rsid w:val="009C79A3"/>
    <w:rsid w:val="009D30CF"/>
    <w:rsid w:val="009D5C00"/>
    <w:rsid w:val="009D5C83"/>
    <w:rsid w:val="009E154E"/>
    <w:rsid w:val="009E1E72"/>
    <w:rsid w:val="00A031BE"/>
    <w:rsid w:val="00A102CC"/>
    <w:rsid w:val="00A10904"/>
    <w:rsid w:val="00A207D8"/>
    <w:rsid w:val="00A30E40"/>
    <w:rsid w:val="00A320BF"/>
    <w:rsid w:val="00A36FB3"/>
    <w:rsid w:val="00A46C79"/>
    <w:rsid w:val="00A52E2A"/>
    <w:rsid w:val="00A55F25"/>
    <w:rsid w:val="00A56010"/>
    <w:rsid w:val="00A56508"/>
    <w:rsid w:val="00A6078D"/>
    <w:rsid w:val="00A668A7"/>
    <w:rsid w:val="00A704BA"/>
    <w:rsid w:val="00A71C61"/>
    <w:rsid w:val="00A7543F"/>
    <w:rsid w:val="00A77C94"/>
    <w:rsid w:val="00A81A28"/>
    <w:rsid w:val="00A92BB5"/>
    <w:rsid w:val="00A9717E"/>
    <w:rsid w:val="00AA06D9"/>
    <w:rsid w:val="00AA31B9"/>
    <w:rsid w:val="00AA4C8A"/>
    <w:rsid w:val="00AB0B9E"/>
    <w:rsid w:val="00AB3924"/>
    <w:rsid w:val="00AC013F"/>
    <w:rsid w:val="00AD2CFF"/>
    <w:rsid w:val="00AE108A"/>
    <w:rsid w:val="00AE4463"/>
    <w:rsid w:val="00AF12C9"/>
    <w:rsid w:val="00AF165C"/>
    <w:rsid w:val="00AF288A"/>
    <w:rsid w:val="00AF2B0D"/>
    <w:rsid w:val="00AF60F3"/>
    <w:rsid w:val="00AF6E02"/>
    <w:rsid w:val="00AF7B00"/>
    <w:rsid w:val="00B02485"/>
    <w:rsid w:val="00B052F5"/>
    <w:rsid w:val="00B076A5"/>
    <w:rsid w:val="00B11E0E"/>
    <w:rsid w:val="00B17046"/>
    <w:rsid w:val="00B20109"/>
    <w:rsid w:val="00B247C1"/>
    <w:rsid w:val="00B25576"/>
    <w:rsid w:val="00B3050D"/>
    <w:rsid w:val="00B314F3"/>
    <w:rsid w:val="00B34F02"/>
    <w:rsid w:val="00B41852"/>
    <w:rsid w:val="00B54D55"/>
    <w:rsid w:val="00B56997"/>
    <w:rsid w:val="00B603C7"/>
    <w:rsid w:val="00B7626F"/>
    <w:rsid w:val="00B76EA7"/>
    <w:rsid w:val="00B94E34"/>
    <w:rsid w:val="00BA3B29"/>
    <w:rsid w:val="00BB2371"/>
    <w:rsid w:val="00BC0E1A"/>
    <w:rsid w:val="00BC1A68"/>
    <w:rsid w:val="00BD4512"/>
    <w:rsid w:val="00BD754D"/>
    <w:rsid w:val="00BE0D14"/>
    <w:rsid w:val="00BE1A92"/>
    <w:rsid w:val="00BE3B11"/>
    <w:rsid w:val="00BF15C3"/>
    <w:rsid w:val="00BF193F"/>
    <w:rsid w:val="00BF7CFF"/>
    <w:rsid w:val="00C019D3"/>
    <w:rsid w:val="00C051AF"/>
    <w:rsid w:val="00C076A6"/>
    <w:rsid w:val="00C16713"/>
    <w:rsid w:val="00C2079D"/>
    <w:rsid w:val="00C23F96"/>
    <w:rsid w:val="00C26472"/>
    <w:rsid w:val="00C27332"/>
    <w:rsid w:val="00C32D50"/>
    <w:rsid w:val="00C33958"/>
    <w:rsid w:val="00C33F52"/>
    <w:rsid w:val="00C34B76"/>
    <w:rsid w:val="00C37357"/>
    <w:rsid w:val="00C44738"/>
    <w:rsid w:val="00C45B62"/>
    <w:rsid w:val="00C55FD6"/>
    <w:rsid w:val="00C5751E"/>
    <w:rsid w:val="00C57F63"/>
    <w:rsid w:val="00C61084"/>
    <w:rsid w:val="00C63C8D"/>
    <w:rsid w:val="00C702CE"/>
    <w:rsid w:val="00C7140B"/>
    <w:rsid w:val="00C744C2"/>
    <w:rsid w:val="00C818E2"/>
    <w:rsid w:val="00CA0B82"/>
    <w:rsid w:val="00CA344E"/>
    <w:rsid w:val="00CA7201"/>
    <w:rsid w:val="00CB168B"/>
    <w:rsid w:val="00CB52AE"/>
    <w:rsid w:val="00CC447E"/>
    <w:rsid w:val="00CC6D11"/>
    <w:rsid w:val="00CD1567"/>
    <w:rsid w:val="00CD169B"/>
    <w:rsid w:val="00CF0F7C"/>
    <w:rsid w:val="00CF58A8"/>
    <w:rsid w:val="00D02D7F"/>
    <w:rsid w:val="00D054A3"/>
    <w:rsid w:val="00D0773D"/>
    <w:rsid w:val="00D126E8"/>
    <w:rsid w:val="00D21A42"/>
    <w:rsid w:val="00D26069"/>
    <w:rsid w:val="00D272EC"/>
    <w:rsid w:val="00D348BB"/>
    <w:rsid w:val="00D36BBE"/>
    <w:rsid w:val="00D37FBE"/>
    <w:rsid w:val="00D44AAE"/>
    <w:rsid w:val="00D45071"/>
    <w:rsid w:val="00D45353"/>
    <w:rsid w:val="00D5062F"/>
    <w:rsid w:val="00D5227A"/>
    <w:rsid w:val="00D5481A"/>
    <w:rsid w:val="00D56A27"/>
    <w:rsid w:val="00D621FC"/>
    <w:rsid w:val="00D66E30"/>
    <w:rsid w:val="00D80EDE"/>
    <w:rsid w:val="00D86F15"/>
    <w:rsid w:val="00D91B73"/>
    <w:rsid w:val="00D9253B"/>
    <w:rsid w:val="00D958A6"/>
    <w:rsid w:val="00D95CAA"/>
    <w:rsid w:val="00D95F3E"/>
    <w:rsid w:val="00D974D5"/>
    <w:rsid w:val="00D975C5"/>
    <w:rsid w:val="00DA09D0"/>
    <w:rsid w:val="00DA2484"/>
    <w:rsid w:val="00DA5F69"/>
    <w:rsid w:val="00DB75EE"/>
    <w:rsid w:val="00DC13D4"/>
    <w:rsid w:val="00DC2E85"/>
    <w:rsid w:val="00DC3F8F"/>
    <w:rsid w:val="00DD09DC"/>
    <w:rsid w:val="00DD16BA"/>
    <w:rsid w:val="00DD2D17"/>
    <w:rsid w:val="00DE1A3A"/>
    <w:rsid w:val="00DE57EA"/>
    <w:rsid w:val="00DF0B44"/>
    <w:rsid w:val="00DF6932"/>
    <w:rsid w:val="00E23ECF"/>
    <w:rsid w:val="00E261A1"/>
    <w:rsid w:val="00E264FF"/>
    <w:rsid w:val="00E2683A"/>
    <w:rsid w:val="00E31459"/>
    <w:rsid w:val="00E35207"/>
    <w:rsid w:val="00E45775"/>
    <w:rsid w:val="00E50176"/>
    <w:rsid w:val="00E6089B"/>
    <w:rsid w:val="00E632E1"/>
    <w:rsid w:val="00E63408"/>
    <w:rsid w:val="00E65DC4"/>
    <w:rsid w:val="00E6651E"/>
    <w:rsid w:val="00E7523D"/>
    <w:rsid w:val="00E8388D"/>
    <w:rsid w:val="00E838B3"/>
    <w:rsid w:val="00E85E8D"/>
    <w:rsid w:val="00E9387D"/>
    <w:rsid w:val="00EA0919"/>
    <w:rsid w:val="00EA2CF7"/>
    <w:rsid w:val="00EB06E6"/>
    <w:rsid w:val="00EB5AB9"/>
    <w:rsid w:val="00EB5B64"/>
    <w:rsid w:val="00EB68C4"/>
    <w:rsid w:val="00EC0C97"/>
    <w:rsid w:val="00EC26AE"/>
    <w:rsid w:val="00EC41B6"/>
    <w:rsid w:val="00EC62D6"/>
    <w:rsid w:val="00EE1EF7"/>
    <w:rsid w:val="00EE450C"/>
    <w:rsid w:val="00F10173"/>
    <w:rsid w:val="00F213C1"/>
    <w:rsid w:val="00F2597B"/>
    <w:rsid w:val="00F27A5F"/>
    <w:rsid w:val="00F27C57"/>
    <w:rsid w:val="00F4428A"/>
    <w:rsid w:val="00F452D5"/>
    <w:rsid w:val="00F47A39"/>
    <w:rsid w:val="00F5082A"/>
    <w:rsid w:val="00F640A4"/>
    <w:rsid w:val="00F6576A"/>
    <w:rsid w:val="00F66E08"/>
    <w:rsid w:val="00F7268C"/>
    <w:rsid w:val="00F72F89"/>
    <w:rsid w:val="00F75BBD"/>
    <w:rsid w:val="00F80156"/>
    <w:rsid w:val="00F83372"/>
    <w:rsid w:val="00F86479"/>
    <w:rsid w:val="00F92A36"/>
    <w:rsid w:val="00F92F12"/>
    <w:rsid w:val="00F97C9B"/>
    <w:rsid w:val="00FB3A11"/>
    <w:rsid w:val="00FB77AD"/>
    <w:rsid w:val="00FC1CC4"/>
    <w:rsid w:val="00FC6320"/>
    <w:rsid w:val="00FD5EDC"/>
    <w:rsid w:val="00FE1B02"/>
    <w:rsid w:val="00FE469A"/>
    <w:rsid w:val="00FF6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81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D15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567"/>
    <w:rPr>
      <w:sz w:val="20"/>
      <w:szCs w:val="20"/>
    </w:rPr>
  </w:style>
  <w:style w:type="character" w:styleId="FootnoteReference">
    <w:name w:val="footnote reference"/>
    <w:basedOn w:val="DefaultParagraphFont"/>
    <w:uiPriority w:val="99"/>
    <w:semiHidden/>
    <w:unhideWhenUsed/>
    <w:rsid w:val="00CD1567"/>
    <w:rPr>
      <w:vertAlign w:val="superscript"/>
    </w:rPr>
  </w:style>
  <w:style w:type="table" w:styleId="TableGrid">
    <w:name w:val="Table Grid"/>
    <w:basedOn w:val="TableNormal"/>
    <w:uiPriority w:val="59"/>
    <w:rsid w:val="00CD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2D5"/>
    <w:pPr>
      <w:spacing w:after="0" w:line="240" w:lineRule="auto"/>
    </w:pPr>
  </w:style>
  <w:style w:type="character" w:styleId="CommentReference">
    <w:name w:val="annotation reference"/>
    <w:basedOn w:val="DefaultParagraphFont"/>
    <w:uiPriority w:val="99"/>
    <w:semiHidden/>
    <w:unhideWhenUsed/>
    <w:rsid w:val="00F452D5"/>
    <w:rPr>
      <w:sz w:val="16"/>
      <w:szCs w:val="16"/>
    </w:rPr>
  </w:style>
  <w:style w:type="paragraph" w:styleId="CommentText">
    <w:name w:val="annotation text"/>
    <w:basedOn w:val="Normal"/>
    <w:link w:val="CommentTextChar"/>
    <w:uiPriority w:val="99"/>
    <w:semiHidden/>
    <w:unhideWhenUsed/>
    <w:rsid w:val="00F452D5"/>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F452D5"/>
    <w:rPr>
      <w:sz w:val="20"/>
      <w:szCs w:val="20"/>
      <w:lang w:val="en-US"/>
    </w:rPr>
  </w:style>
  <w:style w:type="paragraph" w:styleId="CommentSubject">
    <w:name w:val="annotation subject"/>
    <w:basedOn w:val="CommentText"/>
    <w:next w:val="CommentText"/>
    <w:link w:val="CommentSubjectChar"/>
    <w:uiPriority w:val="99"/>
    <w:semiHidden/>
    <w:unhideWhenUsed/>
    <w:rsid w:val="00F5082A"/>
    <w:pPr>
      <w:spacing w:after="200"/>
    </w:pPr>
    <w:rPr>
      <w:b/>
      <w:bCs/>
      <w:lang w:val="en-CA"/>
    </w:rPr>
  </w:style>
  <w:style w:type="character" w:customStyle="1" w:styleId="CommentSubjectChar">
    <w:name w:val="Comment Subject Char"/>
    <w:basedOn w:val="CommentTextChar"/>
    <w:link w:val="CommentSubject"/>
    <w:uiPriority w:val="99"/>
    <w:semiHidden/>
    <w:rsid w:val="00F5082A"/>
    <w:rPr>
      <w:b/>
      <w:bCs/>
      <w:sz w:val="20"/>
      <w:szCs w:val="20"/>
      <w:lang w:val="en-US"/>
    </w:rPr>
  </w:style>
  <w:style w:type="paragraph" w:styleId="Revision">
    <w:name w:val="Revision"/>
    <w:hidden/>
    <w:uiPriority w:val="99"/>
    <w:semiHidden/>
    <w:rsid w:val="001A01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D15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567"/>
    <w:rPr>
      <w:sz w:val="20"/>
      <w:szCs w:val="20"/>
    </w:rPr>
  </w:style>
  <w:style w:type="character" w:styleId="FootnoteReference">
    <w:name w:val="footnote reference"/>
    <w:basedOn w:val="DefaultParagraphFont"/>
    <w:uiPriority w:val="99"/>
    <w:semiHidden/>
    <w:unhideWhenUsed/>
    <w:rsid w:val="00CD1567"/>
    <w:rPr>
      <w:vertAlign w:val="superscript"/>
    </w:rPr>
  </w:style>
  <w:style w:type="table" w:styleId="TableGrid">
    <w:name w:val="Table Grid"/>
    <w:basedOn w:val="TableNormal"/>
    <w:uiPriority w:val="59"/>
    <w:rsid w:val="00CD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2D5"/>
    <w:pPr>
      <w:spacing w:after="0" w:line="240" w:lineRule="auto"/>
    </w:pPr>
  </w:style>
  <w:style w:type="character" w:styleId="CommentReference">
    <w:name w:val="annotation reference"/>
    <w:basedOn w:val="DefaultParagraphFont"/>
    <w:uiPriority w:val="99"/>
    <w:semiHidden/>
    <w:unhideWhenUsed/>
    <w:rsid w:val="00F452D5"/>
    <w:rPr>
      <w:sz w:val="16"/>
      <w:szCs w:val="16"/>
    </w:rPr>
  </w:style>
  <w:style w:type="paragraph" w:styleId="CommentText">
    <w:name w:val="annotation text"/>
    <w:basedOn w:val="Normal"/>
    <w:link w:val="CommentTextChar"/>
    <w:uiPriority w:val="99"/>
    <w:semiHidden/>
    <w:unhideWhenUsed/>
    <w:rsid w:val="00F452D5"/>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F452D5"/>
    <w:rPr>
      <w:sz w:val="20"/>
      <w:szCs w:val="20"/>
      <w:lang w:val="en-US"/>
    </w:rPr>
  </w:style>
  <w:style w:type="paragraph" w:styleId="CommentSubject">
    <w:name w:val="annotation subject"/>
    <w:basedOn w:val="CommentText"/>
    <w:next w:val="CommentText"/>
    <w:link w:val="CommentSubjectChar"/>
    <w:uiPriority w:val="99"/>
    <w:semiHidden/>
    <w:unhideWhenUsed/>
    <w:rsid w:val="00F5082A"/>
    <w:pPr>
      <w:spacing w:after="200"/>
    </w:pPr>
    <w:rPr>
      <w:b/>
      <w:bCs/>
      <w:lang w:val="en-CA"/>
    </w:rPr>
  </w:style>
  <w:style w:type="character" w:customStyle="1" w:styleId="CommentSubjectChar">
    <w:name w:val="Comment Subject Char"/>
    <w:basedOn w:val="CommentTextChar"/>
    <w:link w:val="CommentSubject"/>
    <w:uiPriority w:val="99"/>
    <w:semiHidden/>
    <w:rsid w:val="00F5082A"/>
    <w:rPr>
      <w:b/>
      <w:bCs/>
      <w:sz w:val="20"/>
      <w:szCs w:val="20"/>
      <w:lang w:val="en-US"/>
    </w:rPr>
  </w:style>
  <w:style w:type="paragraph" w:styleId="Revision">
    <w:name w:val="Revision"/>
    <w:hidden/>
    <w:uiPriority w:val="99"/>
    <w:semiHidden/>
    <w:rsid w:val="001A0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9486">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86E6A-5F7D-4C31-A722-E16E5260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23</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28455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June Broadfoot</cp:lastModifiedBy>
  <cp:revision>39</cp:revision>
  <cp:lastPrinted>2018-02-08T13:14:00Z</cp:lastPrinted>
  <dcterms:created xsi:type="dcterms:W3CDTF">2018-02-02T18:33:00Z</dcterms:created>
  <dcterms:modified xsi:type="dcterms:W3CDTF">2018-02-08T15:15:00Z</dcterms:modified>
</cp:coreProperties>
</file>