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953874" w14:textId="77777777" w:rsidR="00746080" w:rsidRPr="00394351" w:rsidRDefault="00515DDA" w:rsidP="00D0773D">
      <w:pPr>
        <w:jc w:val="center"/>
        <w:rPr>
          <w:rFonts w:ascii="Arial" w:hAnsi="Arial" w:cs="Arial"/>
          <w:b/>
          <w:sz w:val="28"/>
          <w:szCs w:val="28"/>
        </w:rPr>
      </w:pPr>
      <w:r>
        <w:rPr>
          <w:rFonts w:ascii="Arial" w:hAnsi="Arial" w:cs="Arial"/>
          <w:b/>
          <w:sz w:val="28"/>
          <w:szCs w:val="28"/>
        </w:rPr>
        <w:t>Orillia Power Distribution Corporation</w:t>
      </w:r>
    </w:p>
    <w:p w14:paraId="61A54191" w14:textId="716C3013" w:rsidR="00304228" w:rsidRPr="00DD1405" w:rsidRDefault="00304228" w:rsidP="00CC447E">
      <w:pPr>
        <w:jc w:val="center"/>
        <w:rPr>
          <w:rFonts w:ascii="Arial" w:hAnsi="Arial" w:cs="Arial"/>
          <w:b/>
          <w:sz w:val="28"/>
          <w:szCs w:val="28"/>
        </w:rPr>
      </w:pPr>
      <w:r w:rsidRPr="00DD1405">
        <w:rPr>
          <w:rFonts w:ascii="Arial" w:hAnsi="Arial" w:cs="Arial"/>
          <w:b/>
          <w:sz w:val="28"/>
          <w:szCs w:val="28"/>
        </w:rPr>
        <w:t xml:space="preserve">Staff </w:t>
      </w:r>
      <w:r w:rsidR="00CA15A3">
        <w:rPr>
          <w:rFonts w:ascii="Arial" w:hAnsi="Arial" w:cs="Arial"/>
          <w:b/>
          <w:sz w:val="28"/>
          <w:szCs w:val="28"/>
        </w:rPr>
        <w:t xml:space="preserve">Follow-up </w:t>
      </w:r>
      <w:r w:rsidRPr="00DD1405">
        <w:rPr>
          <w:rFonts w:ascii="Arial" w:hAnsi="Arial" w:cs="Arial"/>
          <w:b/>
          <w:sz w:val="28"/>
          <w:szCs w:val="28"/>
        </w:rPr>
        <w:t>Questions</w:t>
      </w:r>
    </w:p>
    <w:p w14:paraId="1BD13CE8" w14:textId="7F4C2B97" w:rsidR="00E6651E" w:rsidRPr="00DD1405" w:rsidRDefault="00CA15A3" w:rsidP="00DD1405">
      <w:pPr>
        <w:jc w:val="center"/>
        <w:rPr>
          <w:rFonts w:ascii="Arial" w:hAnsi="Arial" w:cs="Arial"/>
          <w:b/>
          <w:sz w:val="24"/>
          <w:szCs w:val="28"/>
        </w:rPr>
      </w:pPr>
      <w:r>
        <w:rPr>
          <w:rFonts w:ascii="Arial" w:hAnsi="Arial" w:cs="Arial"/>
          <w:b/>
          <w:sz w:val="24"/>
          <w:szCs w:val="28"/>
        </w:rPr>
        <w:t>February 20</w:t>
      </w:r>
      <w:r w:rsidR="0029152A" w:rsidRPr="00DD1405">
        <w:rPr>
          <w:rFonts w:ascii="Arial" w:hAnsi="Arial" w:cs="Arial"/>
          <w:b/>
          <w:sz w:val="24"/>
          <w:szCs w:val="28"/>
        </w:rPr>
        <w:t>, 2018</w:t>
      </w:r>
    </w:p>
    <w:p w14:paraId="451A52F8" w14:textId="77777777" w:rsidR="00464D00" w:rsidRDefault="00304228" w:rsidP="0032442F">
      <w:pPr>
        <w:rPr>
          <w:rFonts w:ascii="Arial" w:hAnsi="Arial" w:cs="Arial"/>
          <w:b/>
          <w:sz w:val="24"/>
          <w:szCs w:val="24"/>
        </w:rPr>
      </w:pPr>
      <w:r>
        <w:rPr>
          <w:rFonts w:ascii="Arial" w:hAnsi="Arial" w:cs="Arial"/>
          <w:b/>
          <w:sz w:val="24"/>
          <w:szCs w:val="24"/>
        </w:rPr>
        <w:t>Question</w:t>
      </w:r>
      <w:r w:rsidR="00464D00">
        <w:rPr>
          <w:rFonts w:ascii="Arial" w:hAnsi="Arial" w:cs="Arial"/>
          <w:b/>
          <w:sz w:val="24"/>
          <w:szCs w:val="24"/>
        </w:rPr>
        <w:t xml:space="preserve"> #1 </w:t>
      </w:r>
    </w:p>
    <w:p w14:paraId="2EA275B9" w14:textId="7D53AA74" w:rsidR="00CA15A3" w:rsidRPr="00CA15A3" w:rsidRDefault="006125B7" w:rsidP="00CA15A3">
      <w:pPr>
        <w:rPr>
          <w:rFonts w:ascii="Arial" w:hAnsi="Arial" w:cs="Arial"/>
          <w:b/>
          <w:sz w:val="24"/>
          <w:szCs w:val="24"/>
        </w:rPr>
      </w:pPr>
      <w:r>
        <w:rPr>
          <w:rFonts w:ascii="Arial" w:hAnsi="Arial" w:cs="Arial"/>
          <w:b/>
          <w:sz w:val="24"/>
          <w:szCs w:val="24"/>
        </w:rPr>
        <w:t>Ref:</w:t>
      </w:r>
      <w:r w:rsidR="00CA15A3">
        <w:rPr>
          <w:rFonts w:ascii="Arial" w:hAnsi="Arial" w:cs="Arial"/>
          <w:b/>
          <w:sz w:val="24"/>
          <w:szCs w:val="24"/>
        </w:rPr>
        <w:t xml:space="preserve"> Manager’s Summary, Section 2 - </w:t>
      </w:r>
      <w:r w:rsidR="00CA15A3">
        <w:rPr>
          <w:rFonts w:ascii="Arial" w:hAnsi="Arial" w:cs="Arial"/>
          <w:b/>
          <w:bCs/>
          <w:sz w:val="24"/>
          <w:szCs w:val="24"/>
          <w:lang w:val="en-US"/>
        </w:rPr>
        <w:t>Annual Adjustment Mechanism</w:t>
      </w:r>
    </w:p>
    <w:p w14:paraId="293B58E6" w14:textId="1F7A921D" w:rsidR="00A006FA" w:rsidRDefault="00CA15A3" w:rsidP="00CA15A3">
      <w:pPr>
        <w:rPr>
          <w:rFonts w:ascii="Arial" w:hAnsi="Arial" w:cs="Arial"/>
          <w:sz w:val="24"/>
          <w:szCs w:val="24"/>
        </w:rPr>
      </w:pPr>
      <w:r>
        <w:rPr>
          <w:rFonts w:ascii="Arial" w:hAnsi="Arial" w:cs="Arial"/>
          <w:sz w:val="24"/>
          <w:szCs w:val="24"/>
        </w:rPr>
        <w:t xml:space="preserve">On page 6 of Orillia Power’s 2018 IRM application, </w:t>
      </w:r>
      <w:r w:rsidR="00A006FA">
        <w:rPr>
          <w:rFonts w:ascii="Arial" w:hAnsi="Arial" w:cs="Arial"/>
          <w:sz w:val="24"/>
          <w:szCs w:val="24"/>
        </w:rPr>
        <w:t>Orillia Power states:</w:t>
      </w:r>
    </w:p>
    <w:p w14:paraId="3951B5AA" w14:textId="7CFE87C2" w:rsidR="00CA15A3" w:rsidRDefault="00A006FA" w:rsidP="00A006FA">
      <w:pPr>
        <w:ind w:left="720"/>
        <w:rPr>
          <w:rFonts w:ascii="Arial" w:hAnsi="Arial" w:cs="Arial"/>
          <w:sz w:val="24"/>
          <w:szCs w:val="24"/>
        </w:rPr>
      </w:pPr>
      <w:r>
        <w:rPr>
          <w:rFonts w:ascii="Arial" w:hAnsi="Arial" w:cs="Arial"/>
          <w:sz w:val="24"/>
          <w:szCs w:val="24"/>
        </w:rPr>
        <w:t>Pending the outcome of the MAAD application, Orillia Power intends to forego the IRM price cap (inflation rate less productivity factor) adjustment in the 2018 rate year.</w:t>
      </w:r>
    </w:p>
    <w:p w14:paraId="5A1C33AE" w14:textId="77777777" w:rsidR="0027165A" w:rsidRDefault="00A006FA" w:rsidP="00A006FA">
      <w:pPr>
        <w:rPr>
          <w:rFonts w:ascii="Arial" w:hAnsi="Arial" w:cs="Arial"/>
          <w:sz w:val="24"/>
          <w:szCs w:val="24"/>
        </w:rPr>
      </w:pPr>
      <w:r>
        <w:rPr>
          <w:rFonts w:ascii="Arial" w:hAnsi="Arial" w:cs="Arial"/>
          <w:sz w:val="24"/>
          <w:szCs w:val="24"/>
        </w:rPr>
        <w:t>OEB staff finds the ab</w:t>
      </w:r>
      <w:r w:rsidR="007B183E">
        <w:rPr>
          <w:rFonts w:ascii="Arial" w:hAnsi="Arial" w:cs="Arial"/>
          <w:sz w:val="24"/>
          <w:szCs w:val="24"/>
        </w:rPr>
        <w:t>ove statement may be ambiguous s</w:t>
      </w:r>
      <w:r>
        <w:rPr>
          <w:rFonts w:ascii="Arial" w:hAnsi="Arial" w:cs="Arial"/>
          <w:sz w:val="24"/>
          <w:szCs w:val="24"/>
        </w:rPr>
        <w:t xml:space="preserve">ince the </w:t>
      </w:r>
      <w:r w:rsidR="007B183E">
        <w:rPr>
          <w:rFonts w:ascii="Arial" w:hAnsi="Arial" w:cs="Arial"/>
          <w:sz w:val="24"/>
          <w:szCs w:val="24"/>
        </w:rPr>
        <w:t xml:space="preserve">decision on the </w:t>
      </w:r>
      <w:r>
        <w:rPr>
          <w:rFonts w:ascii="Arial" w:hAnsi="Arial" w:cs="Arial"/>
          <w:sz w:val="24"/>
          <w:szCs w:val="24"/>
        </w:rPr>
        <w:t xml:space="preserve">MAADs application has not been </w:t>
      </w:r>
      <w:r w:rsidR="007B183E">
        <w:rPr>
          <w:rFonts w:ascii="Arial" w:hAnsi="Arial" w:cs="Arial"/>
          <w:sz w:val="24"/>
          <w:szCs w:val="24"/>
        </w:rPr>
        <w:t>made</w:t>
      </w:r>
      <w:r w:rsidR="0027165A">
        <w:rPr>
          <w:rFonts w:ascii="Arial" w:hAnsi="Arial" w:cs="Arial"/>
          <w:sz w:val="24"/>
          <w:szCs w:val="24"/>
        </w:rPr>
        <w:t xml:space="preserve"> as of now</w:t>
      </w:r>
      <w:r w:rsidR="007B183E">
        <w:rPr>
          <w:rFonts w:ascii="Arial" w:hAnsi="Arial" w:cs="Arial"/>
          <w:sz w:val="24"/>
          <w:szCs w:val="24"/>
        </w:rPr>
        <w:t xml:space="preserve"> while OEB staff is reviewing and processing Orillia Power’s 2018 rate application.</w:t>
      </w:r>
      <w:r w:rsidR="0027165A">
        <w:rPr>
          <w:rFonts w:ascii="Arial" w:hAnsi="Arial" w:cs="Arial"/>
          <w:sz w:val="24"/>
          <w:szCs w:val="24"/>
        </w:rPr>
        <w:t xml:space="preserve"> </w:t>
      </w:r>
    </w:p>
    <w:p w14:paraId="7432E193" w14:textId="77777777" w:rsidR="0027165A" w:rsidRDefault="0027165A" w:rsidP="0027165A">
      <w:pPr>
        <w:pStyle w:val="ListParagraph"/>
        <w:numPr>
          <w:ilvl w:val="0"/>
          <w:numId w:val="39"/>
        </w:numPr>
        <w:rPr>
          <w:rFonts w:ascii="Arial" w:hAnsi="Arial" w:cs="Arial"/>
          <w:sz w:val="24"/>
          <w:szCs w:val="24"/>
        </w:rPr>
      </w:pPr>
      <w:r w:rsidRPr="0027165A">
        <w:rPr>
          <w:rFonts w:ascii="Arial" w:hAnsi="Arial" w:cs="Arial"/>
          <w:sz w:val="24"/>
          <w:szCs w:val="24"/>
        </w:rPr>
        <w:t>Please confirm if the following statement is true and more accurate. If not, please provide clear and accurate statement on this matter.</w:t>
      </w:r>
    </w:p>
    <w:p w14:paraId="383ED823" w14:textId="77777777" w:rsidR="0027165A" w:rsidRDefault="0027165A" w:rsidP="0027165A">
      <w:pPr>
        <w:pStyle w:val="ListParagraph"/>
        <w:rPr>
          <w:rFonts w:ascii="Arial" w:hAnsi="Arial" w:cs="Arial"/>
          <w:sz w:val="24"/>
          <w:szCs w:val="24"/>
        </w:rPr>
      </w:pPr>
    </w:p>
    <w:p w14:paraId="2EBEFBD4" w14:textId="548AC668" w:rsidR="00A006FA" w:rsidRPr="0027165A" w:rsidRDefault="0027165A" w:rsidP="0027165A">
      <w:pPr>
        <w:pStyle w:val="ListParagraph"/>
        <w:rPr>
          <w:rFonts w:ascii="Arial" w:hAnsi="Arial" w:cs="Arial"/>
          <w:sz w:val="24"/>
          <w:szCs w:val="24"/>
        </w:rPr>
      </w:pPr>
      <w:r w:rsidRPr="0027165A">
        <w:rPr>
          <w:rFonts w:ascii="Arial" w:hAnsi="Arial" w:cs="Arial"/>
          <w:sz w:val="24"/>
        </w:rPr>
        <w:t>“</w:t>
      </w:r>
      <w:r w:rsidR="00A006FA" w:rsidRPr="0027165A">
        <w:rPr>
          <w:rFonts w:ascii="Arial" w:hAnsi="Arial" w:cs="Arial"/>
          <w:sz w:val="24"/>
        </w:rPr>
        <w:t>Orillia Power believes the MAADs application will more than likely be appro</w:t>
      </w:r>
      <w:r w:rsidRPr="0027165A">
        <w:rPr>
          <w:rFonts w:ascii="Arial" w:hAnsi="Arial" w:cs="Arial"/>
          <w:sz w:val="24"/>
        </w:rPr>
        <w:t>ve</w:t>
      </w:r>
      <w:r w:rsidR="000E012A">
        <w:rPr>
          <w:rFonts w:ascii="Arial" w:hAnsi="Arial" w:cs="Arial"/>
          <w:sz w:val="24"/>
        </w:rPr>
        <w:t>d</w:t>
      </w:r>
      <w:r w:rsidRPr="0027165A">
        <w:rPr>
          <w:rFonts w:ascii="Arial" w:hAnsi="Arial" w:cs="Arial"/>
          <w:sz w:val="24"/>
        </w:rPr>
        <w:t>. In this event, Orillia Power</w:t>
      </w:r>
      <w:r w:rsidR="00A006FA" w:rsidRPr="0027165A">
        <w:rPr>
          <w:rFonts w:ascii="Arial" w:hAnsi="Arial" w:cs="Arial"/>
          <w:sz w:val="24"/>
        </w:rPr>
        <w:t xml:space="preserve"> wil</w:t>
      </w:r>
      <w:r w:rsidRPr="0027165A">
        <w:rPr>
          <w:rFonts w:ascii="Arial" w:hAnsi="Arial" w:cs="Arial"/>
          <w:sz w:val="24"/>
        </w:rPr>
        <w:t>l</w:t>
      </w:r>
      <w:r w:rsidR="00A006FA" w:rsidRPr="0027165A">
        <w:rPr>
          <w:rFonts w:ascii="Arial" w:hAnsi="Arial" w:cs="Arial"/>
          <w:sz w:val="24"/>
        </w:rPr>
        <w:t xml:space="preserve"> forego the price cap (inflation rate less productivity factor) adjustment in t</w:t>
      </w:r>
      <w:r w:rsidRPr="0027165A">
        <w:rPr>
          <w:rFonts w:ascii="Arial" w:hAnsi="Arial" w:cs="Arial"/>
          <w:sz w:val="24"/>
        </w:rPr>
        <w:t>he 2018 rate year.”</w:t>
      </w:r>
    </w:p>
    <w:p w14:paraId="29ABEBBD" w14:textId="33C9AFE8" w:rsidR="00CA15A3" w:rsidRDefault="00CA15A3" w:rsidP="0001354E">
      <w:pPr>
        <w:rPr>
          <w:rFonts w:ascii="Arial" w:hAnsi="Arial" w:cs="Arial"/>
          <w:b/>
          <w:sz w:val="24"/>
          <w:szCs w:val="24"/>
        </w:rPr>
      </w:pPr>
    </w:p>
    <w:p w14:paraId="5962359D" w14:textId="0D297653" w:rsidR="00B314F3" w:rsidRDefault="00304228" w:rsidP="0001354E">
      <w:pPr>
        <w:rPr>
          <w:rFonts w:ascii="Arial" w:hAnsi="Arial" w:cs="Arial"/>
          <w:b/>
          <w:sz w:val="24"/>
          <w:szCs w:val="24"/>
        </w:rPr>
      </w:pPr>
      <w:r>
        <w:rPr>
          <w:rFonts w:ascii="Arial" w:hAnsi="Arial" w:cs="Arial"/>
          <w:b/>
          <w:sz w:val="24"/>
          <w:szCs w:val="24"/>
        </w:rPr>
        <w:t>Question</w:t>
      </w:r>
      <w:r w:rsidR="008539D9">
        <w:rPr>
          <w:rFonts w:ascii="Arial" w:hAnsi="Arial" w:cs="Arial"/>
          <w:b/>
          <w:sz w:val="24"/>
          <w:szCs w:val="24"/>
        </w:rPr>
        <w:t xml:space="preserve"> #</w:t>
      </w:r>
      <w:r w:rsidR="003F7D01">
        <w:rPr>
          <w:rFonts w:ascii="Arial" w:hAnsi="Arial" w:cs="Arial"/>
          <w:b/>
          <w:sz w:val="24"/>
          <w:szCs w:val="24"/>
        </w:rPr>
        <w:t>2</w:t>
      </w:r>
    </w:p>
    <w:p w14:paraId="0AAD0022" w14:textId="59E8FC90" w:rsidR="00281C2C" w:rsidRDefault="00281C2C" w:rsidP="0001354E">
      <w:pPr>
        <w:rPr>
          <w:rFonts w:ascii="Arial" w:hAnsi="Arial" w:cs="Arial"/>
          <w:b/>
          <w:sz w:val="24"/>
          <w:szCs w:val="24"/>
        </w:rPr>
      </w:pPr>
      <w:r>
        <w:rPr>
          <w:rFonts w:ascii="Arial" w:hAnsi="Arial" w:cs="Arial"/>
          <w:b/>
          <w:sz w:val="24"/>
          <w:szCs w:val="24"/>
        </w:rPr>
        <w:t>Ref: Account 1595 (2014) – Principal and Interest Balances; Accounting Procedures Handbook Frequently Asked Questions (FAQs)</w:t>
      </w:r>
      <w:r>
        <w:rPr>
          <w:rStyle w:val="FootnoteReference"/>
          <w:rFonts w:ascii="Arial" w:hAnsi="Arial" w:cs="Arial"/>
          <w:b/>
          <w:sz w:val="24"/>
          <w:szCs w:val="24"/>
        </w:rPr>
        <w:footnoteReference w:id="1"/>
      </w:r>
    </w:p>
    <w:p w14:paraId="5A2DFE0C" w14:textId="4FA3FA57" w:rsidR="00281C2C" w:rsidRDefault="00281C2C" w:rsidP="0001354E">
      <w:pPr>
        <w:rPr>
          <w:rFonts w:ascii="Arial" w:hAnsi="Arial" w:cs="Arial"/>
          <w:sz w:val="24"/>
          <w:szCs w:val="24"/>
        </w:rPr>
      </w:pPr>
      <w:r>
        <w:rPr>
          <w:rFonts w:ascii="Arial" w:hAnsi="Arial" w:cs="Arial"/>
          <w:sz w:val="24"/>
          <w:szCs w:val="24"/>
        </w:rPr>
        <w:t>In further review of the continuity schedule in Orillia Power’s 2018 IRM rate generator model, OEB staff notes</w:t>
      </w:r>
      <w:r w:rsidR="009A47FB">
        <w:rPr>
          <w:rFonts w:ascii="Arial" w:hAnsi="Arial" w:cs="Arial"/>
          <w:sz w:val="24"/>
          <w:szCs w:val="24"/>
        </w:rPr>
        <w:t xml:space="preserve"> that</w:t>
      </w:r>
      <w:r>
        <w:rPr>
          <w:rFonts w:ascii="Arial" w:hAnsi="Arial" w:cs="Arial"/>
          <w:sz w:val="24"/>
          <w:szCs w:val="24"/>
        </w:rPr>
        <w:t xml:space="preserve"> there are significant offsetting </w:t>
      </w:r>
      <w:r w:rsidR="009A47FB">
        <w:rPr>
          <w:rFonts w:ascii="Arial" w:hAnsi="Arial" w:cs="Arial"/>
          <w:sz w:val="24"/>
          <w:szCs w:val="24"/>
        </w:rPr>
        <w:t xml:space="preserve">principal and interest </w:t>
      </w:r>
      <w:r>
        <w:rPr>
          <w:rFonts w:ascii="Arial" w:hAnsi="Arial" w:cs="Arial"/>
          <w:sz w:val="24"/>
          <w:szCs w:val="24"/>
        </w:rPr>
        <w:t>balances</w:t>
      </w:r>
      <w:r w:rsidR="009A47FB">
        <w:rPr>
          <w:rFonts w:ascii="Arial" w:hAnsi="Arial" w:cs="Arial"/>
          <w:sz w:val="24"/>
          <w:szCs w:val="24"/>
        </w:rPr>
        <w:t xml:space="preserve"> in Account 1595 (2014) as at year-end 2016 (a large credit of $313,846 in principal and a large debit of $314,912 in interest). Although Orillia Power is not requesting for disposition of Account 1595 (2014) in its application, such offsetting account balances could be indicative of potentially incorrect carrying charge calculations.</w:t>
      </w:r>
    </w:p>
    <w:p w14:paraId="60C7B9CA" w14:textId="371345A6" w:rsidR="009A47FB" w:rsidRDefault="009A47FB" w:rsidP="00416E97">
      <w:pPr>
        <w:pStyle w:val="ListParagraph"/>
        <w:numPr>
          <w:ilvl w:val="0"/>
          <w:numId w:val="40"/>
        </w:numPr>
        <w:contextualSpacing w:val="0"/>
        <w:rPr>
          <w:rFonts w:ascii="Arial" w:hAnsi="Arial" w:cs="Arial"/>
          <w:sz w:val="24"/>
          <w:szCs w:val="24"/>
        </w:rPr>
      </w:pPr>
      <w:r>
        <w:rPr>
          <w:rFonts w:ascii="Arial" w:hAnsi="Arial" w:cs="Arial"/>
          <w:sz w:val="24"/>
          <w:szCs w:val="24"/>
        </w:rPr>
        <w:lastRenderedPageBreak/>
        <w:t>Please review the attached OEB Accounting Procedures Handbook FAQs issued in October 2009 (specifically answers to questions 4, 5 and 6), and confirm whether or not Orillia Power follows</w:t>
      </w:r>
      <w:r w:rsidR="00F4621F">
        <w:rPr>
          <w:rFonts w:ascii="Arial" w:hAnsi="Arial" w:cs="Arial"/>
          <w:sz w:val="24"/>
          <w:szCs w:val="24"/>
        </w:rPr>
        <w:t xml:space="preserve"> the accounting guidance</w:t>
      </w:r>
      <w:r w:rsidR="00846CA4">
        <w:rPr>
          <w:rFonts w:ascii="Arial" w:hAnsi="Arial" w:cs="Arial"/>
          <w:sz w:val="24"/>
          <w:szCs w:val="24"/>
        </w:rPr>
        <w:t xml:space="preserve"> stated in the FAQs in terms of the application of the rate rider recoveries to the balances in principal and interest sub-accounts.</w:t>
      </w:r>
    </w:p>
    <w:p w14:paraId="583C6757" w14:textId="668ECEA5" w:rsidR="00846CA4" w:rsidRDefault="00846CA4" w:rsidP="00416E97">
      <w:pPr>
        <w:pStyle w:val="ListParagraph"/>
        <w:numPr>
          <w:ilvl w:val="0"/>
          <w:numId w:val="40"/>
        </w:numPr>
        <w:contextualSpacing w:val="0"/>
        <w:rPr>
          <w:rFonts w:ascii="Arial" w:hAnsi="Arial" w:cs="Arial"/>
          <w:sz w:val="24"/>
          <w:szCs w:val="24"/>
        </w:rPr>
      </w:pPr>
      <w:r>
        <w:rPr>
          <w:rFonts w:ascii="Arial" w:hAnsi="Arial" w:cs="Arial"/>
          <w:sz w:val="24"/>
          <w:szCs w:val="24"/>
        </w:rPr>
        <w:t xml:space="preserve">In the attached Principal and Interest Recovery </w:t>
      </w:r>
      <w:proofErr w:type="spellStart"/>
      <w:r>
        <w:rPr>
          <w:rFonts w:ascii="Arial" w:hAnsi="Arial" w:cs="Arial"/>
          <w:sz w:val="24"/>
          <w:szCs w:val="24"/>
        </w:rPr>
        <w:t>workform</w:t>
      </w:r>
      <w:proofErr w:type="spellEnd"/>
      <w:r>
        <w:rPr>
          <w:rFonts w:ascii="Arial" w:hAnsi="Arial" w:cs="Arial"/>
          <w:sz w:val="24"/>
          <w:szCs w:val="24"/>
        </w:rPr>
        <w:t>, please complete the recovery schedule by entering the dollar amounts recovered/refunded through the rate rider</w:t>
      </w:r>
      <w:r w:rsidR="00F4621F">
        <w:rPr>
          <w:rFonts w:ascii="Arial" w:hAnsi="Arial" w:cs="Arial"/>
          <w:sz w:val="24"/>
          <w:szCs w:val="24"/>
        </w:rPr>
        <w:t>s</w:t>
      </w:r>
      <w:r>
        <w:rPr>
          <w:rFonts w:ascii="Arial" w:hAnsi="Arial" w:cs="Arial"/>
          <w:sz w:val="24"/>
          <w:szCs w:val="24"/>
        </w:rPr>
        <w:t xml:space="preserve"> in t</w:t>
      </w:r>
      <w:r w:rsidR="00F4621F">
        <w:rPr>
          <w:rFonts w:ascii="Arial" w:hAnsi="Arial" w:cs="Arial"/>
          <w:sz w:val="24"/>
          <w:szCs w:val="24"/>
        </w:rPr>
        <w:t>he Transactions column (green cells in column E).</w:t>
      </w:r>
    </w:p>
    <w:p w14:paraId="3F75813A" w14:textId="306F00E3" w:rsidR="00145A2B" w:rsidRPr="00F369F6" w:rsidRDefault="00F4621F" w:rsidP="00096B68">
      <w:pPr>
        <w:pStyle w:val="ListParagraph"/>
        <w:numPr>
          <w:ilvl w:val="0"/>
          <w:numId w:val="40"/>
        </w:numPr>
        <w:rPr>
          <w:rFonts w:ascii="Arial" w:hAnsi="Arial" w:cs="Arial"/>
          <w:sz w:val="24"/>
          <w:szCs w:val="24"/>
        </w:rPr>
      </w:pPr>
      <w:r w:rsidRPr="00F369F6">
        <w:rPr>
          <w:rFonts w:ascii="Arial" w:hAnsi="Arial" w:cs="Arial"/>
          <w:sz w:val="24"/>
          <w:szCs w:val="24"/>
        </w:rPr>
        <w:t xml:space="preserve">Based on Orillia Power’s accounting record, what is the total cumulated interest on the net principal balance? What is the difference between this value and the total interest on principal calculated in cell G47 of the </w:t>
      </w:r>
      <w:proofErr w:type="spellStart"/>
      <w:r w:rsidRPr="00F369F6">
        <w:rPr>
          <w:rFonts w:ascii="Arial" w:hAnsi="Arial" w:cs="Arial"/>
          <w:sz w:val="24"/>
          <w:szCs w:val="24"/>
        </w:rPr>
        <w:t>workform</w:t>
      </w:r>
      <w:proofErr w:type="spellEnd"/>
      <w:r w:rsidRPr="00F369F6">
        <w:rPr>
          <w:rFonts w:ascii="Arial" w:hAnsi="Arial" w:cs="Arial"/>
          <w:sz w:val="24"/>
          <w:szCs w:val="24"/>
        </w:rPr>
        <w:t xml:space="preserve">? </w:t>
      </w:r>
      <w:r w:rsidR="00C61953" w:rsidRPr="00F369F6">
        <w:rPr>
          <w:rFonts w:ascii="Arial" w:hAnsi="Arial" w:cs="Arial"/>
          <w:sz w:val="24"/>
          <w:szCs w:val="24"/>
        </w:rPr>
        <w:t>If the difference between t</w:t>
      </w:r>
      <w:r w:rsidR="00F369F6" w:rsidRPr="00F369F6">
        <w:rPr>
          <w:rFonts w:ascii="Arial" w:hAnsi="Arial" w:cs="Arial"/>
          <w:sz w:val="24"/>
          <w:szCs w:val="24"/>
        </w:rPr>
        <w:t>he two numbers is substantial</w:t>
      </w:r>
      <w:r w:rsidR="00C61953" w:rsidRPr="00F369F6">
        <w:rPr>
          <w:rFonts w:ascii="Arial" w:hAnsi="Arial" w:cs="Arial"/>
          <w:sz w:val="24"/>
          <w:szCs w:val="24"/>
        </w:rPr>
        <w:t xml:space="preserve">, </w:t>
      </w:r>
      <w:r w:rsidR="00F369F6" w:rsidRPr="00F369F6">
        <w:rPr>
          <w:rFonts w:ascii="Arial" w:hAnsi="Arial" w:cs="Arial"/>
          <w:sz w:val="24"/>
          <w:szCs w:val="24"/>
        </w:rPr>
        <w:t xml:space="preserve">Orillia Power may consider update the account balances in 1595 (2014) in DVA continuity schedule. Otherwise, the OEB decision maker will assess based on the information on our record. </w:t>
      </w:r>
      <w:bookmarkStart w:id="0" w:name="_GoBack"/>
      <w:bookmarkEnd w:id="0"/>
    </w:p>
    <w:sectPr w:rsidR="00145A2B" w:rsidRPr="00F369F6" w:rsidSect="00EA0919">
      <w:headerReference w:type="default" r:id="rId8"/>
      <w:footerReference w:type="default" r:id="rId9"/>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CFAB3" w14:textId="77777777" w:rsidR="00FE4EF0" w:rsidRDefault="00FE4EF0" w:rsidP="00851418">
      <w:pPr>
        <w:spacing w:after="0" w:line="240" w:lineRule="auto"/>
      </w:pPr>
      <w:r>
        <w:separator/>
      </w:r>
    </w:p>
  </w:endnote>
  <w:endnote w:type="continuationSeparator" w:id="0">
    <w:p w14:paraId="2EA2F630" w14:textId="77777777" w:rsidR="00FE4EF0" w:rsidRDefault="00FE4EF0" w:rsidP="00851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1603130"/>
      <w:docPartObj>
        <w:docPartGallery w:val="Page Numbers (Bottom of Page)"/>
        <w:docPartUnique/>
      </w:docPartObj>
    </w:sdtPr>
    <w:sdtEndPr>
      <w:rPr>
        <w:noProof/>
      </w:rPr>
    </w:sdtEndPr>
    <w:sdtContent>
      <w:p w14:paraId="513084CF" w14:textId="6A395A3F" w:rsidR="0029152A" w:rsidRDefault="0029152A">
        <w:pPr>
          <w:pStyle w:val="Footer"/>
          <w:jc w:val="center"/>
        </w:pPr>
        <w:r>
          <w:fldChar w:fldCharType="begin"/>
        </w:r>
        <w:r>
          <w:instrText xml:space="preserve"> PAGE   \* MERGEFORMAT </w:instrText>
        </w:r>
        <w:r>
          <w:fldChar w:fldCharType="separate"/>
        </w:r>
        <w:r w:rsidR="00F369F6">
          <w:rPr>
            <w:noProof/>
          </w:rPr>
          <w:t>2</w:t>
        </w:r>
        <w:r>
          <w:rPr>
            <w:noProof/>
          </w:rPr>
          <w:fldChar w:fldCharType="end"/>
        </w:r>
      </w:p>
    </w:sdtContent>
  </w:sdt>
  <w:p w14:paraId="4D63D6C9" w14:textId="77777777" w:rsidR="0029152A" w:rsidRDefault="00291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D5320" w14:textId="77777777" w:rsidR="00FE4EF0" w:rsidRDefault="00FE4EF0" w:rsidP="00851418">
      <w:pPr>
        <w:spacing w:after="0" w:line="240" w:lineRule="auto"/>
      </w:pPr>
      <w:r>
        <w:separator/>
      </w:r>
    </w:p>
  </w:footnote>
  <w:footnote w:type="continuationSeparator" w:id="0">
    <w:p w14:paraId="0CD88EF3" w14:textId="77777777" w:rsidR="00FE4EF0" w:rsidRDefault="00FE4EF0" w:rsidP="00851418">
      <w:pPr>
        <w:spacing w:after="0" w:line="240" w:lineRule="auto"/>
      </w:pPr>
      <w:r>
        <w:continuationSeparator/>
      </w:r>
    </w:p>
  </w:footnote>
  <w:footnote w:id="1">
    <w:p w14:paraId="230D35C1" w14:textId="5DAEE87D" w:rsidR="00281C2C" w:rsidRPr="00281C2C" w:rsidRDefault="00281C2C">
      <w:pPr>
        <w:pStyle w:val="FootnoteText"/>
        <w:rPr>
          <w:lang w:val="en-US"/>
        </w:rPr>
      </w:pPr>
      <w:r>
        <w:rPr>
          <w:rStyle w:val="FootnoteReference"/>
        </w:rPr>
        <w:footnoteRef/>
      </w:r>
      <w:r>
        <w:t xml:space="preserve"> </w:t>
      </w:r>
      <w:r>
        <w:rPr>
          <w:lang w:val="en-US"/>
        </w:rPr>
        <w:t>Issued October 2009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03D1F" w14:textId="77777777" w:rsidR="00851418" w:rsidRDefault="00D5062F">
    <w:pPr>
      <w:pStyle w:val="Header"/>
    </w:pPr>
    <w:r>
      <w:ptab w:relativeTo="margin" w:alignment="center" w:leader="none"/>
    </w:r>
    <w:r>
      <w:ptab w:relativeTo="margin" w:alignment="right" w:leader="none"/>
    </w:r>
    <w:r w:rsidR="00515DDA">
      <w:t>Orillia Power Distribution</w:t>
    </w:r>
    <w:r w:rsidR="0029152A">
      <w:t xml:space="preserve"> </w:t>
    </w:r>
    <w:r w:rsidR="00515DDA">
      <w:t>Corporation</w:t>
    </w:r>
  </w:p>
  <w:p w14:paraId="3B85C5EC" w14:textId="77777777" w:rsidR="00E8235A" w:rsidRDefault="00515DDA">
    <w:pPr>
      <w:pStyle w:val="Header"/>
    </w:pPr>
    <w:r>
      <w:tab/>
    </w:r>
    <w:r>
      <w:tab/>
      <w:t>EB-2017-0264</w:t>
    </w:r>
  </w:p>
  <w:p w14:paraId="1606CBA6" w14:textId="77777777" w:rsidR="00D5062F" w:rsidRDefault="0029152A" w:rsidP="0029152A">
    <w:pPr>
      <w:pStyle w:val="Header"/>
    </w:pPr>
    <w:r>
      <w:tab/>
    </w:r>
    <w:r w:rsidR="00D5062F">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1A69"/>
    <w:multiLevelType w:val="hybridMultilevel"/>
    <w:tmpl w:val="EAA452D2"/>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1" w15:restartNumberingAfterBreak="0">
    <w:nsid w:val="02C6070D"/>
    <w:multiLevelType w:val="hybridMultilevel"/>
    <w:tmpl w:val="258CAD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77BE0"/>
    <w:multiLevelType w:val="hybridMultilevel"/>
    <w:tmpl w:val="3934EDB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D772E24"/>
    <w:multiLevelType w:val="hybridMultilevel"/>
    <w:tmpl w:val="6DF6DDBC"/>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4" w15:restartNumberingAfterBreak="0">
    <w:nsid w:val="0DDE319F"/>
    <w:multiLevelType w:val="hybridMultilevel"/>
    <w:tmpl w:val="F5E4F2B0"/>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FB00DFA"/>
    <w:multiLevelType w:val="hybridMultilevel"/>
    <w:tmpl w:val="EA345C2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1786017"/>
    <w:multiLevelType w:val="hybridMultilevel"/>
    <w:tmpl w:val="581ED124"/>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7" w15:restartNumberingAfterBreak="0">
    <w:nsid w:val="13B242A0"/>
    <w:multiLevelType w:val="hybridMultilevel"/>
    <w:tmpl w:val="CB5C3C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4401F67"/>
    <w:multiLevelType w:val="hybridMultilevel"/>
    <w:tmpl w:val="535A154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4CE6A77"/>
    <w:multiLevelType w:val="hybridMultilevel"/>
    <w:tmpl w:val="7F86BD0C"/>
    <w:lvl w:ilvl="0" w:tplc="1009001B">
      <w:start w:val="1"/>
      <w:numFmt w:val="lowerRoman"/>
      <w:lvlText w:val="%1."/>
      <w:lvlJc w:val="righ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16073F0A"/>
    <w:multiLevelType w:val="hybridMultilevel"/>
    <w:tmpl w:val="912CB6D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38E4755"/>
    <w:multiLevelType w:val="hybridMultilevel"/>
    <w:tmpl w:val="BD8A073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A6A6B76"/>
    <w:multiLevelType w:val="hybridMultilevel"/>
    <w:tmpl w:val="C0644BC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A860F6C"/>
    <w:multiLevelType w:val="hybridMultilevel"/>
    <w:tmpl w:val="8DD0F0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9B2557"/>
    <w:multiLevelType w:val="hybridMultilevel"/>
    <w:tmpl w:val="912CB6D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CE32CBD"/>
    <w:multiLevelType w:val="hybridMultilevel"/>
    <w:tmpl w:val="553A11BE"/>
    <w:lvl w:ilvl="0" w:tplc="04090017">
      <w:start w:val="1"/>
      <w:numFmt w:val="lowerLetter"/>
      <w:lvlText w:val="%1)"/>
      <w:lvlJc w:val="lef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F84EDD"/>
    <w:multiLevelType w:val="hybridMultilevel"/>
    <w:tmpl w:val="6734CE9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0A20630"/>
    <w:multiLevelType w:val="hybridMultilevel"/>
    <w:tmpl w:val="21146B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E96F50"/>
    <w:multiLevelType w:val="hybridMultilevel"/>
    <w:tmpl w:val="CB5C3C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3E34DAA"/>
    <w:multiLevelType w:val="hybridMultilevel"/>
    <w:tmpl w:val="83361524"/>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0" w15:restartNumberingAfterBreak="0">
    <w:nsid w:val="364D6909"/>
    <w:multiLevelType w:val="hybridMultilevel"/>
    <w:tmpl w:val="BB6E1428"/>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1" w15:restartNumberingAfterBreak="0">
    <w:nsid w:val="39441685"/>
    <w:multiLevelType w:val="hybridMultilevel"/>
    <w:tmpl w:val="1286DDB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A9A5937"/>
    <w:multiLevelType w:val="hybridMultilevel"/>
    <w:tmpl w:val="2CCAC7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4B5551"/>
    <w:multiLevelType w:val="hybridMultilevel"/>
    <w:tmpl w:val="258CAD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DF1CC4"/>
    <w:multiLevelType w:val="hybridMultilevel"/>
    <w:tmpl w:val="6DF6DDBC"/>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5" w15:restartNumberingAfterBreak="0">
    <w:nsid w:val="42E761A1"/>
    <w:multiLevelType w:val="hybridMultilevel"/>
    <w:tmpl w:val="61D8FB0A"/>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6" w15:restartNumberingAfterBreak="0">
    <w:nsid w:val="43E27ADE"/>
    <w:multiLevelType w:val="hybridMultilevel"/>
    <w:tmpl w:val="58982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6E64A0"/>
    <w:multiLevelType w:val="hybridMultilevel"/>
    <w:tmpl w:val="6AC6BBE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69E3052"/>
    <w:multiLevelType w:val="hybridMultilevel"/>
    <w:tmpl w:val="E6BEA07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834018C"/>
    <w:multiLevelType w:val="hybridMultilevel"/>
    <w:tmpl w:val="56EAAB98"/>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30" w15:restartNumberingAfterBreak="0">
    <w:nsid w:val="5B30124D"/>
    <w:multiLevelType w:val="hybridMultilevel"/>
    <w:tmpl w:val="61D8FB0A"/>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31" w15:restartNumberingAfterBreak="0">
    <w:nsid w:val="5C0F626A"/>
    <w:multiLevelType w:val="hybridMultilevel"/>
    <w:tmpl w:val="4A643D9A"/>
    <w:lvl w:ilvl="0" w:tplc="B770D62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F237BCC"/>
    <w:multiLevelType w:val="hybridMultilevel"/>
    <w:tmpl w:val="912CB6D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F325DA4"/>
    <w:multiLevelType w:val="hybridMultilevel"/>
    <w:tmpl w:val="8A8C91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4554F5"/>
    <w:multiLevelType w:val="hybridMultilevel"/>
    <w:tmpl w:val="9A10029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7766B22"/>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FE97E42"/>
    <w:multiLevelType w:val="hybridMultilevel"/>
    <w:tmpl w:val="E13C7F4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61D78A4"/>
    <w:multiLevelType w:val="hybridMultilevel"/>
    <w:tmpl w:val="437C6F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956CEF"/>
    <w:multiLevelType w:val="hybridMultilevel"/>
    <w:tmpl w:val="DB34011E"/>
    <w:lvl w:ilvl="0" w:tplc="10090011">
      <w:start w:val="1"/>
      <w:numFmt w:val="decimal"/>
      <w:lvlText w:val="%1)"/>
      <w:lvlJc w:val="left"/>
      <w:pPr>
        <w:ind w:left="360" w:hanging="360"/>
      </w:pPr>
      <w:rPr>
        <w:rFonts w:hint="default"/>
      </w:rPr>
    </w:lvl>
    <w:lvl w:ilvl="1" w:tplc="A2B6BE60">
      <w:start w:val="1"/>
      <w:numFmt w:val="lowerLetter"/>
      <w:lvlText w:val="%2)"/>
      <w:lvlJc w:val="left"/>
      <w:pPr>
        <w:ind w:left="1080" w:hanging="360"/>
      </w:pPr>
      <w:rPr>
        <w:rFonts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36"/>
  </w:num>
  <w:num w:numId="2">
    <w:abstractNumId w:val="10"/>
  </w:num>
  <w:num w:numId="3">
    <w:abstractNumId w:val="16"/>
  </w:num>
  <w:num w:numId="4">
    <w:abstractNumId w:val="12"/>
  </w:num>
  <w:num w:numId="5">
    <w:abstractNumId w:val="14"/>
  </w:num>
  <w:num w:numId="6">
    <w:abstractNumId w:val="21"/>
  </w:num>
  <w:num w:numId="7">
    <w:abstractNumId w:val="28"/>
  </w:num>
  <w:num w:numId="8">
    <w:abstractNumId w:val="32"/>
  </w:num>
  <w:num w:numId="9">
    <w:abstractNumId w:val="6"/>
  </w:num>
  <w:num w:numId="10">
    <w:abstractNumId w:val="0"/>
  </w:num>
  <w:num w:numId="11">
    <w:abstractNumId w:val="25"/>
  </w:num>
  <w:num w:numId="12">
    <w:abstractNumId w:val="18"/>
  </w:num>
  <w:num w:numId="13">
    <w:abstractNumId w:val="34"/>
  </w:num>
  <w:num w:numId="14">
    <w:abstractNumId w:val="7"/>
  </w:num>
  <w:num w:numId="15">
    <w:abstractNumId w:val="29"/>
  </w:num>
  <w:num w:numId="16">
    <w:abstractNumId w:val="2"/>
  </w:num>
  <w:num w:numId="17">
    <w:abstractNumId w:val="20"/>
  </w:num>
  <w:num w:numId="18">
    <w:abstractNumId w:val="3"/>
  </w:num>
  <w:num w:numId="19">
    <w:abstractNumId w:val="24"/>
  </w:num>
  <w:num w:numId="20">
    <w:abstractNumId w:val="30"/>
  </w:num>
  <w:num w:numId="21">
    <w:abstractNumId w:val="11"/>
  </w:num>
  <w:num w:numId="22">
    <w:abstractNumId w:val="4"/>
  </w:num>
  <w:num w:numId="23">
    <w:abstractNumId w:val="35"/>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8"/>
  </w:num>
  <w:num w:numId="27">
    <w:abstractNumId w:val="27"/>
  </w:num>
  <w:num w:numId="28">
    <w:abstractNumId w:val="38"/>
  </w:num>
  <w:num w:numId="29">
    <w:abstractNumId w:val="9"/>
  </w:num>
  <w:num w:numId="30">
    <w:abstractNumId w:val="22"/>
  </w:num>
  <w:num w:numId="31">
    <w:abstractNumId w:val="26"/>
  </w:num>
  <w:num w:numId="32">
    <w:abstractNumId w:val="37"/>
  </w:num>
  <w:num w:numId="33">
    <w:abstractNumId w:val="33"/>
  </w:num>
  <w:num w:numId="34">
    <w:abstractNumId w:val="17"/>
  </w:num>
  <w:num w:numId="35">
    <w:abstractNumId w:val="13"/>
  </w:num>
  <w:num w:numId="36">
    <w:abstractNumId w:val="15"/>
  </w:num>
  <w:num w:numId="37">
    <w:abstractNumId w:val="5"/>
  </w:num>
  <w:num w:numId="38">
    <w:abstractNumId w:val="31"/>
  </w:num>
  <w:num w:numId="39">
    <w:abstractNumId w:val="23"/>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6F8"/>
    <w:rsid w:val="00003BE1"/>
    <w:rsid w:val="0001354E"/>
    <w:rsid w:val="00041482"/>
    <w:rsid w:val="000414BC"/>
    <w:rsid w:val="00041BBD"/>
    <w:rsid w:val="000843ED"/>
    <w:rsid w:val="000A0898"/>
    <w:rsid w:val="000C035C"/>
    <w:rsid w:val="000D2EAF"/>
    <w:rsid w:val="000E012A"/>
    <w:rsid w:val="000E1373"/>
    <w:rsid w:val="000E4C7B"/>
    <w:rsid w:val="00112D88"/>
    <w:rsid w:val="00145A2B"/>
    <w:rsid w:val="00146770"/>
    <w:rsid w:val="00150BE5"/>
    <w:rsid w:val="00153A81"/>
    <w:rsid w:val="00155FAC"/>
    <w:rsid w:val="001563E4"/>
    <w:rsid w:val="0016286E"/>
    <w:rsid w:val="00163BCB"/>
    <w:rsid w:val="00171C5D"/>
    <w:rsid w:val="00187153"/>
    <w:rsid w:val="001A7E57"/>
    <w:rsid w:val="001B1072"/>
    <w:rsid w:val="001B1BA8"/>
    <w:rsid w:val="001B2AD3"/>
    <w:rsid w:val="001C7CA4"/>
    <w:rsid w:val="001D7086"/>
    <w:rsid w:val="001E069B"/>
    <w:rsid w:val="001E179B"/>
    <w:rsid w:val="001E7B41"/>
    <w:rsid w:val="001F0108"/>
    <w:rsid w:val="00204A40"/>
    <w:rsid w:val="0023076C"/>
    <w:rsid w:val="002363C3"/>
    <w:rsid w:val="0027165A"/>
    <w:rsid w:val="00281C2C"/>
    <w:rsid w:val="0029152A"/>
    <w:rsid w:val="00293086"/>
    <w:rsid w:val="002A72E9"/>
    <w:rsid w:val="002B0F06"/>
    <w:rsid w:val="002B2DB7"/>
    <w:rsid w:val="002B6483"/>
    <w:rsid w:val="002B7C64"/>
    <w:rsid w:val="002D2F55"/>
    <w:rsid w:val="00303671"/>
    <w:rsid w:val="00304228"/>
    <w:rsid w:val="00323BCB"/>
    <w:rsid w:val="0032442F"/>
    <w:rsid w:val="003252C9"/>
    <w:rsid w:val="00347AE0"/>
    <w:rsid w:val="0035397C"/>
    <w:rsid w:val="00354A5F"/>
    <w:rsid w:val="00370D5B"/>
    <w:rsid w:val="0037285F"/>
    <w:rsid w:val="003856F8"/>
    <w:rsid w:val="00394351"/>
    <w:rsid w:val="0039687D"/>
    <w:rsid w:val="003A7960"/>
    <w:rsid w:val="003E076C"/>
    <w:rsid w:val="003E7D1C"/>
    <w:rsid w:val="003F7D01"/>
    <w:rsid w:val="00412DC6"/>
    <w:rsid w:val="00416E97"/>
    <w:rsid w:val="00425CF6"/>
    <w:rsid w:val="00464D00"/>
    <w:rsid w:val="00471B90"/>
    <w:rsid w:val="0047404F"/>
    <w:rsid w:val="004A5F89"/>
    <w:rsid w:val="004C1F32"/>
    <w:rsid w:val="004D46E0"/>
    <w:rsid w:val="00511282"/>
    <w:rsid w:val="005117CF"/>
    <w:rsid w:val="00513825"/>
    <w:rsid w:val="00513CB9"/>
    <w:rsid w:val="00515DDA"/>
    <w:rsid w:val="005216D6"/>
    <w:rsid w:val="0054418E"/>
    <w:rsid w:val="00546BA2"/>
    <w:rsid w:val="00553935"/>
    <w:rsid w:val="00566B46"/>
    <w:rsid w:val="00576217"/>
    <w:rsid w:val="00585122"/>
    <w:rsid w:val="005B0481"/>
    <w:rsid w:val="005B1BA0"/>
    <w:rsid w:val="005B4C39"/>
    <w:rsid w:val="005C5C6B"/>
    <w:rsid w:val="00601C3B"/>
    <w:rsid w:val="006027D1"/>
    <w:rsid w:val="0060662D"/>
    <w:rsid w:val="006125B7"/>
    <w:rsid w:val="00634992"/>
    <w:rsid w:val="006546FF"/>
    <w:rsid w:val="006561C4"/>
    <w:rsid w:val="006604B5"/>
    <w:rsid w:val="006762DD"/>
    <w:rsid w:val="0069057C"/>
    <w:rsid w:val="00691C29"/>
    <w:rsid w:val="00692FC5"/>
    <w:rsid w:val="006A6B6B"/>
    <w:rsid w:val="006B6E93"/>
    <w:rsid w:val="006D17C1"/>
    <w:rsid w:val="006F5818"/>
    <w:rsid w:val="00746080"/>
    <w:rsid w:val="00751797"/>
    <w:rsid w:val="00776FED"/>
    <w:rsid w:val="00782C54"/>
    <w:rsid w:val="007B183E"/>
    <w:rsid w:val="007F0B57"/>
    <w:rsid w:val="00806D93"/>
    <w:rsid w:val="008122B1"/>
    <w:rsid w:val="008147CB"/>
    <w:rsid w:val="00832A00"/>
    <w:rsid w:val="00834E7C"/>
    <w:rsid w:val="00846CA4"/>
    <w:rsid w:val="00850053"/>
    <w:rsid w:val="00851418"/>
    <w:rsid w:val="008539D9"/>
    <w:rsid w:val="0087639C"/>
    <w:rsid w:val="00876E3C"/>
    <w:rsid w:val="008A5D3A"/>
    <w:rsid w:val="008C74E3"/>
    <w:rsid w:val="008F688C"/>
    <w:rsid w:val="008F73E8"/>
    <w:rsid w:val="009000ED"/>
    <w:rsid w:val="00913698"/>
    <w:rsid w:val="00937121"/>
    <w:rsid w:val="009545D3"/>
    <w:rsid w:val="009643D1"/>
    <w:rsid w:val="00983A06"/>
    <w:rsid w:val="009A4440"/>
    <w:rsid w:val="009A47FB"/>
    <w:rsid w:val="009D5143"/>
    <w:rsid w:val="00A006FA"/>
    <w:rsid w:val="00A04F95"/>
    <w:rsid w:val="00A102CC"/>
    <w:rsid w:val="00A41355"/>
    <w:rsid w:val="00A56508"/>
    <w:rsid w:val="00A700A8"/>
    <w:rsid w:val="00A704BA"/>
    <w:rsid w:val="00A72296"/>
    <w:rsid w:val="00AA06D9"/>
    <w:rsid w:val="00AF0D73"/>
    <w:rsid w:val="00AF288A"/>
    <w:rsid w:val="00B076A5"/>
    <w:rsid w:val="00B20109"/>
    <w:rsid w:val="00B247C1"/>
    <w:rsid w:val="00B25576"/>
    <w:rsid w:val="00B314F3"/>
    <w:rsid w:val="00B76EA7"/>
    <w:rsid w:val="00BC07A7"/>
    <w:rsid w:val="00BC1A68"/>
    <w:rsid w:val="00BD4512"/>
    <w:rsid w:val="00BE1A92"/>
    <w:rsid w:val="00C23F96"/>
    <w:rsid w:val="00C5100D"/>
    <w:rsid w:val="00C61953"/>
    <w:rsid w:val="00C63C8D"/>
    <w:rsid w:val="00C818E2"/>
    <w:rsid w:val="00C911F9"/>
    <w:rsid w:val="00C926DF"/>
    <w:rsid w:val="00CA0B82"/>
    <w:rsid w:val="00CA15A3"/>
    <w:rsid w:val="00CB168B"/>
    <w:rsid w:val="00CC096F"/>
    <w:rsid w:val="00CC447E"/>
    <w:rsid w:val="00CC6D11"/>
    <w:rsid w:val="00CE062C"/>
    <w:rsid w:val="00CF0F7C"/>
    <w:rsid w:val="00D02D7F"/>
    <w:rsid w:val="00D0773D"/>
    <w:rsid w:val="00D21A42"/>
    <w:rsid w:val="00D36BBE"/>
    <w:rsid w:val="00D5062F"/>
    <w:rsid w:val="00D55F43"/>
    <w:rsid w:val="00D56A27"/>
    <w:rsid w:val="00D61816"/>
    <w:rsid w:val="00D621FC"/>
    <w:rsid w:val="00D85379"/>
    <w:rsid w:val="00D91B73"/>
    <w:rsid w:val="00D958A6"/>
    <w:rsid w:val="00D95CAA"/>
    <w:rsid w:val="00D95F3E"/>
    <w:rsid w:val="00D974D5"/>
    <w:rsid w:val="00D975C5"/>
    <w:rsid w:val="00DA09D0"/>
    <w:rsid w:val="00DA14AA"/>
    <w:rsid w:val="00DA2484"/>
    <w:rsid w:val="00DC3F8F"/>
    <w:rsid w:val="00DD09DC"/>
    <w:rsid w:val="00DD1405"/>
    <w:rsid w:val="00DD3DE1"/>
    <w:rsid w:val="00DD749A"/>
    <w:rsid w:val="00DF6932"/>
    <w:rsid w:val="00E12988"/>
    <w:rsid w:val="00E23ECF"/>
    <w:rsid w:val="00E261A1"/>
    <w:rsid w:val="00E2683A"/>
    <w:rsid w:val="00E3191C"/>
    <w:rsid w:val="00E336E4"/>
    <w:rsid w:val="00E36950"/>
    <w:rsid w:val="00E45775"/>
    <w:rsid w:val="00E63408"/>
    <w:rsid w:val="00E6651E"/>
    <w:rsid w:val="00E67CA8"/>
    <w:rsid w:val="00E70B6A"/>
    <w:rsid w:val="00E7523D"/>
    <w:rsid w:val="00E8235A"/>
    <w:rsid w:val="00E93284"/>
    <w:rsid w:val="00E9387D"/>
    <w:rsid w:val="00EA0919"/>
    <w:rsid w:val="00EB4E97"/>
    <w:rsid w:val="00EB68C4"/>
    <w:rsid w:val="00EC0C97"/>
    <w:rsid w:val="00EC26AE"/>
    <w:rsid w:val="00EE2A00"/>
    <w:rsid w:val="00EE450C"/>
    <w:rsid w:val="00EF3FB9"/>
    <w:rsid w:val="00F213C1"/>
    <w:rsid w:val="00F27A5F"/>
    <w:rsid w:val="00F369F6"/>
    <w:rsid w:val="00F4375E"/>
    <w:rsid w:val="00F452D5"/>
    <w:rsid w:val="00F4621F"/>
    <w:rsid w:val="00F72F89"/>
    <w:rsid w:val="00F9113C"/>
    <w:rsid w:val="00F92F12"/>
    <w:rsid w:val="00FA36C2"/>
    <w:rsid w:val="00FB3A11"/>
    <w:rsid w:val="00FD41FB"/>
    <w:rsid w:val="00FD5EDC"/>
    <w:rsid w:val="00FD66F6"/>
    <w:rsid w:val="00FE4E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66B077"/>
  <w15:docId w15:val="{2691A382-966B-44D7-BBE6-F6A149B36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42F"/>
    <w:pPr>
      <w:ind w:left="720"/>
      <w:contextualSpacing/>
    </w:pPr>
  </w:style>
  <w:style w:type="paragraph" w:styleId="BalloonText">
    <w:name w:val="Balloon Text"/>
    <w:basedOn w:val="Normal"/>
    <w:link w:val="BalloonTextChar"/>
    <w:uiPriority w:val="99"/>
    <w:semiHidden/>
    <w:unhideWhenUsed/>
    <w:rsid w:val="009643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3D1"/>
    <w:rPr>
      <w:rFonts w:ascii="Tahoma" w:hAnsi="Tahoma" w:cs="Tahoma"/>
      <w:sz w:val="16"/>
      <w:szCs w:val="16"/>
    </w:rPr>
  </w:style>
  <w:style w:type="paragraph" w:styleId="Header">
    <w:name w:val="header"/>
    <w:basedOn w:val="Normal"/>
    <w:link w:val="HeaderChar"/>
    <w:uiPriority w:val="99"/>
    <w:unhideWhenUsed/>
    <w:rsid w:val="00851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418"/>
  </w:style>
  <w:style w:type="paragraph" w:styleId="Footer">
    <w:name w:val="footer"/>
    <w:basedOn w:val="Normal"/>
    <w:link w:val="FooterChar"/>
    <w:uiPriority w:val="99"/>
    <w:unhideWhenUsed/>
    <w:rsid w:val="00851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418"/>
  </w:style>
  <w:style w:type="character" w:styleId="Hyperlink">
    <w:name w:val="Hyperlink"/>
    <w:basedOn w:val="DefaultParagraphFont"/>
    <w:uiPriority w:val="99"/>
    <w:unhideWhenUsed/>
    <w:rsid w:val="00145A2B"/>
    <w:rPr>
      <w:color w:val="0000FF" w:themeColor="hyperlink"/>
      <w:u w:val="single"/>
    </w:rPr>
  </w:style>
  <w:style w:type="table" w:styleId="TableGrid">
    <w:name w:val="Table Grid"/>
    <w:basedOn w:val="TableNormal"/>
    <w:uiPriority w:val="59"/>
    <w:rsid w:val="00041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67CA8"/>
    <w:rPr>
      <w:sz w:val="16"/>
      <w:szCs w:val="16"/>
    </w:rPr>
  </w:style>
  <w:style w:type="paragraph" w:styleId="CommentText">
    <w:name w:val="annotation text"/>
    <w:basedOn w:val="Normal"/>
    <w:link w:val="CommentTextChar"/>
    <w:uiPriority w:val="99"/>
    <w:semiHidden/>
    <w:unhideWhenUsed/>
    <w:rsid w:val="00E67CA8"/>
    <w:pPr>
      <w:spacing w:line="240" w:lineRule="auto"/>
    </w:pPr>
    <w:rPr>
      <w:sz w:val="20"/>
      <w:szCs w:val="20"/>
    </w:rPr>
  </w:style>
  <w:style w:type="character" w:customStyle="1" w:styleId="CommentTextChar">
    <w:name w:val="Comment Text Char"/>
    <w:basedOn w:val="DefaultParagraphFont"/>
    <w:link w:val="CommentText"/>
    <w:uiPriority w:val="99"/>
    <w:semiHidden/>
    <w:rsid w:val="00E67CA8"/>
    <w:rPr>
      <w:sz w:val="20"/>
      <w:szCs w:val="20"/>
    </w:rPr>
  </w:style>
  <w:style w:type="paragraph" w:styleId="CommentSubject">
    <w:name w:val="annotation subject"/>
    <w:basedOn w:val="CommentText"/>
    <w:next w:val="CommentText"/>
    <w:link w:val="CommentSubjectChar"/>
    <w:uiPriority w:val="99"/>
    <w:semiHidden/>
    <w:unhideWhenUsed/>
    <w:rsid w:val="00E67CA8"/>
    <w:rPr>
      <w:b/>
      <w:bCs/>
    </w:rPr>
  </w:style>
  <w:style w:type="character" w:customStyle="1" w:styleId="CommentSubjectChar">
    <w:name w:val="Comment Subject Char"/>
    <w:basedOn w:val="CommentTextChar"/>
    <w:link w:val="CommentSubject"/>
    <w:uiPriority w:val="99"/>
    <w:semiHidden/>
    <w:rsid w:val="00E67CA8"/>
    <w:rPr>
      <w:b/>
      <w:bCs/>
      <w:sz w:val="20"/>
      <w:szCs w:val="20"/>
    </w:rPr>
  </w:style>
  <w:style w:type="paragraph" w:styleId="FootnoteText">
    <w:name w:val="footnote text"/>
    <w:basedOn w:val="Normal"/>
    <w:link w:val="FootnoteTextChar"/>
    <w:uiPriority w:val="99"/>
    <w:semiHidden/>
    <w:unhideWhenUsed/>
    <w:rsid w:val="00425C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5CF6"/>
    <w:rPr>
      <w:sz w:val="20"/>
      <w:szCs w:val="20"/>
    </w:rPr>
  </w:style>
  <w:style w:type="character" w:styleId="FootnoteReference">
    <w:name w:val="footnote reference"/>
    <w:basedOn w:val="DefaultParagraphFont"/>
    <w:uiPriority w:val="99"/>
    <w:semiHidden/>
    <w:unhideWhenUsed/>
    <w:rsid w:val="00425C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4745">
      <w:bodyDiv w:val="1"/>
      <w:marLeft w:val="0"/>
      <w:marRight w:val="0"/>
      <w:marTop w:val="0"/>
      <w:marBottom w:val="0"/>
      <w:divBdr>
        <w:top w:val="none" w:sz="0" w:space="0" w:color="auto"/>
        <w:left w:val="none" w:sz="0" w:space="0" w:color="auto"/>
        <w:bottom w:val="none" w:sz="0" w:space="0" w:color="auto"/>
        <w:right w:val="none" w:sz="0" w:space="0" w:color="auto"/>
      </w:divBdr>
    </w:div>
    <w:div w:id="289092824">
      <w:bodyDiv w:val="1"/>
      <w:marLeft w:val="0"/>
      <w:marRight w:val="0"/>
      <w:marTop w:val="0"/>
      <w:marBottom w:val="0"/>
      <w:divBdr>
        <w:top w:val="none" w:sz="0" w:space="0" w:color="auto"/>
        <w:left w:val="none" w:sz="0" w:space="0" w:color="auto"/>
        <w:bottom w:val="none" w:sz="0" w:space="0" w:color="auto"/>
        <w:right w:val="none" w:sz="0" w:space="0" w:color="auto"/>
      </w:divBdr>
    </w:div>
    <w:div w:id="545416455">
      <w:bodyDiv w:val="1"/>
      <w:marLeft w:val="0"/>
      <w:marRight w:val="0"/>
      <w:marTop w:val="0"/>
      <w:marBottom w:val="0"/>
      <w:divBdr>
        <w:top w:val="none" w:sz="0" w:space="0" w:color="auto"/>
        <w:left w:val="none" w:sz="0" w:space="0" w:color="auto"/>
        <w:bottom w:val="none" w:sz="0" w:space="0" w:color="auto"/>
        <w:right w:val="none" w:sz="0" w:space="0" w:color="auto"/>
      </w:divBdr>
    </w:div>
    <w:div w:id="1299604929">
      <w:bodyDiv w:val="1"/>
      <w:marLeft w:val="0"/>
      <w:marRight w:val="0"/>
      <w:marTop w:val="0"/>
      <w:marBottom w:val="0"/>
      <w:divBdr>
        <w:top w:val="none" w:sz="0" w:space="0" w:color="auto"/>
        <w:left w:val="none" w:sz="0" w:space="0" w:color="auto"/>
        <w:bottom w:val="none" w:sz="0" w:space="0" w:color="auto"/>
        <w:right w:val="none" w:sz="0" w:space="0" w:color="auto"/>
      </w:divBdr>
    </w:div>
    <w:div w:id="1433092376">
      <w:bodyDiv w:val="1"/>
      <w:marLeft w:val="0"/>
      <w:marRight w:val="0"/>
      <w:marTop w:val="0"/>
      <w:marBottom w:val="0"/>
      <w:divBdr>
        <w:top w:val="none" w:sz="0" w:space="0" w:color="auto"/>
        <w:left w:val="none" w:sz="0" w:space="0" w:color="auto"/>
        <w:bottom w:val="none" w:sz="0" w:space="0" w:color="auto"/>
        <w:right w:val="none" w:sz="0" w:space="0" w:color="auto"/>
      </w:divBdr>
    </w:div>
    <w:div w:id="155800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FB4C1-CD4F-4249-B914-1BE250E82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EB-2015-0101</vt:lpstr>
    </vt:vector>
  </TitlesOfParts>
  <Company>Sioux Lookout Hydro Inc.</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EB-2015-0101</dc:title>
  <dc:creator>Katherine Wang</dc:creator>
  <cp:lastModifiedBy>Katherine Wang</cp:lastModifiedBy>
  <cp:revision>11</cp:revision>
  <cp:lastPrinted>2016-10-21T17:54:00Z</cp:lastPrinted>
  <dcterms:created xsi:type="dcterms:W3CDTF">2018-02-16T15:43:00Z</dcterms:created>
  <dcterms:modified xsi:type="dcterms:W3CDTF">2018-02-20T20:10:00Z</dcterms:modified>
</cp:coreProperties>
</file>