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54D" w:rsidRDefault="0013654D" w:rsidP="0078302D">
      <w:r>
        <w:t>Adjustment #1:</w:t>
      </w:r>
    </w:p>
    <w:p w:rsidR="00B57FC6" w:rsidRDefault="0078302D" w:rsidP="0078302D">
      <w:r>
        <w:t>$11,083.64</w:t>
      </w:r>
      <w:r w:rsidR="00E772D4">
        <w:t xml:space="preserve">:  This is the amount of the </w:t>
      </w:r>
      <w:r>
        <w:t xml:space="preserve">year-end </w:t>
      </w:r>
      <w:r w:rsidR="00775862">
        <w:t>true-up of</w:t>
      </w:r>
      <w:r w:rsidR="000420F1">
        <w:t xml:space="preserve"> the Global A</w:t>
      </w:r>
      <w:r w:rsidR="00CF2AE7">
        <w:t>djustment for</w:t>
      </w:r>
      <w:r>
        <w:t xml:space="preserve"> non-RPP Charge type 148 with respect to RPP/non-RPP pro-ration percentages based on consumed data.  </w:t>
      </w:r>
      <w:r w:rsidR="00E772D4">
        <w:t xml:space="preserve">This amount has been updated from $68,409 in our original submission after discovery of a duplication in our true-up process. </w:t>
      </w:r>
      <w:r>
        <w:t xml:space="preserve">On </w:t>
      </w:r>
      <w:r w:rsidR="00E772D4">
        <w:t>a monthly basis</w:t>
      </w:r>
      <w:r>
        <w:t>, when the IESO invoice is received, GA is allocated to RPP/TOU and no</w:t>
      </w:r>
      <w:r w:rsidR="00775862">
        <w:t>n-RPP customers based on billed</w:t>
      </w:r>
      <w:r>
        <w:t xml:space="preserve"> data in the month.  This year-end entry of $11,083.64 trues up the RPP/non-RPP </w:t>
      </w:r>
      <w:r w:rsidR="00775862">
        <w:t xml:space="preserve">pro-ration </w:t>
      </w:r>
      <w:r>
        <w:t xml:space="preserve">based on </w:t>
      </w:r>
      <w:r w:rsidR="00775862">
        <w:t xml:space="preserve">actual </w:t>
      </w:r>
      <w:r>
        <w:t>consumed data in the month</w:t>
      </w:r>
      <w:r w:rsidR="00775862">
        <w:t xml:space="preserve">, not on billed data </w:t>
      </w:r>
      <w:r w:rsidR="00CF2AE7">
        <w:t xml:space="preserve">calculated </w:t>
      </w:r>
      <w:r w:rsidR="00775862">
        <w:t>throughout the year</w:t>
      </w:r>
      <w:r>
        <w:t>.</w:t>
      </w:r>
      <w:r w:rsidR="00B946F9">
        <w:t xml:space="preserve">  This entry will affect both 1588 and 1589.</w:t>
      </w:r>
    </w:p>
    <w:p w:rsidR="0013654D" w:rsidRDefault="0013654D" w:rsidP="0078302D">
      <w:r>
        <w:t>Adjustment #2</w:t>
      </w:r>
      <w:r w:rsidR="006A4F62">
        <w:t>:</w:t>
      </w:r>
    </w:p>
    <w:p w:rsidR="00775862" w:rsidRDefault="00775862" w:rsidP="0078302D">
      <w:r>
        <w:t xml:space="preserve">$42,126.29:  This is </w:t>
      </w:r>
      <w:r w:rsidR="00CF2AE7">
        <w:t>the amount of the year-end</w:t>
      </w:r>
      <w:r>
        <w:t xml:space="preserve"> reconciliation</w:t>
      </w:r>
      <w:r w:rsidR="000420F1">
        <w:t xml:space="preserve"> amount of Global A</w:t>
      </w:r>
      <w:r w:rsidR="00CF2AE7">
        <w:t>djustment</w:t>
      </w:r>
      <w:r>
        <w:t xml:space="preserve"> cha</w:t>
      </w:r>
      <w:r w:rsidR="00CF2AE7">
        <w:t>r</w:t>
      </w:r>
      <w:r w:rsidR="000420F1">
        <w:t>ged by the IESO and the Global A</w:t>
      </w:r>
      <w:bookmarkStart w:id="0" w:name="_GoBack"/>
      <w:bookmarkEnd w:id="0"/>
      <w:r w:rsidR="00CF2AE7">
        <w:t>djustment</w:t>
      </w:r>
      <w:r>
        <w:t xml:space="preserve"> billed to non-RPP customers for the whole 2016 year.  This is calculated at year-end based on consumed data, not on billed data </w:t>
      </w:r>
      <w:r w:rsidR="00CF2AE7">
        <w:t>calculated</w:t>
      </w:r>
      <w:r>
        <w:t xml:space="preserve"> throughout the year.</w:t>
      </w:r>
      <w:r w:rsidR="00B946F9">
        <w:t xml:space="preserve">  This entry only affects 1589.</w:t>
      </w:r>
      <w:r w:rsidR="0013654D">
        <w:t xml:space="preserve">  Based on this analysis, we were charged more by the</w:t>
      </w:r>
      <w:r w:rsidR="00CF2AE7">
        <w:t xml:space="preserve"> IESO than we collected from our</w:t>
      </w:r>
      <w:r w:rsidR="0013654D">
        <w:t xml:space="preserve"> customers.  Please note that we are unsure as to where this adjustment would fit in </w:t>
      </w:r>
      <w:r w:rsidR="006A4F62">
        <w:t xml:space="preserve">the </w:t>
      </w:r>
      <w:r w:rsidR="0013654D">
        <w:t>table</w:t>
      </w:r>
      <w:r w:rsidR="006A4F62">
        <w:t xml:space="preserve"> below</w:t>
      </w:r>
      <w:r w:rsidR="0013654D">
        <w:t>.</w:t>
      </w:r>
    </w:p>
    <w:p w:rsidR="00126C39" w:rsidRDefault="00126C39" w:rsidP="0078302D">
      <w:r>
        <w:t xml:space="preserve">Both of these amounts were included </w:t>
      </w:r>
      <w:r w:rsidR="00CF2AE7">
        <w:t xml:space="preserve">in Tab 3. Continuity Schedule, column </w:t>
      </w:r>
      <w:r>
        <w:t>Principal Adjustment during 2016 of the updated Orangeville_2018 IRM Generator Model_revised_02262018</w:t>
      </w:r>
      <w:r w:rsidR="00CF2AE7">
        <w:t>.</w:t>
      </w:r>
    </w:p>
    <w:p w:rsidR="00CF2AE7" w:rsidRDefault="00CF2AE7" w:rsidP="0078302D"/>
    <w:tbl>
      <w:tblPr>
        <w:tblStyle w:val="TableGrid"/>
        <w:tblW w:w="9605" w:type="dxa"/>
        <w:tblLook w:val="04A0" w:firstRow="1" w:lastRow="0" w:firstColumn="1" w:lastColumn="0" w:noHBand="0" w:noVBand="1"/>
      </w:tblPr>
      <w:tblGrid>
        <w:gridCol w:w="390"/>
        <w:gridCol w:w="1870"/>
        <w:gridCol w:w="1870"/>
        <w:gridCol w:w="3605"/>
        <w:gridCol w:w="1870"/>
      </w:tblGrid>
      <w:tr w:rsidR="00B946F9" w:rsidTr="00123FF0">
        <w:tc>
          <w:tcPr>
            <w:tcW w:w="390" w:type="dxa"/>
          </w:tcPr>
          <w:p w:rsidR="00B946F9" w:rsidRPr="00360DCD" w:rsidRDefault="00B946F9" w:rsidP="00123F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:rsidR="00B946F9" w:rsidRPr="00360DCD" w:rsidRDefault="00B946F9" w:rsidP="00123F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0DCD">
              <w:rPr>
                <w:rFonts w:ascii="Arial" w:hAnsi="Arial" w:cs="Arial"/>
                <w:b/>
                <w:sz w:val="20"/>
                <w:szCs w:val="20"/>
              </w:rPr>
              <w:t>Component</w:t>
            </w:r>
          </w:p>
        </w:tc>
        <w:tc>
          <w:tcPr>
            <w:tcW w:w="1870" w:type="dxa"/>
          </w:tcPr>
          <w:p w:rsidR="00B946F9" w:rsidRPr="00360DCD" w:rsidRDefault="00B946F9" w:rsidP="00123F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0DCD">
              <w:rPr>
                <w:rFonts w:ascii="Arial" w:hAnsi="Arial" w:cs="Arial"/>
                <w:b/>
                <w:sz w:val="20"/>
                <w:szCs w:val="20"/>
              </w:rPr>
              <w:t>a) Estimate or Actual</w:t>
            </w:r>
          </w:p>
        </w:tc>
        <w:tc>
          <w:tcPr>
            <w:tcW w:w="3605" w:type="dxa"/>
          </w:tcPr>
          <w:p w:rsidR="00B946F9" w:rsidRPr="00360DCD" w:rsidRDefault="00B946F9" w:rsidP="00123F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0DCD">
              <w:rPr>
                <w:rFonts w:ascii="Arial" w:hAnsi="Arial" w:cs="Arial"/>
                <w:b/>
                <w:sz w:val="20"/>
                <w:szCs w:val="20"/>
              </w:rPr>
              <w:t>Notes/Comments</w:t>
            </w:r>
          </w:p>
        </w:tc>
        <w:tc>
          <w:tcPr>
            <w:tcW w:w="1870" w:type="dxa"/>
          </w:tcPr>
          <w:p w:rsidR="00B946F9" w:rsidRPr="00360DCD" w:rsidRDefault="00B946F9" w:rsidP="00123F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0DCD">
              <w:rPr>
                <w:rFonts w:ascii="Arial" w:hAnsi="Arial" w:cs="Arial"/>
                <w:b/>
                <w:sz w:val="20"/>
                <w:szCs w:val="20"/>
              </w:rPr>
              <w:t>b) Quantify True Up  Adjustment</w:t>
            </w:r>
          </w:p>
        </w:tc>
      </w:tr>
      <w:tr w:rsidR="00B946F9" w:rsidTr="00123FF0">
        <w:tc>
          <w:tcPr>
            <w:tcW w:w="390" w:type="dxa"/>
          </w:tcPr>
          <w:p w:rsidR="00B946F9" w:rsidRPr="00360DCD" w:rsidRDefault="00B946F9" w:rsidP="00123FF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0DCD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1870" w:type="dxa"/>
          </w:tcPr>
          <w:p w:rsidR="00B946F9" w:rsidRPr="00360DCD" w:rsidRDefault="00B946F9" w:rsidP="00123FF0">
            <w:pPr>
              <w:rPr>
                <w:rFonts w:ascii="Arial" w:hAnsi="Arial" w:cs="Arial"/>
                <w:sz w:val="20"/>
                <w:szCs w:val="20"/>
              </w:rPr>
            </w:pPr>
            <w:r w:rsidRPr="00360DCD">
              <w:rPr>
                <w:rFonts w:ascii="Arial" w:hAnsi="Arial" w:cs="Arial"/>
                <w:sz w:val="20"/>
                <w:szCs w:val="20"/>
              </w:rPr>
              <w:t>Revenues (i.e. is unbilled revenues trued up</w:t>
            </w:r>
            <w:r>
              <w:rPr>
                <w:rFonts w:ascii="Arial" w:hAnsi="Arial" w:cs="Arial"/>
                <w:sz w:val="20"/>
                <w:szCs w:val="20"/>
              </w:rPr>
              <w:t xml:space="preserve"> by year end</w:t>
            </w:r>
            <w:r w:rsidRPr="00360DCD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:rsidR="00B946F9" w:rsidRPr="00360DCD" w:rsidRDefault="00B946F9" w:rsidP="00123F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:rsidR="00B946F9" w:rsidRPr="00360DCD" w:rsidRDefault="00B946F9" w:rsidP="00123F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Actuals</w:t>
            </w:r>
          </w:p>
        </w:tc>
        <w:tc>
          <w:tcPr>
            <w:tcW w:w="3605" w:type="dxa"/>
          </w:tcPr>
          <w:p w:rsidR="00B946F9" w:rsidRPr="00360DCD" w:rsidRDefault="00B946F9" w:rsidP="00123F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:rsidR="00B946F9" w:rsidRPr="00360DCD" w:rsidRDefault="00B946F9" w:rsidP="00123F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B946F9" w:rsidTr="00123FF0">
        <w:tc>
          <w:tcPr>
            <w:tcW w:w="390" w:type="dxa"/>
          </w:tcPr>
          <w:p w:rsidR="00B946F9" w:rsidRPr="00360DCD" w:rsidRDefault="00B946F9" w:rsidP="00123FF0">
            <w:pPr>
              <w:rPr>
                <w:rFonts w:ascii="Arial" w:hAnsi="Arial" w:cs="Arial"/>
                <w:sz w:val="20"/>
                <w:szCs w:val="20"/>
              </w:rPr>
            </w:pPr>
            <w:r w:rsidRPr="00360DCD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1870" w:type="dxa"/>
          </w:tcPr>
          <w:p w:rsidR="00B946F9" w:rsidRPr="00360DCD" w:rsidRDefault="00B946F9" w:rsidP="00123F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Expenses - GA non-RPP: Charge Type 148</w:t>
            </w:r>
            <w:r w:rsidRPr="00360DCD">
              <w:rPr>
                <w:rFonts w:ascii="Arial" w:hAnsi="Arial" w:cs="Arial"/>
                <w:sz w:val="20"/>
                <w:szCs w:val="20"/>
              </w:rPr>
              <w:t xml:space="preserve"> with respect to the quantum dollar amount </w:t>
            </w:r>
            <w:r>
              <w:rPr>
                <w:rFonts w:ascii="Arial" w:hAnsi="Arial" w:cs="Arial"/>
                <w:sz w:val="20"/>
                <w:szCs w:val="20"/>
              </w:rPr>
              <w:t>(i.e. is expense based on IESO invoice at year end)</w:t>
            </w:r>
          </w:p>
          <w:p w:rsidR="00B946F9" w:rsidRPr="00360DCD" w:rsidRDefault="00B946F9" w:rsidP="00123F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:rsidR="00B946F9" w:rsidRPr="00360DCD" w:rsidRDefault="00B946F9" w:rsidP="00123F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Actuals</w:t>
            </w:r>
          </w:p>
        </w:tc>
        <w:tc>
          <w:tcPr>
            <w:tcW w:w="3605" w:type="dxa"/>
          </w:tcPr>
          <w:p w:rsidR="00B946F9" w:rsidRPr="00360DCD" w:rsidRDefault="00B946F9" w:rsidP="00123F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:rsidR="00B946F9" w:rsidRPr="00360DCD" w:rsidRDefault="00B946F9" w:rsidP="00123F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B946F9" w:rsidTr="00123FF0">
        <w:trPr>
          <w:trHeight w:val="2159"/>
        </w:trPr>
        <w:tc>
          <w:tcPr>
            <w:tcW w:w="390" w:type="dxa"/>
          </w:tcPr>
          <w:p w:rsidR="00B946F9" w:rsidRPr="00360DCD" w:rsidRDefault="00B946F9" w:rsidP="00123FF0">
            <w:pPr>
              <w:rPr>
                <w:rFonts w:ascii="Arial" w:hAnsi="Arial" w:cs="Arial"/>
                <w:sz w:val="20"/>
                <w:szCs w:val="20"/>
              </w:rPr>
            </w:pPr>
            <w:r w:rsidRPr="00360DCD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1870" w:type="dxa"/>
          </w:tcPr>
          <w:p w:rsidR="00B946F9" w:rsidRPr="00360DCD" w:rsidRDefault="00B946F9" w:rsidP="00123F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Expenses - GA non-RPP: Charge Type 148</w:t>
            </w:r>
            <w:r w:rsidRPr="00360DCD">
              <w:rPr>
                <w:rFonts w:ascii="Arial" w:hAnsi="Arial" w:cs="Arial"/>
                <w:sz w:val="20"/>
                <w:szCs w:val="20"/>
              </w:rPr>
              <w:t xml:space="preserve"> with respect and RPP/non-RPP pro-ration percentages</w:t>
            </w:r>
            <w:r>
              <w:rPr>
                <w:rFonts w:ascii="Arial" w:hAnsi="Arial" w:cs="Arial"/>
                <w:sz w:val="20"/>
                <w:szCs w:val="20"/>
              </w:rPr>
              <w:t xml:space="preserve"> if the approach under 1a is used</w:t>
            </w:r>
          </w:p>
          <w:p w:rsidR="00B946F9" w:rsidRPr="00360DCD" w:rsidRDefault="00B946F9" w:rsidP="00123F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:rsidR="00B946F9" w:rsidRPr="00360DCD" w:rsidRDefault="00B946F9" w:rsidP="00123F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Estimate/Actual</w:t>
            </w:r>
          </w:p>
        </w:tc>
        <w:tc>
          <w:tcPr>
            <w:tcW w:w="3605" w:type="dxa"/>
          </w:tcPr>
          <w:p w:rsidR="00B946F9" w:rsidRDefault="00B946F9" w:rsidP="00123F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Orangeville Hydro trues up </w:t>
            </w:r>
            <w:r w:rsidR="0013654D">
              <w:rPr>
                <w:rFonts w:ascii="Arial" w:hAnsi="Arial" w:cs="Arial"/>
                <w:sz w:val="20"/>
                <w:szCs w:val="20"/>
              </w:rPr>
              <w:t>the GA non-RPP Charge type 148 with respect to RPP/non-RPP pro-ration based on actual consumed data in the month</w:t>
            </w:r>
            <w:r>
              <w:rPr>
                <w:rFonts w:ascii="Arial" w:hAnsi="Arial" w:cs="Arial"/>
                <w:sz w:val="20"/>
                <w:szCs w:val="20"/>
              </w:rPr>
              <w:t>. In December 2016 this process was not completed.</w:t>
            </w:r>
          </w:p>
          <w:p w:rsidR="00B946F9" w:rsidRPr="00360DCD" w:rsidRDefault="00B946F9" w:rsidP="00123F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 are in the process of moving to calendar monthly billing to ensure more accurate reporting of our data</w:t>
            </w:r>
          </w:p>
        </w:tc>
        <w:tc>
          <w:tcPr>
            <w:tcW w:w="1870" w:type="dxa"/>
          </w:tcPr>
          <w:p w:rsidR="00B946F9" w:rsidRPr="00360DCD" w:rsidRDefault="00B946F9" w:rsidP="0013654D">
            <w:pPr>
              <w:rPr>
                <w:rFonts w:ascii="Arial" w:hAnsi="Arial" w:cs="Arial"/>
                <w:sz w:val="20"/>
                <w:szCs w:val="20"/>
              </w:rPr>
            </w:pPr>
            <w:r w:rsidRPr="00C85F72">
              <w:rPr>
                <w:rFonts w:ascii="Arial" w:hAnsi="Arial" w:cs="Arial"/>
                <w:sz w:val="20"/>
                <w:szCs w:val="20"/>
              </w:rPr>
              <w:t>$</w:t>
            </w:r>
            <w:r w:rsidR="0013654D">
              <w:rPr>
                <w:rFonts w:ascii="Arial" w:hAnsi="Arial" w:cs="Arial"/>
                <w:sz w:val="20"/>
                <w:szCs w:val="20"/>
              </w:rPr>
              <w:t>11</w:t>
            </w:r>
            <w:r w:rsidRPr="00C85F72">
              <w:rPr>
                <w:rFonts w:ascii="Arial" w:hAnsi="Arial" w:cs="Arial"/>
                <w:sz w:val="20"/>
                <w:szCs w:val="20"/>
              </w:rPr>
              <w:t>,</w:t>
            </w:r>
            <w:r w:rsidR="0013654D">
              <w:rPr>
                <w:rFonts w:ascii="Arial" w:hAnsi="Arial" w:cs="Arial"/>
                <w:sz w:val="20"/>
                <w:szCs w:val="20"/>
              </w:rPr>
              <w:t>083.64</w:t>
            </w:r>
            <w:r w:rsidRPr="00C85F7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B946F9" w:rsidTr="00123FF0">
        <w:tc>
          <w:tcPr>
            <w:tcW w:w="390" w:type="dxa"/>
          </w:tcPr>
          <w:p w:rsidR="00B946F9" w:rsidRPr="00360DCD" w:rsidRDefault="00B946F9" w:rsidP="00123FF0">
            <w:pPr>
              <w:rPr>
                <w:rFonts w:ascii="Arial" w:hAnsi="Arial" w:cs="Arial"/>
                <w:sz w:val="20"/>
                <w:szCs w:val="20"/>
              </w:rPr>
            </w:pPr>
            <w:r w:rsidRPr="00360DCD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1870" w:type="dxa"/>
          </w:tcPr>
          <w:p w:rsidR="00B946F9" w:rsidRPr="00360DCD" w:rsidRDefault="00B946F9" w:rsidP="00123FF0">
            <w:pPr>
              <w:rPr>
                <w:rFonts w:ascii="Arial" w:hAnsi="Arial" w:cs="Arial"/>
                <w:sz w:val="20"/>
                <w:szCs w:val="20"/>
              </w:rPr>
            </w:pPr>
            <w:r w:rsidRPr="00360DCD">
              <w:rPr>
                <w:rFonts w:ascii="Arial" w:hAnsi="Arial" w:cs="Arial"/>
                <w:sz w:val="20"/>
                <w:szCs w:val="20"/>
              </w:rPr>
              <w:t xml:space="preserve">Credit of GA </w:t>
            </w:r>
            <w:r>
              <w:rPr>
                <w:rFonts w:ascii="Arial" w:hAnsi="Arial" w:cs="Arial"/>
                <w:sz w:val="20"/>
                <w:szCs w:val="20"/>
              </w:rPr>
              <w:t xml:space="preserve">RPP: Charge Type 142 </w:t>
            </w:r>
            <w:r w:rsidRPr="00360DCD">
              <w:rPr>
                <w:rFonts w:ascii="Arial" w:hAnsi="Arial" w:cs="Arial"/>
                <w:sz w:val="20"/>
                <w:szCs w:val="20"/>
              </w:rPr>
              <w:t>if the approach under IR 1b is used</w:t>
            </w:r>
          </w:p>
          <w:p w:rsidR="00B946F9" w:rsidRPr="00360DCD" w:rsidRDefault="00B946F9" w:rsidP="00123F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:rsidR="00B946F9" w:rsidRPr="00360DCD" w:rsidRDefault="00B946F9" w:rsidP="00123F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3605" w:type="dxa"/>
          </w:tcPr>
          <w:p w:rsidR="00B946F9" w:rsidRPr="00360DCD" w:rsidRDefault="00B946F9" w:rsidP="00123F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:rsidR="00B946F9" w:rsidRPr="00360DCD" w:rsidRDefault="00B946F9" w:rsidP="00123F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:rsidR="00B946F9" w:rsidRDefault="00B946F9" w:rsidP="0078302D"/>
    <w:sectPr w:rsidR="00B946F9" w:rsidSect="006A4F62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02D"/>
    <w:rsid w:val="000420F1"/>
    <w:rsid w:val="00126C39"/>
    <w:rsid w:val="0013654D"/>
    <w:rsid w:val="006A4F62"/>
    <w:rsid w:val="00775862"/>
    <w:rsid w:val="0078302D"/>
    <w:rsid w:val="008C695C"/>
    <w:rsid w:val="00B57FC6"/>
    <w:rsid w:val="00B946F9"/>
    <w:rsid w:val="00CF2AE7"/>
    <w:rsid w:val="00E7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F704C"/>
  <w15:chartTrackingRefBased/>
  <w15:docId w15:val="{99329653-D324-4223-B48B-BB331DD6E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46F9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Brooks</dc:creator>
  <cp:keywords/>
  <dc:description/>
  <cp:lastModifiedBy>Kim Brooks</cp:lastModifiedBy>
  <cp:revision>5</cp:revision>
  <dcterms:created xsi:type="dcterms:W3CDTF">2018-02-26T18:54:00Z</dcterms:created>
  <dcterms:modified xsi:type="dcterms:W3CDTF">2018-02-26T20:53:00Z</dcterms:modified>
</cp:coreProperties>
</file>