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3266B3" w14:textId="77777777" w:rsidR="006942E1" w:rsidRDefault="006942E1" w:rsidP="006942E1">
      <w:pPr>
        <w:pStyle w:val="Style1"/>
        <w:rPr>
          <w:rFonts w:ascii="Arial" w:hAnsi="Arial" w:cs="Arial"/>
          <w:spacing w:val="22"/>
          <w:sz w:val="32"/>
          <w:szCs w:val="32"/>
        </w:rPr>
      </w:pPr>
      <w:bookmarkStart w:id="0" w:name="_Hlk507959281"/>
      <w:r>
        <w:rPr>
          <w:rFonts w:ascii="Arial" w:hAnsi="Arial" w:cs="Arial"/>
          <w:spacing w:val="22"/>
          <w:sz w:val="32"/>
          <w:szCs w:val="32"/>
        </w:rPr>
        <w:t>ECONALYSIS CONSULTING SERVICES</w:t>
      </w:r>
    </w:p>
    <w:p w14:paraId="3C9AA390" w14:textId="73C040F9" w:rsidR="006942E1" w:rsidRDefault="006942E1" w:rsidP="006942E1">
      <w:pPr>
        <w:pStyle w:val="Style2"/>
        <w:rPr>
          <w:rFonts w:ascii="Verdana" w:hAnsi="Verdana" w:cs="Verdana"/>
          <w:spacing w:val="35"/>
          <w:sz w:val="14"/>
          <w:szCs w:val="14"/>
        </w:rPr>
      </w:pPr>
      <w:r>
        <w:rPr>
          <w:rFonts w:ascii="Verdana" w:hAnsi="Verdana" w:cs="Verdana"/>
          <w:spacing w:val="28"/>
          <w:sz w:val="14"/>
          <w:szCs w:val="14"/>
        </w:rPr>
        <w:t xml:space="preserve">SUITE 630. </w:t>
      </w:r>
      <w:r>
        <w:rPr>
          <w:rFonts w:ascii="Verdana" w:hAnsi="Verdana" w:cs="Verdana"/>
          <w:spacing w:val="28"/>
          <w:sz w:val="14"/>
          <w:szCs w:val="14"/>
        </w:rPr>
        <w:t xml:space="preserve">34 KING STREET EAST, TORONTO, ONTARIO </w:t>
      </w:r>
      <w:r>
        <w:rPr>
          <w:rFonts w:ascii="Verdana" w:hAnsi="Verdana" w:cs="Verdana"/>
          <w:spacing w:val="47"/>
          <w:sz w:val="14"/>
          <w:szCs w:val="14"/>
        </w:rPr>
        <w:t>M5C</w:t>
      </w:r>
      <w:r>
        <w:rPr>
          <w:rFonts w:ascii="Verdana" w:hAnsi="Verdana" w:cs="Verdana"/>
          <w:spacing w:val="28"/>
          <w:sz w:val="14"/>
          <w:szCs w:val="14"/>
        </w:rPr>
        <w:t xml:space="preserve"> </w:t>
      </w:r>
      <w:r>
        <w:rPr>
          <w:rFonts w:ascii="Verdana" w:hAnsi="Verdana" w:cs="Verdana"/>
          <w:spacing w:val="35"/>
          <w:sz w:val="14"/>
          <w:szCs w:val="14"/>
        </w:rPr>
        <w:t>2X8</w:t>
      </w:r>
    </w:p>
    <w:p w14:paraId="1381B08B" w14:textId="77777777" w:rsidR="006942E1" w:rsidRDefault="006942E1" w:rsidP="006942E1">
      <w:pPr>
        <w:pStyle w:val="Style2"/>
        <w:jc w:val="left"/>
        <w:rPr>
          <w:rFonts w:ascii="Verdana" w:hAnsi="Verdana" w:cs="Verdana"/>
          <w:spacing w:val="35"/>
          <w:sz w:val="14"/>
          <w:szCs w:val="14"/>
        </w:rPr>
      </w:pPr>
    </w:p>
    <w:p w14:paraId="715E872E" w14:textId="77777777" w:rsidR="006942E1" w:rsidRDefault="006942E1" w:rsidP="006942E1">
      <w:pPr>
        <w:pStyle w:val="Style2"/>
        <w:jc w:val="left"/>
        <w:rPr>
          <w:rFonts w:ascii="Verdana" w:hAnsi="Verdana" w:cs="Verdana"/>
          <w:spacing w:val="35"/>
          <w:sz w:val="14"/>
          <w:szCs w:val="14"/>
        </w:rPr>
      </w:pPr>
    </w:p>
    <w:p w14:paraId="5274E2E0" w14:textId="77777777" w:rsidR="006942E1" w:rsidRDefault="006942E1" w:rsidP="006942E1">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March 6, 2018</w:t>
      </w:r>
    </w:p>
    <w:p w14:paraId="69308C41" w14:textId="77777777" w:rsidR="006942E1" w:rsidRDefault="006942E1" w:rsidP="006942E1">
      <w:pPr>
        <w:spacing w:after="0" w:line="240" w:lineRule="auto"/>
        <w:rPr>
          <w:rFonts w:ascii="Arial" w:eastAsia="Times New Roman" w:hAnsi="Arial" w:cs="Arial"/>
          <w:sz w:val="24"/>
          <w:szCs w:val="24"/>
          <w:lang w:val="en-US"/>
        </w:rPr>
      </w:pPr>
    </w:p>
    <w:p w14:paraId="06819480" w14:textId="77777777" w:rsidR="006942E1" w:rsidRPr="0010667E" w:rsidRDefault="006942E1" w:rsidP="006942E1">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K</w:t>
      </w:r>
      <w:r w:rsidRPr="0010667E">
        <w:rPr>
          <w:rFonts w:ascii="Arial" w:eastAsia="Times New Roman" w:hAnsi="Arial" w:cs="Arial"/>
          <w:sz w:val="24"/>
          <w:szCs w:val="24"/>
          <w:lang w:val="en-US"/>
        </w:rPr>
        <w:t>irsten Walli</w:t>
      </w:r>
    </w:p>
    <w:p w14:paraId="342AA1C8" w14:textId="77777777" w:rsidR="006942E1" w:rsidRPr="0010667E" w:rsidRDefault="006942E1" w:rsidP="006942E1">
      <w:pPr>
        <w:spacing w:after="0" w:line="240" w:lineRule="auto"/>
        <w:rPr>
          <w:rFonts w:ascii="Arial" w:eastAsia="Times New Roman" w:hAnsi="Arial" w:cs="Arial"/>
          <w:sz w:val="24"/>
          <w:szCs w:val="24"/>
          <w:lang w:val="en-US"/>
        </w:rPr>
      </w:pPr>
      <w:r w:rsidRPr="0010667E">
        <w:rPr>
          <w:rFonts w:ascii="Arial" w:eastAsia="Times New Roman" w:hAnsi="Arial" w:cs="Arial"/>
          <w:sz w:val="24"/>
          <w:szCs w:val="24"/>
          <w:lang w:val="en-US"/>
        </w:rPr>
        <w:t>Board Secretary</w:t>
      </w:r>
    </w:p>
    <w:p w14:paraId="628D40BC" w14:textId="77777777" w:rsidR="006942E1" w:rsidRPr="0010667E" w:rsidRDefault="006942E1" w:rsidP="006942E1">
      <w:pPr>
        <w:spacing w:after="0" w:line="240" w:lineRule="auto"/>
        <w:rPr>
          <w:rFonts w:ascii="Arial" w:eastAsia="Times New Roman" w:hAnsi="Arial" w:cs="Arial"/>
          <w:sz w:val="24"/>
          <w:szCs w:val="24"/>
          <w:lang w:val="en-US"/>
        </w:rPr>
      </w:pPr>
      <w:r w:rsidRPr="0010667E">
        <w:rPr>
          <w:rFonts w:ascii="Arial" w:eastAsia="Times New Roman" w:hAnsi="Arial" w:cs="Arial"/>
          <w:sz w:val="24"/>
          <w:szCs w:val="24"/>
          <w:lang w:val="en-US"/>
        </w:rPr>
        <w:t>Ontario Energy Board</w:t>
      </w:r>
    </w:p>
    <w:p w14:paraId="5FF94649" w14:textId="77777777" w:rsidR="006942E1" w:rsidRPr="0010667E" w:rsidRDefault="006942E1" w:rsidP="006942E1">
      <w:pPr>
        <w:spacing w:after="0" w:line="240" w:lineRule="auto"/>
        <w:rPr>
          <w:rFonts w:ascii="Arial" w:eastAsia="Times New Roman" w:hAnsi="Arial" w:cs="Arial"/>
          <w:sz w:val="24"/>
          <w:szCs w:val="24"/>
          <w:lang w:val="en-US"/>
        </w:rPr>
      </w:pPr>
      <w:r w:rsidRPr="0010667E">
        <w:rPr>
          <w:rFonts w:ascii="Arial" w:eastAsia="Times New Roman" w:hAnsi="Arial" w:cs="Arial"/>
          <w:sz w:val="24"/>
          <w:szCs w:val="24"/>
          <w:lang w:val="en-US"/>
        </w:rPr>
        <w:t>2300 Yonge Street, 27</w:t>
      </w:r>
      <w:r w:rsidRPr="0010667E">
        <w:rPr>
          <w:rFonts w:ascii="Arial" w:eastAsia="Times New Roman" w:hAnsi="Arial" w:cs="Arial"/>
          <w:sz w:val="24"/>
          <w:szCs w:val="24"/>
          <w:vertAlign w:val="superscript"/>
          <w:lang w:val="en-US"/>
        </w:rPr>
        <w:t>th</w:t>
      </w:r>
      <w:r w:rsidRPr="0010667E">
        <w:rPr>
          <w:rFonts w:ascii="Arial" w:eastAsia="Times New Roman" w:hAnsi="Arial" w:cs="Arial"/>
          <w:sz w:val="24"/>
          <w:szCs w:val="24"/>
          <w:lang w:val="en-US"/>
        </w:rPr>
        <w:t xml:space="preserve"> Floor</w:t>
      </w:r>
    </w:p>
    <w:p w14:paraId="790A3E20" w14:textId="77777777" w:rsidR="006942E1" w:rsidRPr="0010667E" w:rsidRDefault="006942E1" w:rsidP="006942E1">
      <w:pPr>
        <w:spacing w:after="0" w:line="240" w:lineRule="auto"/>
        <w:rPr>
          <w:rFonts w:ascii="Arial" w:eastAsia="Times New Roman" w:hAnsi="Arial" w:cs="Arial"/>
          <w:sz w:val="24"/>
          <w:szCs w:val="24"/>
          <w:lang w:val="en-US"/>
        </w:rPr>
      </w:pPr>
      <w:r w:rsidRPr="0010667E">
        <w:rPr>
          <w:rFonts w:ascii="Arial" w:eastAsia="Times New Roman" w:hAnsi="Arial" w:cs="Arial"/>
          <w:sz w:val="24"/>
          <w:szCs w:val="24"/>
          <w:lang w:val="en-US"/>
        </w:rPr>
        <w:t>Toronto, ON M4P 1E4</w:t>
      </w:r>
    </w:p>
    <w:p w14:paraId="18FE4923" w14:textId="77777777" w:rsidR="006942E1" w:rsidRPr="0010667E" w:rsidRDefault="006942E1" w:rsidP="006942E1">
      <w:pPr>
        <w:spacing w:after="0" w:line="240" w:lineRule="auto"/>
        <w:rPr>
          <w:rFonts w:ascii="Arial" w:eastAsia="Times New Roman" w:hAnsi="Arial" w:cs="Arial"/>
          <w:sz w:val="24"/>
          <w:szCs w:val="24"/>
          <w:lang w:val="en-US"/>
        </w:rPr>
      </w:pPr>
    </w:p>
    <w:p w14:paraId="6E4892C3" w14:textId="77777777" w:rsidR="006942E1" w:rsidRPr="0010667E" w:rsidRDefault="006942E1" w:rsidP="006942E1">
      <w:pPr>
        <w:spacing w:after="0" w:line="240" w:lineRule="auto"/>
        <w:rPr>
          <w:rFonts w:ascii="Arial" w:eastAsia="Times New Roman" w:hAnsi="Arial" w:cs="Arial"/>
          <w:sz w:val="24"/>
          <w:szCs w:val="24"/>
          <w:lang w:val="en-US"/>
        </w:rPr>
      </w:pPr>
      <w:r w:rsidRPr="0010667E">
        <w:rPr>
          <w:rFonts w:ascii="Arial" w:eastAsia="Times New Roman" w:hAnsi="Arial" w:cs="Arial"/>
          <w:sz w:val="24"/>
          <w:szCs w:val="24"/>
          <w:lang w:val="en-US"/>
        </w:rPr>
        <w:t>Dear Ms. Walli:</w:t>
      </w:r>
    </w:p>
    <w:p w14:paraId="713334E1" w14:textId="77777777" w:rsidR="006942E1" w:rsidRPr="0010667E" w:rsidRDefault="006942E1" w:rsidP="006942E1">
      <w:pPr>
        <w:spacing w:after="0" w:line="240" w:lineRule="auto"/>
        <w:rPr>
          <w:rFonts w:ascii="Arial" w:eastAsia="Times New Roman" w:hAnsi="Arial" w:cs="Arial"/>
          <w:sz w:val="24"/>
          <w:szCs w:val="24"/>
          <w:lang w:val="en-US"/>
        </w:rPr>
      </w:pPr>
    </w:p>
    <w:p w14:paraId="5480871C" w14:textId="77777777" w:rsidR="006942E1" w:rsidRPr="0010667E" w:rsidRDefault="006942E1" w:rsidP="006942E1">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sz w:val="24"/>
          <w:szCs w:val="24"/>
          <w:lang w:val="en-US"/>
        </w:rPr>
      </w:pPr>
    </w:p>
    <w:p w14:paraId="61CC2240" w14:textId="77777777" w:rsidR="006942E1" w:rsidRPr="0010667E" w:rsidRDefault="006942E1" w:rsidP="006942E1">
      <w:pPr>
        <w:spacing w:after="0" w:line="240" w:lineRule="auto"/>
        <w:ind w:left="720" w:hanging="720"/>
        <w:rPr>
          <w:rFonts w:ascii="Arial" w:eastAsia="Times New Roman" w:hAnsi="Arial" w:cs="Arial"/>
          <w:b/>
          <w:sz w:val="24"/>
          <w:szCs w:val="24"/>
          <w:lang w:val="en-US"/>
        </w:rPr>
      </w:pPr>
      <w:r w:rsidRPr="0010667E">
        <w:rPr>
          <w:rFonts w:ascii="Arial" w:eastAsia="Times New Roman" w:hAnsi="Arial" w:cs="Arial"/>
          <w:b/>
          <w:color w:val="000000"/>
          <w:sz w:val="24"/>
          <w:szCs w:val="24"/>
          <w:lang w:val="en-US"/>
        </w:rPr>
        <w:t>Re:</w:t>
      </w:r>
      <w:r w:rsidRPr="0010667E">
        <w:rPr>
          <w:rFonts w:ascii="Arial" w:eastAsia="Times New Roman" w:hAnsi="Arial" w:cs="Arial"/>
          <w:b/>
          <w:color w:val="000000"/>
          <w:sz w:val="24"/>
          <w:szCs w:val="24"/>
          <w:lang w:val="en-US"/>
        </w:rPr>
        <w:tab/>
      </w:r>
      <w:r>
        <w:rPr>
          <w:rFonts w:ascii="Arial" w:eastAsia="Times New Roman" w:hAnsi="Arial" w:cs="Arial"/>
          <w:b/>
          <w:color w:val="000000"/>
          <w:sz w:val="24"/>
          <w:szCs w:val="24"/>
          <w:lang w:val="en-US"/>
        </w:rPr>
        <w:t>Hydro One Networks Inc.</w:t>
      </w:r>
      <w:r w:rsidRPr="0010667E">
        <w:rPr>
          <w:rFonts w:ascii="Arial" w:eastAsia="Times New Roman" w:hAnsi="Arial" w:cs="Times New Roman"/>
          <w:b/>
          <w:noProof/>
          <w:sz w:val="24"/>
          <w:szCs w:val="24"/>
          <w:lang w:val="en-US"/>
        </w:rPr>
        <w:t xml:space="preserve"> </w:t>
      </w:r>
    </w:p>
    <w:p w14:paraId="6F4ACC5C" w14:textId="029D51DF" w:rsidR="006942E1" w:rsidRDefault="006942E1" w:rsidP="006942E1">
      <w:pPr>
        <w:autoSpaceDE w:val="0"/>
        <w:autoSpaceDN w:val="0"/>
        <w:adjustRightInd w:val="0"/>
        <w:spacing w:after="0" w:line="240" w:lineRule="auto"/>
        <w:ind w:left="720"/>
        <w:rPr>
          <w:rFonts w:ascii="Arial" w:eastAsia="Times New Roman" w:hAnsi="Arial" w:cs="Arial"/>
          <w:b/>
          <w:bCs/>
          <w:sz w:val="24"/>
          <w:szCs w:val="24"/>
          <w:lang w:eastAsia="en-CA"/>
        </w:rPr>
      </w:pPr>
      <w:r>
        <w:rPr>
          <w:rFonts w:ascii="Arial" w:eastAsia="Times New Roman" w:hAnsi="Arial" w:cs="Arial"/>
          <w:b/>
          <w:bCs/>
          <w:sz w:val="24"/>
          <w:szCs w:val="24"/>
          <w:lang w:eastAsia="en-CA"/>
        </w:rPr>
        <w:t>Custom IR Distribution Rate Application</w:t>
      </w:r>
      <w:r>
        <w:rPr>
          <w:rFonts w:ascii="Arial" w:eastAsia="Times New Roman" w:hAnsi="Arial" w:cs="Arial"/>
          <w:b/>
          <w:bCs/>
          <w:sz w:val="24"/>
          <w:szCs w:val="24"/>
          <w:lang w:eastAsia="en-CA"/>
        </w:rPr>
        <w:t xml:space="preserve"> 201</w:t>
      </w:r>
      <w:r>
        <w:rPr>
          <w:rFonts w:ascii="Arial" w:eastAsia="Times New Roman" w:hAnsi="Arial" w:cs="Arial"/>
          <w:b/>
          <w:bCs/>
          <w:sz w:val="24"/>
          <w:szCs w:val="24"/>
          <w:lang w:eastAsia="en-CA"/>
        </w:rPr>
        <w:t>8-2022</w:t>
      </w:r>
    </w:p>
    <w:p w14:paraId="238EE0D5" w14:textId="77777777" w:rsidR="006942E1" w:rsidRDefault="006942E1" w:rsidP="006942E1">
      <w:pPr>
        <w:spacing w:after="0" w:line="240" w:lineRule="auto"/>
        <w:ind w:left="720"/>
        <w:rPr>
          <w:rFonts w:ascii="Arial" w:eastAsia="Times New Roman" w:hAnsi="Arial" w:cs="Arial"/>
          <w:b/>
          <w:noProof/>
          <w:sz w:val="24"/>
          <w:szCs w:val="24"/>
          <w:lang w:val="en-US"/>
        </w:rPr>
      </w:pPr>
      <w:r w:rsidRPr="0010667E">
        <w:rPr>
          <w:rFonts w:ascii="Arial" w:eastAsia="Times New Roman" w:hAnsi="Arial" w:cs="Arial"/>
          <w:b/>
          <w:sz w:val="24"/>
          <w:szCs w:val="24"/>
          <w:lang w:val="en-US"/>
        </w:rPr>
        <w:t xml:space="preserve">Board File Number </w:t>
      </w:r>
      <w:r w:rsidRPr="0010667E">
        <w:rPr>
          <w:rFonts w:ascii="Arial" w:eastAsia="Times New Roman" w:hAnsi="Arial" w:cs="Arial"/>
          <w:b/>
          <w:noProof/>
          <w:sz w:val="24"/>
          <w:szCs w:val="24"/>
          <w:lang w:val="en-US"/>
        </w:rPr>
        <w:t>EB-201</w:t>
      </w:r>
      <w:r>
        <w:rPr>
          <w:rFonts w:ascii="Arial" w:eastAsia="Times New Roman" w:hAnsi="Arial" w:cs="Arial"/>
          <w:b/>
          <w:noProof/>
          <w:sz w:val="24"/>
          <w:szCs w:val="24"/>
          <w:lang w:val="en-US"/>
        </w:rPr>
        <w:t>7</w:t>
      </w:r>
      <w:r w:rsidRPr="0010667E">
        <w:rPr>
          <w:rFonts w:ascii="Arial" w:eastAsia="Times New Roman" w:hAnsi="Arial" w:cs="Arial"/>
          <w:b/>
          <w:noProof/>
          <w:sz w:val="24"/>
          <w:szCs w:val="24"/>
          <w:lang w:val="en-US"/>
        </w:rPr>
        <w:t>-0</w:t>
      </w:r>
      <w:r>
        <w:rPr>
          <w:rFonts w:ascii="Arial" w:eastAsia="Times New Roman" w:hAnsi="Arial" w:cs="Arial"/>
          <w:b/>
          <w:noProof/>
          <w:sz w:val="24"/>
          <w:szCs w:val="24"/>
          <w:lang w:val="en-US"/>
        </w:rPr>
        <w:t>049</w:t>
      </w:r>
    </w:p>
    <w:p w14:paraId="3B540526" w14:textId="77777777" w:rsidR="006942E1" w:rsidRPr="0010667E" w:rsidRDefault="006942E1" w:rsidP="006942E1">
      <w:pPr>
        <w:spacing w:after="0" w:line="240" w:lineRule="auto"/>
        <w:ind w:left="720"/>
        <w:rPr>
          <w:rFonts w:ascii="Arial" w:eastAsia="Times New Roman" w:hAnsi="Arial" w:cs="Arial"/>
          <w:b/>
          <w:noProof/>
          <w:sz w:val="24"/>
          <w:szCs w:val="24"/>
          <w:lang w:val="en-US"/>
        </w:rPr>
      </w:pPr>
      <w:r>
        <w:rPr>
          <w:rFonts w:ascii="Arial" w:eastAsia="Times New Roman" w:hAnsi="Arial" w:cs="Arial"/>
          <w:b/>
          <w:noProof/>
          <w:sz w:val="24"/>
          <w:szCs w:val="24"/>
          <w:lang w:val="en-US"/>
        </w:rPr>
        <w:t>VECC’s Undertaking Questions for Techncial Conference Panel 3</w:t>
      </w:r>
    </w:p>
    <w:p w14:paraId="21565E5F" w14:textId="77777777" w:rsidR="006942E1" w:rsidRPr="0010667E" w:rsidRDefault="006942E1" w:rsidP="006942E1">
      <w:pPr>
        <w:widowControl w:val="0"/>
        <w:autoSpaceDE w:val="0"/>
        <w:autoSpaceDN w:val="0"/>
        <w:adjustRightInd w:val="0"/>
        <w:spacing w:after="0" w:line="240" w:lineRule="auto"/>
        <w:rPr>
          <w:rFonts w:ascii="Arial" w:eastAsia="Times New Roman" w:hAnsi="Arial" w:cs="Arial"/>
          <w:sz w:val="24"/>
          <w:szCs w:val="24"/>
          <w:lang w:val="en-GB"/>
        </w:rPr>
      </w:pPr>
    </w:p>
    <w:p w14:paraId="096F14A4" w14:textId="77777777" w:rsidR="006942E1" w:rsidRDefault="006942E1" w:rsidP="006942E1">
      <w:pPr>
        <w:pStyle w:val="Default"/>
        <w:spacing w:line="276" w:lineRule="auto"/>
      </w:pPr>
      <w:r>
        <w:t>As noted in the March 5, 2018 Technical Conference Transcript at page 149, Hydro One (Panel 3) undertook to respond to the written questions of VECC by way of Undertaking JT3.18.</w:t>
      </w:r>
    </w:p>
    <w:p w14:paraId="05779EEA" w14:textId="77777777" w:rsidR="006942E1" w:rsidRDefault="006942E1" w:rsidP="006942E1">
      <w:pPr>
        <w:pStyle w:val="Default"/>
        <w:spacing w:line="276" w:lineRule="auto"/>
      </w:pPr>
    </w:p>
    <w:p w14:paraId="5918277C" w14:textId="77777777" w:rsidR="006942E1" w:rsidRDefault="006942E1" w:rsidP="006942E1">
      <w:pPr>
        <w:pStyle w:val="Default"/>
        <w:spacing w:line="276" w:lineRule="auto"/>
      </w:pPr>
      <w:r>
        <w:t>VECC’s undertaking questions for Panel 3 are attached.</w:t>
      </w:r>
    </w:p>
    <w:p w14:paraId="0EAFADE5" w14:textId="77777777" w:rsidR="006942E1" w:rsidRDefault="006942E1" w:rsidP="006942E1">
      <w:pPr>
        <w:pStyle w:val="Default"/>
        <w:spacing w:line="276" w:lineRule="auto"/>
      </w:pPr>
    </w:p>
    <w:p w14:paraId="04AEE89C" w14:textId="77777777" w:rsidR="006942E1" w:rsidRPr="0010667E" w:rsidRDefault="006942E1" w:rsidP="006942E1">
      <w:pPr>
        <w:widowControl w:val="0"/>
        <w:autoSpaceDE w:val="0"/>
        <w:autoSpaceDN w:val="0"/>
        <w:adjustRightInd w:val="0"/>
        <w:spacing w:after="0" w:line="240" w:lineRule="auto"/>
        <w:rPr>
          <w:rFonts w:ascii="Arial" w:hAnsi="Arial" w:cs="Arial"/>
          <w:sz w:val="24"/>
          <w:szCs w:val="24"/>
        </w:rPr>
      </w:pPr>
      <w:r w:rsidRPr="0010667E">
        <w:rPr>
          <w:rFonts w:ascii="Arial" w:hAnsi="Arial" w:cs="Arial"/>
          <w:sz w:val="24"/>
          <w:szCs w:val="24"/>
        </w:rPr>
        <w:t>Yours truly,</w:t>
      </w:r>
    </w:p>
    <w:p w14:paraId="451E67E9" w14:textId="77777777" w:rsidR="006942E1" w:rsidRPr="0010667E" w:rsidRDefault="006942E1" w:rsidP="006942E1">
      <w:pPr>
        <w:widowControl w:val="0"/>
        <w:autoSpaceDE w:val="0"/>
        <w:autoSpaceDN w:val="0"/>
        <w:adjustRightInd w:val="0"/>
        <w:spacing w:after="0" w:line="240" w:lineRule="auto"/>
        <w:rPr>
          <w:rFonts w:ascii="Arial" w:hAnsi="Arial" w:cs="Arial"/>
          <w:i/>
          <w:iCs/>
          <w:sz w:val="24"/>
          <w:szCs w:val="24"/>
        </w:rPr>
      </w:pPr>
    </w:p>
    <w:p w14:paraId="3A853B2C" w14:textId="77777777" w:rsidR="006942E1" w:rsidRPr="00886BCA" w:rsidRDefault="006942E1" w:rsidP="006942E1">
      <w:pPr>
        <w:widowControl w:val="0"/>
        <w:autoSpaceDE w:val="0"/>
        <w:autoSpaceDN w:val="0"/>
        <w:adjustRightInd w:val="0"/>
        <w:spacing w:after="0" w:line="240" w:lineRule="auto"/>
        <w:rPr>
          <w:rFonts w:ascii="Arial" w:hAnsi="Arial" w:cs="Arial"/>
          <w:i/>
          <w:iCs/>
          <w:sz w:val="24"/>
          <w:szCs w:val="24"/>
        </w:rPr>
      </w:pPr>
      <w:r w:rsidRPr="00886BCA">
        <w:rPr>
          <w:rFonts w:ascii="Arial" w:hAnsi="Arial" w:cs="Arial"/>
          <w:i/>
          <w:iCs/>
          <w:sz w:val="24"/>
          <w:szCs w:val="24"/>
        </w:rPr>
        <w:t>William Harper</w:t>
      </w:r>
    </w:p>
    <w:p w14:paraId="243BE58C" w14:textId="77777777" w:rsidR="006942E1" w:rsidRPr="0010667E" w:rsidRDefault="006942E1" w:rsidP="006942E1">
      <w:pPr>
        <w:widowControl w:val="0"/>
        <w:autoSpaceDE w:val="0"/>
        <w:autoSpaceDN w:val="0"/>
        <w:adjustRightInd w:val="0"/>
        <w:spacing w:after="0" w:line="240" w:lineRule="auto"/>
        <w:rPr>
          <w:rFonts w:ascii="Arial" w:hAnsi="Arial" w:cs="Arial"/>
          <w:sz w:val="24"/>
          <w:szCs w:val="24"/>
        </w:rPr>
      </w:pPr>
    </w:p>
    <w:p w14:paraId="28E1E82E" w14:textId="77777777" w:rsidR="006942E1" w:rsidRDefault="006942E1" w:rsidP="006942E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Consultant for VECC</w:t>
      </w:r>
    </w:p>
    <w:p w14:paraId="7D94E8A6" w14:textId="77777777" w:rsidR="006942E1" w:rsidRDefault="006942E1" w:rsidP="006942E1">
      <w:pPr>
        <w:widowControl w:val="0"/>
        <w:autoSpaceDE w:val="0"/>
        <w:autoSpaceDN w:val="0"/>
        <w:adjustRightInd w:val="0"/>
        <w:spacing w:after="0" w:line="240" w:lineRule="auto"/>
        <w:rPr>
          <w:rFonts w:ascii="Arial" w:hAnsi="Arial" w:cs="Arial"/>
          <w:sz w:val="24"/>
          <w:szCs w:val="24"/>
        </w:rPr>
      </w:pPr>
    </w:p>
    <w:p w14:paraId="54AE347F" w14:textId="77777777" w:rsidR="006942E1" w:rsidRDefault="006942E1" w:rsidP="006942E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cc:  All Parties, EB-2017-0049</w:t>
      </w:r>
    </w:p>
    <w:p w14:paraId="3A20C048" w14:textId="77777777" w:rsidR="006942E1" w:rsidRDefault="006942E1" w:rsidP="006942E1">
      <w:pPr>
        <w:widowControl w:val="0"/>
        <w:autoSpaceDE w:val="0"/>
        <w:autoSpaceDN w:val="0"/>
        <w:adjustRightInd w:val="0"/>
        <w:spacing w:after="0" w:line="240" w:lineRule="auto"/>
        <w:rPr>
          <w:rFonts w:ascii="Arial" w:hAnsi="Arial" w:cs="Arial"/>
          <w:sz w:val="24"/>
          <w:szCs w:val="24"/>
        </w:rPr>
      </w:pPr>
    </w:p>
    <w:p w14:paraId="157D6353" w14:textId="77777777" w:rsidR="006942E1" w:rsidRDefault="006942E1" w:rsidP="006942E1">
      <w:pPr>
        <w:spacing w:after="120" w:line="240" w:lineRule="auto"/>
        <w:rPr>
          <w:rFonts w:ascii="Arial" w:hAnsi="Arial" w:cs="Arial"/>
          <w:sz w:val="24"/>
          <w:szCs w:val="24"/>
        </w:rPr>
      </w:pPr>
    </w:p>
    <w:p w14:paraId="398DB507" w14:textId="77777777" w:rsidR="006942E1" w:rsidRPr="006942E1" w:rsidRDefault="006942E1" w:rsidP="006942E1">
      <w:pPr>
        <w:pStyle w:val="Header"/>
        <w:jc w:val="center"/>
        <w:rPr>
          <w:rFonts w:ascii="Arial" w:hAnsi="Arial" w:cs="Arial"/>
          <w:bCs/>
          <w:sz w:val="24"/>
          <w:szCs w:val="24"/>
        </w:rPr>
      </w:pPr>
    </w:p>
    <w:p w14:paraId="0C66A8BC" w14:textId="77777777" w:rsidR="006942E1" w:rsidRPr="006942E1" w:rsidRDefault="006942E1" w:rsidP="006942E1">
      <w:pPr>
        <w:pStyle w:val="Header"/>
        <w:jc w:val="center"/>
        <w:rPr>
          <w:rFonts w:ascii="Arial" w:hAnsi="Arial" w:cs="Arial"/>
          <w:bCs/>
          <w:sz w:val="24"/>
          <w:szCs w:val="24"/>
        </w:rPr>
      </w:pPr>
    </w:p>
    <w:p w14:paraId="1016B42B" w14:textId="77777777" w:rsidR="006942E1" w:rsidRPr="006942E1" w:rsidRDefault="006942E1" w:rsidP="006942E1">
      <w:pPr>
        <w:pStyle w:val="Header"/>
        <w:jc w:val="center"/>
        <w:rPr>
          <w:rFonts w:ascii="Arial" w:hAnsi="Arial" w:cs="Arial"/>
          <w:bCs/>
          <w:sz w:val="24"/>
          <w:szCs w:val="24"/>
        </w:rPr>
      </w:pPr>
    </w:p>
    <w:p w14:paraId="7F388398" w14:textId="77777777" w:rsidR="006942E1" w:rsidRPr="006942E1" w:rsidRDefault="006942E1" w:rsidP="006942E1">
      <w:pPr>
        <w:pStyle w:val="Header"/>
        <w:jc w:val="center"/>
        <w:rPr>
          <w:rFonts w:ascii="Arial" w:hAnsi="Arial" w:cs="Arial"/>
          <w:bCs/>
          <w:sz w:val="24"/>
          <w:szCs w:val="24"/>
        </w:rPr>
        <w:sectPr w:rsidR="006942E1" w:rsidRPr="006942E1" w:rsidSect="003134C9">
          <w:headerReference w:type="default" r:id="rId9"/>
          <w:footerReference w:type="default" r:id="rId10"/>
          <w:pgSz w:w="12240" w:h="16340"/>
          <w:pgMar w:top="1158" w:right="909" w:bottom="651" w:left="1236" w:header="720" w:footer="720" w:gutter="0"/>
          <w:cols w:space="720"/>
          <w:noEndnote/>
        </w:sectPr>
      </w:pPr>
    </w:p>
    <w:p w14:paraId="543B5862" w14:textId="1588BB7F" w:rsidR="00F0512B" w:rsidRPr="00F0512B" w:rsidRDefault="00F0512B" w:rsidP="006942E1">
      <w:pPr>
        <w:pStyle w:val="Header"/>
        <w:jc w:val="center"/>
        <w:rPr>
          <w:rFonts w:ascii="Arial" w:hAnsi="Arial" w:cs="Arial"/>
          <w:b/>
          <w:bCs/>
          <w:sz w:val="24"/>
          <w:szCs w:val="24"/>
        </w:rPr>
      </w:pPr>
      <w:r w:rsidRPr="00F0512B">
        <w:rPr>
          <w:rFonts w:ascii="Arial" w:hAnsi="Arial" w:cs="Arial"/>
          <w:b/>
          <w:bCs/>
          <w:sz w:val="24"/>
          <w:szCs w:val="24"/>
        </w:rPr>
        <w:lastRenderedPageBreak/>
        <w:t>Hydro One Networks Inc. (HONI)</w:t>
      </w:r>
    </w:p>
    <w:p w14:paraId="0DF30381" w14:textId="13FC31D8" w:rsidR="00F0512B" w:rsidRPr="00F0512B" w:rsidRDefault="00F0512B" w:rsidP="00F0512B">
      <w:pPr>
        <w:jc w:val="center"/>
        <w:rPr>
          <w:rFonts w:ascii="Arial" w:hAnsi="Arial" w:cs="Arial"/>
          <w:b/>
          <w:sz w:val="24"/>
          <w:szCs w:val="24"/>
        </w:rPr>
      </w:pPr>
      <w:r w:rsidRPr="00F0512B">
        <w:rPr>
          <w:rFonts w:ascii="Arial" w:hAnsi="Arial" w:cs="Arial"/>
          <w:b/>
          <w:bCs/>
          <w:sz w:val="24"/>
          <w:szCs w:val="24"/>
        </w:rPr>
        <w:t xml:space="preserve">2018-2022 Custom IR Distribution </w:t>
      </w:r>
      <w:r>
        <w:rPr>
          <w:rFonts w:ascii="Arial" w:hAnsi="Arial" w:cs="Arial"/>
          <w:b/>
          <w:bCs/>
          <w:sz w:val="24"/>
          <w:szCs w:val="24"/>
        </w:rPr>
        <w:t>Application</w:t>
      </w:r>
      <w:r>
        <w:rPr>
          <w:rFonts w:ascii="Arial" w:hAnsi="Arial" w:cs="Arial"/>
          <w:b/>
          <w:bCs/>
          <w:sz w:val="24"/>
          <w:szCs w:val="24"/>
        </w:rPr>
        <w:br/>
        <w:t>VECC’s Panel 3</w:t>
      </w:r>
      <w:r w:rsidRPr="00F0512B">
        <w:rPr>
          <w:rFonts w:ascii="Arial" w:hAnsi="Arial" w:cs="Arial"/>
          <w:b/>
          <w:bCs/>
          <w:sz w:val="24"/>
          <w:szCs w:val="24"/>
        </w:rPr>
        <w:t xml:space="preserve"> Technical Conference</w:t>
      </w:r>
      <w:r>
        <w:rPr>
          <w:rFonts w:ascii="Arial" w:hAnsi="Arial" w:cs="Arial"/>
          <w:b/>
          <w:bCs/>
          <w:sz w:val="24"/>
          <w:szCs w:val="24"/>
        </w:rPr>
        <w:t xml:space="preserve"> Questions</w:t>
      </w:r>
    </w:p>
    <w:p w14:paraId="3EDA354B" w14:textId="77777777" w:rsidR="00F0512B" w:rsidRDefault="00F0512B" w:rsidP="00F0512B">
      <w:pPr>
        <w:spacing w:after="120" w:line="240" w:lineRule="auto"/>
        <w:rPr>
          <w:rFonts w:ascii="Arial" w:hAnsi="Arial" w:cs="Arial"/>
          <w:b/>
          <w:sz w:val="24"/>
          <w:szCs w:val="24"/>
        </w:rPr>
      </w:pPr>
    </w:p>
    <w:p w14:paraId="4D10F739" w14:textId="26D27907" w:rsidR="00F0512B" w:rsidRDefault="00F0512B" w:rsidP="00F0512B">
      <w:pPr>
        <w:spacing w:after="120" w:line="240" w:lineRule="auto"/>
        <w:rPr>
          <w:rFonts w:ascii="Arial" w:hAnsi="Arial" w:cs="Arial"/>
          <w:b/>
          <w:sz w:val="24"/>
          <w:szCs w:val="24"/>
        </w:rPr>
      </w:pPr>
      <w:r>
        <w:rPr>
          <w:rFonts w:ascii="Arial" w:hAnsi="Arial" w:cs="Arial"/>
          <w:b/>
          <w:sz w:val="24"/>
          <w:szCs w:val="24"/>
        </w:rPr>
        <w:t>Issue #46 – Is the load forecast methodology including the forecast of CDM savings appropriate?</w:t>
      </w:r>
    </w:p>
    <w:p w14:paraId="781A5F99" w14:textId="238EDF89" w:rsidR="00F0512B" w:rsidRPr="00F0512B" w:rsidRDefault="00F0512B" w:rsidP="00F0512B">
      <w:pPr>
        <w:spacing w:after="120" w:line="240" w:lineRule="auto"/>
        <w:rPr>
          <w:rFonts w:ascii="Arial" w:hAnsi="Arial" w:cs="Arial"/>
          <w:i/>
          <w:sz w:val="24"/>
          <w:szCs w:val="24"/>
          <w:u w:val="single"/>
        </w:rPr>
      </w:pPr>
      <w:r w:rsidRPr="00F0512B">
        <w:rPr>
          <w:rFonts w:ascii="Arial" w:hAnsi="Arial" w:cs="Arial"/>
          <w:i/>
          <w:sz w:val="24"/>
          <w:szCs w:val="24"/>
          <w:u w:val="single"/>
        </w:rPr>
        <w:t>Topic:  Historical CDM Included in Load Forecast Model</w:t>
      </w:r>
    </w:p>
    <w:p w14:paraId="57379AF5" w14:textId="00120F0F" w:rsidR="00DF297C" w:rsidRDefault="00D94720" w:rsidP="00F0512B">
      <w:pPr>
        <w:spacing w:after="120" w:line="240" w:lineRule="auto"/>
        <w:contextualSpacing/>
        <w:rPr>
          <w:rFonts w:ascii="Arial" w:hAnsi="Arial" w:cs="Arial"/>
          <w:sz w:val="24"/>
          <w:szCs w:val="24"/>
        </w:rPr>
      </w:pPr>
      <w:r>
        <w:rPr>
          <w:rFonts w:ascii="Arial" w:hAnsi="Arial" w:cs="Arial"/>
          <w:b/>
          <w:sz w:val="24"/>
          <w:szCs w:val="24"/>
        </w:rPr>
        <w:t xml:space="preserve">TC </w:t>
      </w:r>
      <w:r w:rsidR="00DF297C" w:rsidRPr="00F0512B">
        <w:rPr>
          <w:rFonts w:ascii="Arial" w:hAnsi="Arial" w:cs="Arial"/>
          <w:b/>
          <w:sz w:val="24"/>
          <w:szCs w:val="24"/>
        </w:rPr>
        <w:t>Question #</w:t>
      </w:r>
      <w:r w:rsidR="00F03973" w:rsidRPr="00F0512B">
        <w:rPr>
          <w:rFonts w:ascii="Arial" w:hAnsi="Arial" w:cs="Arial"/>
          <w:b/>
          <w:sz w:val="24"/>
          <w:szCs w:val="24"/>
        </w:rPr>
        <w:t>1</w:t>
      </w:r>
      <w:r w:rsidR="00DF297C" w:rsidRPr="00F0512B">
        <w:rPr>
          <w:rFonts w:ascii="Arial" w:hAnsi="Arial" w:cs="Arial"/>
          <w:b/>
          <w:sz w:val="24"/>
          <w:szCs w:val="24"/>
        </w:rPr>
        <w:br/>
      </w:r>
      <w:r w:rsidR="00DF297C" w:rsidRPr="00F0512B">
        <w:rPr>
          <w:rFonts w:ascii="Arial" w:hAnsi="Arial" w:cs="Arial"/>
          <w:b/>
          <w:sz w:val="24"/>
          <w:szCs w:val="24"/>
        </w:rPr>
        <w:br/>
      </w:r>
      <w:r w:rsidR="00F0512B">
        <w:rPr>
          <w:rFonts w:ascii="Arial" w:hAnsi="Arial" w:cs="Arial"/>
          <w:sz w:val="24"/>
          <w:szCs w:val="24"/>
        </w:rPr>
        <w:t>Reference:</w:t>
      </w:r>
      <w:r w:rsidR="00F0512B">
        <w:rPr>
          <w:rFonts w:ascii="Arial" w:hAnsi="Arial" w:cs="Arial"/>
          <w:sz w:val="24"/>
          <w:szCs w:val="24"/>
        </w:rPr>
        <w:tab/>
        <w:t>43-VECC-75</w:t>
      </w:r>
    </w:p>
    <w:p w14:paraId="0FCFF2A9" w14:textId="60FA29A9" w:rsidR="005978A5" w:rsidRDefault="005978A5" w:rsidP="00F0512B">
      <w:pPr>
        <w:spacing w:after="120" w:line="240" w:lineRule="auto"/>
        <w:contextualSpacing/>
        <w:rPr>
          <w:rFonts w:ascii="Arial" w:hAnsi="Arial" w:cs="Arial"/>
          <w:sz w:val="24"/>
          <w:szCs w:val="24"/>
        </w:rPr>
      </w:pPr>
      <w:r>
        <w:rPr>
          <w:rFonts w:ascii="Arial" w:hAnsi="Arial" w:cs="Arial"/>
          <w:sz w:val="24"/>
          <w:szCs w:val="24"/>
        </w:rPr>
        <w:tab/>
      </w:r>
      <w:r>
        <w:rPr>
          <w:rFonts w:ascii="Arial" w:hAnsi="Arial" w:cs="Arial"/>
          <w:sz w:val="24"/>
          <w:szCs w:val="24"/>
        </w:rPr>
        <w:tab/>
        <w:t>43-VECC-65</w:t>
      </w:r>
    </w:p>
    <w:p w14:paraId="19EE0245" w14:textId="1F8F8F80" w:rsidR="00F0512B" w:rsidRDefault="00F0512B" w:rsidP="00A12DE5">
      <w:pPr>
        <w:spacing w:after="120" w:line="240" w:lineRule="auto"/>
        <w:rPr>
          <w:rFonts w:ascii="Arial" w:hAnsi="Arial" w:cs="Arial"/>
          <w:sz w:val="24"/>
          <w:szCs w:val="24"/>
        </w:rPr>
      </w:pPr>
      <w:r>
        <w:rPr>
          <w:rFonts w:ascii="Arial" w:hAnsi="Arial" w:cs="Arial"/>
          <w:sz w:val="24"/>
          <w:szCs w:val="24"/>
        </w:rPr>
        <w:tab/>
      </w:r>
      <w:r>
        <w:rPr>
          <w:rFonts w:ascii="Arial" w:hAnsi="Arial" w:cs="Arial"/>
          <w:sz w:val="24"/>
          <w:szCs w:val="24"/>
        </w:rPr>
        <w:tab/>
        <w:t>2016 Ontario Planning Outlook (</w:t>
      </w:r>
      <w:r w:rsidR="00D40FCB">
        <w:rPr>
          <w:rFonts w:ascii="Arial" w:hAnsi="Arial" w:cs="Arial"/>
          <w:sz w:val="24"/>
          <w:szCs w:val="24"/>
        </w:rPr>
        <w:t>OPO)</w:t>
      </w:r>
      <w:r w:rsidR="00A12DE5">
        <w:rPr>
          <w:rFonts w:ascii="Arial" w:hAnsi="Arial" w:cs="Arial"/>
          <w:sz w:val="24"/>
          <w:szCs w:val="24"/>
        </w:rPr>
        <w:t xml:space="preserve"> </w:t>
      </w:r>
      <w:hyperlink r:id="rId11" w:history="1">
        <w:r w:rsidR="00A12DE5" w:rsidRPr="006C73AE">
          <w:rPr>
            <w:rStyle w:val="Hyperlink"/>
            <w:rFonts w:ascii="Arial" w:hAnsi="Arial" w:cs="Arial"/>
            <w:sz w:val="24"/>
            <w:szCs w:val="24"/>
          </w:rPr>
          <w:t>http://www.ieso.ca/sector-participants/planning-and-forecasting/ontario-planning-outlook</w:t>
        </w:r>
      </w:hyperlink>
    </w:p>
    <w:p w14:paraId="1BED5058" w14:textId="77777777" w:rsidR="00F0512B" w:rsidRDefault="00DF297C" w:rsidP="00F0512B">
      <w:pPr>
        <w:spacing w:after="120" w:line="240" w:lineRule="auto"/>
        <w:contextualSpacing/>
        <w:rPr>
          <w:rFonts w:ascii="Arial" w:hAnsi="Arial" w:cs="Arial"/>
          <w:sz w:val="24"/>
          <w:szCs w:val="24"/>
        </w:rPr>
      </w:pPr>
      <w:r w:rsidRPr="00F0512B">
        <w:rPr>
          <w:rFonts w:ascii="Arial" w:hAnsi="Arial" w:cs="Arial"/>
          <w:sz w:val="24"/>
          <w:szCs w:val="24"/>
        </w:rPr>
        <w:t>Preamble:</w:t>
      </w:r>
      <w:r w:rsidR="00F0512B">
        <w:rPr>
          <w:rFonts w:ascii="Arial" w:hAnsi="Arial" w:cs="Arial"/>
          <w:b/>
          <w:sz w:val="24"/>
          <w:szCs w:val="24"/>
        </w:rPr>
        <w:tab/>
      </w:r>
      <w:r w:rsidR="00F0512B">
        <w:rPr>
          <w:rFonts w:ascii="Arial" w:hAnsi="Arial" w:cs="Arial"/>
          <w:sz w:val="24"/>
          <w:szCs w:val="24"/>
        </w:rPr>
        <w:t>The load forecast models use actual load data up to and including 2016</w:t>
      </w:r>
    </w:p>
    <w:p w14:paraId="6CB846DC" w14:textId="6EE1133B" w:rsidR="00D40FCB" w:rsidRDefault="00F0512B" w:rsidP="00F0512B">
      <w:pPr>
        <w:spacing w:after="120" w:line="240" w:lineRule="auto"/>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0045524A">
        <w:rPr>
          <w:rFonts w:ascii="Arial" w:hAnsi="Arial" w:cs="Arial"/>
          <w:sz w:val="24"/>
          <w:szCs w:val="24"/>
        </w:rPr>
        <w:t>(E1/T2/S1, page 7).</w:t>
      </w:r>
      <w:bookmarkEnd w:id="0"/>
    </w:p>
    <w:p w14:paraId="7AA518AE" w14:textId="781D1E4B" w:rsidR="00D40FCB" w:rsidRDefault="00D40FCB" w:rsidP="00D40FCB">
      <w:pPr>
        <w:spacing w:after="120" w:line="240" w:lineRule="auto"/>
        <w:contextualSpacing/>
        <w:rPr>
          <w:rFonts w:ascii="Arial" w:hAnsi="Arial" w:cs="Arial"/>
          <w:sz w:val="24"/>
          <w:szCs w:val="24"/>
        </w:rPr>
      </w:pPr>
      <w:r>
        <w:rPr>
          <w:rFonts w:ascii="Arial" w:hAnsi="Arial" w:cs="Arial"/>
          <w:sz w:val="24"/>
          <w:szCs w:val="24"/>
        </w:rPr>
        <w:tab/>
      </w:r>
      <w:r>
        <w:rPr>
          <w:rFonts w:ascii="Arial" w:hAnsi="Arial" w:cs="Arial"/>
          <w:sz w:val="24"/>
          <w:szCs w:val="24"/>
        </w:rPr>
        <w:tab/>
        <w:t>VECC 75, Attachment</w:t>
      </w:r>
      <w:r w:rsidR="005978A5">
        <w:rPr>
          <w:rFonts w:ascii="Arial" w:hAnsi="Arial" w:cs="Arial"/>
          <w:sz w:val="24"/>
          <w:szCs w:val="24"/>
        </w:rPr>
        <w:t xml:space="preserve"> </w:t>
      </w:r>
      <w:r>
        <w:rPr>
          <w:rFonts w:ascii="Arial" w:hAnsi="Arial" w:cs="Arial"/>
          <w:sz w:val="24"/>
          <w:szCs w:val="24"/>
        </w:rPr>
        <w:t xml:space="preserve">1 indicates that the historical CDM savings attributable to </w:t>
      </w:r>
    </w:p>
    <w:p w14:paraId="102024A7" w14:textId="77777777" w:rsidR="005978A5" w:rsidRDefault="00D40FCB" w:rsidP="00D40FCB">
      <w:pPr>
        <w:spacing w:after="120" w:line="240" w:lineRule="auto"/>
        <w:ind w:left="714" w:firstLine="720"/>
        <w:rPr>
          <w:rFonts w:ascii="Arial" w:hAnsi="Arial" w:cs="Arial"/>
          <w:sz w:val="24"/>
          <w:szCs w:val="24"/>
        </w:rPr>
      </w:pPr>
      <w:r>
        <w:rPr>
          <w:rFonts w:ascii="Arial" w:hAnsi="Arial" w:cs="Arial"/>
          <w:sz w:val="24"/>
          <w:szCs w:val="24"/>
        </w:rPr>
        <w:t>Hydro One’s service area were derived from CDM savings reported in the OPO.</w:t>
      </w:r>
    </w:p>
    <w:p w14:paraId="1FD6E804" w14:textId="77777777" w:rsidR="005978A5" w:rsidRDefault="005978A5" w:rsidP="005978A5">
      <w:pPr>
        <w:spacing w:after="120" w:line="240" w:lineRule="auto"/>
        <w:ind w:left="714" w:firstLine="720"/>
        <w:contextualSpacing/>
        <w:rPr>
          <w:rFonts w:ascii="Arial" w:hAnsi="Arial" w:cs="Arial"/>
          <w:sz w:val="24"/>
          <w:szCs w:val="24"/>
        </w:rPr>
      </w:pPr>
      <w:r>
        <w:rPr>
          <w:rFonts w:ascii="Arial" w:hAnsi="Arial" w:cs="Arial"/>
          <w:sz w:val="24"/>
          <w:szCs w:val="24"/>
        </w:rPr>
        <w:t xml:space="preserve">VECC-65 confirms that the CDM savings shown in in Exhibit E1/Tab 2/Schedule </w:t>
      </w:r>
    </w:p>
    <w:p w14:paraId="57CC380E" w14:textId="2470D550" w:rsidR="005E0BBD" w:rsidRPr="00F0512B" w:rsidRDefault="005978A5" w:rsidP="005E0BBD">
      <w:pPr>
        <w:spacing w:after="120" w:line="240" w:lineRule="auto"/>
        <w:ind w:left="714" w:firstLine="720"/>
        <w:rPr>
          <w:rFonts w:ascii="Arial" w:hAnsi="Arial" w:cs="Arial"/>
          <w:sz w:val="24"/>
          <w:szCs w:val="24"/>
        </w:rPr>
      </w:pPr>
      <w:r>
        <w:rPr>
          <w:rFonts w:ascii="Arial" w:hAnsi="Arial" w:cs="Arial"/>
          <w:sz w:val="24"/>
          <w:szCs w:val="24"/>
        </w:rPr>
        <w:t>1, page 42 – Table E.9 are end-use values.</w:t>
      </w:r>
    </w:p>
    <w:p w14:paraId="65D56483" w14:textId="7BD918B8" w:rsidR="00F0512B" w:rsidRDefault="00F0512B" w:rsidP="00D40FCB">
      <w:pPr>
        <w:pStyle w:val="ListParagraph"/>
        <w:numPr>
          <w:ilvl w:val="0"/>
          <w:numId w:val="1"/>
        </w:numPr>
        <w:spacing w:after="120" w:line="240" w:lineRule="auto"/>
        <w:ind w:left="714" w:hanging="357"/>
        <w:contextualSpacing w:val="0"/>
        <w:rPr>
          <w:rFonts w:ascii="Arial" w:hAnsi="Arial" w:cs="Arial"/>
          <w:sz w:val="24"/>
          <w:szCs w:val="24"/>
        </w:rPr>
      </w:pPr>
      <w:r>
        <w:rPr>
          <w:rFonts w:ascii="Arial" w:hAnsi="Arial" w:cs="Arial"/>
          <w:sz w:val="24"/>
          <w:szCs w:val="24"/>
        </w:rPr>
        <w:t>VECC 75 indicates that the historical CDM savings were taken from the 2016 Ontario Planning Outlook (OPO).  However, the OPO only provides historical CDM savings up to 2015.  Please indicate where the 2016 actual savings came from and provide a reference to/copy of the source.</w:t>
      </w:r>
    </w:p>
    <w:p w14:paraId="529657EF" w14:textId="3B166652" w:rsidR="00D40FCB" w:rsidRDefault="00D40FCB" w:rsidP="00D40FCB">
      <w:pPr>
        <w:pStyle w:val="ListParagraph"/>
        <w:numPr>
          <w:ilvl w:val="0"/>
          <w:numId w:val="1"/>
        </w:numPr>
        <w:spacing w:after="120" w:line="240" w:lineRule="auto"/>
        <w:ind w:left="714" w:hanging="357"/>
        <w:contextualSpacing w:val="0"/>
        <w:rPr>
          <w:rFonts w:ascii="Arial" w:hAnsi="Arial" w:cs="Arial"/>
          <w:sz w:val="24"/>
          <w:szCs w:val="24"/>
        </w:rPr>
      </w:pPr>
      <w:r>
        <w:rPr>
          <w:rFonts w:ascii="Arial" w:hAnsi="Arial" w:cs="Arial"/>
          <w:sz w:val="24"/>
          <w:szCs w:val="24"/>
        </w:rPr>
        <w:t xml:space="preserve">Attachment 1 indicates that </w:t>
      </w:r>
      <w:r w:rsidR="00AF3D5B">
        <w:rPr>
          <w:rFonts w:ascii="Arial" w:hAnsi="Arial" w:cs="Arial"/>
          <w:sz w:val="24"/>
          <w:szCs w:val="24"/>
        </w:rPr>
        <w:t xml:space="preserve">16.56% of historical provincial CDM savings due Codes and Standards (C&amp;S) was assumed to be attributable to Hydro One’ service area.  It also indicated that the 16.56% represents Hydro’s One’s share of the targeted CDM savings for 2015-2020.  Please explain </w:t>
      </w:r>
      <w:r w:rsidR="007C73D0">
        <w:rPr>
          <w:rFonts w:ascii="Arial" w:hAnsi="Arial" w:cs="Arial"/>
          <w:sz w:val="24"/>
          <w:szCs w:val="24"/>
        </w:rPr>
        <w:t>how</w:t>
      </w:r>
      <w:r w:rsidR="00AF3D5B">
        <w:rPr>
          <w:rFonts w:ascii="Arial" w:hAnsi="Arial" w:cs="Arial"/>
          <w:sz w:val="24"/>
          <w:szCs w:val="24"/>
        </w:rPr>
        <w:t xml:space="preserve"> the use of this percentage appropriately </w:t>
      </w:r>
      <w:r w:rsidR="007C73D0">
        <w:rPr>
          <w:rFonts w:ascii="Arial" w:hAnsi="Arial" w:cs="Arial"/>
          <w:sz w:val="24"/>
          <w:szCs w:val="24"/>
        </w:rPr>
        <w:t>reflects</w:t>
      </w:r>
      <w:r w:rsidR="00AF3D5B">
        <w:rPr>
          <w:rFonts w:ascii="Arial" w:hAnsi="Arial" w:cs="Arial"/>
          <w:sz w:val="24"/>
          <w:szCs w:val="24"/>
        </w:rPr>
        <w:t xml:space="preserve"> Hydro One’s share of historical C&amp;S savings.</w:t>
      </w:r>
    </w:p>
    <w:p w14:paraId="32F76EAC" w14:textId="1B8751DF" w:rsidR="00AF3D5B" w:rsidRDefault="005978A5" w:rsidP="00D40FCB">
      <w:pPr>
        <w:pStyle w:val="ListParagraph"/>
        <w:numPr>
          <w:ilvl w:val="0"/>
          <w:numId w:val="1"/>
        </w:numPr>
        <w:spacing w:after="120" w:line="240" w:lineRule="auto"/>
        <w:ind w:left="714" w:hanging="357"/>
        <w:contextualSpacing w:val="0"/>
        <w:rPr>
          <w:rFonts w:ascii="Arial" w:hAnsi="Arial" w:cs="Arial"/>
          <w:sz w:val="24"/>
          <w:szCs w:val="24"/>
        </w:rPr>
      </w:pPr>
      <w:r>
        <w:rPr>
          <w:rFonts w:ascii="Arial" w:hAnsi="Arial" w:cs="Arial"/>
          <w:sz w:val="24"/>
          <w:szCs w:val="24"/>
        </w:rPr>
        <w:t xml:space="preserve">Also, </w:t>
      </w:r>
      <w:r w:rsidR="00AF3D5B">
        <w:rPr>
          <w:rFonts w:ascii="Arial" w:hAnsi="Arial" w:cs="Arial"/>
          <w:sz w:val="24"/>
          <w:szCs w:val="24"/>
        </w:rPr>
        <w:t xml:space="preserve">Attachment </w:t>
      </w:r>
      <w:r>
        <w:rPr>
          <w:rFonts w:ascii="Arial" w:hAnsi="Arial" w:cs="Arial"/>
          <w:sz w:val="24"/>
          <w:szCs w:val="24"/>
        </w:rPr>
        <w:t xml:space="preserve">1 </w:t>
      </w:r>
      <w:r w:rsidR="00AF3D5B">
        <w:rPr>
          <w:rFonts w:ascii="Arial" w:hAnsi="Arial" w:cs="Arial"/>
          <w:sz w:val="24"/>
          <w:szCs w:val="24"/>
        </w:rPr>
        <w:t>shows H</w:t>
      </w:r>
      <w:r>
        <w:rPr>
          <w:rFonts w:ascii="Arial" w:hAnsi="Arial" w:cs="Arial"/>
          <w:sz w:val="24"/>
          <w:szCs w:val="24"/>
        </w:rPr>
        <w:t xml:space="preserve">ydro One </w:t>
      </w:r>
      <w:r w:rsidR="00AF3D5B">
        <w:rPr>
          <w:rFonts w:ascii="Arial" w:hAnsi="Arial" w:cs="Arial"/>
          <w:sz w:val="24"/>
          <w:szCs w:val="24"/>
        </w:rPr>
        <w:t>total end use CDM</w:t>
      </w:r>
      <w:r>
        <w:rPr>
          <w:rFonts w:ascii="Arial" w:hAnsi="Arial" w:cs="Arial"/>
          <w:sz w:val="24"/>
          <w:szCs w:val="24"/>
        </w:rPr>
        <w:t xml:space="preserve"> savings for 2016 of 1,866.7 G</w:t>
      </w:r>
      <w:r w:rsidR="007C73D0">
        <w:rPr>
          <w:rFonts w:ascii="Arial" w:hAnsi="Arial" w:cs="Arial"/>
          <w:sz w:val="24"/>
          <w:szCs w:val="24"/>
        </w:rPr>
        <w:t>Wh whereas</w:t>
      </w:r>
      <w:r w:rsidR="00AF3D5B">
        <w:rPr>
          <w:rFonts w:ascii="Arial" w:hAnsi="Arial" w:cs="Arial"/>
          <w:sz w:val="24"/>
          <w:szCs w:val="24"/>
        </w:rPr>
        <w:t xml:space="preserve"> Exhibit E1/Tab 2/Schedule 1, page 42 – Table E.2 shows total end use savings for the same year of </w:t>
      </w:r>
      <w:r>
        <w:rPr>
          <w:rFonts w:ascii="Arial" w:hAnsi="Arial" w:cs="Arial"/>
          <w:sz w:val="24"/>
          <w:szCs w:val="24"/>
        </w:rPr>
        <w:t>2,765 G</w:t>
      </w:r>
      <w:r w:rsidR="00AF3D5B">
        <w:rPr>
          <w:rFonts w:ascii="Arial" w:hAnsi="Arial" w:cs="Arial"/>
          <w:sz w:val="24"/>
          <w:szCs w:val="24"/>
        </w:rPr>
        <w:t>Wh</w:t>
      </w:r>
      <w:r w:rsidR="00D94720">
        <w:rPr>
          <w:rFonts w:ascii="Arial" w:hAnsi="Arial" w:cs="Arial"/>
          <w:sz w:val="24"/>
          <w:szCs w:val="24"/>
        </w:rPr>
        <w:t>.  Similar differences exist for all historical years.  Please reconcile the differences and/or correct the data/forecast as required.</w:t>
      </w:r>
    </w:p>
    <w:p w14:paraId="1526283C" w14:textId="4582B60A" w:rsidR="00D94720" w:rsidRPr="00D94720" w:rsidRDefault="00D94720" w:rsidP="00D94720">
      <w:pPr>
        <w:pStyle w:val="ListParagraph"/>
        <w:numPr>
          <w:ilvl w:val="0"/>
          <w:numId w:val="1"/>
        </w:numPr>
        <w:rPr>
          <w:rFonts w:ascii="Arial" w:hAnsi="Arial" w:cs="Arial"/>
          <w:sz w:val="24"/>
          <w:szCs w:val="24"/>
        </w:rPr>
      </w:pPr>
      <w:r>
        <w:rPr>
          <w:rFonts w:ascii="Arial" w:hAnsi="Arial" w:cs="Arial"/>
          <w:sz w:val="24"/>
          <w:szCs w:val="24"/>
        </w:rPr>
        <w:t xml:space="preserve">Please clarify </w:t>
      </w:r>
      <w:r w:rsidRPr="00D94720">
        <w:rPr>
          <w:rFonts w:ascii="Arial" w:hAnsi="Arial" w:cs="Arial"/>
          <w:sz w:val="24"/>
          <w:szCs w:val="24"/>
        </w:rPr>
        <w:t>whether historical savings set out in the OPO are:  i) based on the annualized savings from EE programs assuming all savings from a year’s programs</w:t>
      </w:r>
      <w:r w:rsidR="007C73D0">
        <w:rPr>
          <w:rFonts w:ascii="Arial" w:hAnsi="Arial" w:cs="Arial"/>
          <w:sz w:val="24"/>
          <w:szCs w:val="24"/>
        </w:rPr>
        <w:t xml:space="preserve"> come into play on January 1st </w:t>
      </w:r>
      <w:r w:rsidRPr="00D94720">
        <w:rPr>
          <w:rFonts w:ascii="Arial" w:hAnsi="Arial" w:cs="Arial"/>
          <w:sz w:val="24"/>
          <w:szCs w:val="24"/>
        </w:rPr>
        <w:t>or ii) based on actual savings for the year which would recognize that EE programs are implemented throughout the year?</w:t>
      </w:r>
    </w:p>
    <w:p w14:paraId="7AC88C49" w14:textId="77777777" w:rsidR="00D94720" w:rsidRDefault="00D94720" w:rsidP="00D94720">
      <w:pPr>
        <w:spacing w:after="120" w:line="240" w:lineRule="auto"/>
        <w:ind w:left="360"/>
        <w:rPr>
          <w:rFonts w:ascii="Arial" w:hAnsi="Arial" w:cs="Arial"/>
          <w:sz w:val="24"/>
          <w:szCs w:val="24"/>
        </w:rPr>
      </w:pPr>
    </w:p>
    <w:p w14:paraId="3BFDE611" w14:textId="77777777" w:rsidR="00D94720" w:rsidRDefault="00D94720">
      <w:pPr>
        <w:rPr>
          <w:rFonts w:ascii="Arial" w:hAnsi="Arial" w:cs="Arial"/>
          <w:b/>
          <w:sz w:val="24"/>
          <w:szCs w:val="24"/>
        </w:rPr>
      </w:pPr>
      <w:r>
        <w:rPr>
          <w:rFonts w:ascii="Arial" w:hAnsi="Arial" w:cs="Arial"/>
          <w:b/>
          <w:sz w:val="24"/>
          <w:szCs w:val="24"/>
        </w:rPr>
        <w:br w:type="page"/>
      </w:r>
    </w:p>
    <w:p w14:paraId="6C7563A5" w14:textId="60CE652A" w:rsidR="00D94720" w:rsidRDefault="00D94720" w:rsidP="00555211">
      <w:pPr>
        <w:spacing w:after="120" w:line="240" w:lineRule="auto"/>
        <w:contextualSpacing/>
        <w:rPr>
          <w:rFonts w:ascii="Arial" w:hAnsi="Arial" w:cs="Arial"/>
          <w:sz w:val="24"/>
          <w:szCs w:val="24"/>
        </w:rPr>
      </w:pPr>
      <w:r>
        <w:rPr>
          <w:rFonts w:ascii="Arial" w:hAnsi="Arial" w:cs="Arial"/>
          <w:b/>
          <w:sz w:val="24"/>
          <w:szCs w:val="24"/>
        </w:rPr>
        <w:t xml:space="preserve">TC </w:t>
      </w:r>
      <w:r w:rsidRPr="00F0512B">
        <w:rPr>
          <w:rFonts w:ascii="Arial" w:hAnsi="Arial" w:cs="Arial"/>
          <w:b/>
          <w:sz w:val="24"/>
          <w:szCs w:val="24"/>
        </w:rPr>
        <w:t>Question #</w:t>
      </w:r>
      <w:r>
        <w:rPr>
          <w:rFonts w:ascii="Arial" w:hAnsi="Arial" w:cs="Arial"/>
          <w:b/>
          <w:sz w:val="24"/>
          <w:szCs w:val="24"/>
        </w:rPr>
        <w:t>2</w:t>
      </w:r>
      <w:r w:rsidRPr="00F0512B">
        <w:rPr>
          <w:rFonts w:ascii="Arial" w:hAnsi="Arial" w:cs="Arial"/>
          <w:b/>
          <w:sz w:val="24"/>
          <w:szCs w:val="24"/>
        </w:rPr>
        <w:br/>
      </w:r>
      <w:r w:rsidRPr="00F0512B">
        <w:rPr>
          <w:rFonts w:ascii="Arial" w:hAnsi="Arial" w:cs="Arial"/>
          <w:b/>
          <w:sz w:val="24"/>
          <w:szCs w:val="24"/>
        </w:rPr>
        <w:br/>
      </w:r>
      <w:r>
        <w:rPr>
          <w:rFonts w:ascii="Arial" w:hAnsi="Arial" w:cs="Arial"/>
          <w:sz w:val="24"/>
          <w:szCs w:val="24"/>
        </w:rPr>
        <w:t>Reference:</w:t>
      </w:r>
      <w:r>
        <w:rPr>
          <w:rFonts w:ascii="Arial" w:hAnsi="Arial" w:cs="Arial"/>
          <w:sz w:val="24"/>
          <w:szCs w:val="24"/>
        </w:rPr>
        <w:tab/>
        <w:t>43-VECC-75</w:t>
      </w:r>
    </w:p>
    <w:p w14:paraId="3F48D9C3" w14:textId="13D51486" w:rsidR="00D94720" w:rsidRPr="00F0512B" w:rsidRDefault="00D94720" w:rsidP="00555211">
      <w:pPr>
        <w:spacing w:after="120" w:line="240" w:lineRule="auto"/>
        <w:rPr>
          <w:rFonts w:ascii="Arial" w:hAnsi="Arial" w:cs="Arial"/>
          <w:sz w:val="24"/>
          <w:szCs w:val="24"/>
        </w:rPr>
      </w:pPr>
      <w:r>
        <w:rPr>
          <w:rFonts w:ascii="Arial" w:hAnsi="Arial" w:cs="Arial"/>
          <w:sz w:val="24"/>
          <w:szCs w:val="24"/>
        </w:rPr>
        <w:tab/>
      </w:r>
      <w:r>
        <w:rPr>
          <w:rFonts w:ascii="Arial" w:hAnsi="Arial" w:cs="Arial"/>
          <w:sz w:val="24"/>
          <w:szCs w:val="24"/>
        </w:rPr>
        <w:tab/>
        <w:t>2016 Ontario Planning Outlook (OPO)</w:t>
      </w:r>
      <w:r w:rsidR="00A12DE5">
        <w:rPr>
          <w:rFonts w:ascii="Arial" w:hAnsi="Arial" w:cs="Arial"/>
          <w:sz w:val="24"/>
          <w:szCs w:val="24"/>
        </w:rPr>
        <w:t xml:space="preserve"> </w:t>
      </w:r>
    </w:p>
    <w:p w14:paraId="6BE87147" w14:textId="77777777" w:rsidR="00D94720" w:rsidRDefault="00D94720" w:rsidP="00555211">
      <w:pPr>
        <w:spacing w:after="120" w:line="240" w:lineRule="auto"/>
        <w:contextualSpacing/>
        <w:rPr>
          <w:rFonts w:ascii="Arial" w:hAnsi="Arial" w:cs="Arial"/>
          <w:sz w:val="24"/>
          <w:szCs w:val="24"/>
        </w:rPr>
      </w:pPr>
      <w:r w:rsidRPr="00D94720">
        <w:rPr>
          <w:rFonts w:ascii="Arial" w:hAnsi="Arial" w:cs="Arial"/>
          <w:sz w:val="24"/>
          <w:szCs w:val="24"/>
        </w:rPr>
        <w:t>Preamble:</w:t>
      </w:r>
      <w:r w:rsidRPr="00D94720">
        <w:rPr>
          <w:rFonts w:ascii="Arial" w:hAnsi="Arial" w:cs="Arial"/>
          <w:b/>
          <w:sz w:val="24"/>
          <w:szCs w:val="24"/>
        </w:rPr>
        <w:tab/>
      </w:r>
      <w:r w:rsidRPr="00D94720">
        <w:rPr>
          <w:rFonts w:ascii="Arial" w:hAnsi="Arial" w:cs="Arial"/>
          <w:sz w:val="24"/>
          <w:szCs w:val="24"/>
        </w:rPr>
        <w:t xml:space="preserve">VECC 75 requested detailed data on historical savings by implementation year </w:t>
      </w:r>
    </w:p>
    <w:p w14:paraId="6224D7A0" w14:textId="77777777" w:rsidR="00D94720" w:rsidRDefault="00D94720" w:rsidP="00555211">
      <w:pPr>
        <w:spacing w:after="120" w:line="240" w:lineRule="auto"/>
        <w:contextualSpacing/>
        <w:rPr>
          <w:rFonts w:ascii="Arial" w:hAnsi="Arial" w:cs="Arial"/>
          <w:sz w:val="24"/>
          <w:szCs w:val="24"/>
        </w:rPr>
      </w:pPr>
      <w:r>
        <w:rPr>
          <w:rFonts w:ascii="Arial" w:hAnsi="Arial" w:cs="Arial"/>
          <w:sz w:val="24"/>
          <w:szCs w:val="24"/>
        </w:rPr>
        <w:tab/>
      </w:r>
      <w:r>
        <w:rPr>
          <w:rFonts w:ascii="Arial" w:hAnsi="Arial" w:cs="Arial"/>
          <w:sz w:val="24"/>
          <w:szCs w:val="24"/>
        </w:rPr>
        <w:tab/>
      </w:r>
      <w:r w:rsidRPr="00D94720">
        <w:rPr>
          <w:rFonts w:ascii="Arial" w:hAnsi="Arial" w:cs="Arial"/>
          <w:sz w:val="24"/>
          <w:szCs w:val="24"/>
        </w:rPr>
        <w:t xml:space="preserve">which, according to the responses to parts (a) – (c), Hydro One is unable to </w:t>
      </w:r>
    </w:p>
    <w:p w14:paraId="3AD9652B" w14:textId="06FBABE3" w:rsidR="00D94720" w:rsidRDefault="00D94720" w:rsidP="00555211">
      <w:pPr>
        <w:spacing w:after="120" w:line="240" w:lineRule="auto"/>
        <w:contextualSpacing/>
        <w:rPr>
          <w:rFonts w:ascii="Arial" w:hAnsi="Arial" w:cs="Arial"/>
          <w:sz w:val="24"/>
          <w:szCs w:val="24"/>
        </w:rPr>
      </w:pPr>
      <w:r>
        <w:rPr>
          <w:rFonts w:ascii="Arial" w:hAnsi="Arial" w:cs="Arial"/>
          <w:sz w:val="24"/>
          <w:szCs w:val="24"/>
        </w:rPr>
        <w:tab/>
      </w:r>
      <w:r>
        <w:rPr>
          <w:rFonts w:ascii="Arial" w:hAnsi="Arial" w:cs="Arial"/>
          <w:sz w:val="24"/>
          <w:szCs w:val="24"/>
        </w:rPr>
        <w:tab/>
      </w:r>
      <w:r w:rsidRPr="00D94720">
        <w:rPr>
          <w:rFonts w:ascii="Arial" w:hAnsi="Arial" w:cs="Arial"/>
          <w:sz w:val="24"/>
          <w:szCs w:val="24"/>
        </w:rPr>
        <w:t>provide.</w:t>
      </w:r>
    </w:p>
    <w:p w14:paraId="1B083BB1" w14:textId="77777777" w:rsidR="00395C61" w:rsidRDefault="00A12DE5" w:rsidP="00555211">
      <w:pPr>
        <w:spacing w:after="120" w:line="240" w:lineRule="auto"/>
        <w:contextualSpacing/>
        <w:rPr>
          <w:rFonts w:ascii="Arial" w:hAnsi="Arial" w:cs="Arial"/>
          <w:sz w:val="24"/>
          <w:szCs w:val="24"/>
        </w:rPr>
      </w:pPr>
      <w:r>
        <w:rPr>
          <w:rFonts w:ascii="Arial" w:hAnsi="Arial" w:cs="Arial"/>
          <w:sz w:val="24"/>
          <w:szCs w:val="24"/>
        </w:rPr>
        <w:tab/>
      </w:r>
      <w:r>
        <w:rPr>
          <w:rFonts w:ascii="Arial" w:hAnsi="Arial" w:cs="Arial"/>
          <w:sz w:val="24"/>
          <w:szCs w:val="24"/>
        </w:rPr>
        <w:tab/>
        <w:t xml:space="preserve">VECC 75 requested (parts </w:t>
      </w:r>
      <w:r w:rsidR="00395C61">
        <w:rPr>
          <w:rFonts w:ascii="Arial" w:hAnsi="Arial" w:cs="Arial"/>
          <w:sz w:val="24"/>
          <w:szCs w:val="24"/>
        </w:rPr>
        <w:t xml:space="preserve">(g) and (h)) copies of Hydro One’s verified CDM </w:t>
      </w:r>
    </w:p>
    <w:p w14:paraId="1855CFAC" w14:textId="3BE2C7C3" w:rsidR="00A12DE5" w:rsidRDefault="00395C61" w:rsidP="00555211">
      <w:pPr>
        <w:spacing w:after="120" w:line="240" w:lineRule="auto"/>
        <w:contextualSpacing/>
        <w:rPr>
          <w:rFonts w:ascii="Arial" w:hAnsi="Arial" w:cs="Arial"/>
          <w:sz w:val="24"/>
          <w:szCs w:val="24"/>
        </w:rPr>
      </w:pPr>
      <w:r>
        <w:rPr>
          <w:rFonts w:ascii="Arial" w:hAnsi="Arial" w:cs="Arial"/>
          <w:sz w:val="24"/>
          <w:szCs w:val="24"/>
        </w:rPr>
        <w:tab/>
      </w:r>
      <w:r>
        <w:rPr>
          <w:rFonts w:ascii="Arial" w:hAnsi="Arial" w:cs="Arial"/>
          <w:sz w:val="24"/>
          <w:szCs w:val="24"/>
        </w:rPr>
        <w:tab/>
        <w:t>results reports</w:t>
      </w:r>
    </w:p>
    <w:p w14:paraId="00864CE3" w14:textId="5B41D8F9" w:rsidR="00395C61" w:rsidRDefault="00395C61" w:rsidP="00555211">
      <w:pPr>
        <w:pStyle w:val="ListParagraph"/>
        <w:numPr>
          <w:ilvl w:val="0"/>
          <w:numId w:val="3"/>
        </w:numPr>
        <w:spacing w:after="120" w:line="240" w:lineRule="auto"/>
        <w:ind w:left="714" w:hanging="357"/>
        <w:contextualSpacing w:val="0"/>
        <w:rPr>
          <w:rFonts w:ascii="Arial" w:hAnsi="Arial" w:cs="Arial"/>
          <w:sz w:val="24"/>
          <w:szCs w:val="24"/>
        </w:rPr>
      </w:pPr>
      <w:r>
        <w:rPr>
          <w:rFonts w:ascii="Arial" w:hAnsi="Arial" w:cs="Arial"/>
          <w:sz w:val="24"/>
          <w:szCs w:val="24"/>
        </w:rPr>
        <w:t>Attachment 2 only provides the impact of 2011-2014 programs for the period 2011-2014.  Please provide the IESO report that indicates the persisting impact of these programs though to 2020 as originally requested.</w:t>
      </w:r>
    </w:p>
    <w:p w14:paraId="3BAACC7C" w14:textId="77777777" w:rsidR="00D94720" w:rsidRDefault="00D94720" w:rsidP="00555211">
      <w:pPr>
        <w:pStyle w:val="ListParagraph"/>
        <w:numPr>
          <w:ilvl w:val="0"/>
          <w:numId w:val="3"/>
        </w:numPr>
        <w:spacing w:after="120" w:line="240" w:lineRule="auto"/>
        <w:ind w:left="714" w:hanging="357"/>
        <w:contextualSpacing w:val="0"/>
        <w:rPr>
          <w:rFonts w:ascii="Arial" w:hAnsi="Arial" w:cs="Arial"/>
          <w:sz w:val="24"/>
          <w:szCs w:val="24"/>
        </w:rPr>
      </w:pPr>
      <w:r>
        <w:rPr>
          <w:rFonts w:ascii="Arial" w:hAnsi="Arial" w:cs="Arial"/>
          <w:sz w:val="24"/>
          <w:szCs w:val="24"/>
        </w:rPr>
        <w:t xml:space="preserve">Please complete parts (a) and (b) of </w:t>
      </w:r>
      <w:r w:rsidR="00F0512B">
        <w:rPr>
          <w:rFonts w:ascii="Arial" w:hAnsi="Arial" w:cs="Arial"/>
          <w:sz w:val="24"/>
          <w:szCs w:val="24"/>
        </w:rPr>
        <w:t xml:space="preserve">VECC 75 </w:t>
      </w:r>
      <w:r>
        <w:rPr>
          <w:rFonts w:ascii="Arial" w:hAnsi="Arial" w:cs="Arial"/>
          <w:sz w:val="24"/>
          <w:szCs w:val="24"/>
        </w:rPr>
        <w:t>based on the verified results for Hydro One’s historical EE programs.</w:t>
      </w:r>
    </w:p>
    <w:p w14:paraId="6180DCB1" w14:textId="4BACC3EE" w:rsidR="00A12DE5" w:rsidRDefault="00A12DE5" w:rsidP="00555211">
      <w:pPr>
        <w:pStyle w:val="ListParagraph"/>
        <w:numPr>
          <w:ilvl w:val="0"/>
          <w:numId w:val="3"/>
        </w:numPr>
        <w:spacing w:after="240" w:line="240" w:lineRule="auto"/>
        <w:ind w:left="714" w:hanging="357"/>
        <w:contextualSpacing w:val="0"/>
        <w:rPr>
          <w:rFonts w:ascii="Arial" w:hAnsi="Arial" w:cs="Arial"/>
          <w:sz w:val="24"/>
          <w:szCs w:val="24"/>
        </w:rPr>
      </w:pPr>
      <w:r>
        <w:rPr>
          <w:rFonts w:ascii="Arial" w:hAnsi="Arial" w:cs="Arial"/>
          <w:sz w:val="24"/>
          <w:szCs w:val="24"/>
        </w:rPr>
        <w:t>With respect to the response to part (g), please explain the “definitional” difference between historic EE program savings as reported by Hydro One and the historic EE savings reported in the OPO (Data Tables, Figure 11)</w:t>
      </w:r>
      <w:r w:rsidR="007C73D0">
        <w:rPr>
          <w:rFonts w:ascii="Arial" w:hAnsi="Arial" w:cs="Arial"/>
          <w:sz w:val="24"/>
          <w:szCs w:val="24"/>
        </w:rPr>
        <w:t xml:space="preserve"> for the period 2006-2020</w:t>
      </w:r>
      <w:r>
        <w:rPr>
          <w:rFonts w:ascii="Arial" w:hAnsi="Arial" w:cs="Arial"/>
          <w:sz w:val="24"/>
          <w:szCs w:val="24"/>
        </w:rPr>
        <w:t>.</w:t>
      </w:r>
    </w:p>
    <w:p w14:paraId="2812F1E7" w14:textId="2A0B8B7A" w:rsidR="00A12DE5" w:rsidRPr="00A12DE5" w:rsidRDefault="00A12DE5" w:rsidP="00395C61">
      <w:pPr>
        <w:spacing w:after="240" w:line="240" w:lineRule="auto"/>
        <w:rPr>
          <w:rFonts w:ascii="Arial" w:hAnsi="Arial" w:cs="Arial"/>
          <w:i/>
          <w:sz w:val="24"/>
          <w:szCs w:val="24"/>
          <w:u w:val="single"/>
        </w:rPr>
      </w:pPr>
      <w:r w:rsidRPr="00A12DE5">
        <w:rPr>
          <w:rFonts w:ascii="Arial" w:hAnsi="Arial" w:cs="Arial"/>
          <w:i/>
          <w:sz w:val="24"/>
          <w:szCs w:val="24"/>
          <w:u w:val="single"/>
        </w:rPr>
        <w:t>Topic – CDM Savings Included in Load Forecast</w:t>
      </w:r>
    </w:p>
    <w:p w14:paraId="7C171F6E" w14:textId="52E4386F" w:rsidR="00A12DE5" w:rsidRDefault="00AC16F3" w:rsidP="00555211">
      <w:pPr>
        <w:spacing w:after="120" w:line="240" w:lineRule="auto"/>
        <w:contextualSpacing/>
        <w:rPr>
          <w:rFonts w:ascii="Arial" w:hAnsi="Arial" w:cs="Arial"/>
          <w:sz w:val="24"/>
          <w:szCs w:val="24"/>
        </w:rPr>
      </w:pPr>
      <w:r w:rsidRPr="00A12DE5">
        <w:rPr>
          <w:rFonts w:ascii="Arial" w:hAnsi="Arial" w:cs="Arial"/>
          <w:b/>
          <w:sz w:val="24"/>
          <w:szCs w:val="24"/>
        </w:rPr>
        <w:t xml:space="preserve">TC </w:t>
      </w:r>
      <w:r w:rsidR="000D7980" w:rsidRPr="00A12DE5">
        <w:rPr>
          <w:rFonts w:ascii="Arial" w:hAnsi="Arial" w:cs="Arial"/>
          <w:b/>
          <w:sz w:val="24"/>
          <w:szCs w:val="24"/>
        </w:rPr>
        <w:t>Question #</w:t>
      </w:r>
      <w:r w:rsidR="00A12DE5">
        <w:rPr>
          <w:rFonts w:ascii="Arial" w:hAnsi="Arial" w:cs="Arial"/>
          <w:b/>
          <w:sz w:val="24"/>
          <w:szCs w:val="24"/>
        </w:rPr>
        <w:t>3</w:t>
      </w:r>
      <w:r w:rsidR="000D7980" w:rsidRPr="00A12DE5">
        <w:rPr>
          <w:rFonts w:ascii="Arial" w:hAnsi="Arial" w:cs="Arial"/>
          <w:b/>
          <w:sz w:val="24"/>
          <w:szCs w:val="24"/>
        </w:rPr>
        <w:br/>
      </w:r>
      <w:r w:rsidR="000D7980" w:rsidRPr="00A12DE5">
        <w:rPr>
          <w:rFonts w:ascii="Arial" w:hAnsi="Arial" w:cs="Arial"/>
          <w:b/>
          <w:sz w:val="24"/>
          <w:szCs w:val="24"/>
        </w:rPr>
        <w:br/>
      </w:r>
      <w:r w:rsidR="00A12DE5">
        <w:rPr>
          <w:rFonts w:ascii="Arial" w:hAnsi="Arial" w:cs="Arial"/>
          <w:sz w:val="24"/>
          <w:szCs w:val="24"/>
        </w:rPr>
        <w:t>Reference:</w:t>
      </w:r>
      <w:r w:rsidR="00A12DE5">
        <w:rPr>
          <w:rFonts w:ascii="Arial" w:hAnsi="Arial" w:cs="Arial"/>
          <w:sz w:val="24"/>
          <w:szCs w:val="24"/>
        </w:rPr>
        <w:tab/>
        <w:t>43-VECC-75, Attachment 5</w:t>
      </w:r>
    </w:p>
    <w:p w14:paraId="1E1DC9BB" w14:textId="77777777" w:rsidR="00A12DE5" w:rsidRDefault="00A12DE5" w:rsidP="005E0BBD">
      <w:pPr>
        <w:spacing w:after="120" w:line="240" w:lineRule="auto"/>
        <w:contextualSpacing/>
        <w:rPr>
          <w:rFonts w:ascii="Arial" w:hAnsi="Arial" w:cs="Arial"/>
          <w:sz w:val="24"/>
          <w:szCs w:val="24"/>
        </w:rPr>
      </w:pPr>
      <w:r>
        <w:rPr>
          <w:rFonts w:ascii="Arial" w:hAnsi="Arial" w:cs="Arial"/>
          <w:sz w:val="24"/>
          <w:szCs w:val="24"/>
        </w:rPr>
        <w:tab/>
      </w:r>
      <w:r>
        <w:rPr>
          <w:rFonts w:ascii="Arial" w:hAnsi="Arial" w:cs="Arial"/>
          <w:sz w:val="24"/>
          <w:szCs w:val="24"/>
        </w:rPr>
        <w:tab/>
        <w:t xml:space="preserve">2016 Ontario Planning Outlook (OPO) </w:t>
      </w:r>
    </w:p>
    <w:p w14:paraId="000CF0BF" w14:textId="0B7C9021" w:rsidR="005E0BBD" w:rsidRPr="00F0512B" w:rsidRDefault="005E0BBD" w:rsidP="005E0BBD">
      <w:pPr>
        <w:spacing w:after="120" w:line="240" w:lineRule="auto"/>
        <w:ind w:left="1440"/>
        <w:rPr>
          <w:rFonts w:ascii="Arial" w:hAnsi="Arial" w:cs="Arial"/>
          <w:sz w:val="24"/>
          <w:szCs w:val="24"/>
        </w:rPr>
      </w:pPr>
      <w:r>
        <w:rPr>
          <w:rFonts w:ascii="Arial" w:hAnsi="Arial" w:cs="Arial"/>
          <w:sz w:val="24"/>
          <w:szCs w:val="24"/>
        </w:rPr>
        <w:t>17-OSEA-6</w:t>
      </w:r>
    </w:p>
    <w:p w14:paraId="19F07598" w14:textId="77777777" w:rsidR="00395C61" w:rsidRDefault="00A12DE5" w:rsidP="00555211">
      <w:pPr>
        <w:spacing w:after="120" w:line="240" w:lineRule="auto"/>
        <w:contextualSpacing/>
        <w:rPr>
          <w:rFonts w:ascii="Arial" w:hAnsi="Arial" w:cs="Arial"/>
          <w:sz w:val="24"/>
          <w:szCs w:val="24"/>
        </w:rPr>
      </w:pPr>
      <w:r w:rsidRPr="00D94720">
        <w:rPr>
          <w:rFonts w:ascii="Arial" w:hAnsi="Arial" w:cs="Arial"/>
          <w:sz w:val="24"/>
          <w:szCs w:val="24"/>
        </w:rPr>
        <w:t>Preamble:</w:t>
      </w:r>
      <w:r w:rsidRPr="00D94720">
        <w:rPr>
          <w:rFonts w:ascii="Arial" w:hAnsi="Arial" w:cs="Arial"/>
          <w:b/>
          <w:sz w:val="24"/>
          <w:szCs w:val="24"/>
        </w:rPr>
        <w:tab/>
      </w:r>
      <w:r w:rsidRPr="00D94720">
        <w:rPr>
          <w:rFonts w:ascii="Arial" w:hAnsi="Arial" w:cs="Arial"/>
          <w:sz w:val="24"/>
          <w:szCs w:val="24"/>
        </w:rPr>
        <w:t xml:space="preserve">VECC 75 </w:t>
      </w:r>
      <w:r w:rsidR="00395C61">
        <w:rPr>
          <w:rFonts w:ascii="Arial" w:hAnsi="Arial" w:cs="Arial"/>
          <w:sz w:val="24"/>
          <w:szCs w:val="24"/>
        </w:rPr>
        <w:t xml:space="preserve">Attachment 5 indicates that the source of the forecast provincial CDM </w:t>
      </w:r>
    </w:p>
    <w:p w14:paraId="286ABA58" w14:textId="6D785C88" w:rsidR="00395C61" w:rsidRDefault="00395C61" w:rsidP="00555211">
      <w:pPr>
        <w:spacing w:after="120" w:line="240" w:lineRule="auto"/>
        <w:contextualSpacing/>
        <w:rPr>
          <w:rFonts w:ascii="Arial" w:hAnsi="Arial" w:cs="Arial"/>
          <w:sz w:val="24"/>
          <w:szCs w:val="24"/>
        </w:rPr>
      </w:pPr>
      <w:r>
        <w:rPr>
          <w:rFonts w:ascii="Arial" w:hAnsi="Arial" w:cs="Arial"/>
          <w:sz w:val="24"/>
          <w:szCs w:val="24"/>
        </w:rPr>
        <w:tab/>
      </w:r>
      <w:r>
        <w:rPr>
          <w:rFonts w:ascii="Arial" w:hAnsi="Arial" w:cs="Arial"/>
          <w:sz w:val="24"/>
          <w:szCs w:val="24"/>
        </w:rPr>
        <w:tab/>
        <w:t>savings is the 2016 OPO.</w:t>
      </w:r>
    </w:p>
    <w:p w14:paraId="7EA77A1D" w14:textId="0FCA1D21" w:rsidR="005E0BBD" w:rsidRDefault="005E0BBD" w:rsidP="00555211">
      <w:pPr>
        <w:spacing w:after="120" w:line="240" w:lineRule="auto"/>
        <w:contextualSpacing/>
        <w:rPr>
          <w:rFonts w:ascii="Arial" w:hAnsi="Arial" w:cs="Arial"/>
          <w:sz w:val="24"/>
          <w:szCs w:val="24"/>
        </w:rPr>
      </w:pPr>
      <w:r>
        <w:rPr>
          <w:rFonts w:ascii="Arial" w:hAnsi="Arial" w:cs="Arial"/>
          <w:sz w:val="24"/>
          <w:szCs w:val="24"/>
        </w:rPr>
        <w:tab/>
      </w:r>
      <w:r>
        <w:rPr>
          <w:rFonts w:ascii="Arial" w:hAnsi="Arial" w:cs="Arial"/>
          <w:sz w:val="24"/>
          <w:szCs w:val="24"/>
        </w:rPr>
        <w:tab/>
        <w:t>OSEA -6 sets out Hydro One’s 2015-2020 CDM Plan</w:t>
      </w:r>
    </w:p>
    <w:p w14:paraId="06402C30" w14:textId="01BCFF1D" w:rsidR="005D35C3" w:rsidRDefault="005D35C3" w:rsidP="00555211">
      <w:pPr>
        <w:pStyle w:val="ListParagraph"/>
        <w:numPr>
          <w:ilvl w:val="0"/>
          <w:numId w:val="4"/>
        </w:numPr>
        <w:spacing w:after="240" w:line="240" w:lineRule="auto"/>
        <w:ind w:left="714" w:hanging="357"/>
        <w:contextualSpacing w:val="0"/>
        <w:rPr>
          <w:rFonts w:ascii="Arial" w:hAnsi="Arial" w:cs="Arial"/>
          <w:sz w:val="24"/>
          <w:szCs w:val="24"/>
        </w:rPr>
      </w:pPr>
      <w:r>
        <w:rPr>
          <w:rFonts w:ascii="Arial" w:hAnsi="Arial" w:cs="Arial"/>
          <w:sz w:val="24"/>
          <w:szCs w:val="24"/>
        </w:rPr>
        <w:t>Please clarify whether the for</w:t>
      </w:r>
      <w:r w:rsidR="008A7E74">
        <w:rPr>
          <w:rFonts w:ascii="Arial" w:hAnsi="Arial" w:cs="Arial"/>
          <w:sz w:val="24"/>
          <w:szCs w:val="24"/>
        </w:rPr>
        <w:t>ecast savings in the OPO are:</w:t>
      </w:r>
      <w:r>
        <w:rPr>
          <w:rFonts w:ascii="Arial" w:hAnsi="Arial" w:cs="Arial"/>
          <w:sz w:val="24"/>
          <w:szCs w:val="24"/>
        </w:rPr>
        <w:t xml:space="preserve">  i) based on the annualized savings from EE programs assuming all savings from a year’s programs come into play on January 1</w:t>
      </w:r>
      <w:r w:rsidRPr="0064290F">
        <w:rPr>
          <w:rFonts w:ascii="Arial" w:hAnsi="Arial" w:cs="Arial"/>
          <w:sz w:val="24"/>
          <w:szCs w:val="24"/>
          <w:vertAlign w:val="superscript"/>
        </w:rPr>
        <w:t>st</w:t>
      </w:r>
      <w:r w:rsidR="008A7E74">
        <w:rPr>
          <w:rFonts w:ascii="Arial" w:hAnsi="Arial" w:cs="Arial"/>
          <w:sz w:val="24"/>
          <w:szCs w:val="24"/>
        </w:rPr>
        <w:t xml:space="preserve"> </w:t>
      </w:r>
      <w:r>
        <w:rPr>
          <w:rFonts w:ascii="Arial" w:hAnsi="Arial" w:cs="Arial"/>
          <w:sz w:val="24"/>
          <w:szCs w:val="24"/>
        </w:rPr>
        <w:t>or ii) based on actual savings for the year which would recognize that EE programs are implemented throughout the year?</w:t>
      </w:r>
    </w:p>
    <w:p w14:paraId="3C3E8AC2" w14:textId="36EB347E" w:rsidR="005D35C3" w:rsidRPr="005D35C3" w:rsidRDefault="005D35C3" w:rsidP="005D35C3">
      <w:pPr>
        <w:spacing w:after="200" w:line="276" w:lineRule="auto"/>
        <w:rPr>
          <w:rFonts w:ascii="Arial" w:hAnsi="Arial" w:cs="Arial"/>
          <w:i/>
          <w:sz w:val="24"/>
          <w:szCs w:val="24"/>
          <w:u w:val="single"/>
        </w:rPr>
      </w:pPr>
      <w:r w:rsidRPr="005D35C3">
        <w:rPr>
          <w:rFonts w:ascii="Arial" w:hAnsi="Arial" w:cs="Arial"/>
          <w:i/>
          <w:sz w:val="24"/>
          <w:szCs w:val="24"/>
          <w:u w:val="single"/>
        </w:rPr>
        <w:t>Topic:  LRAMVA Threshold</w:t>
      </w:r>
    </w:p>
    <w:p w14:paraId="54585B8E" w14:textId="11DCE5E0" w:rsidR="005D35C3" w:rsidRDefault="00A84A38" w:rsidP="00555211">
      <w:pPr>
        <w:spacing w:after="120" w:line="240" w:lineRule="auto"/>
        <w:contextualSpacing/>
        <w:rPr>
          <w:rFonts w:ascii="Arial" w:hAnsi="Arial" w:cs="Arial"/>
          <w:sz w:val="24"/>
          <w:szCs w:val="24"/>
        </w:rPr>
      </w:pPr>
      <w:bookmarkStart w:id="1" w:name="_Hlk507967384"/>
      <w:r w:rsidRPr="00F0512B">
        <w:rPr>
          <w:rFonts w:ascii="Arial" w:hAnsi="Arial" w:cs="Arial"/>
          <w:b/>
          <w:sz w:val="24"/>
          <w:szCs w:val="24"/>
        </w:rPr>
        <w:t>TC Question #</w:t>
      </w:r>
      <w:r w:rsidR="005D35C3">
        <w:rPr>
          <w:rFonts w:ascii="Arial" w:hAnsi="Arial" w:cs="Arial"/>
          <w:b/>
          <w:sz w:val="24"/>
          <w:szCs w:val="24"/>
        </w:rPr>
        <w:t>4</w:t>
      </w:r>
      <w:r w:rsidRPr="00F0512B">
        <w:rPr>
          <w:rFonts w:ascii="Arial" w:hAnsi="Arial" w:cs="Arial"/>
          <w:b/>
          <w:sz w:val="24"/>
          <w:szCs w:val="24"/>
        </w:rPr>
        <w:br/>
      </w:r>
      <w:r w:rsidRPr="00F0512B">
        <w:rPr>
          <w:rFonts w:ascii="Arial" w:hAnsi="Arial" w:cs="Arial"/>
          <w:b/>
          <w:sz w:val="24"/>
          <w:szCs w:val="24"/>
        </w:rPr>
        <w:br/>
      </w:r>
      <w:r w:rsidR="005D35C3">
        <w:rPr>
          <w:rFonts w:ascii="Arial" w:hAnsi="Arial" w:cs="Arial"/>
          <w:sz w:val="24"/>
          <w:szCs w:val="24"/>
        </w:rPr>
        <w:t>Reference:</w:t>
      </w:r>
      <w:r w:rsidR="005D35C3">
        <w:rPr>
          <w:rFonts w:ascii="Arial" w:hAnsi="Arial" w:cs="Arial"/>
          <w:sz w:val="24"/>
          <w:szCs w:val="24"/>
        </w:rPr>
        <w:tab/>
        <w:t>55-CCC-75</w:t>
      </w:r>
    </w:p>
    <w:p w14:paraId="51FB4887" w14:textId="1EBF573A" w:rsidR="005D35C3" w:rsidRDefault="005D35C3" w:rsidP="00555211">
      <w:pPr>
        <w:spacing w:after="120" w:line="240" w:lineRule="auto"/>
        <w:rPr>
          <w:rFonts w:ascii="Arial" w:hAnsi="Arial" w:cs="Arial"/>
          <w:sz w:val="24"/>
          <w:szCs w:val="24"/>
        </w:rPr>
      </w:pPr>
      <w:r>
        <w:rPr>
          <w:rFonts w:ascii="Arial" w:hAnsi="Arial" w:cs="Arial"/>
          <w:sz w:val="24"/>
          <w:szCs w:val="24"/>
        </w:rPr>
        <w:tab/>
      </w:r>
      <w:r>
        <w:rPr>
          <w:rFonts w:ascii="Arial" w:hAnsi="Arial" w:cs="Arial"/>
          <w:sz w:val="24"/>
          <w:szCs w:val="24"/>
        </w:rPr>
        <w:tab/>
        <w:t>46-Staff-233</w:t>
      </w:r>
    </w:p>
    <w:p w14:paraId="38ECF205" w14:textId="2103D3DD" w:rsidR="005D35C3" w:rsidRDefault="005D35C3" w:rsidP="00555211">
      <w:pPr>
        <w:spacing w:after="120" w:line="240" w:lineRule="auto"/>
        <w:contextualSpacing/>
        <w:rPr>
          <w:rFonts w:ascii="Arial" w:hAnsi="Arial" w:cs="Arial"/>
          <w:sz w:val="24"/>
          <w:szCs w:val="24"/>
        </w:rPr>
      </w:pPr>
      <w:r w:rsidRPr="00D94720">
        <w:rPr>
          <w:rFonts w:ascii="Arial" w:hAnsi="Arial" w:cs="Arial"/>
          <w:sz w:val="24"/>
          <w:szCs w:val="24"/>
        </w:rPr>
        <w:t>Preamble:</w:t>
      </w:r>
      <w:r w:rsidRPr="00D94720">
        <w:rPr>
          <w:rFonts w:ascii="Arial" w:hAnsi="Arial" w:cs="Arial"/>
          <w:b/>
          <w:sz w:val="24"/>
          <w:szCs w:val="24"/>
        </w:rPr>
        <w:tab/>
      </w:r>
      <w:r>
        <w:rPr>
          <w:rFonts w:ascii="Arial" w:hAnsi="Arial" w:cs="Arial"/>
          <w:sz w:val="24"/>
          <w:szCs w:val="24"/>
        </w:rPr>
        <w:t>In response to 55-CCC-75 HON c</w:t>
      </w:r>
      <w:r w:rsidR="008A7E74">
        <w:rPr>
          <w:rFonts w:ascii="Arial" w:hAnsi="Arial" w:cs="Arial"/>
          <w:sz w:val="24"/>
          <w:szCs w:val="24"/>
        </w:rPr>
        <w:t>onfirmed it was establishing an</w:t>
      </w:r>
      <w:r>
        <w:rPr>
          <w:rFonts w:ascii="Arial" w:hAnsi="Arial" w:cs="Arial"/>
          <w:sz w:val="24"/>
          <w:szCs w:val="24"/>
        </w:rPr>
        <w:t xml:space="preserve"> LRAM </w:t>
      </w:r>
    </w:p>
    <w:p w14:paraId="3CD2390D" w14:textId="77777777" w:rsidR="005D35C3" w:rsidRDefault="005D35C3" w:rsidP="00555211">
      <w:pPr>
        <w:spacing w:after="120" w:line="240" w:lineRule="auto"/>
        <w:rPr>
          <w:rFonts w:ascii="Arial" w:hAnsi="Arial" w:cs="Arial"/>
          <w:sz w:val="24"/>
          <w:szCs w:val="24"/>
        </w:rPr>
      </w:pPr>
      <w:r>
        <w:rPr>
          <w:rFonts w:ascii="Arial" w:hAnsi="Arial" w:cs="Arial"/>
          <w:sz w:val="24"/>
          <w:szCs w:val="24"/>
        </w:rPr>
        <w:tab/>
      </w:r>
      <w:r>
        <w:rPr>
          <w:rFonts w:ascii="Arial" w:hAnsi="Arial" w:cs="Arial"/>
          <w:sz w:val="24"/>
          <w:szCs w:val="24"/>
        </w:rPr>
        <w:tab/>
        <w:t>Variance Account.</w:t>
      </w:r>
    </w:p>
    <w:p w14:paraId="7B1467EC" w14:textId="77777777" w:rsidR="00F655C4" w:rsidRDefault="005D35C3" w:rsidP="00555211">
      <w:pPr>
        <w:spacing w:after="120" w:line="240" w:lineRule="auto"/>
        <w:ind w:left="720"/>
        <w:contextualSpacing/>
        <w:rPr>
          <w:rFonts w:ascii="Arial" w:hAnsi="Arial" w:cs="Arial"/>
          <w:sz w:val="24"/>
          <w:szCs w:val="24"/>
        </w:rPr>
      </w:pPr>
      <w:r w:rsidRPr="005D35C3">
        <w:rPr>
          <w:rFonts w:ascii="Arial" w:hAnsi="Arial" w:cs="Arial"/>
          <w:b/>
          <w:sz w:val="24"/>
          <w:szCs w:val="24"/>
        </w:rPr>
        <w:tab/>
      </w:r>
      <w:r w:rsidR="00F655C4">
        <w:rPr>
          <w:rFonts w:ascii="Arial" w:hAnsi="Arial" w:cs="Arial"/>
          <w:sz w:val="24"/>
          <w:szCs w:val="24"/>
        </w:rPr>
        <w:t xml:space="preserve">Staff-233, Table 3 sets out Hydro One’s proposed LRAMVA thresholds (i.e., </w:t>
      </w:r>
    </w:p>
    <w:p w14:paraId="232AF88D" w14:textId="329E1398" w:rsidR="005D35C3" w:rsidRPr="00F655C4" w:rsidRDefault="00F655C4" w:rsidP="00555211">
      <w:pPr>
        <w:spacing w:after="120" w:line="240" w:lineRule="auto"/>
        <w:ind w:left="720"/>
        <w:contextualSpacing/>
        <w:rPr>
          <w:rFonts w:ascii="Arial" w:hAnsi="Arial" w:cs="Arial"/>
          <w:sz w:val="24"/>
          <w:szCs w:val="24"/>
        </w:rPr>
      </w:pPr>
      <w:r>
        <w:rPr>
          <w:rFonts w:ascii="Arial" w:hAnsi="Arial" w:cs="Arial"/>
          <w:sz w:val="24"/>
          <w:szCs w:val="24"/>
        </w:rPr>
        <w:tab/>
        <w:t>CDM amounts assumed in the load forecast)</w:t>
      </w:r>
    </w:p>
    <w:p w14:paraId="22AEB04B" w14:textId="77777777" w:rsidR="00F655C4" w:rsidRDefault="00F655C4" w:rsidP="00555211">
      <w:pPr>
        <w:pStyle w:val="ListParagraph"/>
        <w:numPr>
          <w:ilvl w:val="0"/>
          <w:numId w:val="7"/>
        </w:numPr>
        <w:spacing w:after="120" w:line="240" w:lineRule="auto"/>
        <w:rPr>
          <w:rFonts w:ascii="Arial" w:hAnsi="Arial" w:cs="Arial"/>
          <w:sz w:val="24"/>
          <w:szCs w:val="24"/>
        </w:rPr>
      </w:pPr>
      <w:r>
        <w:rPr>
          <w:rFonts w:ascii="Arial" w:hAnsi="Arial" w:cs="Arial"/>
          <w:sz w:val="24"/>
          <w:szCs w:val="24"/>
        </w:rPr>
        <w:t>Please confirm that Hydro One will be seeking recovery of:</w:t>
      </w:r>
    </w:p>
    <w:p w14:paraId="7ED65018" w14:textId="77777777" w:rsidR="00F655C4" w:rsidRDefault="00F655C4" w:rsidP="00555211">
      <w:pPr>
        <w:pStyle w:val="ListParagraph"/>
        <w:numPr>
          <w:ilvl w:val="1"/>
          <w:numId w:val="7"/>
        </w:numPr>
        <w:spacing w:after="120" w:line="240" w:lineRule="auto"/>
        <w:rPr>
          <w:rFonts w:ascii="Arial" w:hAnsi="Arial" w:cs="Arial"/>
          <w:sz w:val="24"/>
          <w:szCs w:val="24"/>
        </w:rPr>
      </w:pPr>
      <w:r>
        <w:rPr>
          <w:rFonts w:ascii="Arial" w:hAnsi="Arial" w:cs="Arial"/>
          <w:sz w:val="24"/>
          <w:szCs w:val="24"/>
        </w:rPr>
        <w:t>Lost revenues in 2018 from programs implemented in 2015-2018.</w:t>
      </w:r>
    </w:p>
    <w:p w14:paraId="736A8BF2" w14:textId="77777777" w:rsidR="00F655C4" w:rsidRDefault="00F655C4" w:rsidP="00555211">
      <w:pPr>
        <w:pStyle w:val="ListParagraph"/>
        <w:numPr>
          <w:ilvl w:val="1"/>
          <w:numId w:val="7"/>
        </w:numPr>
        <w:spacing w:after="120" w:line="240" w:lineRule="auto"/>
        <w:rPr>
          <w:rFonts w:ascii="Arial" w:hAnsi="Arial" w:cs="Arial"/>
          <w:sz w:val="24"/>
          <w:szCs w:val="24"/>
        </w:rPr>
      </w:pPr>
      <w:r>
        <w:rPr>
          <w:rFonts w:ascii="Arial" w:hAnsi="Arial" w:cs="Arial"/>
          <w:sz w:val="24"/>
          <w:szCs w:val="24"/>
        </w:rPr>
        <w:t>L</w:t>
      </w:r>
      <w:r w:rsidRPr="00F655C4">
        <w:rPr>
          <w:rFonts w:ascii="Arial" w:hAnsi="Arial" w:cs="Arial"/>
          <w:sz w:val="24"/>
          <w:szCs w:val="24"/>
        </w:rPr>
        <w:t>ost revenue in 2019 from programs implemented in 2015-2019</w:t>
      </w:r>
      <w:r>
        <w:rPr>
          <w:rFonts w:ascii="Arial" w:hAnsi="Arial" w:cs="Arial"/>
          <w:sz w:val="24"/>
          <w:szCs w:val="24"/>
        </w:rPr>
        <w:t xml:space="preserve">, </w:t>
      </w:r>
      <w:r w:rsidRPr="00F655C4">
        <w:rPr>
          <w:rFonts w:ascii="Arial" w:hAnsi="Arial" w:cs="Arial"/>
          <w:sz w:val="24"/>
          <w:szCs w:val="24"/>
        </w:rPr>
        <w:t>and</w:t>
      </w:r>
    </w:p>
    <w:p w14:paraId="5CF79F7F" w14:textId="097AA4BF" w:rsidR="00F655C4" w:rsidRDefault="00F655C4" w:rsidP="00555211">
      <w:pPr>
        <w:pStyle w:val="ListParagraph"/>
        <w:numPr>
          <w:ilvl w:val="1"/>
          <w:numId w:val="7"/>
        </w:numPr>
        <w:spacing w:after="120" w:line="240" w:lineRule="auto"/>
        <w:rPr>
          <w:rFonts w:ascii="Arial" w:hAnsi="Arial" w:cs="Arial"/>
          <w:sz w:val="24"/>
          <w:szCs w:val="24"/>
        </w:rPr>
      </w:pPr>
      <w:r>
        <w:rPr>
          <w:rFonts w:ascii="Arial" w:hAnsi="Arial" w:cs="Arial"/>
          <w:sz w:val="24"/>
          <w:szCs w:val="24"/>
        </w:rPr>
        <w:t>L</w:t>
      </w:r>
      <w:r w:rsidRPr="00F655C4">
        <w:rPr>
          <w:rFonts w:ascii="Arial" w:hAnsi="Arial" w:cs="Arial"/>
          <w:sz w:val="24"/>
          <w:szCs w:val="24"/>
        </w:rPr>
        <w:t>ost revenues in 2020 from programs implemented in 2015-2020?</w:t>
      </w:r>
    </w:p>
    <w:p w14:paraId="410EF4F3" w14:textId="2A9C7307" w:rsidR="00F655C4" w:rsidRPr="00F655C4" w:rsidRDefault="00F655C4" w:rsidP="00555211">
      <w:pPr>
        <w:spacing w:after="120" w:line="240" w:lineRule="auto"/>
        <w:ind w:left="720"/>
        <w:contextualSpacing/>
        <w:rPr>
          <w:rFonts w:ascii="Arial" w:hAnsi="Arial" w:cs="Arial"/>
          <w:sz w:val="24"/>
          <w:szCs w:val="24"/>
        </w:rPr>
      </w:pPr>
      <w:r>
        <w:rPr>
          <w:rFonts w:ascii="Arial" w:hAnsi="Arial" w:cs="Arial"/>
          <w:sz w:val="24"/>
          <w:szCs w:val="24"/>
        </w:rPr>
        <w:t>If not, please clarify Hydro One’s proposals for lost revenue recovery.</w:t>
      </w:r>
    </w:p>
    <w:p w14:paraId="094AF959" w14:textId="60559347" w:rsidR="00F655C4" w:rsidRDefault="00F655C4" w:rsidP="00555211">
      <w:pPr>
        <w:pStyle w:val="ListParagraph"/>
        <w:numPr>
          <w:ilvl w:val="0"/>
          <w:numId w:val="7"/>
        </w:numPr>
        <w:spacing w:after="120" w:line="240" w:lineRule="auto"/>
        <w:ind w:hanging="357"/>
        <w:contextualSpacing w:val="0"/>
        <w:rPr>
          <w:rFonts w:ascii="Arial" w:hAnsi="Arial" w:cs="Arial"/>
          <w:sz w:val="24"/>
          <w:szCs w:val="24"/>
        </w:rPr>
      </w:pPr>
      <w:r>
        <w:rPr>
          <w:rFonts w:ascii="Arial" w:hAnsi="Arial" w:cs="Arial"/>
          <w:sz w:val="24"/>
          <w:szCs w:val="24"/>
        </w:rPr>
        <w:t>Are the CDM savings values set out in CCC-75, Table 3 annualized values (i.e., assuming all CDM programs are implemented January 1</w:t>
      </w:r>
      <w:r w:rsidRPr="00F655C4">
        <w:rPr>
          <w:rFonts w:ascii="Arial" w:hAnsi="Arial" w:cs="Arial"/>
          <w:sz w:val="24"/>
          <w:szCs w:val="24"/>
          <w:vertAlign w:val="superscript"/>
        </w:rPr>
        <w:t>st</w:t>
      </w:r>
      <w:r>
        <w:rPr>
          <w:rFonts w:ascii="Arial" w:hAnsi="Arial" w:cs="Arial"/>
          <w:sz w:val="24"/>
          <w:szCs w:val="24"/>
        </w:rPr>
        <w:t>)  or do the values represent the expected forecast savings in each year?</w:t>
      </w:r>
    </w:p>
    <w:p w14:paraId="2BECB07E" w14:textId="6CB5F93E" w:rsidR="00F655C4" w:rsidRDefault="00F655C4" w:rsidP="00555211">
      <w:pPr>
        <w:pStyle w:val="ListParagraph"/>
        <w:numPr>
          <w:ilvl w:val="0"/>
          <w:numId w:val="7"/>
        </w:numPr>
        <w:spacing w:after="120" w:line="240" w:lineRule="auto"/>
        <w:ind w:hanging="357"/>
        <w:rPr>
          <w:rFonts w:ascii="Arial" w:hAnsi="Arial" w:cs="Arial"/>
          <w:sz w:val="24"/>
          <w:szCs w:val="24"/>
        </w:rPr>
      </w:pPr>
      <w:r>
        <w:rPr>
          <w:rFonts w:ascii="Arial" w:hAnsi="Arial" w:cs="Arial"/>
          <w:sz w:val="24"/>
          <w:szCs w:val="24"/>
        </w:rPr>
        <w:t>Are the values set out in CCC-75, Table 3 the base CDM savings against which Hydro One plans t</w:t>
      </w:r>
      <w:r w:rsidR="00555211">
        <w:rPr>
          <w:rFonts w:ascii="Arial" w:hAnsi="Arial" w:cs="Arial"/>
          <w:sz w:val="24"/>
          <w:szCs w:val="24"/>
        </w:rPr>
        <w:t>o calculate</w:t>
      </w:r>
      <w:r>
        <w:rPr>
          <w:rFonts w:ascii="Arial" w:hAnsi="Arial" w:cs="Arial"/>
          <w:sz w:val="24"/>
          <w:szCs w:val="24"/>
        </w:rPr>
        <w:t xml:space="preserve"> the LRAMVA amounts?</w:t>
      </w:r>
    </w:p>
    <w:p w14:paraId="5437BD55" w14:textId="77777777" w:rsidR="00555211" w:rsidRDefault="00F655C4" w:rsidP="00555211">
      <w:pPr>
        <w:pStyle w:val="ListParagraph"/>
        <w:numPr>
          <w:ilvl w:val="1"/>
          <w:numId w:val="7"/>
        </w:numPr>
        <w:spacing w:after="120" w:line="240" w:lineRule="auto"/>
        <w:ind w:hanging="357"/>
        <w:rPr>
          <w:rFonts w:ascii="Arial" w:hAnsi="Arial" w:cs="Arial"/>
          <w:sz w:val="24"/>
          <w:szCs w:val="24"/>
        </w:rPr>
      </w:pPr>
      <w:r>
        <w:rPr>
          <w:rFonts w:ascii="Arial" w:hAnsi="Arial" w:cs="Arial"/>
          <w:sz w:val="24"/>
          <w:szCs w:val="24"/>
        </w:rPr>
        <w:t>If yes</w:t>
      </w:r>
      <w:r w:rsidR="00555211">
        <w:rPr>
          <w:rFonts w:ascii="Arial" w:hAnsi="Arial" w:cs="Arial"/>
          <w:sz w:val="24"/>
          <w:szCs w:val="24"/>
        </w:rPr>
        <w:t xml:space="preserve"> and the values are not “annualized” please provide the annualized equivalents.</w:t>
      </w:r>
    </w:p>
    <w:p w14:paraId="6DCE5938" w14:textId="77777777" w:rsidR="00555211" w:rsidRDefault="00555211" w:rsidP="00555211">
      <w:pPr>
        <w:pStyle w:val="ListParagraph"/>
        <w:numPr>
          <w:ilvl w:val="1"/>
          <w:numId w:val="7"/>
        </w:numPr>
        <w:spacing w:after="120" w:line="240" w:lineRule="auto"/>
        <w:ind w:hanging="357"/>
        <w:contextualSpacing w:val="0"/>
        <w:rPr>
          <w:rFonts w:ascii="Arial" w:hAnsi="Arial" w:cs="Arial"/>
          <w:sz w:val="24"/>
          <w:szCs w:val="24"/>
        </w:rPr>
      </w:pPr>
      <w:r>
        <w:rPr>
          <w:rFonts w:ascii="Arial" w:hAnsi="Arial" w:cs="Arial"/>
          <w:sz w:val="24"/>
          <w:szCs w:val="24"/>
        </w:rPr>
        <w:t>If no, please provide Hydro One’s proposed “annualized” LRAMVA thresholds for each year for which it will be seeking a lost revenue recovery.</w:t>
      </w:r>
    </w:p>
    <w:p w14:paraId="6956DDF9" w14:textId="77777777" w:rsidR="00555211" w:rsidRDefault="00555211" w:rsidP="00555211">
      <w:pPr>
        <w:pStyle w:val="ListParagraph"/>
        <w:numPr>
          <w:ilvl w:val="0"/>
          <w:numId w:val="7"/>
        </w:numPr>
        <w:spacing w:after="120" w:line="240" w:lineRule="auto"/>
        <w:ind w:left="714" w:hanging="357"/>
        <w:contextualSpacing w:val="0"/>
        <w:rPr>
          <w:rFonts w:ascii="Arial" w:hAnsi="Arial" w:cs="Arial"/>
          <w:sz w:val="24"/>
          <w:szCs w:val="24"/>
        </w:rPr>
      </w:pPr>
      <w:r>
        <w:rPr>
          <w:rFonts w:ascii="Arial" w:hAnsi="Arial" w:cs="Arial"/>
          <w:sz w:val="24"/>
          <w:szCs w:val="24"/>
        </w:rPr>
        <w:t>Since the</w:t>
      </w:r>
      <w:r w:rsidRPr="00555211">
        <w:rPr>
          <w:rFonts w:ascii="Arial" w:hAnsi="Arial" w:cs="Arial"/>
          <w:sz w:val="24"/>
          <w:szCs w:val="24"/>
        </w:rPr>
        <w:t xml:space="preserve"> load forecast model is based on actual data up to 2016 and actual CDM savings</w:t>
      </w:r>
      <w:r>
        <w:rPr>
          <w:rFonts w:ascii="Arial" w:hAnsi="Arial" w:cs="Arial"/>
          <w:sz w:val="24"/>
          <w:szCs w:val="24"/>
        </w:rPr>
        <w:t xml:space="preserve"> are </w:t>
      </w:r>
      <w:r w:rsidRPr="00555211">
        <w:rPr>
          <w:rFonts w:ascii="Arial" w:hAnsi="Arial" w:cs="Arial"/>
          <w:sz w:val="24"/>
          <w:szCs w:val="24"/>
        </w:rPr>
        <w:t>reported by the IESO up to 2016</w:t>
      </w:r>
      <w:r>
        <w:rPr>
          <w:rFonts w:ascii="Arial" w:hAnsi="Arial" w:cs="Arial"/>
          <w:sz w:val="24"/>
          <w:szCs w:val="24"/>
        </w:rPr>
        <w:t>, why aren’t the 2015 and 2016 implementation year values in Table 3 based on the actual verified Hydro One</w:t>
      </w:r>
      <w:r w:rsidRPr="00555211">
        <w:rPr>
          <w:rFonts w:ascii="Arial" w:hAnsi="Arial" w:cs="Arial"/>
          <w:sz w:val="24"/>
          <w:szCs w:val="24"/>
        </w:rPr>
        <w:t xml:space="preserve"> savings for 2015 and 2016</w:t>
      </w:r>
      <w:r>
        <w:rPr>
          <w:rFonts w:ascii="Arial" w:hAnsi="Arial" w:cs="Arial"/>
          <w:sz w:val="24"/>
          <w:szCs w:val="24"/>
        </w:rPr>
        <w:t>?</w:t>
      </w:r>
    </w:p>
    <w:p w14:paraId="31F0837B" w14:textId="77777777" w:rsidR="00555211" w:rsidRDefault="00555211" w:rsidP="00555211">
      <w:pPr>
        <w:pStyle w:val="ListParagraph"/>
        <w:numPr>
          <w:ilvl w:val="0"/>
          <w:numId w:val="7"/>
        </w:numPr>
        <w:spacing w:after="120" w:line="240" w:lineRule="auto"/>
        <w:ind w:left="714" w:hanging="357"/>
        <w:contextualSpacing w:val="0"/>
        <w:rPr>
          <w:rFonts w:ascii="Arial" w:hAnsi="Arial" w:cs="Arial"/>
          <w:sz w:val="24"/>
          <w:szCs w:val="24"/>
        </w:rPr>
      </w:pPr>
      <w:r>
        <w:rPr>
          <w:rFonts w:ascii="Arial" w:hAnsi="Arial" w:cs="Arial"/>
          <w:sz w:val="24"/>
          <w:szCs w:val="24"/>
        </w:rPr>
        <w:t>Since the</w:t>
      </w:r>
      <w:r w:rsidRPr="00555211">
        <w:rPr>
          <w:rFonts w:ascii="Arial" w:hAnsi="Arial" w:cs="Arial"/>
          <w:sz w:val="24"/>
          <w:szCs w:val="24"/>
        </w:rPr>
        <w:t xml:space="preserve"> load forecast model is based on actual data up to 2016 and actual CDM savings</w:t>
      </w:r>
      <w:r>
        <w:rPr>
          <w:rFonts w:ascii="Arial" w:hAnsi="Arial" w:cs="Arial"/>
          <w:sz w:val="24"/>
          <w:szCs w:val="24"/>
        </w:rPr>
        <w:t xml:space="preserve"> are </w:t>
      </w:r>
      <w:r w:rsidRPr="00555211">
        <w:rPr>
          <w:rFonts w:ascii="Arial" w:hAnsi="Arial" w:cs="Arial"/>
          <w:sz w:val="24"/>
          <w:szCs w:val="24"/>
        </w:rPr>
        <w:t>reported by the IESO up to 2016</w:t>
      </w:r>
      <w:r>
        <w:rPr>
          <w:rFonts w:ascii="Arial" w:hAnsi="Arial" w:cs="Arial"/>
          <w:sz w:val="24"/>
          <w:szCs w:val="24"/>
        </w:rPr>
        <w:t>, why is it necessary to seek recovery for lost revenue from programs implemented in 2015 and 2016?</w:t>
      </w:r>
    </w:p>
    <w:p w14:paraId="625D2C53" w14:textId="697E0254" w:rsidR="005E0BBD" w:rsidRDefault="005E0BBD" w:rsidP="005E0BBD">
      <w:pPr>
        <w:pStyle w:val="ListParagraph"/>
        <w:numPr>
          <w:ilvl w:val="0"/>
          <w:numId w:val="7"/>
        </w:numPr>
        <w:spacing w:after="120" w:line="240" w:lineRule="auto"/>
        <w:ind w:left="714" w:hanging="357"/>
        <w:contextualSpacing w:val="0"/>
        <w:rPr>
          <w:rFonts w:ascii="Arial" w:hAnsi="Arial" w:cs="Arial"/>
          <w:sz w:val="24"/>
          <w:szCs w:val="24"/>
        </w:rPr>
      </w:pPr>
      <w:r>
        <w:rPr>
          <w:rFonts w:ascii="Arial" w:hAnsi="Arial" w:cs="Arial"/>
          <w:sz w:val="24"/>
          <w:szCs w:val="24"/>
        </w:rPr>
        <w:t>For the program years 2017-2020, why use the values in CCC-75 as opposed to those set out in HON’s approved CDM plan – provided in response to OSEA #6?</w:t>
      </w:r>
    </w:p>
    <w:p w14:paraId="0DAAE9A3" w14:textId="258A0562" w:rsidR="005E0BBD" w:rsidRDefault="005E0BBD" w:rsidP="005E0BBD">
      <w:pPr>
        <w:pStyle w:val="ListParagraph"/>
        <w:numPr>
          <w:ilvl w:val="0"/>
          <w:numId w:val="7"/>
        </w:numPr>
        <w:spacing w:after="240" w:line="240" w:lineRule="auto"/>
        <w:ind w:left="714" w:hanging="357"/>
        <w:contextualSpacing w:val="0"/>
        <w:rPr>
          <w:rFonts w:ascii="Arial" w:hAnsi="Arial" w:cs="Arial"/>
          <w:sz w:val="24"/>
          <w:szCs w:val="24"/>
        </w:rPr>
      </w:pPr>
      <w:r>
        <w:rPr>
          <w:rFonts w:ascii="Arial" w:hAnsi="Arial" w:cs="Arial"/>
          <w:sz w:val="24"/>
          <w:szCs w:val="24"/>
        </w:rPr>
        <w:t>Since the LRAM calculations are class specific – please provide a breakdown of the proposed LRMVA kWh threshold for each year (2018-2020) by customer class and indicate how the values were derived.</w:t>
      </w:r>
    </w:p>
    <w:p w14:paraId="7E276E84" w14:textId="02B48FD8" w:rsidR="00783716" w:rsidRDefault="00783716" w:rsidP="005E0BBD">
      <w:pPr>
        <w:pStyle w:val="ListParagraph"/>
        <w:numPr>
          <w:ilvl w:val="0"/>
          <w:numId w:val="7"/>
        </w:numPr>
        <w:spacing w:after="240" w:line="240" w:lineRule="auto"/>
        <w:ind w:left="714" w:hanging="357"/>
        <w:contextualSpacing w:val="0"/>
        <w:rPr>
          <w:rFonts w:ascii="Arial" w:hAnsi="Arial" w:cs="Arial"/>
          <w:sz w:val="24"/>
          <w:szCs w:val="24"/>
        </w:rPr>
      </w:pPr>
      <w:r>
        <w:rPr>
          <w:rFonts w:ascii="Arial" w:hAnsi="Arial" w:cs="Arial"/>
          <w:sz w:val="24"/>
          <w:szCs w:val="24"/>
        </w:rPr>
        <w:t>Staff-233 makes reference (page 2, line 14) to an attached MS Excel file.  However, there does not appear to be a corresponding attachment on the OEB web-site.  Please provide.</w:t>
      </w:r>
    </w:p>
    <w:p w14:paraId="7EE5ED04" w14:textId="1FC6694D" w:rsidR="005E0BBD" w:rsidRPr="005E0BBD" w:rsidRDefault="005E0BBD" w:rsidP="005E0BBD">
      <w:pPr>
        <w:spacing w:after="120" w:line="240" w:lineRule="auto"/>
        <w:rPr>
          <w:rFonts w:ascii="Arial" w:hAnsi="Arial" w:cs="Arial"/>
          <w:i/>
          <w:sz w:val="24"/>
          <w:szCs w:val="24"/>
          <w:u w:val="single"/>
        </w:rPr>
      </w:pPr>
      <w:r w:rsidRPr="005E0BBD">
        <w:rPr>
          <w:rFonts w:ascii="Arial" w:hAnsi="Arial" w:cs="Arial"/>
          <w:i/>
          <w:sz w:val="24"/>
          <w:szCs w:val="24"/>
          <w:u w:val="single"/>
        </w:rPr>
        <w:t>Topic:  Forecast Customer Counts</w:t>
      </w:r>
    </w:p>
    <w:p w14:paraId="6DF864E8" w14:textId="7EE5D4CD" w:rsidR="005E0BBD" w:rsidRDefault="005E0BBD" w:rsidP="005E0BBD">
      <w:pPr>
        <w:spacing w:after="120" w:line="240" w:lineRule="auto"/>
        <w:contextualSpacing/>
        <w:rPr>
          <w:rFonts w:ascii="Arial" w:hAnsi="Arial" w:cs="Arial"/>
          <w:sz w:val="24"/>
          <w:szCs w:val="24"/>
        </w:rPr>
      </w:pPr>
      <w:r w:rsidRPr="00F0512B">
        <w:rPr>
          <w:rFonts w:ascii="Arial" w:hAnsi="Arial" w:cs="Arial"/>
          <w:b/>
          <w:sz w:val="24"/>
          <w:szCs w:val="24"/>
        </w:rPr>
        <w:t>TC Question #</w:t>
      </w:r>
      <w:r>
        <w:rPr>
          <w:rFonts w:ascii="Arial" w:hAnsi="Arial" w:cs="Arial"/>
          <w:b/>
          <w:sz w:val="24"/>
          <w:szCs w:val="24"/>
        </w:rPr>
        <w:t>5</w:t>
      </w:r>
      <w:r w:rsidRPr="00F0512B">
        <w:rPr>
          <w:rFonts w:ascii="Arial" w:hAnsi="Arial" w:cs="Arial"/>
          <w:b/>
          <w:sz w:val="24"/>
          <w:szCs w:val="24"/>
        </w:rPr>
        <w:br/>
      </w:r>
      <w:r w:rsidRPr="00F0512B">
        <w:rPr>
          <w:rFonts w:ascii="Arial" w:hAnsi="Arial" w:cs="Arial"/>
          <w:b/>
          <w:sz w:val="24"/>
          <w:szCs w:val="24"/>
        </w:rPr>
        <w:br/>
      </w:r>
      <w:r>
        <w:rPr>
          <w:rFonts w:ascii="Arial" w:hAnsi="Arial" w:cs="Arial"/>
          <w:sz w:val="24"/>
          <w:szCs w:val="24"/>
        </w:rPr>
        <w:t>Reference:</w:t>
      </w:r>
      <w:r>
        <w:rPr>
          <w:rFonts w:ascii="Arial" w:hAnsi="Arial" w:cs="Arial"/>
          <w:sz w:val="24"/>
          <w:szCs w:val="24"/>
        </w:rPr>
        <w:tab/>
        <w:t>43-VECC-70</w:t>
      </w:r>
    </w:p>
    <w:p w14:paraId="7178C40C" w14:textId="77465DFC" w:rsidR="005E0BBD" w:rsidRDefault="005E0BBD" w:rsidP="005E0BBD">
      <w:pPr>
        <w:spacing w:after="120" w:line="240" w:lineRule="auto"/>
        <w:rPr>
          <w:rFonts w:ascii="Arial" w:hAnsi="Arial" w:cs="Arial"/>
          <w:sz w:val="24"/>
          <w:szCs w:val="24"/>
        </w:rPr>
      </w:pPr>
      <w:r>
        <w:rPr>
          <w:rFonts w:ascii="Arial" w:hAnsi="Arial" w:cs="Arial"/>
          <w:sz w:val="24"/>
          <w:szCs w:val="24"/>
        </w:rPr>
        <w:tab/>
      </w:r>
      <w:r>
        <w:rPr>
          <w:rFonts w:ascii="Arial" w:hAnsi="Arial" w:cs="Arial"/>
          <w:sz w:val="24"/>
          <w:szCs w:val="24"/>
        </w:rPr>
        <w:tab/>
        <w:t>46-Staff-219</w:t>
      </w:r>
    </w:p>
    <w:p w14:paraId="03356EBF" w14:textId="5D51556B" w:rsidR="005E0BBD" w:rsidRDefault="005E0BBD" w:rsidP="005E0BBD">
      <w:pPr>
        <w:pStyle w:val="ListParagraph"/>
        <w:numPr>
          <w:ilvl w:val="0"/>
          <w:numId w:val="9"/>
        </w:numPr>
        <w:spacing w:after="120" w:line="240" w:lineRule="auto"/>
        <w:ind w:left="714" w:hanging="357"/>
        <w:contextualSpacing w:val="0"/>
        <w:rPr>
          <w:rFonts w:ascii="Arial" w:hAnsi="Arial" w:cs="Arial"/>
          <w:sz w:val="24"/>
          <w:szCs w:val="24"/>
        </w:rPr>
      </w:pPr>
      <w:r>
        <w:rPr>
          <w:rFonts w:ascii="Arial" w:hAnsi="Arial" w:cs="Arial"/>
          <w:sz w:val="24"/>
          <w:szCs w:val="24"/>
        </w:rPr>
        <w:t>VECC-70 b) requested the actual customer count values by class for 2017.  The response referred to Staff-219, Table 4.  Please confirm that the correct reference is Table E.4 of the Staff-219.</w:t>
      </w:r>
      <w:r w:rsidR="00783716">
        <w:rPr>
          <w:rFonts w:ascii="Arial" w:hAnsi="Arial" w:cs="Arial"/>
          <w:sz w:val="24"/>
          <w:szCs w:val="24"/>
        </w:rPr>
        <w:t xml:space="preserve">  If not, what is the correct reference?</w:t>
      </w:r>
    </w:p>
    <w:p w14:paraId="1D8B88F0" w14:textId="2AE380C8" w:rsidR="005E0BBD" w:rsidRDefault="00783716" w:rsidP="00783716">
      <w:pPr>
        <w:pStyle w:val="ListParagraph"/>
        <w:numPr>
          <w:ilvl w:val="0"/>
          <w:numId w:val="9"/>
        </w:numPr>
        <w:spacing w:after="120" w:line="240" w:lineRule="auto"/>
        <w:ind w:left="714" w:hanging="357"/>
        <w:contextualSpacing w:val="0"/>
        <w:rPr>
          <w:rFonts w:ascii="Arial" w:hAnsi="Arial" w:cs="Arial"/>
          <w:sz w:val="24"/>
          <w:szCs w:val="24"/>
        </w:rPr>
      </w:pPr>
      <w:r>
        <w:rPr>
          <w:rFonts w:ascii="Arial" w:hAnsi="Arial" w:cs="Arial"/>
          <w:sz w:val="24"/>
          <w:szCs w:val="24"/>
        </w:rPr>
        <w:t xml:space="preserve">For which months in Staff-219, Table </w:t>
      </w:r>
      <w:r w:rsidR="008A7E74">
        <w:rPr>
          <w:rFonts w:ascii="Arial" w:hAnsi="Arial" w:cs="Arial"/>
          <w:sz w:val="24"/>
          <w:szCs w:val="24"/>
        </w:rPr>
        <w:t>E.</w:t>
      </w:r>
      <w:r>
        <w:rPr>
          <w:rFonts w:ascii="Arial" w:hAnsi="Arial" w:cs="Arial"/>
          <w:sz w:val="24"/>
          <w:szCs w:val="24"/>
        </w:rPr>
        <w:t>4 are the customer counts based on actual (as opposed to forecast) values?</w:t>
      </w:r>
    </w:p>
    <w:p w14:paraId="5F086549" w14:textId="46F69E65" w:rsidR="00783716" w:rsidRDefault="00783716" w:rsidP="007A44A2">
      <w:pPr>
        <w:pStyle w:val="ListParagraph"/>
        <w:numPr>
          <w:ilvl w:val="0"/>
          <w:numId w:val="9"/>
        </w:numPr>
        <w:spacing w:after="240" w:line="240" w:lineRule="auto"/>
        <w:ind w:left="714" w:hanging="357"/>
        <w:contextualSpacing w:val="0"/>
        <w:rPr>
          <w:rFonts w:ascii="Arial" w:hAnsi="Arial" w:cs="Arial"/>
          <w:sz w:val="24"/>
          <w:szCs w:val="24"/>
        </w:rPr>
      </w:pPr>
      <w:r>
        <w:rPr>
          <w:rFonts w:ascii="Arial" w:hAnsi="Arial" w:cs="Arial"/>
          <w:sz w:val="24"/>
          <w:szCs w:val="24"/>
        </w:rPr>
        <w:t>The response to Staff-219 includes a revised forecast for both customer count and load by class.  Is Hydro One proposing to adopt these new forecasts and update its Application to reflect the revised values?</w:t>
      </w:r>
    </w:p>
    <w:p w14:paraId="01FCBCAC" w14:textId="77777777" w:rsidR="007A44A2" w:rsidRDefault="007A44A2">
      <w:pPr>
        <w:rPr>
          <w:rFonts w:ascii="Arial" w:hAnsi="Arial" w:cs="Arial"/>
          <w:b/>
          <w:sz w:val="24"/>
          <w:szCs w:val="24"/>
        </w:rPr>
      </w:pPr>
      <w:r>
        <w:rPr>
          <w:rFonts w:ascii="Arial" w:hAnsi="Arial" w:cs="Arial"/>
          <w:b/>
          <w:sz w:val="24"/>
          <w:szCs w:val="24"/>
        </w:rPr>
        <w:br w:type="page"/>
      </w:r>
    </w:p>
    <w:p w14:paraId="652EDBB3" w14:textId="732C3511" w:rsidR="007821B6" w:rsidRDefault="007821B6" w:rsidP="007821B6">
      <w:pPr>
        <w:spacing w:after="120" w:line="240" w:lineRule="auto"/>
        <w:rPr>
          <w:rFonts w:ascii="Arial" w:hAnsi="Arial" w:cs="Arial"/>
          <w:sz w:val="24"/>
          <w:szCs w:val="24"/>
        </w:rPr>
      </w:pPr>
      <w:r w:rsidRPr="00F0512B">
        <w:rPr>
          <w:rFonts w:ascii="Arial" w:hAnsi="Arial" w:cs="Arial"/>
          <w:b/>
          <w:sz w:val="24"/>
          <w:szCs w:val="24"/>
        </w:rPr>
        <w:t>TC Question #</w:t>
      </w:r>
      <w:r>
        <w:rPr>
          <w:rFonts w:ascii="Arial" w:hAnsi="Arial" w:cs="Arial"/>
          <w:b/>
          <w:sz w:val="24"/>
          <w:szCs w:val="24"/>
        </w:rPr>
        <w:t>6</w:t>
      </w:r>
      <w:r w:rsidRPr="00F0512B">
        <w:rPr>
          <w:rFonts w:ascii="Arial" w:hAnsi="Arial" w:cs="Arial"/>
          <w:b/>
          <w:sz w:val="24"/>
          <w:szCs w:val="24"/>
        </w:rPr>
        <w:br/>
      </w:r>
      <w:r w:rsidRPr="00F0512B">
        <w:rPr>
          <w:rFonts w:ascii="Arial" w:hAnsi="Arial" w:cs="Arial"/>
          <w:b/>
          <w:sz w:val="24"/>
          <w:szCs w:val="24"/>
        </w:rPr>
        <w:br/>
      </w:r>
      <w:r>
        <w:rPr>
          <w:rFonts w:ascii="Arial" w:hAnsi="Arial" w:cs="Arial"/>
          <w:sz w:val="24"/>
          <w:szCs w:val="24"/>
        </w:rPr>
        <w:t>Reference:</w:t>
      </w:r>
      <w:r>
        <w:rPr>
          <w:rFonts w:ascii="Arial" w:hAnsi="Arial" w:cs="Arial"/>
          <w:sz w:val="24"/>
          <w:szCs w:val="24"/>
        </w:rPr>
        <w:tab/>
        <w:t>43-VECC-71, Attachment 1</w:t>
      </w:r>
    </w:p>
    <w:p w14:paraId="16F98BF9" w14:textId="77777777" w:rsidR="007821B6" w:rsidRDefault="007821B6" w:rsidP="007821B6">
      <w:pPr>
        <w:spacing w:after="120" w:line="240" w:lineRule="auto"/>
        <w:contextualSpacing/>
        <w:rPr>
          <w:rFonts w:ascii="Arial" w:hAnsi="Arial" w:cs="Arial"/>
          <w:sz w:val="24"/>
          <w:szCs w:val="24"/>
        </w:rPr>
      </w:pPr>
      <w:r w:rsidRPr="00D94720">
        <w:rPr>
          <w:rFonts w:ascii="Arial" w:hAnsi="Arial" w:cs="Arial"/>
          <w:sz w:val="24"/>
          <w:szCs w:val="24"/>
        </w:rPr>
        <w:t>Preamble:</w:t>
      </w:r>
      <w:r w:rsidRPr="00D94720">
        <w:rPr>
          <w:rFonts w:ascii="Arial" w:hAnsi="Arial" w:cs="Arial"/>
          <w:b/>
          <w:sz w:val="24"/>
          <w:szCs w:val="24"/>
        </w:rPr>
        <w:tab/>
      </w:r>
      <w:r w:rsidRPr="007821B6">
        <w:rPr>
          <w:rFonts w:ascii="Arial" w:hAnsi="Arial" w:cs="Arial"/>
          <w:sz w:val="24"/>
          <w:szCs w:val="24"/>
        </w:rPr>
        <w:t xml:space="preserve">The attachment to VECC 71 sets out the impact of reclassification on the </w:t>
      </w:r>
    </w:p>
    <w:p w14:paraId="3583D0EE" w14:textId="77777777" w:rsidR="007821B6" w:rsidRDefault="007821B6" w:rsidP="007821B6">
      <w:pPr>
        <w:spacing w:after="120" w:line="240" w:lineRule="auto"/>
        <w:contextualSpacing/>
        <w:rPr>
          <w:rFonts w:ascii="Arial" w:hAnsi="Arial" w:cs="Arial"/>
          <w:sz w:val="24"/>
          <w:szCs w:val="24"/>
        </w:rPr>
      </w:pPr>
      <w:r>
        <w:rPr>
          <w:rFonts w:ascii="Arial" w:hAnsi="Arial" w:cs="Arial"/>
          <w:sz w:val="24"/>
          <w:szCs w:val="24"/>
        </w:rPr>
        <w:tab/>
      </w:r>
      <w:r>
        <w:rPr>
          <w:rFonts w:ascii="Arial" w:hAnsi="Arial" w:cs="Arial"/>
          <w:sz w:val="24"/>
          <w:szCs w:val="24"/>
        </w:rPr>
        <w:tab/>
      </w:r>
      <w:r w:rsidRPr="007821B6">
        <w:rPr>
          <w:rFonts w:ascii="Arial" w:hAnsi="Arial" w:cs="Arial"/>
          <w:sz w:val="24"/>
          <w:szCs w:val="24"/>
        </w:rPr>
        <w:t>customer counts for the various GS classes and there are two tables</w:t>
      </w:r>
      <w:r>
        <w:rPr>
          <w:rFonts w:ascii="Arial" w:hAnsi="Arial" w:cs="Arial"/>
          <w:sz w:val="24"/>
          <w:szCs w:val="24"/>
        </w:rPr>
        <w:t xml:space="preserve"> (starting at </w:t>
      </w:r>
    </w:p>
    <w:p w14:paraId="13CB3E4C" w14:textId="2416385B" w:rsidR="007821B6" w:rsidRDefault="007821B6" w:rsidP="007821B6">
      <w:pPr>
        <w:spacing w:after="120" w:line="240" w:lineRule="auto"/>
        <w:contextualSpacing/>
        <w:rPr>
          <w:rFonts w:ascii="Arial" w:hAnsi="Arial" w:cs="Arial"/>
          <w:sz w:val="24"/>
          <w:szCs w:val="24"/>
        </w:rPr>
      </w:pPr>
      <w:r>
        <w:rPr>
          <w:rFonts w:ascii="Arial" w:hAnsi="Arial" w:cs="Arial"/>
          <w:sz w:val="24"/>
          <w:szCs w:val="24"/>
        </w:rPr>
        <w:tab/>
      </w:r>
      <w:r>
        <w:rPr>
          <w:rFonts w:ascii="Arial" w:hAnsi="Arial" w:cs="Arial"/>
          <w:sz w:val="24"/>
          <w:szCs w:val="24"/>
        </w:rPr>
        <w:tab/>
        <w:t>Rows 64 and 82 respectively</w:t>
      </w:r>
      <w:r w:rsidR="0045524A">
        <w:rPr>
          <w:rFonts w:ascii="Arial" w:hAnsi="Arial" w:cs="Arial"/>
          <w:sz w:val="24"/>
          <w:szCs w:val="24"/>
        </w:rPr>
        <w:t xml:space="preserve">) </w:t>
      </w:r>
      <w:r w:rsidR="0045524A" w:rsidRPr="007821B6">
        <w:rPr>
          <w:rFonts w:ascii="Arial" w:hAnsi="Arial" w:cs="Arial"/>
          <w:sz w:val="24"/>
          <w:szCs w:val="24"/>
        </w:rPr>
        <w:t>–</w:t>
      </w:r>
      <w:r w:rsidRPr="007821B6">
        <w:rPr>
          <w:rFonts w:ascii="Arial" w:hAnsi="Arial" w:cs="Arial"/>
          <w:sz w:val="24"/>
          <w:szCs w:val="24"/>
        </w:rPr>
        <w:t xml:space="preserve"> one purportedly before reclassification and one </w:t>
      </w:r>
    </w:p>
    <w:p w14:paraId="4CB6FB23" w14:textId="48CEE0C0" w:rsidR="007821B6" w:rsidRDefault="007821B6" w:rsidP="007821B6">
      <w:pPr>
        <w:spacing w:after="120" w:line="240" w:lineRule="auto"/>
        <w:contextualSpacing/>
        <w:rPr>
          <w:rFonts w:ascii="Arial" w:hAnsi="Arial" w:cs="Arial"/>
          <w:sz w:val="24"/>
          <w:szCs w:val="24"/>
        </w:rPr>
      </w:pPr>
      <w:r>
        <w:rPr>
          <w:rFonts w:ascii="Arial" w:hAnsi="Arial" w:cs="Arial"/>
          <w:sz w:val="24"/>
          <w:szCs w:val="24"/>
        </w:rPr>
        <w:tab/>
      </w:r>
      <w:r>
        <w:rPr>
          <w:rFonts w:ascii="Arial" w:hAnsi="Arial" w:cs="Arial"/>
          <w:sz w:val="24"/>
          <w:szCs w:val="24"/>
        </w:rPr>
        <w:tab/>
      </w:r>
      <w:r w:rsidRPr="007821B6">
        <w:rPr>
          <w:rFonts w:ascii="Arial" w:hAnsi="Arial" w:cs="Arial"/>
          <w:sz w:val="24"/>
          <w:szCs w:val="24"/>
        </w:rPr>
        <w:t>after.  However, they are both labelled “Before Reclassification”</w:t>
      </w:r>
      <w:r>
        <w:rPr>
          <w:rFonts w:ascii="Arial" w:hAnsi="Arial" w:cs="Arial"/>
          <w:sz w:val="24"/>
          <w:szCs w:val="24"/>
        </w:rPr>
        <w:t>.</w:t>
      </w:r>
    </w:p>
    <w:p w14:paraId="4390F39A" w14:textId="62641EEF" w:rsidR="007821B6" w:rsidRDefault="007821B6" w:rsidP="007821B6">
      <w:pPr>
        <w:pStyle w:val="ListParagraph"/>
        <w:numPr>
          <w:ilvl w:val="0"/>
          <w:numId w:val="10"/>
        </w:numPr>
        <w:spacing w:after="120" w:line="240" w:lineRule="auto"/>
        <w:ind w:left="714" w:hanging="357"/>
        <w:contextualSpacing w:val="0"/>
        <w:rPr>
          <w:rFonts w:ascii="Arial" w:hAnsi="Arial" w:cs="Arial"/>
          <w:sz w:val="24"/>
          <w:szCs w:val="24"/>
        </w:rPr>
      </w:pPr>
      <w:r>
        <w:rPr>
          <w:rFonts w:ascii="Arial" w:hAnsi="Arial" w:cs="Arial"/>
          <w:sz w:val="24"/>
          <w:szCs w:val="24"/>
        </w:rPr>
        <w:t xml:space="preserve">Please indicate </w:t>
      </w:r>
      <w:r w:rsidRPr="007821B6">
        <w:rPr>
          <w:rFonts w:ascii="Arial" w:hAnsi="Arial" w:cs="Arial"/>
          <w:sz w:val="24"/>
          <w:szCs w:val="24"/>
        </w:rPr>
        <w:t>whether it is the table at Row 64 or 82 that is th</w:t>
      </w:r>
      <w:r>
        <w:rPr>
          <w:rFonts w:ascii="Arial" w:hAnsi="Arial" w:cs="Arial"/>
          <w:sz w:val="24"/>
          <w:szCs w:val="24"/>
        </w:rPr>
        <w:t>e After Reclassification counts</w:t>
      </w:r>
      <w:r w:rsidRPr="007821B6">
        <w:rPr>
          <w:rFonts w:ascii="Arial" w:hAnsi="Arial" w:cs="Arial"/>
          <w:sz w:val="24"/>
          <w:szCs w:val="24"/>
        </w:rPr>
        <w:t>?</w:t>
      </w:r>
    </w:p>
    <w:p w14:paraId="22BFE0E2" w14:textId="7095751A" w:rsidR="007821B6" w:rsidRPr="007821B6" w:rsidRDefault="008A7E74" w:rsidP="007821B6">
      <w:pPr>
        <w:pStyle w:val="ListParagraph"/>
        <w:numPr>
          <w:ilvl w:val="0"/>
          <w:numId w:val="10"/>
        </w:numPr>
        <w:spacing w:after="240" w:line="240" w:lineRule="auto"/>
        <w:ind w:left="714" w:hanging="357"/>
        <w:rPr>
          <w:rFonts w:ascii="Arial" w:hAnsi="Arial" w:cs="Arial"/>
          <w:sz w:val="24"/>
          <w:szCs w:val="24"/>
        </w:rPr>
      </w:pPr>
      <w:r>
        <w:rPr>
          <w:rFonts w:ascii="Arial" w:hAnsi="Arial" w:cs="Arial"/>
          <w:sz w:val="24"/>
          <w:szCs w:val="24"/>
        </w:rPr>
        <w:t>The c</w:t>
      </w:r>
      <w:r w:rsidR="007821B6" w:rsidRPr="007821B6">
        <w:rPr>
          <w:rFonts w:ascii="Arial" w:hAnsi="Arial" w:cs="Arial"/>
          <w:sz w:val="24"/>
          <w:szCs w:val="24"/>
        </w:rPr>
        <w:t>ustomer counts set out in the Application appear to use the Row 64 values</w:t>
      </w:r>
      <w:r w:rsidR="007821B6">
        <w:rPr>
          <w:rFonts w:ascii="Arial" w:hAnsi="Arial" w:cs="Arial"/>
          <w:sz w:val="24"/>
          <w:szCs w:val="24"/>
        </w:rPr>
        <w:t>.  Please confirm whether these are t</w:t>
      </w:r>
      <w:r w:rsidR="007821B6" w:rsidRPr="007821B6">
        <w:rPr>
          <w:rFonts w:ascii="Arial" w:hAnsi="Arial" w:cs="Arial"/>
          <w:sz w:val="24"/>
          <w:szCs w:val="24"/>
        </w:rPr>
        <w:t>he correct values.</w:t>
      </w:r>
    </w:p>
    <w:p w14:paraId="3AFD3AD2" w14:textId="656CB028" w:rsidR="005E0BBD" w:rsidRPr="007821B6" w:rsidRDefault="007821B6" w:rsidP="005E0BBD">
      <w:pPr>
        <w:spacing w:after="120" w:line="240" w:lineRule="auto"/>
        <w:rPr>
          <w:rFonts w:ascii="Arial" w:hAnsi="Arial" w:cs="Arial"/>
          <w:i/>
          <w:sz w:val="24"/>
          <w:szCs w:val="24"/>
          <w:u w:val="single"/>
        </w:rPr>
      </w:pPr>
      <w:r w:rsidRPr="007821B6">
        <w:rPr>
          <w:rFonts w:ascii="Arial" w:hAnsi="Arial" w:cs="Arial"/>
          <w:i/>
          <w:sz w:val="24"/>
          <w:szCs w:val="24"/>
          <w:u w:val="single"/>
        </w:rPr>
        <w:t>Topic</w:t>
      </w:r>
      <w:r w:rsidR="00757C2C">
        <w:rPr>
          <w:rFonts w:ascii="Arial" w:hAnsi="Arial" w:cs="Arial"/>
          <w:i/>
          <w:sz w:val="24"/>
          <w:szCs w:val="24"/>
          <w:u w:val="single"/>
        </w:rPr>
        <w:t xml:space="preserve">:  </w:t>
      </w:r>
      <w:r w:rsidRPr="007821B6">
        <w:rPr>
          <w:rFonts w:ascii="Arial" w:hAnsi="Arial" w:cs="Arial"/>
          <w:i/>
          <w:sz w:val="24"/>
          <w:szCs w:val="24"/>
          <w:u w:val="single"/>
        </w:rPr>
        <w:t>Use of Multiple Models</w:t>
      </w:r>
    </w:p>
    <w:p w14:paraId="57174662" w14:textId="2B38B3A6" w:rsidR="007821B6" w:rsidRDefault="007821B6" w:rsidP="00BE1DF9">
      <w:pPr>
        <w:spacing w:after="120" w:line="240" w:lineRule="auto"/>
        <w:contextualSpacing/>
        <w:rPr>
          <w:rFonts w:ascii="Arial" w:hAnsi="Arial" w:cs="Arial"/>
          <w:sz w:val="24"/>
          <w:szCs w:val="24"/>
        </w:rPr>
      </w:pPr>
      <w:r w:rsidRPr="00F0512B">
        <w:rPr>
          <w:rFonts w:ascii="Arial" w:hAnsi="Arial" w:cs="Arial"/>
          <w:b/>
          <w:sz w:val="24"/>
          <w:szCs w:val="24"/>
        </w:rPr>
        <w:t>TC Question #</w:t>
      </w:r>
      <w:r>
        <w:rPr>
          <w:rFonts w:ascii="Arial" w:hAnsi="Arial" w:cs="Arial"/>
          <w:b/>
          <w:sz w:val="24"/>
          <w:szCs w:val="24"/>
        </w:rPr>
        <w:t>7</w:t>
      </w:r>
      <w:r w:rsidRPr="00F0512B">
        <w:rPr>
          <w:rFonts w:ascii="Arial" w:hAnsi="Arial" w:cs="Arial"/>
          <w:b/>
          <w:sz w:val="24"/>
          <w:szCs w:val="24"/>
        </w:rPr>
        <w:br/>
      </w:r>
      <w:r w:rsidRPr="00F0512B">
        <w:rPr>
          <w:rFonts w:ascii="Arial" w:hAnsi="Arial" w:cs="Arial"/>
          <w:b/>
          <w:sz w:val="24"/>
          <w:szCs w:val="24"/>
        </w:rPr>
        <w:br/>
      </w:r>
      <w:bookmarkStart w:id="2" w:name="_GoBack"/>
      <w:r>
        <w:rPr>
          <w:rFonts w:ascii="Arial" w:hAnsi="Arial" w:cs="Arial"/>
          <w:sz w:val="24"/>
          <w:szCs w:val="24"/>
        </w:rPr>
        <w:t>Reference:</w:t>
      </w:r>
      <w:r>
        <w:rPr>
          <w:rFonts w:ascii="Arial" w:hAnsi="Arial" w:cs="Arial"/>
          <w:sz w:val="24"/>
          <w:szCs w:val="24"/>
        </w:rPr>
        <w:tab/>
        <w:t>4</w:t>
      </w:r>
      <w:r w:rsidR="00BD7F4E">
        <w:rPr>
          <w:rFonts w:ascii="Arial" w:hAnsi="Arial" w:cs="Arial"/>
          <w:sz w:val="24"/>
          <w:szCs w:val="24"/>
        </w:rPr>
        <w:t>3-VECC-76</w:t>
      </w:r>
    </w:p>
    <w:bookmarkEnd w:id="2"/>
    <w:p w14:paraId="3950B1B6" w14:textId="51BC5F8D" w:rsidR="00BD7F4E" w:rsidRDefault="00BD7F4E" w:rsidP="007821B6">
      <w:pPr>
        <w:spacing w:after="120" w:line="240" w:lineRule="auto"/>
        <w:rPr>
          <w:rFonts w:ascii="Arial" w:hAnsi="Arial" w:cs="Arial"/>
          <w:sz w:val="24"/>
          <w:szCs w:val="24"/>
        </w:rPr>
      </w:pPr>
      <w:r>
        <w:rPr>
          <w:rFonts w:ascii="Arial" w:hAnsi="Arial" w:cs="Arial"/>
          <w:sz w:val="24"/>
          <w:szCs w:val="24"/>
        </w:rPr>
        <w:tab/>
      </w:r>
      <w:r>
        <w:rPr>
          <w:rFonts w:ascii="Arial" w:hAnsi="Arial" w:cs="Arial"/>
          <w:sz w:val="24"/>
          <w:szCs w:val="24"/>
        </w:rPr>
        <w:tab/>
        <w:t>46-CME-70</w:t>
      </w:r>
    </w:p>
    <w:p w14:paraId="132D963E" w14:textId="5F226E56" w:rsidR="00BD7F4E" w:rsidRDefault="007821B6" w:rsidP="00BD7F4E">
      <w:pPr>
        <w:spacing w:after="120" w:line="240" w:lineRule="auto"/>
        <w:contextualSpacing/>
        <w:rPr>
          <w:rFonts w:ascii="Arial" w:eastAsia="Calibri" w:hAnsi="Arial" w:cs="Arial"/>
          <w:sz w:val="24"/>
          <w:szCs w:val="24"/>
        </w:rPr>
      </w:pPr>
      <w:r w:rsidRPr="00D94720">
        <w:rPr>
          <w:rFonts w:ascii="Arial" w:hAnsi="Arial" w:cs="Arial"/>
          <w:sz w:val="24"/>
          <w:szCs w:val="24"/>
        </w:rPr>
        <w:t>Preamble:</w:t>
      </w:r>
      <w:r w:rsidRPr="00D94720">
        <w:rPr>
          <w:rFonts w:ascii="Arial" w:hAnsi="Arial" w:cs="Arial"/>
          <w:b/>
          <w:sz w:val="24"/>
          <w:szCs w:val="24"/>
        </w:rPr>
        <w:tab/>
      </w:r>
      <w:r w:rsidR="00BD7F4E" w:rsidRPr="00BD7F4E">
        <w:rPr>
          <w:rFonts w:ascii="Arial" w:eastAsia="Calibri" w:hAnsi="Arial" w:cs="Arial"/>
          <w:sz w:val="24"/>
          <w:szCs w:val="24"/>
        </w:rPr>
        <w:t xml:space="preserve">VECC 76 </w:t>
      </w:r>
      <w:r w:rsidR="00BD7F4E">
        <w:rPr>
          <w:rFonts w:ascii="Arial" w:eastAsia="Calibri" w:hAnsi="Arial" w:cs="Arial"/>
          <w:sz w:val="24"/>
          <w:szCs w:val="24"/>
        </w:rPr>
        <w:t xml:space="preserve">c) </w:t>
      </w:r>
      <w:r w:rsidR="00BD7F4E" w:rsidRPr="00BD7F4E">
        <w:rPr>
          <w:rFonts w:ascii="Arial" w:eastAsia="Calibri" w:hAnsi="Arial" w:cs="Arial"/>
          <w:sz w:val="24"/>
          <w:szCs w:val="24"/>
        </w:rPr>
        <w:t xml:space="preserve">provides the load forecasts from the different models and resulting </w:t>
      </w:r>
    </w:p>
    <w:p w14:paraId="2D4A7F29" w14:textId="77777777" w:rsidR="00BD7F4E" w:rsidRDefault="00BD7F4E" w:rsidP="00BD7F4E">
      <w:pPr>
        <w:spacing w:after="120" w:line="240" w:lineRule="auto"/>
        <w:contextualSpacing/>
        <w:rPr>
          <w:rFonts w:ascii="Arial" w:eastAsia="Calibri" w:hAnsi="Arial" w:cs="Arial"/>
          <w:sz w:val="24"/>
          <w:szCs w:val="24"/>
        </w:rPr>
      </w:pPr>
      <w:r>
        <w:rPr>
          <w:rFonts w:ascii="Arial" w:eastAsia="Calibri" w:hAnsi="Arial" w:cs="Arial"/>
          <w:sz w:val="24"/>
          <w:szCs w:val="24"/>
        </w:rPr>
        <w:tab/>
      </w:r>
      <w:r>
        <w:rPr>
          <w:rFonts w:ascii="Arial" w:eastAsia="Calibri" w:hAnsi="Arial" w:cs="Arial"/>
          <w:sz w:val="24"/>
          <w:szCs w:val="24"/>
        </w:rPr>
        <w:tab/>
      </w:r>
      <w:r w:rsidRPr="00BD7F4E">
        <w:rPr>
          <w:rFonts w:ascii="Arial" w:eastAsia="Calibri" w:hAnsi="Arial" w:cs="Arial"/>
          <w:sz w:val="24"/>
          <w:szCs w:val="24"/>
        </w:rPr>
        <w:t xml:space="preserve">preliminary forecast.  It notes in part c) that this forecast was adjusted upwards to </w:t>
      </w:r>
    </w:p>
    <w:p w14:paraId="596BA43A" w14:textId="76394193" w:rsidR="007821B6" w:rsidRDefault="00BD7F4E" w:rsidP="00757C2C">
      <w:pPr>
        <w:spacing w:after="120" w:line="240" w:lineRule="auto"/>
        <w:rPr>
          <w:rFonts w:ascii="Arial" w:hAnsi="Arial" w:cs="Arial"/>
          <w:sz w:val="24"/>
          <w:szCs w:val="24"/>
        </w:rPr>
      </w:pPr>
      <w:r>
        <w:rPr>
          <w:rFonts w:ascii="Arial" w:eastAsia="Calibri" w:hAnsi="Arial" w:cs="Arial"/>
          <w:sz w:val="24"/>
          <w:szCs w:val="24"/>
        </w:rPr>
        <w:tab/>
      </w:r>
      <w:r>
        <w:rPr>
          <w:rFonts w:ascii="Arial" w:eastAsia="Calibri" w:hAnsi="Arial" w:cs="Arial"/>
          <w:sz w:val="24"/>
          <w:szCs w:val="24"/>
        </w:rPr>
        <w:tab/>
      </w:r>
      <w:r w:rsidRPr="00BD7F4E">
        <w:rPr>
          <w:rFonts w:ascii="Arial" w:eastAsia="Calibri" w:hAnsi="Arial" w:cs="Arial"/>
          <w:sz w:val="24"/>
          <w:szCs w:val="24"/>
        </w:rPr>
        <w:t>arrive at the forecast used in the application</w:t>
      </w:r>
      <w:r w:rsidR="00757C2C">
        <w:rPr>
          <w:rFonts w:ascii="Arial" w:hAnsi="Arial" w:cs="Arial"/>
          <w:sz w:val="24"/>
          <w:szCs w:val="24"/>
        </w:rPr>
        <w:t>.</w:t>
      </w:r>
    </w:p>
    <w:p w14:paraId="50441161" w14:textId="77777777" w:rsidR="00757C2C" w:rsidRDefault="00757C2C" w:rsidP="007821B6">
      <w:pPr>
        <w:spacing w:after="120" w:line="240" w:lineRule="auto"/>
        <w:contextualSpacing/>
        <w:rPr>
          <w:rFonts w:ascii="Arial" w:hAnsi="Arial" w:cs="Arial"/>
          <w:sz w:val="24"/>
          <w:szCs w:val="24"/>
        </w:rPr>
      </w:pPr>
      <w:r>
        <w:rPr>
          <w:rFonts w:ascii="Arial" w:hAnsi="Arial" w:cs="Arial"/>
          <w:sz w:val="24"/>
          <w:szCs w:val="24"/>
        </w:rPr>
        <w:tab/>
      </w:r>
      <w:r>
        <w:rPr>
          <w:rFonts w:ascii="Arial" w:hAnsi="Arial" w:cs="Arial"/>
          <w:sz w:val="24"/>
          <w:szCs w:val="24"/>
        </w:rPr>
        <w:tab/>
        <w:t xml:space="preserve">CME-70 also describes how the results from the three models were used to </w:t>
      </w:r>
    </w:p>
    <w:p w14:paraId="09E6CC53" w14:textId="2ADDC6AD" w:rsidR="00757C2C" w:rsidRDefault="00757C2C" w:rsidP="007821B6">
      <w:pPr>
        <w:spacing w:after="120" w:line="240" w:lineRule="auto"/>
        <w:contextualSpacing/>
        <w:rPr>
          <w:rFonts w:ascii="Arial" w:hAnsi="Arial" w:cs="Arial"/>
          <w:sz w:val="24"/>
          <w:szCs w:val="24"/>
        </w:rPr>
      </w:pPr>
      <w:r>
        <w:rPr>
          <w:rFonts w:ascii="Arial" w:hAnsi="Arial" w:cs="Arial"/>
          <w:sz w:val="24"/>
          <w:szCs w:val="24"/>
        </w:rPr>
        <w:tab/>
      </w:r>
      <w:r>
        <w:rPr>
          <w:rFonts w:ascii="Arial" w:hAnsi="Arial" w:cs="Arial"/>
          <w:sz w:val="24"/>
          <w:szCs w:val="24"/>
        </w:rPr>
        <w:tab/>
        <w:t>establish the load forecast.</w:t>
      </w:r>
    </w:p>
    <w:p w14:paraId="36A0E7BC" w14:textId="77777777" w:rsidR="00757C2C" w:rsidRDefault="00757C2C" w:rsidP="00757C2C">
      <w:pPr>
        <w:pStyle w:val="ListParagraph"/>
        <w:numPr>
          <w:ilvl w:val="0"/>
          <w:numId w:val="11"/>
        </w:numPr>
        <w:spacing w:after="120" w:line="240" w:lineRule="auto"/>
        <w:contextualSpacing w:val="0"/>
        <w:rPr>
          <w:rFonts w:ascii="Arial" w:hAnsi="Arial" w:cs="Arial"/>
          <w:sz w:val="24"/>
          <w:szCs w:val="24"/>
        </w:rPr>
      </w:pPr>
      <w:r>
        <w:rPr>
          <w:rFonts w:ascii="Arial" w:hAnsi="Arial" w:cs="Arial"/>
          <w:sz w:val="24"/>
          <w:szCs w:val="24"/>
        </w:rPr>
        <w:t>How was the upward adjustment referred to in VECC 76 c) determined?</w:t>
      </w:r>
    </w:p>
    <w:p w14:paraId="32746705" w14:textId="30BA5F75" w:rsidR="00757C2C" w:rsidRDefault="00757C2C" w:rsidP="00757C2C">
      <w:pPr>
        <w:pStyle w:val="ListParagraph"/>
        <w:numPr>
          <w:ilvl w:val="0"/>
          <w:numId w:val="11"/>
        </w:numPr>
        <w:spacing w:after="120" w:line="240" w:lineRule="auto"/>
        <w:contextualSpacing w:val="0"/>
        <w:rPr>
          <w:rFonts w:ascii="Arial" w:hAnsi="Arial" w:cs="Arial"/>
          <w:sz w:val="24"/>
          <w:szCs w:val="24"/>
        </w:rPr>
      </w:pPr>
      <w:r w:rsidRPr="00757C2C">
        <w:rPr>
          <w:rFonts w:ascii="Arial" w:hAnsi="Arial" w:cs="Arial"/>
          <w:sz w:val="24"/>
          <w:szCs w:val="24"/>
        </w:rPr>
        <w:t xml:space="preserve">Table 2 of VECC-75 indicates that the results of the models were averaged and adjusted before adjusting the forecast for CDM?  (Note the value for 2016 actual is equivalent to E1, Tab 2, Schedule 1, Table 7 – for the Retail Class before deducting CDM).  However, CME 70 c) states the forecast was based on an average of the forecasts after adjusting for CDM.  Please clarify whether the averaging </w:t>
      </w:r>
      <w:r w:rsidR="008A7E74">
        <w:rPr>
          <w:rFonts w:ascii="Arial" w:hAnsi="Arial" w:cs="Arial"/>
          <w:sz w:val="24"/>
          <w:szCs w:val="24"/>
        </w:rPr>
        <w:t xml:space="preserve">was </w:t>
      </w:r>
      <w:r w:rsidRPr="00757C2C">
        <w:rPr>
          <w:rFonts w:ascii="Arial" w:hAnsi="Arial" w:cs="Arial"/>
          <w:sz w:val="24"/>
          <w:szCs w:val="24"/>
        </w:rPr>
        <w:t>done before or after adjusting for CDM?</w:t>
      </w:r>
    </w:p>
    <w:p w14:paraId="618AC749" w14:textId="78ECCC77" w:rsidR="00757C2C" w:rsidRPr="00757C2C" w:rsidRDefault="00757C2C" w:rsidP="00757C2C">
      <w:pPr>
        <w:pStyle w:val="ListParagraph"/>
        <w:numPr>
          <w:ilvl w:val="0"/>
          <w:numId w:val="11"/>
        </w:numPr>
        <w:spacing w:after="240" w:line="240" w:lineRule="auto"/>
        <w:ind w:left="714" w:hanging="357"/>
        <w:contextualSpacing w:val="0"/>
        <w:rPr>
          <w:rFonts w:ascii="Arial" w:hAnsi="Arial" w:cs="Arial"/>
          <w:sz w:val="24"/>
          <w:szCs w:val="24"/>
        </w:rPr>
      </w:pPr>
      <w:r>
        <w:rPr>
          <w:rFonts w:ascii="Arial" w:hAnsi="Arial" w:cs="Arial"/>
          <w:sz w:val="24"/>
          <w:szCs w:val="24"/>
        </w:rPr>
        <w:t>The response to VECC-75 indicates that it was the growth rates (over 2016 actuals) that were “averaged”.  However, CME-70 c) suggests it was the average of the forecast values that was averaged.  Please clarify</w:t>
      </w:r>
      <w:r w:rsidR="008A7E74">
        <w:rPr>
          <w:rFonts w:ascii="Arial" w:hAnsi="Arial" w:cs="Arial"/>
          <w:sz w:val="24"/>
          <w:szCs w:val="24"/>
        </w:rPr>
        <w:t xml:space="preserve"> the approach used</w:t>
      </w:r>
      <w:r>
        <w:rPr>
          <w:rFonts w:ascii="Arial" w:hAnsi="Arial" w:cs="Arial"/>
          <w:sz w:val="24"/>
          <w:szCs w:val="24"/>
        </w:rPr>
        <w:t>.</w:t>
      </w:r>
    </w:p>
    <w:p w14:paraId="05D2A572" w14:textId="72E135C7" w:rsidR="007821B6" w:rsidRPr="00757C2C" w:rsidRDefault="00757C2C" w:rsidP="007821B6">
      <w:pPr>
        <w:spacing w:after="120" w:line="240" w:lineRule="auto"/>
        <w:rPr>
          <w:rFonts w:ascii="Arial" w:hAnsi="Arial" w:cs="Arial"/>
          <w:i/>
          <w:sz w:val="24"/>
          <w:szCs w:val="24"/>
          <w:u w:val="single"/>
        </w:rPr>
      </w:pPr>
      <w:r w:rsidRPr="00757C2C">
        <w:rPr>
          <w:rFonts w:ascii="Arial" w:hAnsi="Arial" w:cs="Arial"/>
          <w:i/>
          <w:sz w:val="24"/>
          <w:szCs w:val="24"/>
          <w:u w:val="single"/>
        </w:rPr>
        <w:t>Topic:  Load Forecast Update</w:t>
      </w:r>
    </w:p>
    <w:p w14:paraId="65568BC3" w14:textId="5493DE9E" w:rsidR="00757C2C" w:rsidRDefault="00757C2C" w:rsidP="00757C2C">
      <w:pPr>
        <w:spacing w:after="120" w:line="240" w:lineRule="auto"/>
        <w:rPr>
          <w:rFonts w:ascii="Arial" w:hAnsi="Arial" w:cs="Arial"/>
          <w:sz w:val="24"/>
          <w:szCs w:val="24"/>
        </w:rPr>
      </w:pPr>
      <w:r w:rsidRPr="00F0512B">
        <w:rPr>
          <w:rFonts w:ascii="Arial" w:hAnsi="Arial" w:cs="Arial"/>
          <w:b/>
          <w:sz w:val="24"/>
          <w:szCs w:val="24"/>
        </w:rPr>
        <w:t>TC Question #</w:t>
      </w:r>
      <w:r>
        <w:rPr>
          <w:rFonts w:ascii="Arial" w:hAnsi="Arial" w:cs="Arial"/>
          <w:b/>
          <w:sz w:val="24"/>
          <w:szCs w:val="24"/>
        </w:rPr>
        <w:t>8</w:t>
      </w:r>
      <w:r w:rsidRPr="00F0512B">
        <w:rPr>
          <w:rFonts w:ascii="Arial" w:hAnsi="Arial" w:cs="Arial"/>
          <w:b/>
          <w:sz w:val="24"/>
          <w:szCs w:val="24"/>
        </w:rPr>
        <w:br/>
      </w:r>
      <w:r w:rsidRPr="00F0512B">
        <w:rPr>
          <w:rFonts w:ascii="Arial" w:hAnsi="Arial" w:cs="Arial"/>
          <w:b/>
          <w:sz w:val="24"/>
          <w:szCs w:val="24"/>
        </w:rPr>
        <w:br/>
      </w:r>
      <w:r>
        <w:rPr>
          <w:rFonts w:ascii="Arial" w:hAnsi="Arial" w:cs="Arial"/>
          <w:sz w:val="24"/>
          <w:szCs w:val="24"/>
        </w:rPr>
        <w:t>Reference:</w:t>
      </w:r>
      <w:r>
        <w:rPr>
          <w:rFonts w:ascii="Arial" w:hAnsi="Arial" w:cs="Arial"/>
          <w:sz w:val="24"/>
          <w:szCs w:val="24"/>
        </w:rPr>
        <w:tab/>
        <w:t>4</w:t>
      </w:r>
      <w:r w:rsidR="00A81138">
        <w:rPr>
          <w:rFonts w:ascii="Arial" w:hAnsi="Arial" w:cs="Arial"/>
          <w:sz w:val="24"/>
          <w:szCs w:val="24"/>
        </w:rPr>
        <w:t>6</w:t>
      </w:r>
      <w:r>
        <w:rPr>
          <w:rFonts w:ascii="Arial" w:hAnsi="Arial" w:cs="Arial"/>
          <w:sz w:val="24"/>
          <w:szCs w:val="24"/>
        </w:rPr>
        <w:t>-</w:t>
      </w:r>
      <w:r w:rsidR="00A81138">
        <w:rPr>
          <w:rFonts w:ascii="Arial" w:hAnsi="Arial" w:cs="Arial"/>
          <w:sz w:val="24"/>
          <w:szCs w:val="24"/>
        </w:rPr>
        <w:t>City of Hamiton-6</w:t>
      </w:r>
    </w:p>
    <w:p w14:paraId="2B5BAD50" w14:textId="77777777" w:rsidR="00A81138" w:rsidRDefault="00757C2C" w:rsidP="00757C2C">
      <w:pPr>
        <w:spacing w:after="120" w:line="240" w:lineRule="auto"/>
        <w:contextualSpacing/>
        <w:rPr>
          <w:rFonts w:ascii="Arial" w:hAnsi="Arial" w:cs="Arial"/>
          <w:sz w:val="24"/>
          <w:szCs w:val="24"/>
        </w:rPr>
      </w:pPr>
      <w:r w:rsidRPr="00D94720">
        <w:rPr>
          <w:rFonts w:ascii="Arial" w:hAnsi="Arial" w:cs="Arial"/>
          <w:sz w:val="24"/>
          <w:szCs w:val="24"/>
        </w:rPr>
        <w:t>Preamble:</w:t>
      </w:r>
      <w:r w:rsidRPr="00D94720">
        <w:rPr>
          <w:rFonts w:ascii="Arial" w:hAnsi="Arial" w:cs="Arial"/>
          <w:b/>
          <w:sz w:val="24"/>
          <w:szCs w:val="24"/>
        </w:rPr>
        <w:tab/>
      </w:r>
      <w:r w:rsidR="00A81138">
        <w:rPr>
          <w:rFonts w:ascii="Arial" w:hAnsi="Arial" w:cs="Arial"/>
          <w:sz w:val="24"/>
          <w:szCs w:val="24"/>
        </w:rPr>
        <w:t xml:space="preserve">In City of Hamilton-6, HON indicates that it plans on updating the load forecast </w:t>
      </w:r>
    </w:p>
    <w:p w14:paraId="2CCEBC44" w14:textId="77777777" w:rsidR="00A81138" w:rsidRDefault="00A81138" w:rsidP="00757C2C">
      <w:pPr>
        <w:spacing w:after="120" w:line="240" w:lineRule="auto"/>
        <w:contextualSpacing/>
        <w:rPr>
          <w:rFonts w:ascii="Arial" w:hAnsi="Arial" w:cs="Arial"/>
          <w:sz w:val="24"/>
          <w:szCs w:val="24"/>
        </w:rPr>
      </w:pPr>
      <w:r>
        <w:rPr>
          <w:rFonts w:ascii="Arial" w:hAnsi="Arial" w:cs="Arial"/>
          <w:sz w:val="24"/>
          <w:szCs w:val="24"/>
        </w:rPr>
        <w:tab/>
      </w:r>
      <w:r>
        <w:rPr>
          <w:rFonts w:ascii="Arial" w:hAnsi="Arial" w:cs="Arial"/>
          <w:sz w:val="24"/>
          <w:szCs w:val="24"/>
        </w:rPr>
        <w:tab/>
        <w:t>for 2021 and 2022.</w:t>
      </w:r>
    </w:p>
    <w:p w14:paraId="26C5584B" w14:textId="2F6CDD94" w:rsidR="00A81138" w:rsidRDefault="00A81138" w:rsidP="00757C2C">
      <w:pPr>
        <w:pStyle w:val="ListParagraph"/>
        <w:numPr>
          <w:ilvl w:val="0"/>
          <w:numId w:val="14"/>
        </w:numPr>
        <w:spacing w:after="120" w:line="240" w:lineRule="auto"/>
        <w:contextualSpacing w:val="0"/>
        <w:rPr>
          <w:rFonts w:ascii="Arial" w:hAnsi="Arial" w:cs="Arial"/>
          <w:sz w:val="24"/>
          <w:szCs w:val="24"/>
        </w:rPr>
      </w:pPr>
      <w:r>
        <w:rPr>
          <w:rFonts w:ascii="Arial" w:hAnsi="Arial" w:cs="Arial"/>
          <w:sz w:val="24"/>
          <w:szCs w:val="24"/>
        </w:rPr>
        <w:t xml:space="preserve">Please indicate exactly what will the update entail.  </w:t>
      </w:r>
      <w:r w:rsidR="0045524A">
        <w:rPr>
          <w:rFonts w:ascii="Arial" w:hAnsi="Arial" w:cs="Arial"/>
          <w:sz w:val="24"/>
          <w:szCs w:val="24"/>
        </w:rPr>
        <w:t xml:space="preserve">For example will Hydro One just be updating the inputs used in the various models, will the CDM values for the period 2017-2022 be updated, and will the models themselves </w:t>
      </w:r>
      <w:r w:rsidR="008A7E74">
        <w:rPr>
          <w:rFonts w:ascii="Arial" w:hAnsi="Arial" w:cs="Arial"/>
          <w:sz w:val="24"/>
          <w:szCs w:val="24"/>
        </w:rPr>
        <w:t xml:space="preserve">also </w:t>
      </w:r>
      <w:r w:rsidR="0045524A">
        <w:rPr>
          <w:rFonts w:ascii="Arial" w:hAnsi="Arial" w:cs="Arial"/>
          <w:sz w:val="24"/>
          <w:szCs w:val="24"/>
        </w:rPr>
        <w:t>be updated?</w:t>
      </w:r>
    </w:p>
    <w:p w14:paraId="15AEEDB0" w14:textId="77777777" w:rsidR="00757C2C" w:rsidRDefault="00757C2C" w:rsidP="007821B6">
      <w:pPr>
        <w:spacing w:after="120" w:line="240" w:lineRule="auto"/>
        <w:rPr>
          <w:rFonts w:ascii="Arial" w:hAnsi="Arial" w:cs="Arial"/>
          <w:sz w:val="24"/>
          <w:szCs w:val="24"/>
        </w:rPr>
      </w:pPr>
    </w:p>
    <w:p w14:paraId="44D90004" w14:textId="5DA95E7B" w:rsidR="00757C2C" w:rsidRPr="00A81138" w:rsidRDefault="00A81138" w:rsidP="007821B6">
      <w:pPr>
        <w:spacing w:after="120" w:line="240" w:lineRule="auto"/>
        <w:rPr>
          <w:rFonts w:ascii="Arial" w:hAnsi="Arial" w:cs="Arial"/>
          <w:b/>
          <w:sz w:val="24"/>
          <w:szCs w:val="24"/>
        </w:rPr>
      </w:pPr>
      <w:r w:rsidRPr="00A81138">
        <w:rPr>
          <w:rFonts w:ascii="Arial" w:hAnsi="Arial" w:cs="Arial"/>
          <w:b/>
          <w:sz w:val="24"/>
          <w:szCs w:val="24"/>
        </w:rPr>
        <w:t>Issue #49 – Are the inputs to the cost allocation model appropriate and are costs appropriately allocated?</w:t>
      </w:r>
    </w:p>
    <w:p w14:paraId="647E55AB" w14:textId="459A7AF6" w:rsidR="00A81138" w:rsidRPr="00A81138" w:rsidRDefault="00A81138" w:rsidP="007821B6">
      <w:pPr>
        <w:spacing w:after="120" w:line="240" w:lineRule="auto"/>
        <w:rPr>
          <w:rFonts w:ascii="Arial" w:hAnsi="Arial" w:cs="Arial"/>
          <w:i/>
          <w:sz w:val="24"/>
          <w:szCs w:val="24"/>
          <w:u w:val="single"/>
        </w:rPr>
      </w:pPr>
      <w:r w:rsidRPr="00A81138">
        <w:rPr>
          <w:rFonts w:ascii="Arial" w:hAnsi="Arial" w:cs="Arial"/>
          <w:i/>
          <w:sz w:val="24"/>
          <w:szCs w:val="24"/>
          <w:u w:val="single"/>
        </w:rPr>
        <w:t xml:space="preserve">Topic:  Cost Allocation Inputs </w:t>
      </w:r>
    </w:p>
    <w:p w14:paraId="1CE0B9A3" w14:textId="2ACFD6C6" w:rsidR="00A81138" w:rsidRDefault="00A81138" w:rsidP="00A81138">
      <w:pPr>
        <w:spacing w:after="120" w:line="240" w:lineRule="auto"/>
        <w:contextualSpacing/>
        <w:rPr>
          <w:rFonts w:ascii="Arial" w:hAnsi="Arial" w:cs="Arial"/>
          <w:sz w:val="24"/>
          <w:szCs w:val="24"/>
        </w:rPr>
      </w:pPr>
      <w:r w:rsidRPr="00F0512B">
        <w:rPr>
          <w:rFonts w:ascii="Arial" w:hAnsi="Arial" w:cs="Arial"/>
          <w:b/>
          <w:sz w:val="24"/>
          <w:szCs w:val="24"/>
        </w:rPr>
        <w:t>TC Question #</w:t>
      </w:r>
      <w:r>
        <w:rPr>
          <w:rFonts w:ascii="Arial" w:hAnsi="Arial" w:cs="Arial"/>
          <w:b/>
          <w:sz w:val="24"/>
          <w:szCs w:val="24"/>
        </w:rPr>
        <w:t>9</w:t>
      </w:r>
      <w:r w:rsidRPr="00F0512B">
        <w:rPr>
          <w:rFonts w:ascii="Arial" w:hAnsi="Arial" w:cs="Arial"/>
          <w:b/>
          <w:sz w:val="24"/>
          <w:szCs w:val="24"/>
        </w:rPr>
        <w:br/>
      </w:r>
      <w:r w:rsidRPr="00F0512B">
        <w:rPr>
          <w:rFonts w:ascii="Arial" w:hAnsi="Arial" w:cs="Arial"/>
          <w:b/>
          <w:sz w:val="24"/>
          <w:szCs w:val="24"/>
        </w:rPr>
        <w:br/>
      </w:r>
      <w:r>
        <w:rPr>
          <w:rFonts w:ascii="Arial" w:hAnsi="Arial" w:cs="Arial"/>
          <w:sz w:val="24"/>
          <w:szCs w:val="24"/>
        </w:rPr>
        <w:t>Reference:</w:t>
      </w:r>
      <w:r>
        <w:rPr>
          <w:rFonts w:ascii="Arial" w:hAnsi="Arial" w:cs="Arial"/>
          <w:sz w:val="24"/>
          <w:szCs w:val="24"/>
        </w:rPr>
        <w:tab/>
        <w:t>46-VECC-87 a)</w:t>
      </w:r>
    </w:p>
    <w:p w14:paraId="5DCA0933" w14:textId="418CA0F5" w:rsidR="00A81138" w:rsidRDefault="00A81138" w:rsidP="00A81138">
      <w:pPr>
        <w:spacing w:after="120" w:line="240" w:lineRule="auto"/>
        <w:rPr>
          <w:rFonts w:ascii="Arial" w:hAnsi="Arial" w:cs="Arial"/>
          <w:sz w:val="24"/>
          <w:szCs w:val="24"/>
        </w:rPr>
      </w:pPr>
      <w:r>
        <w:rPr>
          <w:rFonts w:ascii="Arial" w:hAnsi="Arial" w:cs="Arial"/>
          <w:sz w:val="24"/>
          <w:szCs w:val="24"/>
        </w:rPr>
        <w:tab/>
      </w:r>
      <w:r>
        <w:rPr>
          <w:rFonts w:ascii="Arial" w:hAnsi="Arial" w:cs="Arial"/>
          <w:sz w:val="24"/>
          <w:szCs w:val="24"/>
        </w:rPr>
        <w:tab/>
        <w:t>49-Staff-241</w:t>
      </w:r>
    </w:p>
    <w:p w14:paraId="2C8FAD29" w14:textId="77777777" w:rsidR="00A81138" w:rsidRDefault="00A81138" w:rsidP="00A81138">
      <w:pPr>
        <w:spacing w:after="120" w:line="240" w:lineRule="auto"/>
        <w:contextualSpacing/>
        <w:rPr>
          <w:rFonts w:ascii="Arial" w:hAnsi="Arial" w:cs="Arial"/>
          <w:sz w:val="24"/>
          <w:szCs w:val="24"/>
        </w:rPr>
      </w:pPr>
      <w:r w:rsidRPr="00D94720">
        <w:rPr>
          <w:rFonts w:ascii="Arial" w:hAnsi="Arial" w:cs="Arial"/>
          <w:sz w:val="24"/>
          <w:szCs w:val="24"/>
        </w:rPr>
        <w:t>Preamble:</w:t>
      </w:r>
      <w:r w:rsidRPr="00D94720">
        <w:rPr>
          <w:rFonts w:ascii="Arial" w:hAnsi="Arial" w:cs="Arial"/>
          <w:b/>
          <w:sz w:val="24"/>
          <w:szCs w:val="24"/>
        </w:rPr>
        <w:tab/>
      </w:r>
      <w:r>
        <w:rPr>
          <w:rFonts w:ascii="Arial" w:hAnsi="Arial" w:cs="Arial"/>
          <w:sz w:val="24"/>
          <w:szCs w:val="24"/>
        </w:rPr>
        <w:t xml:space="preserve">VECC-87 a) asked about the weighting factors for Billing &amp; Collecting and </w:t>
      </w:r>
    </w:p>
    <w:p w14:paraId="7735F9E7" w14:textId="77777777" w:rsidR="00A81138" w:rsidRDefault="00A81138" w:rsidP="00A81138">
      <w:pPr>
        <w:spacing w:after="120" w:line="240" w:lineRule="auto"/>
        <w:contextualSpacing/>
        <w:rPr>
          <w:rFonts w:ascii="Arial" w:hAnsi="Arial" w:cs="Arial"/>
          <w:sz w:val="24"/>
          <w:szCs w:val="24"/>
        </w:rPr>
      </w:pPr>
      <w:r>
        <w:rPr>
          <w:rFonts w:ascii="Arial" w:hAnsi="Arial" w:cs="Arial"/>
          <w:sz w:val="24"/>
          <w:szCs w:val="24"/>
        </w:rPr>
        <w:tab/>
      </w:r>
      <w:r>
        <w:rPr>
          <w:rFonts w:ascii="Arial" w:hAnsi="Arial" w:cs="Arial"/>
          <w:sz w:val="24"/>
          <w:szCs w:val="24"/>
        </w:rPr>
        <w:tab/>
        <w:t>Services and the response referenced Staff-241.</w:t>
      </w:r>
    </w:p>
    <w:p w14:paraId="4B250D2E" w14:textId="77777777" w:rsidR="00A81138" w:rsidRDefault="00A81138" w:rsidP="00A81138">
      <w:pPr>
        <w:pStyle w:val="ListParagraph"/>
        <w:numPr>
          <w:ilvl w:val="0"/>
          <w:numId w:val="15"/>
        </w:numPr>
        <w:spacing w:after="120" w:line="240" w:lineRule="auto"/>
        <w:contextualSpacing w:val="0"/>
        <w:rPr>
          <w:rFonts w:ascii="Arial" w:hAnsi="Arial" w:cs="Arial"/>
          <w:sz w:val="24"/>
          <w:szCs w:val="24"/>
        </w:rPr>
      </w:pPr>
      <w:r>
        <w:rPr>
          <w:rFonts w:ascii="Arial" w:hAnsi="Arial" w:cs="Arial"/>
          <w:sz w:val="24"/>
          <w:szCs w:val="24"/>
        </w:rPr>
        <w:t>Staff-241 only discusses the basis for Billing &amp; Collecting weighing factors.  How were the Services weighting factors used in the Cost Allocation Model determined?</w:t>
      </w:r>
    </w:p>
    <w:p w14:paraId="2F9B4261" w14:textId="7E7D4344" w:rsidR="00A81138" w:rsidRDefault="00A81138" w:rsidP="00A81138">
      <w:pPr>
        <w:pStyle w:val="ListParagraph"/>
        <w:numPr>
          <w:ilvl w:val="0"/>
          <w:numId w:val="15"/>
        </w:numPr>
        <w:spacing w:after="120" w:line="240" w:lineRule="auto"/>
        <w:ind w:left="714" w:hanging="357"/>
        <w:contextualSpacing w:val="0"/>
        <w:rPr>
          <w:rFonts w:ascii="Arial" w:hAnsi="Arial" w:cs="Arial"/>
          <w:sz w:val="24"/>
          <w:szCs w:val="24"/>
        </w:rPr>
      </w:pPr>
      <w:r>
        <w:rPr>
          <w:rFonts w:ascii="Arial" w:hAnsi="Arial" w:cs="Arial"/>
          <w:sz w:val="24"/>
          <w:szCs w:val="24"/>
        </w:rPr>
        <w:t>When was the last time the weights for Billing and Collecting were formally reviewed</w:t>
      </w:r>
      <w:r w:rsidR="008A7E74">
        <w:rPr>
          <w:rFonts w:ascii="Arial" w:hAnsi="Arial" w:cs="Arial"/>
          <w:sz w:val="24"/>
          <w:szCs w:val="24"/>
        </w:rPr>
        <w:t xml:space="preserve"> (i.e., a formal study was undertaken as opposed to being confirmed based on discussions with customer service staff)</w:t>
      </w:r>
      <w:r>
        <w:rPr>
          <w:rFonts w:ascii="Arial" w:hAnsi="Arial" w:cs="Arial"/>
          <w:sz w:val="24"/>
          <w:szCs w:val="24"/>
        </w:rPr>
        <w:t>?</w:t>
      </w:r>
    </w:p>
    <w:p w14:paraId="724E415A" w14:textId="77777777" w:rsidR="00A81138" w:rsidRPr="009832D8" w:rsidRDefault="00A81138" w:rsidP="00034B0E">
      <w:pPr>
        <w:pStyle w:val="ListParagraph"/>
        <w:numPr>
          <w:ilvl w:val="0"/>
          <w:numId w:val="15"/>
        </w:numPr>
        <w:spacing w:after="240" w:line="240" w:lineRule="auto"/>
        <w:ind w:left="714" w:hanging="357"/>
        <w:contextualSpacing w:val="0"/>
        <w:rPr>
          <w:rFonts w:ascii="Arial" w:hAnsi="Arial" w:cs="Arial"/>
          <w:sz w:val="24"/>
          <w:szCs w:val="24"/>
        </w:rPr>
      </w:pPr>
      <w:r>
        <w:rPr>
          <w:rFonts w:ascii="Arial" w:hAnsi="Arial" w:cs="Arial"/>
          <w:sz w:val="24"/>
          <w:szCs w:val="24"/>
        </w:rPr>
        <w:t>When was the last time the weights for Services were formally reviewed?</w:t>
      </w:r>
    </w:p>
    <w:p w14:paraId="1E699D26" w14:textId="65DBCFF4" w:rsidR="00034B0E" w:rsidRDefault="00034B0E" w:rsidP="00034B0E">
      <w:pPr>
        <w:spacing w:after="120" w:line="240" w:lineRule="auto"/>
        <w:contextualSpacing/>
        <w:rPr>
          <w:rFonts w:ascii="Arial" w:hAnsi="Arial" w:cs="Arial"/>
          <w:sz w:val="24"/>
          <w:szCs w:val="24"/>
        </w:rPr>
      </w:pPr>
      <w:r w:rsidRPr="00F0512B">
        <w:rPr>
          <w:rFonts w:ascii="Arial" w:hAnsi="Arial" w:cs="Arial"/>
          <w:b/>
          <w:sz w:val="24"/>
          <w:szCs w:val="24"/>
        </w:rPr>
        <w:t>TC Question #</w:t>
      </w:r>
      <w:r w:rsidR="0054567A">
        <w:rPr>
          <w:rFonts w:ascii="Arial" w:hAnsi="Arial" w:cs="Arial"/>
          <w:b/>
          <w:sz w:val="24"/>
          <w:szCs w:val="24"/>
        </w:rPr>
        <w:t>10</w:t>
      </w:r>
      <w:r w:rsidRPr="00F0512B">
        <w:rPr>
          <w:rFonts w:ascii="Arial" w:hAnsi="Arial" w:cs="Arial"/>
          <w:b/>
          <w:sz w:val="24"/>
          <w:szCs w:val="24"/>
        </w:rPr>
        <w:br/>
      </w:r>
      <w:r w:rsidRPr="00F0512B">
        <w:rPr>
          <w:rFonts w:ascii="Arial" w:hAnsi="Arial" w:cs="Arial"/>
          <w:b/>
          <w:sz w:val="24"/>
          <w:szCs w:val="24"/>
        </w:rPr>
        <w:br/>
      </w:r>
      <w:r>
        <w:rPr>
          <w:rFonts w:ascii="Arial" w:hAnsi="Arial" w:cs="Arial"/>
          <w:sz w:val="24"/>
          <w:szCs w:val="24"/>
        </w:rPr>
        <w:t>Reference:</w:t>
      </w:r>
      <w:r>
        <w:rPr>
          <w:rFonts w:ascii="Arial" w:hAnsi="Arial" w:cs="Arial"/>
          <w:sz w:val="24"/>
          <w:szCs w:val="24"/>
        </w:rPr>
        <w:tab/>
        <w:t>46-VECC-87 b)</w:t>
      </w:r>
    </w:p>
    <w:p w14:paraId="54BE7D91" w14:textId="77777777" w:rsidR="00034B0E" w:rsidRDefault="00034B0E" w:rsidP="00034B0E">
      <w:pPr>
        <w:spacing w:after="120" w:line="240" w:lineRule="auto"/>
        <w:rPr>
          <w:rFonts w:ascii="Arial" w:hAnsi="Arial" w:cs="Arial"/>
          <w:sz w:val="24"/>
          <w:szCs w:val="24"/>
        </w:rPr>
      </w:pPr>
      <w:r>
        <w:rPr>
          <w:rFonts w:ascii="Arial" w:hAnsi="Arial" w:cs="Arial"/>
          <w:sz w:val="24"/>
          <w:szCs w:val="24"/>
        </w:rPr>
        <w:tab/>
      </w:r>
      <w:r>
        <w:rPr>
          <w:rFonts w:ascii="Arial" w:hAnsi="Arial" w:cs="Arial"/>
          <w:sz w:val="24"/>
          <w:szCs w:val="24"/>
        </w:rPr>
        <w:tab/>
        <w:t>49-Staff-241</w:t>
      </w:r>
    </w:p>
    <w:p w14:paraId="495AD90C" w14:textId="77777777" w:rsidR="00034B0E" w:rsidRDefault="00034B0E" w:rsidP="00034B0E">
      <w:pPr>
        <w:spacing w:after="120" w:line="240" w:lineRule="auto"/>
        <w:contextualSpacing/>
        <w:rPr>
          <w:rFonts w:ascii="Arial" w:hAnsi="Arial" w:cs="Arial"/>
          <w:sz w:val="24"/>
          <w:szCs w:val="24"/>
        </w:rPr>
      </w:pPr>
      <w:r w:rsidRPr="00D94720">
        <w:rPr>
          <w:rFonts w:ascii="Arial" w:hAnsi="Arial" w:cs="Arial"/>
          <w:sz w:val="24"/>
          <w:szCs w:val="24"/>
        </w:rPr>
        <w:t>Preamble:</w:t>
      </w:r>
      <w:r w:rsidRPr="00D94720">
        <w:rPr>
          <w:rFonts w:ascii="Arial" w:hAnsi="Arial" w:cs="Arial"/>
          <w:b/>
          <w:sz w:val="24"/>
          <w:szCs w:val="24"/>
        </w:rPr>
        <w:tab/>
      </w:r>
      <w:r>
        <w:rPr>
          <w:rFonts w:ascii="Arial" w:hAnsi="Arial" w:cs="Arial"/>
          <w:sz w:val="24"/>
          <w:szCs w:val="24"/>
        </w:rPr>
        <w:t xml:space="preserve">VECC-87 b) asked about the allocation of Services costs to the acquired rate </w:t>
      </w:r>
    </w:p>
    <w:p w14:paraId="41716E21" w14:textId="286AA509" w:rsidR="00034B0E" w:rsidRDefault="00034B0E" w:rsidP="00034B0E">
      <w:pPr>
        <w:spacing w:after="120" w:line="240" w:lineRule="auto"/>
        <w:contextualSpacing/>
        <w:rPr>
          <w:rFonts w:ascii="Arial" w:hAnsi="Arial" w:cs="Arial"/>
          <w:sz w:val="24"/>
          <w:szCs w:val="24"/>
        </w:rPr>
      </w:pPr>
      <w:r>
        <w:rPr>
          <w:rFonts w:ascii="Arial" w:hAnsi="Arial" w:cs="Arial"/>
          <w:sz w:val="24"/>
          <w:szCs w:val="24"/>
        </w:rPr>
        <w:tab/>
      </w:r>
      <w:r>
        <w:rPr>
          <w:rFonts w:ascii="Arial" w:hAnsi="Arial" w:cs="Arial"/>
          <w:sz w:val="24"/>
          <w:szCs w:val="24"/>
        </w:rPr>
        <w:tab/>
      </w:r>
      <w:r w:rsidR="008A7E74">
        <w:rPr>
          <w:rFonts w:ascii="Arial" w:hAnsi="Arial" w:cs="Arial"/>
          <w:sz w:val="24"/>
          <w:szCs w:val="24"/>
        </w:rPr>
        <w:t>c</w:t>
      </w:r>
      <w:r w:rsidR="0045524A">
        <w:rPr>
          <w:rFonts w:ascii="Arial" w:hAnsi="Arial" w:cs="Arial"/>
          <w:sz w:val="24"/>
          <w:szCs w:val="24"/>
        </w:rPr>
        <w:t>lasses</w:t>
      </w:r>
      <w:r>
        <w:rPr>
          <w:rFonts w:ascii="Arial" w:hAnsi="Arial" w:cs="Arial"/>
          <w:sz w:val="24"/>
          <w:szCs w:val="24"/>
        </w:rPr>
        <w:t>.</w:t>
      </w:r>
    </w:p>
    <w:p w14:paraId="6FD7F49B" w14:textId="1D1BBA90" w:rsidR="00034B0E" w:rsidRDefault="00034B0E" w:rsidP="008A7E74">
      <w:pPr>
        <w:pStyle w:val="ListParagraph"/>
        <w:numPr>
          <w:ilvl w:val="0"/>
          <w:numId w:val="17"/>
        </w:numPr>
        <w:spacing w:after="240" w:line="240" w:lineRule="auto"/>
        <w:ind w:left="714" w:hanging="357"/>
        <w:contextualSpacing w:val="0"/>
        <w:rPr>
          <w:rFonts w:ascii="Arial" w:hAnsi="Arial" w:cs="Arial"/>
          <w:sz w:val="24"/>
          <w:szCs w:val="24"/>
        </w:rPr>
      </w:pPr>
      <w:r>
        <w:rPr>
          <w:rFonts w:ascii="Arial" w:hAnsi="Arial" w:cs="Arial"/>
          <w:sz w:val="24"/>
          <w:szCs w:val="24"/>
        </w:rPr>
        <w:t>The response to VECC 87 b) confirms that the Services cost for the acquired utilities were included in the GFA adjustment factor and therefore these assets are included in the costs allocated to the acquire</w:t>
      </w:r>
      <w:r w:rsidR="008A7E74">
        <w:rPr>
          <w:rFonts w:ascii="Arial" w:hAnsi="Arial" w:cs="Arial"/>
          <w:sz w:val="24"/>
          <w:szCs w:val="24"/>
        </w:rPr>
        <w:t>d rate classes.  However, as no</w:t>
      </w:r>
      <w:r>
        <w:rPr>
          <w:rFonts w:ascii="Arial" w:hAnsi="Arial" w:cs="Arial"/>
          <w:sz w:val="24"/>
          <w:szCs w:val="24"/>
        </w:rPr>
        <w:t xml:space="preserve"> Service costs are allocate to the acquired GS rate classes – where are the Services costs that the acquired utilities previously allocated to their GS rate classes now allocated in Hydro One’s 2021 Cost Allocation Model?  Are they all allocated to the acquired Residential rates classes?</w:t>
      </w:r>
    </w:p>
    <w:p w14:paraId="49C704A0" w14:textId="78484DDE" w:rsidR="0054567A" w:rsidRDefault="0054567A" w:rsidP="00835D2E">
      <w:pPr>
        <w:spacing w:after="120" w:line="240" w:lineRule="auto"/>
        <w:rPr>
          <w:rFonts w:ascii="Arial" w:hAnsi="Arial" w:cs="Arial"/>
          <w:sz w:val="24"/>
          <w:szCs w:val="24"/>
        </w:rPr>
      </w:pPr>
      <w:r w:rsidRPr="00F0512B">
        <w:rPr>
          <w:rFonts w:ascii="Arial" w:hAnsi="Arial" w:cs="Arial"/>
          <w:b/>
          <w:sz w:val="24"/>
          <w:szCs w:val="24"/>
        </w:rPr>
        <w:t>TC Question #</w:t>
      </w:r>
      <w:r>
        <w:rPr>
          <w:rFonts w:ascii="Arial" w:hAnsi="Arial" w:cs="Arial"/>
          <w:b/>
          <w:sz w:val="24"/>
          <w:szCs w:val="24"/>
        </w:rPr>
        <w:t>11</w:t>
      </w:r>
      <w:r w:rsidRPr="00F0512B">
        <w:rPr>
          <w:rFonts w:ascii="Arial" w:hAnsi="Arial" w:cs="Arial"/>
          <w:b/>
          <w:sz w:val="24"/>
          <w:szCs w:val="24"/>
        </w:rPr>
        <w:br/>
      </w:r>
      <w:r w:rsidRPr="00F0512B">
        <w:rPr>
          <w:rFonts w:ascii="Arial" w:hAnsi="Arial" w:cs="Arial"/>
          <w:b/>
          <w:sz w:val="24"/>
          <w:szCs w:val="24"/>
        </w:rPr>
        <w:br/>
      </w:r>
      <w:r>
        <w:rPr>
          <w:rFonts w:ascii="Arial" w:hAnsi="Arial" w:cs="Arial"/>
          <w:sz w:val="24"/>
          <w:szCs w:val="24"/>
        </w:rPr>
        <w:t>Reference:</w:t>
      </w:r>
      <w:r>
        <w:rPr>
          <w:rFonts w:ascii="Arial" w:hAnsi="Arial" w:cs="Arial"/>
          <w:sz w:val="24"/>
          <w:szCs w:val="24"/>
        </w:rPr>
        <w:tab/>
        <w:t>46-VECC-88 a) &amp; b)</w:t>
      </w:r>
    </w:p>
    <w:p w14:paraId="01E8A6D9" w14:textId="77777777" w:rsidR="0054567A" w:rsidRDefault="0054567A" w:rsidP="0054567A">
      <w:pPr>
        <w:spacing w:after="120" w:line="240" w:lineRule="auto"/>
        <w:contextualSpacing/>
        <w:rPr>
          <w:rFonts w:ascii="Arial" w:hAnsi="Arial" w:cs="Arial"/>
          <w:sz w:val="24"/>
          <w:szCs w:val="24"/>
        </w:rPr>
      </w:pPr>
      <w:r w:rsidRPr="00D94720">
        <w:rPr>
          <w:rFonts w:ascii="Arial" w:hAnsi="Arial" w:cs="Arial"/>
          <w:sz w:val="24"/>
          <w:szCs w:val="24"/>
        </w:rPr>
        <w:t>Preamble:</w:t>
      </w:r>
      <w:r w:rsidRPr="00D94720">
        <w:rPr>
          <w:rFonts w:ascii="Arial" w:hAnsi="Arial" w:cs="Arial"/>
          <w:b/>
          <w:sz w:val="24"/>
          <w:szCs w:val="24"/>
        </w:rPr>
        <w:tab/>
      </w:r>
      <w:r>
        <w:rPr>
          <w:rFonts w:ascii="Arial" w:hAnsi="Arial" w:cs="Arial"/>
          <w:sz w:val="24"/>
          <w:szCs w:val="24"/>
        </w:rPr>
        <w:t xml:space="preserve">The response to VECC 88 a) &amp; b) provides the average meter costs by customer </w:t>
      </w:r>
    </w:p>
    <w:p w14:paraId="523E8718" w14:textId="77777777" w:rsidR="0054567A" w:rsidRDefault="0054567A" w:rsidP="0054567A">
      <w:pPr>
        <w:spacing w:after="120" w:line="240" w:lineRule="auto"/>
        <w:contextualSpacing/>
        <w:rPr>
          <w:rFonts w:ascii="Arial" w:hAnsi="Arial" w:cs="Arial"/>
          <w:sz w:val="24"/>
          <w:szCs w:val="24"/>
        </w:rPr>
      </w:pPr>
      <w:r>
        <w:rPr>
          <w:rFonts w:ascii="Arial" w:hAnsi="Arial" w:cs="Arial"/>
          <w:sz w:val="24"/>
          <w:szCs w:val="24"/>
        </w:rPr>
        <w:tab/>
      </w:r>
      <w:r>
        <w:rPr>
          <w:rFonts w:ascii="Arial" w:hAnsi="Arial" w:cs="Arial"/>
          <w:sz w:val="24"/>
          <w:szCs w:val="24"/>
        </w:rPr>
        <w:tab/>
        <w:t xml:space="preserve">class as used in the current 2018 &amp; 2021 Cost Allocation models and also in the </w:t>
      </w:r>
    </w:p>
    <w:p w14:paraId="3BD4483E" w14:textId="0137B287" w:rsidR="0054567A" w:rsidRDefault="0054567A" w:rsidP="0054567A">
      <w:pPr>
        <w:spacing w:after="120" w:line="240" w:lineRule="auto"/>
        <w:contextualSpacing/>
        <w:rPr>
          <w:rFonts w:ascii="Arial" w:hAnsi="Arial" w:cs="Arial"/>
          <w:sz w:val="24"/>
          <w:szCs w:val="24"/>
        </w:rPr>
      </w:pPr>
      <w:r>
        <w:rPr>
          <w:rFonts w:ascii="Arial" w:hAnsi="Arial" w:cs="Arial"/>
          <w:sz w:val="24"/>
          <w:szCs w:val="24"/>
        </w:rPr>
        <w:tab/>
      </w:r>
      <w:r>
        <w:rPr>
          <w:rFonts w:ascii="Arial" w:hAnsi="Arial" w:cs="Arial"/>
          <w:sz w:val="24"/>
          <w:szCs w:val="24"/>
        </w:rPr>
        <w:tab/>
        <w:t>previous 2015 Cost Allocation Model</w:t>
      </w:r>
      <w:r w:rsidR="007A44A2">
        <w:rPr>
          <w:rFonts w:ascii="Arial" w:hAnsi="Arial" w:cs="Arial"/>
          <w:sz w:val="24"/>
          <w:szCs w:val="24"/>
        </w:rPr>
        <w:t xml:space="preserve"> (CAM)</w:t>
      </w:r>
      <w:r>
        <w:rPr>
          <w:rFonts w:ascii="Arial" w:hAnsi="Arial" w:cs="Arial"/>
          <w:sz w:val="24"/>
          <w:szCs w:val="24"/>
        </w:rPr>
        <w:t>.</w:t>
      </w:r>
    </w:p>
    <w:p w14:paraId="7736A6B8" w14:textId="77777777" w:rsidR="00835D2E" w:rsidRDefault="00835D2E" w:rsidP="00835D2E">
      <w:pPr>
        <w:pStyle w:val="ListParagraph"/>
        <w:numPr>
          <w:ilvl w:val="0"/>
          <w:numId w:val="18"/>
        </w:numPr>
        <w:spacing w:after="120" w:line="240" w:lineRule="auto"/>
        <w:ind w:left="714" w:hanging="357"/>
        <w:contextualSpacing w:val="0"/>
        <w:rPr>
          <w:rFonts w:ascii="Arial" w:hAnsi="Arial" w:cs="Arial"/>
          <w:sz w:val="24"/>
          <w:szCs w:val="24"/>
        </w:rPr>
      </w:pPr>
      <w:r>
        <w:rPr>
          <w:rFonts w:ascii="Arial" w:hAnsi="Arial" w:cs="Arial"/>
          <w:sz w:val="24"/>
          <w:szCs w:val="24"/>
        </w:rPr>
        <w:t>Please explain why for the 2015 CAM – the UR and R1 classes had lower meter costs per customer than the R2 and Seasonal classes whereas in the current CAMs the average cost is the same for all four classes.</w:t>
      </w:r>
    </w:p>
    <w:p w14:paraId="06A6DA3B" w14:textId="24F16D79" w:rsidR="00835D2E" w:rsidRDefault="00835D2E" w:rsidP="00835D2E">
      <w:pPr>
        <w:pStyle w:val="ListParagraph"/>
        <w:numPr>
          <w:ilvl w:val="0"/>
          <w:numId w:val="18"/>
        </w:numPr>
        <w:spacing w:after="120" w:line="240" w:lineRule="auto"/>
        <w:ind w:left="714" w:hanging="357"/>
        <w:contextualSpacing w:val="0"/>
        <w:rPr>
          <w:rFonts w:ascii="Arial" w:hAnsi="Arial" w:cs="Arial"/>
          <w:sz w:val="24"/>
          <w:szCs w:val="24"/>
        </w:rPr>
      </w:pPr>
      <w:r>
        <w:rPr>
          <w:rFonts w:ascii="Arial" w:hAnsi="Arial" w:cs="Arial"/>
          <w:sz w:val="24"/>
          <w:szCs w:val="24"/>
        </w:rPr>
        <w:t xml:space="preserve">It is noted that for the Acquired Customer classes in the 2021 CAM the cost of a residential meter is less than that for Hydro One’s existing R1 and R2 classes but the cost of an AcUGe and </w:t>
      </w:r>
      <w:r w:rsidR="0045524A">
        <w:rPr>
          <w:rFonts w:ascii="Arial" w:hAnsi="Arial" w:cs="Arial"/>
          <w:sz w:val="24"/>
          <w:szCs w:val="24"/>
        </w:rPr>
        <w:t>an</w:t>
      </w:r>
      <w:r>
        <w:rPr>
          <w:rFonts w:ascii="Arial" w:hAnsi="Arial" w:cs="Arial"/>
          <w:sz w:val="24"/>
          <w:szCs w:val="24"/>
        </w:rPr>
        <w:t xml:space="preserve"> AcGSe meter is substantially more for the Acquired classes than for Hydro One existing GS classes.  Please explain why.</w:t>
      </w:r>
    </w:p>
    <w:p w14:paraId="4A0EC6CD" w14:textId="5CC00C7B" w:rsidR="00835D2E" w:rsidRPr="000538F2" w:rsidRDefault="00835D2E" w:rsidP="006D14E8">
      <w:pPr>
        <w:pStyle w:val="ListParagraph"/>
        <w:numPr>
          <w:ilvl w:val="0"/>
          <w:numId w:val="18"/>
        </w:numPr>
        <w:spacing w:after="240" w:line="240" w:lineRule="auto"/>
        <w:ind w:left="714" w:hanging="357"/>
        <w:rPr>
          <w:rFonts w:ascii="Arial" w:hAnsi="Arial" w:cs="Arial"/>
          <w:sz w:val="24"/>
          <w:szCs w:val="24"/>
        </w:rPr>
      </w:pPr>
      <w:r>
        <w:rPr>
          <w:rFonts w:ascii="Arial" w:hAnsi="Arial" w:cs="Arial"/>
          <w:sz w:val="24"/>
          <w:szCs w:val="24"/>
        </w:rPr>
        <w:t>In contrast for the demand billed GS classes – the cost of the meter for the Acquired Utility classes is less than for Hydro One’s existing GS classes.  Please explain why.</w:t>
      </w:r>
    </w:p>
    <w:p w14:paraId="4D51EF50" w14:textId="38223D42" w:rsidR="00835D2E" w:rsidRDefault="00835D2E" w:rsidP="00835D2E">
      <w:pPr>
        <w:spacing w:after="120" w:line="240" w:lineRule="auto"/>
        <w:rPr>
          <w:rFonts w:ascii="Arial" w:hAnsi="Arial" w:cs="Arial"/>
          <w:sz w:val="24"/>
          <w:szCs w:val="24"/>
        </w:rPr>
      </w:pPr>
      <w:r w:rsidRPr="00F0512B">
        <w:rPr>
          <w:rFonts w:ascii="Arial" w:hAnsi="Arial" w:cs="Arial"/>
          <w:b/>
          <w:sz w:val="24"/>
          <w:szCs w:val="24"/>
        </w:rPr>
        <w:t>TC Question #</w:t>
      </w:r>
      <w:r>
        <w:rPr>
          <w:rFonts w:ascii="Arial" w:hAnsi="Arial" w:cs="Arial"/>
          <w:b/>
          <w:sz w:val="24"/>
          <w:szCs w:val="24"/>
        </w:rPr>
        <w:t>12</w:t>
      </w:r>
      <w:r w:rsidRPr="00F0512B">
        <w:rPr>
          <w:rFonts w:ascii="Arial" w:hAnsi="Arial" w:cs="Arial"/>
          <w:b/>
          <w:sz w:val="24"/>
          <w:szCs w:val="24"/>
        </w:rPr>
        <w:br/>
      </w:r>
      <w:r w:rsidRPr="00F0512B">
        <w:rPr>
          <w:rFonts w:ascii="Arial" w:hAnsi="Arial" w:cs="Arial"/>
          <w:b/>
          <w:sz w:val="24"/>
          <w:szCs w:val="24"/>
        </w:rPr>
        <w:br/>
      </w:r>
      <w:r>
        <w:rPr>
          <w:rFonts w:ascii="Arial" w:hAnsi="Arial" w:cs="Arial"/>
          <w:sz w:val="24"/>
          <w:szCs w:val="24"/>
        </w:rPr>
        <w:t>Reference:</w:t>
      </w:r>
      <w:r>
        <w:rPr>
          <w:rFonts w:ascii="Arial" w:hAnsi="Arial" w:cs="Arial"/>
          <w:sz w:val="24"/>
          <w:szCs w:val="24"/>
        </w:rPr>
        <w:tab/>
        <w:t>46-VECC-89 b)</w:t>
      </w:r>
    </w:p>
    <w:p w14:paraId="1CA2AEEB" w14:textId="77777777" w:rsidR="00835D2E" w:rsidRDefault="00835D2E" w:rsidP="00835D2E">
      <w:pPr>
        <w:spacing w:after="120" w:line="240" w:lineRule="auto"/>
        <w:contextualSpacing/>
        <w:rPr>
          <w:rFonts w:ascii="Arial" w:hAnsi="Arial" w:cs="Arial"/>
          <w:sz w:val="24"/>
          <w:szCs w:val="24"/>
        </w:rPr>
      </w:pPr>
      <w:r w:rsidRPr="00D94720">
        <w:rPr>
          <w:rFonts w:ascii="Arial" w:hAnsi="Arial" w:cs="Arial"/>
          <w:sz w:val="24"/>
          <w:szCs w:val="24"/>
        </w:rPr>
        <w:t>Preamble:</w:t>
      </w:r>
      <w:r w:rsidRPr="00D94720">
        <w:rPr>
          <w:rFonts w:ascii="Arial" w:hAnsi="Arial" w:cs="Arial"/>
          <w:b/>
          <w:sz w:val="24"/>
          <w:szCs w:val="24"/>
        </w:rPr>
        <w:tab/>
      </w:r>
      <w:r>
        <w:rPr>
          <w:rFonts w:ascii="Arial" w:hAnsi="Arial" w:cs="Arial"/>
          <w:sz w:val="24"/>
          <w:szCs w:val="24"/>
        </w:rPr>
        <w:t xml:space="preserve">The response to VECC 89 b) indicates that Hydro One has no information that </w:t>
      </w:r>
    </w:p>
    <w:p w14:paraId="12FC698E" w14:textId="77777777" w:rsidR="00835D2E" w:rsidRDefault="00835D2E" w:rsidP="00835D2E">
      <w:pPr>
        <w:spacing w:after="120" w:line="240" w:lineRule="auto"/>
        <w:contextualSpacing/>
        <w:rPr>
          <w:rFonts w:ascii="Arial" w:hAnsi="Arial" w:cs="Arial"/>
          <w:sz w:val="24"/>
          <w:szCs w:val="24"/>
        </w:rPr>
      </w:pPr>
      <w:r>
        <w:rPr>
          <w:rFonts w:ascii="Arial" w:hAnsi="Arial" w:cs="Arial"/>
          <w:sz w:val="24"/>
          <w:szCs w:val="24"/>
        </w:rPr>
        <w:tab/>
      </w:r>
      <w:r>
        <w:rPr>
          <w:rFonts w:ascii="Arial" w:hAnsi="Arial" w:cs="Arial"/>
          <w:sz w:val="24"/>
          <w:szCs w:val="24"/>
        </w:rPr>
        <w:tab/>
        <w:t xml:space="preserve">would indicate the relative cost of serving the different density areas has </w:t>
      </w:r>
    </w:p>
    <w:p w14:paraId="0A82DD64" w14:textId="5CD2D189" w:rsidR="00835D2E" w:rsidRDefault="00835D2E" w:rsidP="00835D2E">
      <w:pPr>
        <w:spacing w:after="120" w:line="240" w:lineRule="auto"/>
        <w:contextualSpacing/>
        <w:rPr>
          <w:rFonts w:ascii="Arial" w:hAnsi="Arial" w:cs="Arial"/>
          <w:sz w:val="24"/>
          <w:szCs w:val="24"/>
        </w:rPr>
      </w:pPr>
      <w:r>
        <w:rPr>
          <w:rFonts w:ascii="Arial" w:hAnsi="Arial" w:cs="Arial"/>
          <w:sz w:val="24"/>
          <w:szCs w:val="24"/>
        </w:rPr>
        <w:tab/>
      </w:r>
      <w:r>
        <w:rPr>
          <w:rFonts w:ascii="Arial" w:hAnsi="Arial" w:cs="Arial"/>
          <w:sz w:val="24"/>
          <w:szCs w:val="24"/>
        </w:rPr>
        <w:tab/>
        <w:t>changed.</w:t>
      </w:r>
    </w:p>
    <w:p w14:paraId="6FAEAEB8" w14:textId="77777777" w:rsidR="00835D2E" w:rsidRDefault="00835D2E" w:rsidP="00835D2E">
      <w:pPr>
        <w:pStyle w:val="ListParagraph"/>
        <w:numPr>
          <w:ilvl w:val="0"/>
          <w:numId w:val="20"/>
        </w:numPr>
        <w:spacing w:after="120" w:line="240" w:lineRule="auto"/>
        <w:ind w:left="714" w:hanging="357"/>
        <w:contextualSpacing w:val="0"/>
        <w:rPr>
          <w:rFonts w:ascii="Arial" w:hAnsi="Arial" w:cs="Arial"/>
          <w:sz w:val="24"/>
          <w:szCs w:val="24"/>
        </w:rPr>
      </w:pPr>
      <w:r>
        <w:rPr>
          <w:rFonts w:ascii="Arial" w:hAnsi="Arial" w:cs="Arial"/>
          <w:sz w:val="24"/>
          <w:szCs w:val="24"/>
        </w:rPr>
        <w:t>In Hydro One’s view what type of information should be looked at to make such a determination?</w:t>
      </w:r>
    </w:p>
    <w:p w14:paraId="1B71CDB2" w14:textId="16E4F0AF" w:rsidR="00835D2E" w:rsidRDefault="00835D2E" w:rsidP="00DA43DB">
      <w:pPr>
        <w:pStyle w:val="ListParagraph"/>
        <w:numPr>
          <w:ilvl w:val="0"/>
          <w:numId w:val="20"/>
        </w:numPr>
        <w:spacing w:after="240" w:line="240" w:lineRule="auto"/>
        <w:ind w:left="714" w:hanging="357"/>
        <w:contextualSpacing w:val="0"/>
        <w:rPr>
          <w:rFonts w:ascii="Arial" w:hAnsi="Arial" w:cs="Arial"/>
          <w:sz w:val="24"/>
          <w:szCs w:val="24"/>
        </w:rPr>
      </w:pPr>
      <w:r>
        <w:rPr>
          <w:rFonts w:ascii="Arial" w:hAnsi="Arial" w:cs="Arial"/>
          <w:sz w:val="24"/>
          <w:szCs w:val="24"/>
        </w:rPr>
        <w:t>Has Hydro One made any such investigations?  If not, why not?</w:t>
      </w:r>
    </w:p>
    <w:p w14:paraId="7728862F" w14:textId="73F8CC14" w:rsidR="00DA43DB" w:rsidRDefault="00DA43DB" w:rsidP="00DA43DB">
      <w:pPr>
        <w:spacing w:after="120" w:line="240" w:lineRule="auto"/>
        <w:rPr>
          <w:rFonts w:ascii="Arial" w:hAnsi="Arial" w:cs="Arial"/>
          <w:sz w:val="24"/>
          <w:szCs w:val="24"/>
        </w:rPr>
      </w:pPr>
      <w:r w:rsidRPr="00F0512B">
        <w:rPr>
          <w:rFonts w:ascii="Arial" w:hAnsi="Arial" w:cs="Arial"/>
          <w:b/>
          <w:sz w:val="24"/>
          <w:szCs w:val="24"/>
        </w:rPr>
        <w:t>TC Question #</w:t>
      </w:r>
      <w:r>
        <w:rPr>
          <w:rFonts w:ascii="Arial" w:hAnsi="Arial" w:cs="Arial"/>
          <w:b/>
          <w:sz w:val="24"/>
          <w:szCs w:val="24"/>
        </w:rPr>
        <w:t>13</w:t>
      </w:r>
      <w:r w:rsidRPr="00F0512B">
        <w:rPr>
          <w:rFonts w:ascii="Arial" w:hAnsi="Arial" w:cs="Arial"/>
          <w:b/>
          <w:sz w:val="24"/>
          <w:szCs w:val="24"/>
        </w:rPr>
        <w:br/>
      </w:r>
      <w:r w:rsidRPr="00F0512B">
        <w:rPr>
          <w:rFonts w:ascii="Arial" w:hAnsi="Arial" w:cs="Arial"/>
          <w:b/>
          <w:sz w:val="24"/>
          <w:szCs w:val="24"/>
        </w:rPr>
        <w:br/>
      </w:r>
      <w:r>
        <w:rPr>
          <w:rFonts w:ascii="Arial" w:hAnsi="Arial" w:cs="Arial"/>
          <w:sz w:val="24"/>
          <w:szCs w:val="24"/>
        </w:rPr>
        <w:t>Reference:</w:t>
      </w:r>
      <w:r>
        <w:rPr>
          <w:rFonts w:ascii="Arial" w:hAnsi="Arial" w:cs="Arial"/>
          <w:sz w:val="24"/>
          <w:szCs w:val="24"/>
        </w:rPr>
        <w:tab/>
        <w:t>46-VECC-90 g)</w:t>
      </w:r>
    </w:p>
    <w:p w14:paraId="2009AF8B" w14:textId="77777777" w:rsidR="0045524A" w:rsidRDefault="00DA43DB" w:rsidP="00EB5435">
      <w:pPr>
        <w:spacing w:after="120" w:line="240" w:lineRule="auto"/>
        <w:contextualSpacing/>
        <w:rPr>
          <w:rFonts w:ascii="Arial" w:hAnsi="Arial" w:cs="Arial"/>
          <w:sz w:val="24"/>
          <w:szCs w:val="24"/>
        </w:rPr>
      </w:pPr>
      <w:r w:rsidRPr="00D94720">
        <w:rPr>
          <w:rFonts w:ascii="Arial" w:hAnsi="Arial" w:cs="Arial"/>
          <w:sz w:val="24"/>
          <w:szCs w:val="24"/>
        </w:rPr>
        <w:t>Preamble:</w:t>
      </w:r>
      <w:r w:rsidRPr="00D94720">
        <w:rPr>
          <w:rFonts w:ascii="Arial" w:hAnsi="Arial" w:cs="Arial"/>
          <w:b/>
          <w:sz w:val="24"/>
          <w:szCs w:val="24"/>
        </w:rPr>
        <w:tab/>
      </w:r>
      <w:r w:rsidR="00EB5435">
        <w:rPr>
          <w:rFonts w:ascii="Arial" w:hAnsi="Arial" w:cs="Arial"/>
          <w:sz w:val="24"/>
          <w:szCs w:val="24"/>
        </w:rPr>
        <w:t xml:space="preserve">In VECC 90 f) (g in the response) Hydro One was asked to calculate the GFA </w:t>
      </w:r>
    </w:p>
    <w:p w14:paraId="65420701" w14:textId="77777777" w:rsidR="007A44A2" w:rsidRDefault="0045524A" w:rsidP="00EB5435">
      <w:pPr>
        <w:spacing w:after="120" w:line="240" w:lineRule="auto"/>
        <w:contextualSpacing/>
        <w:rPr>
          <w:rFonts w:ascii="Arial" w:hAnsi="Arial" w:cs="Arial"/>
          <w:sz w:val="24"/>
          <w:szCs w:val="24"/>
        </w:rPr>
      </w:pPr>
      <w:r>
        <w:rPr>
          <w:rFonts w:ascii="Arial" w:hAnsi="Arial" w:cs="Arial"/>
          <w:sz w:val="24"/>
          <w:szCs w:val="24"/>
        </w:rPr>
        <w:tab/>
      </w:r>
      <w:r>
        <w:rPr>
          <w:rFonts w:ascii="Arial" w:hAnsi="Arial" w:cs="Arial"/>
          <w:sz w:val="24"/>
          <w:szCs w:val="24"/>
        </w:rPr>
        <w:tab/>
        <w:t xml:space="preserve">adjustment </w:t>
      </w:r>
      <w:r w:rsidR="00EB5435">
        <w:rPr>
          <w:rFonts w:ascii="Arial" w:hAnsi="Arial" w:cs="Arial"/>
          <w:sz w:val="24"/>
          <w:szCs w:val="24"/>
        </w:rPr>
        <w:t xml:space="preserve">factors for </w:t>
      </w:r>
      <w:r w:rsidR="007A44A2">
        <w:rPr>
          <w:rFonts w:ascii="Arial" w:hAnsi="Arial" w:cs="Arial"/>
          <w:sz w:val="24"/>
          <w:szCs w:val="24"/>
        </w:rPr>
        <w:t>specific</w:t>
      </w:r>
      <w:r w:rsidR="00EB5435">
        <w:rPr>
          <w:rFonts w:ascii="Arial" w:hAnsi="Arial" w:cs="Arial"/>
          <w:sz w:val="24"/>
          <w:szCs w:val="24"/>
        </w:rPr>
        <w:t xml:space="preserve"> USOA account</w:t>
      </w:r>
      <w:r w:rsidR="007A44A2">
        <w:rPr>
          <w:rFonts w:ascii="Arial" w:hAnsi="Arial" w:cs="Arial"/>
          <w:sz w:val="24"/>
          <w:szCs w:val="24"/>
        </w:rPr>
        <w:t>s</w:t>
      </w:r>
      <w:r w:rsidR="00EB5435">
        <w:rPr>
          <w:rFonts w:ascii="Arial" w:hAnsi="Arial" w:cs="Arial"/>
          <w:sz w:val="24"/>
          <w:szCs w:val="24"/>
        </w:rPr>
        <w:t xml:space="preserve"> and values were provided for </w:t>
      </w:r>
    </w:p>
    <w:p w14:paraId="68B0BE72" w14:textId="00F37375" w:rsidR="00EB5435" w:rsidRDefault="007A44A2" w:rsidP="00EB5435">
      <w:pPr>
        <w:spacing w:after="120" w:line="240" w:lineRule="auto"/>
        <w:contextualSpacing/>
        <w:rPr>
          <w:rFonts w:ascii="Arial" w:hAnsi="Arial" w:cs="Arial"/>
          <w:sz w:val="24"/>
          <w:szCs w:val="24"/>
        </w:rPr>
      </w:pPr>
      <w:r>
        <w:rPr>
          <w:rFonts w:ascii="Arial" w:hAnsi="Arial" w:cs="Arial"/>
          <w:sz w:val="24"/>
          <w:szCs w:val="24"/>
        </w:rPr>
        <w:tab/>
      </w:r>
      <w:r>
        <w:rPr>
          <w:rFonts w:ascii="Arial" w:hAnsi="Arial" w:cs="Arial"/>
          <w:sz w:val="24"/>
          <w:szCs w:val="24"/>
        </w:rPr>
        <w:tab/>
      </w:r>
      <w:r w:rsidR="00EB5435">
        <w:rPr>
          <w:rFonts w:ascii="Arial" w:hAnsi="Arial" w:cs="Arial"/>
          <w:sz w:val="24"/>
          <w:szCs w:val="24"/>
        </w:rPr>
        <w:t>accounts 1830 (Poles, Towers and Fixtures) and 1860 (Meters).</w:t>
      </w:r>
    </w:p>
    <w:p w14:paraId="34DCFD0A" w14:textId="788CECA5" w:rsidR="008B493C" w:rsidRDefault="008B493C" w:rsidP="007A44A2">
      <w:pPr>
        <w:pStyle w:val="ListParagraph"/>
        <w:numPr>
          <w:ilvl w:val="0"/>
          <w:numId w:val="23"/>
        </w:numPr>
        <w:spacing w:after="120" w:line="240" w:lineRule="auto"/>
        <w:ind w:left="714" w:hanging="357"/>
        <w:contextualSpacing w:val="0"/>
        <w:rPr>
          <w:rFonts w:ascii="Arial" w:hAnsi="Arial" w:cs="Arial"/>
          <w:sz w:val="24"/>
          <w:szCs w:val="24"/>
        </w:rPr>
      </w:pPr>
      <w:r>
        <w:rPr>
          <w:rFonts w:ascii="Arial" w:hAnsi="Arial" w:cs="Arial"/>
          <w:sz w:val="24"/>
          <w:szCs w:val="24"/>
        </w:rPr>
        <w:t>Please confirm that the costs for these two accounts are allocated to customers using two totally different allocation factors?</w:t>
      </w:r>
    </w:p>
    <w:p w14:paraId="7A5C476A" w14:textId="3C862EE8" w:rsidR="00D84A60" w:rsidRDefault="00D84A60" w:rsidP="007A44A2">
      <w:pPr>
        <w:pStyle w:val="ListParagraph"/>
        <w:numPr>
          <w:ilvl w:val="0"/>
          <w:numId w:val="23"/>
        </w:numPr>
        <w:spacing w:after="120" w:line="240" w:lineRule="auto"/>
        <w:ind w:left="714" w:hanging="357"/>
        <w:contextualSpacing w:val="0"/>
        <w:rPr>
          <w:rFonts w:ascii="Arial" w:hAnsi="Arial" w:cs="Arial"/>
          <w:sz w:val="24"/>
          <w:szCs w:val="24"/>
        </w:rPr>
      </w:pPr>
      <w:r>
        <w:rPr>
          <w:rFonts w:ascii="Arial" w:hAnsi="Arial" w:cs="Arial"/>
          <w:sz w:val="24"/>
          <w:szCs w:val="24"/>
        </w:rPr>
        <w:t xml:space="preserve">For certain acquired rate classes there is </w:t>
      </w:r>
      <w:r w:rsidR="0045524A">
        <w:rPr>
          <w:rFonts w:ascii="Arial" w:hAnsi="Arial" w:cs="Arial"/>
          <w:sz w:val="24"/>
          <w:szCs w:val="24"/>
        </w:rPr>
        <w:t>a significant</w:t>
      </w:r>
      <w:r>
        <w:rPr>
          <w:rFonts w:ascii="Arial" w:hAnsi="Arial" w:cs="Arial"/>
          <w:sz w:val="24"/>
          <w:szCs w:val="24"/>
        </w:rPr>
        <w:t xml:space="preserve"> difference between the GFA adjustment factors for these two accounts suggesting a more account specific determination of the adjustment factors would produce different cost allocation results and revenue to cost ratios.  Is Hydro One willing to adopt “account-specific” GFA (and NFA) adjustment factors for purposes of its 2021 CAM?   If not, why not?</w:t>
      </w:r>
    </w:p>
    <w:p w14:paraId="5F76EFFA" w14:textId="1476DB96" w:rsidR="00DA43DB" w:rsidRDefault="008B493C" w:rsidP="00D84A60">
      <w:pPr>
        <w:pStyle w:val="ListParagraph"/>
        <w:numPr>
          <w:ilvl w:val="0"/>
          <w:numId w:val="23"/>
        </w:numPr>
        <w:spacing w:after="240" w:line="240" w:lineRule="auto"/>
        <w:ind w:left="714" w:hanging="357"/>
        <w:rPr>
          <w:rFonts w:ascii="Arial" w:hAnsi="Arial" w:cs="Arial"/>
          <w:sz w:val="24"/>
          <w:szCs w:val="24"/>
        </w:rPr>
      </w:pPr>
      <w:r>
        <w:rPr>
          <w:rFonts w:ascii="Arial" w:hAnsi="Arial" w:cs="Arial"/>
          <w:sz w:val="24"/>
          <w:szCs w:val="24"/>
        </w:rPr>
        <w:t xml:space="preserve">Absent moving to the more detailed method – would </w:t>
      </w:r>
      <w:r w:rsidR="00D84A60">
        <w:rPr>
          <w:rFonts w:ascii="Arial" w:hAnsi="Arial" w:cs="Arial"/>
          <w:sz w:val="24"/>
          <w:szCs w:val="24"/>
        </w:rPr>
        <w:t xml:space="preserve">Hydro One </w:t>
      </w:r>
      <w:r>
        <w:rPr>
          <w:rFonts w:ascii="Arial" w:hAnsi="Arial" w:cs="Arial"/>
          <w:sz w:val="24"/>
          <w:szCs w:val="24"/>
        </w:rPr>
        <w:t>agree that the use of the simpler approach would suggest the application of a wide range for what would be considered an “acceptable” R/C ratio?</w:t>
      </w:r>
    </w:p>
    <w:p w14:paraId="01EB5806" w14:textId="10CA5904" w:rsidR="008B203F" w:rsidRPr="008B203F" w:rsidRDefault="008B203F" w:rsidP="008B203F">
      <w:pPr>
        <w:spacing w:after="240" w:line="240" w:lineRule="auto"/>
        <w:rPr>
          <w:rFonts w:ascii="Arial" w:hAnsi="Arial" w:cs="Arial"/>
          <w:i/>
          <w:sz w:val="24"/>
          <w:szCs w:val="24"/>
          <w:u w:val="single"/>
        </w:rPr>
      </w:pPr>
      <w:r w:rsidRPr="008B203F">
        <w:rPr>
          <w:rFonts w:ascii="Arial" w:hAnsi="Arial" w:cs="Arial"/>
          <w:i/>
          <w:sz w:val="24"/>
          <w:szCs w:val="24"/>
          <w:u w:val="single"/>
        </w:rPr>
        <w:t>Topic:  Future Cost Allocation</w:t>
      </w:r>
    </w:p>
    <w:p w14:paraId="2388E9B9" w14:textId="2AA5E8D0" w:rsidR="00D84A60" w:rsidRDefault="00D84A60" w:rsidP="005B45D9">
      <w:pPr>
        <w:spacing w:after="120" w:line="240" w:lineRule="auto"/>
        <w:contextualSpacing/>
        <w:rPr>
          <w:rFonts w:ascii="Arial" w:hAnsi="Arial" w:cs="Arial"/>
          <w:sz w:val="24"/>
          <w:szCs w:val="24"/>
        </w:rPr>
      </w:pPr>
      <w:r w:rsidRPr="00F0512B">
        <w:rPr>
          <w:rFonts w:ascii="Arial" w:hAnsi="Arial" w:cs="Arial"/>
          <w:b/>
          <w:sz w:val="24"/>
          <w:szCs w:val="24"/>
        </w:rPr>
        <w:t>TC Question #</w:t>
      </w:r>
      <w:r>
        <w:rPr>
          <w:rFonts w:ascii="Arial" w:hAnsi="Arial" w:cs="Arial"/>
          <w:b/>
          <w:sz w:val="24"/>
          <w:szCs w:val="24"/>
        </w:rPr>
        <w:t>14</w:t>
      </w:r>
      <w:r w:rsidRPr="00F0512B">
        <w:rPr>
          <w:rFonts w:ascii="Arial" w:hAnsi="Arial" w:cs="Arial"/>
          <w:b/>
          <w:sz w:val="24"/>
          <w:szCs w:val="24"/>
        </w:rPr>
        <w:br/>
      </w:r>
      <w:r w:rsidRPr="00F0512B">
        <w:rPr>
          <w:rFonts w:ascii="Arial" w:hAnsi="Arial" w:cs="Arial"/>
          <w:b/>
          <w:sz w:val="24"/>
          <w:szCs w:val="24"/>
        </w:rPr>
        <w:br/>
      </w:r>
      <w:r>
        <w:rPr>
          <w:rFonts w:ascii="Arial" w:hAnsi="Arial" w:cs="Arial"/>
          <w:sz w:val="24"/>
          <w:szCs w:val="24"/>
        </w:rPr>
        <w:t>Reference:</w:t>
      </w:r>
      <w:r>
        <w:rPr>
          <w:rFonts w:ascii="Arial" w:hAnsi="Arial" w:cs="Arial"/>
          <w:sz w:val="24"/>
          <w:szCs w:val="24"/>
        </w:rPr>
        <w:tab/>
        <w:t>49</w:t>
      </w:r>
      <w:r>
        <w:rPr>
          <w:rFonts w:ascii="Arial" w:hAnsi="Arial" w:cs="Arial"/>
          <w:sz w:val="24"/>
          <w:szCs w:val="24"/>
        </w:rPr>
        <w:t>-</w:t>
      </w:r>
      <w:r>
        <w:rPr>
          <w:rFonts w:ascii="Arial" w:hAnsi="Arial" w:cs="Arial"/>
          <w:sz w:val="24"/>
          <w:szCs w:val="24"/>
        </w:rPr>
        <w:t>Staff 242 d)</w:t>
      </w:r>
    </w:p>
    <w:p w14:paraId="39E145FC" w14:textId="556E3289" w:rsidR="00D84A60" w:rsidRDefault="00D84A60" w:rsidP="00D84A60">
      <w:pPr>
        <w:spacing w:after="120" w:line="240" w:lineRule="auto"/>
        <w:rPr>
          <w:rFonts w:ascii="Arial" w:hAnsi="Arial" w:cs="Arial"/>
          <w:sz w:val="24"/>
          <w:szCs w:val="24"/>
        </w:rPr>
      </w:pPr>
      <w:r>
        <w:rPr>
          <w:rFonts w:ascii="Arial" w:hAnsi="Arial" w:cs="Arial"/>
          <w:sz w:val="24"/>
          <w:szCs w:val="24"/>
        </w:rPr>
        <w:tab/>
      </w:r>
      <w:r>
        <w:rPr>
          <w:rFonts w:ascii="Arial" w:hAnsi="Arial" w:cs="Arial"/>
          <w:sz w:val="24"/>
          <w:szCs w:val="24"/>
        </w:rPr>
        <w:tab/>
        <w:t>49-Staff-243 d)</w:t>
      </w:r>
    </w:p>
    <w:p w14:paraId="5F1B2D16" w14:textId="65013946" w:rsidR="00D84A60" w:rsidRDefault="00D84A60" w:rsidP="00D84A60">
      <w:pPr>
        <w:spacing w:after="120" w:line="240" w:lineRule="auto"/>
        <w:contextualSpacing/>
        <w:rPr>
          <w:rFonts w:ascii="Arial" w:hAnsi="Arial" w:cs="Arial"/>
          <w:sz w:val="24"/>
          <w:szCs w:val="24"/>
        </w:rPr>
      </w:pPr>
      <w:r w:rsidRPr="00D94720">
        <w:rPr>
          <w:rFonts w:ascii="Arial" w:hAnsi="Arial" w:cs="Arial"/>
          <w:sz w:val="24"/>
          <w:szCs w:val="24"/>
        </w:rPr>
        <w:t>Preamble:</w:t>
      </w:r>
      <w:r w:rsidRPr="00D94720">
        <w:rPr>
          <w:rFonts w:ascii="Arial" w:hAnsi="Arial" w:cs="Arial"/>
          <w:b/>
          <w:sz w:val="24"/>
          <w:szCs w:val="24"/>
        </w:rPr>
        <w:tab/>
      </w:r>
      <w:r>
        <w:rPr>
          <w:rFonts w:ascii="Arial" w:hAnsi="Arial" w:cs="Arial"/>
          <w:sz w:val="24"/>
          <w:szCs w:val="24"/>
        </w:rPr>
        <w:t>The responses to Staff 242 d)</w:t>
      </w:r>
      <w:r w:rsidR="005B45D9">
        <w:rPr>
          <w:rFonts w:ascii="Arial" w:hAnsi="Arial" w:cs="Arial"/>
          <w:sz w:val="24"/>
          <w:szCs w:val="24"/>
        </w:rPr>
        <w:t xml:space="preserve"> and Staff 243 d) </w:t>
      </w:r>
      <w:r>
        <w:rPr>
          <w:rFonts w:ascii="Arial" w:hAnsi="Arial" w:cs="Arial"/>
          <w:sz w:val="24"/>
          <w:szCs w:val="24"/>
        </w:rPr>
        <w:t xml:space="preserve">indicate that Hydro One does not </w:t>
      </w:r>
    </w:p>
    <w:p w14:paraId="4670E111" w14:textId="19854A45" w:rsidR="00D84A60" w:rsidRDefault="00D84A60" w:rsidP="00D84A60">
      <w:pPr>
        <w:spacing w:after="120" w:line="240" w:lineRule="auto"/>
        <w:contextual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plan on updating the GFA and NFA adjustment factors in future CAMs</w:t>
      </w:r>
      <w:r w:rsidR="00BC66D1">
        <w:rPr>
          <w:rFonts w:ascii="Arial" w:hAnsi="Arial" w:cs="Arial"/>
          <w:sz w:val="24"/>
          <w:szCs w:val="24"/>
        </w:rPr>
        <w:t>.</w:t>
      </w:r>
    </w:p>
    <w:p w14:paraId="509B054B" w14:textId="7006C585" w:rsidR="00BC66D1" w:rsidRDefault="00BC66D1" w:rsidP="00BC66D1">
      <w:pPr>
        <w:pStyle w:val="ListParagraph"/>
        <w:numPr>
          <w:ilvl w:val="0"/>
          <w:numId w:val="26"/>
        </w:numPr>
        <w:spacing w:after="240" w:line="240" w:lineRule="auto"/>
        <w:ind w:left="714" w:hanging="357"/>
        <w:contextualSpacing w:val="0"/>
        <w:rPr>
          <w:rFonts w:ascii="Arial" w:hAnsi="Arial" w:cs="Arial"/>
          <w:sz w:val="24"/>
          <w:szCs w:val="24"/>
        </w:rPr>
      </w:pPr>
      <w:r>
        <w:rPr>
          <w:rFonts w:ascii="Arial" w:hAnsi="Arial" w:cs="Arial"/>
          <w:sz w:val="24"/>
          <w:szCs w:val="24"/>
        </w:rPr>
        <w:t xml:space="preserve">If one assumes that the CAM appropriately allocates any investments after 2021 to the </w:t>
      </w:r>
      <w:r>
        <w:rPr>
          <w:rFonts w:ascii="Arial" w:hAnsi="Arial" w:cs="Arial"/>
          <w:sz w:val="24"/>
          <w:szCs w:val="24"/>
        </w:rPr>
        <w:t>acquired rate</w:t>
      </w:r>
      <w:r>
        <w:rPr>
          <w:rFonts w:ascii="Arial" w:hAnsi="Arial" w:cs="Arial"/>
          <w:sz w:val="24"/>
          <w:szCs w:val="24"/>
        </w:rPr>
        <w:t xml:space="preserve"> classes why wouldn’t the adjus</w:t>
      </w:r>
      <w:r>
        <w:rPr>
          <w:rFonts w:ascii="Arial" w:hAnsi="Arial" w:cs="Arial"/>
          <w:sz w:val="24"/>
          <w:szCs w:val="24"/>
        </w:rPr>
        <w:t>tment factors change over time</w:t>
      </w:r>
      <w:r>
        <w:rPr>
          <w:rFonts w:ascii="Arial" w:hAnsi="Arial" w:cs="Arial"/>
          <w:sz w:val="24"/>
          <w:szCs w:val="24"/>
        </w:rPr>
        <w:t xml:space="preserve"> as the pre-2021 investments that drove the need for the adjustment become a smaller and smaller proportion of the total costs </w:t>
      </w:r>
      <w:r>
        <w:rPr>
          <w:rFonts w:ascii="Arial" w:hAnsi="Arial" w:cs="Arial"/>
          <w:sz w:val="24"/>
          <w:szCs w:val="24"/>
        </w:rPr>
        <w:t>to allocated</w:t>
      </w:r>
      <w:r>
        <w:rPr>
          <w:rFonts w:ascii="Arial" w:hAnsi="Arial" w:cs="Arial"/>
          <w:sz w:val="24"/>
          <w:szCs w:val="24"/>
        </w:rPr>
        <w:t>?</w:t>
      </w:r>
    </w:p>
    <w:p w14:paraId="4794B56D" w14:textId="77777777" w:rsidR="007A44A2" w:rsidRDefault="007A44A2">
      <w:pPr>
        <w:rPr>
          <w:rFonts w:ascii="Arial" w:hAnsi="Arial" w:cs="Arial"/>
          <w:b/>
          <w:sz w:val="24"/>
          <w:szCs w:val="24"/>
        </w:rPr>
      </w:pPr>
      <w:r>
        <w:rPr>
          <w:rFonts w:ascii="Arial" w:hAnsi="Arial" w:cs="Arial"/>
          <w:b/>
          <w:sz w:val="24"/>
          <w:szCs w:val="24"/>
        </w:rPr>
        <w:br w:type="page"/>
      </w:r>
    </w:p>
    <w:p w14:paraId="3A62AF1C" w14:textId="4ED474E1" w:rsidR="00BC66D1" w:rsidRDefault="00BC66D1" w:rsidP="00831D5C">
      <w:pPr>
        <w:spacing w:after="120" w:line="240" w:lineRule="auto"/>
        <w:contextualSpacing/>
        <w:rPr>
          <w:rFonts w:ascii="Arial" w:hAnsi="Arial" w:cs="Arial"/>
          <w:sz w:val="24"/>
          <w:szCs w:val="24"/>
        </w:rPr>
      </w:pPr>
      <w:r w:rsidRPr="00F0512B">
        <w:rPr>
          <w:rFonts w:ascii="Arial" w:hAnsi="Arial" w:cs="Arial"/>
          <w:b/>
          <w:sz w:val="24"/>
          <w:szCs w:val="24"/>
        </w:rPr>
        <w:t>TC Question #</w:t>
      </w:r>
      <w:r>
        <w:rPr>
          <w:rFonts w:ascii="Arial" w:hAnsi="Arial" w:cs="Arial"/>
          <w:b/>
          <w:sz w:val="24"/>
          <w:szCs w:val="24"/>
        </w:rPr>
        <w:t>1</w:t>
      </w:r>
      <w:r>
        <w:rPr>
          <w:rFonts w:ascii="Arial" w:hAnsi="Arial" w:cs="Arial"/>
          <w:b/>
          <w:sz w:val="24"/>
          <w:szCs w:val="24"/>
        </w:rPr>
        <w:t>5</w:t>
      </w:r>
      <w:r w:rsidRPr="00F0512B">
        <w:rPr>
          <w:rFonts w:ascii="Arial" w:hAnsi="Arial" w:cs="Arial"/>
          <w:b/>
          <w:sz w:val="24"/>
          <w:szCs w:val="24"/>
        </w:rPr>
        <w:br/>
      </w:r>
      <w:r w:rsidRPr="00F0512B">
        <w:rPr>
          <w:rFonts w:ascii="Arial" w:hAnsi="Arial" w:cs="Arial"/>
          <w:b/>
          <w:sz w:val="24"/>
          <w:szCs w:val="24"/>
        </w:rPr>
        <w:br/>
      </w:r>
      <w:r>
        <w:rPr>
          <w:rFonts w:ascii="Arial" w:hAnsi="Arial" w:cs="Arial"/>
          <w:sz w:val="24"/>
          <w:szCs w:val="24"/>
        </w:rPr>
        <w:t>Reference:</w:t>
      </w:r>
      <w:r>
        <w:rPr>
          <w:rFonts w:ascii="Arial" w:hAnsi="Arial" w:cs="Arial"/>
          <w:sz w:val="24"/>
          <w:szCs w:val="24"/>
        </w:rPr>
        <w:tab/>
        <w:t>4</w:t>
      </w:r>
      <w:r>
        <w:rPr>
          <w:rFonts w:ascii="Arial" w:hAnsi="Arial" w:cs="Arial"/>
          <w:sz w:val="24"/>
          <w:szCs w:val="24"/>
        </w:rPr>
        <w:t>8-VECC-96</w:t>
      </w:r>
    </w:p>
    <w:p w14:paraId="63048C6B" w14:textId="749045E9" w:rsidR="00831D5C" w:rsidRDefault="00831D5C" w:rsidP="00831D5C">
      <w:pPr>
        <w:spacing w:after="120" w:line="240" w:lineRule="auto"/>
        <w:rPr>
          <w:rFonts w:ascii="Arial" w:hAnsi="Arial" w:cs="Arial"/>
          <w:sz w:val="24"/>
          <w:szCs w:val="24"/>
        </w:rPr>
      </w:pPr>
      <w:r>
        <w:rPr>
          <w:rFonts w:ascii="Arial" w:hAnsi="Arial" w:cs="Arial"/>
          <w:sz w:val="24"/>
          <w:szCs w:val="24"/>
        </w:rPr>
        <w:tab/>
      </w:r>
      <w:r>
        <w:rPr>
          <w:rFonts w:ascii="Arial" w:hAnsi="Arial" w:cs="Arial"/>
          <w:sz w:val="24"/>
          <w:szCs w:val="24"/>
        </w:rPr>
        <w:tab/>
        <w:t>13-CCC-15</w:t>
      </w:r>
    </w:p>
    <w:p w14:paraId="65E5C616" w14:textId="77777777" w:rsidR="000034A6" w:rsidRDefault="00BC66D1" w:rsidP="000034A6">
      <w:pPr>
        <w:spacing w:after="120" w:line="240" w:lineRule="auto"/>
        <w:contextualSpacing/>
        <w:rPr>
          <w:rFonts w:ascii="Arial" w:hAnsi="Arial" w:cs="Arial"/>
          <w:sz w:val="24"/>
          <w:szCs w:val="24"/>
        </w:rPr>
      </w:pPr>
      <w:r w:rsidRPr="000034A6">
        <w:rPr>
          <w:rFonts w:ascii="Arial" w:hAnsi="Arial" w:cs="Arial"/>
          <w:sz w:val="24"/>
          <w:szCs w:val="24"/>
        </w:rPr>
        <w:t>Preamble:</w:t>
      </w:r>
      <w:r w:rsidRPr="000034A6">
        <w:rPr>
          <w:rFonts w:ascii="Arial" w:hAnsi="Arial" w:cs="Arial"/>
          <w:b/>
          <w:sz w:val="24"/>
          <w:szCs w:val="24"/>
        </w:rPr>
        <w:tab/>
      </w:r>
      <w:r w:rsidR="000034A6" w:rsidRPr="000034A6">
        <w:rPr>
          <w:rFonts w:ascii="Arial" w:hAnsi="Arial" w:cs="Arial"/>
          <w:sz w:val="24"/>
          <w:szCs w:val="24"/>
        </w:rPr>
        <w:t>VECC 96 asked about HON’s plans to update its 2021 CAM</w:t>
      </w:r>
      <w:r w:rsidR="000034A6">
        <w:rPr>
          <w:rFonts w:ascii="Arial" w:hAnsi="Arial" w:cs="Arial"/>
          <w:sz w:val="24"/>
          <w:szCs w:val="24"/>
        </w:rPr>
        <w:t xml:space="preserve"> and</w:t>
      </w:r>
      <w:r w:rsidR="000034A6" w:rsidRPr="000034A6">
        <w:rPr>
          <w:rFonts w:ascii="Arial" w:hAnsi="Arial" w:cs="Arial"/>
          <w:sz w:val="24"/>
          <w:szCs w:val="24"/>
        </w:rPr>
        <w:t xml:space="preserve"> the response </w:t>
      </w:r>
    </w:p>
    <w:p w14:paraId="23C2B13F" w14:textId="0BD51943" w:rsidR="008B203F" w:rsidRDefault="000034A6" w:rsidP="008B203F">
      <w:pPr>
        <w:spacing w:after="120" w:line="240" w:lineRule="auto"/>
        <w:ind w:left="1440"/>
        <w:rPr>
          <w:rFonts w:ascii="Arial" w:hAnsi="Arial" w:cs="Arial"/>
          <w:sz w:val="24"/>
          <w:szCs w:val="24"/>
        </w:rPr>
      </w:pPr>
      <w:r w:rsidRPr="000034A6">
        <w:rPr>
          <w:rFonts w:ascii="Arial" w:hAnsi="Arial" w:cs="Arial"/>
          <w:sz w:val="24"/>
          <w:szCs w:val="24"/>
        </w:rPr>
        <w:t xml:space="preserve">spoke to the CAM update arising from the December </w:t>
      </w:r>
      <w:r>
        <w:rPr>
          <w:rFonts w:ascii="Arial" w:hAnsi="Arial" w:cs="Arial"/>
          <w:sz w:val="24"/>
          <w:szCs w:val="24"/>
        </w:rPr>
        <w:t>2017</w:t>
      </w:r>
      <w:r w:rsidR="008B203F">
        <w:rPr>
          <w:rFonts w:ascii="Arial" w:hAnsi="Arial" w:cs="Arial"/>
          <w:sz w:val="24"/>
          <w:szCs w:val="24"/>
        </w:rPr>
        <w:t xml:space="preserve"> </w:t>
      </w:r>
      <w:r>
        <w:rPr>
          <w:rFonts w:ascii="Arial" w:hAnsi="Arial" w:cs="Arial"/>
          <w:sz w:val="24"/>
          <w:szCs w:val="24"/>
        </w:rPr>
        <w:t>u</w:t>
      </w:r>
      <w:r w:rsidRPr="000034A6">
        <w:rPr>
          <w:rFonts w:ascii="Arial" w:hAnsi="Arial" w:cs="Arial"/>
          <w:sz w:val="24"/>
          <w:szCs w:val="24"/>
        </w:rPr>
        <w:t>pdate</w:t>
      </w:r>
      <w:r w:rsidR="008B203F">
        <w:rPr>
          <w:rFonts w:ascii="Arial" w:hAnsi="Arial" w:cs="Arial"/>
          <w:sz w:val="24"/>
          <w:szCs w:val="24"/>
        </w:rPr>
        <w:t>.  However, w</w:t>
      </w:r>
      <w:r w:rsidR="008B203F">
        <w:rPr>
          <w:rFonts w:ascii="Arial" w:hAnsi="Arial" w:cs="Arial"/>
          <w:sz w:val="24"/>
          <w:szCs w:val="24"/>
        </w:rPr>
        <w:t xml:space="preserve">hat the </w:t>
      </w:r>
      <w:r w:rsidR="008B203F">
        <w:rPr>
          <w:rFonts w:ascii="Arial" w:hAnsi="Arial" w:cs="Arial"/>
          <w:sz w:val="24"/>
          <w:szCs w:val="24"/>
        </w:rPr>
        <w:t>original question was referring to wa</w:t>
      </w:r>
      <w:r w:rsidR="008B203F">
        <w:rPr>
          <w:rFonts w:ascii="Arial" w:hAnsi="Arial" w:cs="Arial"/>
          <w:sz w:val="24"/>
          <w:szCs w:val="24"/>
        </w:rPr>
        <w:t>s H</w:t>
      </w:r>
      <w:r w:rsidR="008B203F">
        <w:rPr>
          <w:rFonts w:ascii="Arial" w:hAnsi="Arial" w:cs="Arial"/>
          <w:sz w:val="24"/>
          <w:szCs w:val="24"/>
        </w:rPr>
        <w:t>ydro One</w:t>
      </w:r>
      <w:r w:rsidR="008B203F">
        <w:rPr>
          <w:rFonts w:ascii="Arial" w:hAnsi="Arial" w:cs="Arial"/>
          <w:sz w:val="24"/>
          <w:szCs w:val="24"/>
        </w:rPr>
        <w:t>s plans</w:t>
      </w:r>
      <w:r w:rsidR="00831D5C">
        <w:rPr>
          <w:rFonts w:ascii="Arial" w:hAnsi="Arial" w:cs="Arial"/>
          <w:sz w:val="24"/>
          <w:szCs w:val="24"/>
        </w:rPr>
        <w:t xml:space="preserve"> (if any)</w:t>
      </w:r>
      <w:r w:rsidR="008B203F">
        <w:rPr>
          <w:rFonts w:ascii="Arial" w:hAnsi="Arial" w:cs="Arial"/>
          <w:sz w:val="24"/>
          <w:szCs w:val="24"/>
        </w:rPr>
        <w:t xml:space="preserve"> to update the 2021 </w:t>
      </w:r>
      <w:r w:rsidR="00831D5C">
        <w:rPr>
          <w:rFonts w:ascii="Arial" w:hAnsi="Arial" w:cs="Arial"/>
          <w:sz w:val="24"/>
          <w:szCs w:val="24"/>
        </w:rPr>
        <w:t>CAM</w:t>
      </w:r>
      <w:r w:rsidR="008B203F">
        <w:rPr>
          <w:rFonts w:ascii="Arial" w:hAnsi="Arial" w:cs="Arial"/>
          <w:sz w:val="24"/>
          <w:szCs w:val="24"/>
        </w:rPr>
        <w:t xml:space="preserve"> with the 2021 cost of capital parameters </w:t>
      </w:r>
      <w:r w:rsidR="00831D5C">
        <w:rPr>
          <w:rFonts w:ascii="Arial" w:hAnsi="Arial" w:cs="Arial"/>
          <w:sz w:val="24"/>
          <w:szCs w:val="24"/>
        </w:rPr>
        <w:t>and the updated 2021 and 2022 load forecast as discussed in CCC-15</w:t>
      </w:r>
      <w:r w:rsidR="008B203F">
        <w:rPr>
          <w:rFonts w:ascii="Arial" w:hAnsi="Arial" w:cs="Arial"/>
          <w:sz w:val="24"/>
          <w:szCs w:val="24"/>
        </w:rPr>
        <w:t xml:space="preserve"> </w:t>
      </w:r>
    </w:p>
    <w:p w14:paraId="01C8A09E" w14:textId="63060B83" w:rsidR="008B203F" w:rsidRDefault="00831D5C" w:rsidP="007A44A2">
      <w:pPr>
        <w:pStyle w:val="ListParagraph"/>
        <w:numPr>
          <w:ilvl w:val="0"/>
          <w:numId w:val="29"/>
        </w:numPr>
        <w:spacing w:after="240" w:line="240" w:lineRule="auto"/>
        <w:ind w:left="714" w:hanging="357"/>
        <w:rPr>
          <w:rFonts w:ascii="Arial" w:hAnsi="Arial" w:cs="Arial"/>
          <w:sz w:val="24"/>
          <w:szCs w:val="24"/>
        </w:rPr>
      </w:pPr>
      <w:r>
        <w:rPr>
          <w:rFonts w:ascii="Arial" w:hAnsi="Arial" w:cs="Arial"/>
          <w:sz w:val="24"/>
          <w:szCs w:val="24"/>
        </w:rPr>
        <w:t xml:space="preserve">Please indicate </w:t>
      </w:r>
      <w:r w:rsidR="008B203F">
        <w:rPr>
          <w:rFonts w:ascii="Arial" w:hAnsi="Arial" w:cs="Arial"/>
          <w:sz w:val="24"/>
          <w:szCs w:val="24"/>
        </w:rPr>
        <w:t xml:space="preserve">what other aspects of the </w:t>
      </w:r>
      <w:r w:rsidR="00803588">
        <w:rPr>
          <w:rFonts w:ascii="Arial" w:hAnsi="Arial" w:cs="Arial"/>
          <w:sz w:val="24"/>
          <w:szCs w:val="24"/>
        </w:rPr>
        <w:t xml:space="preserve">current </w:t>
      </w:r>
      <w:r w:rsidR="008B203F">
        <w:rPr>
          <w:rFonts w:ascii="Arial" w:hAnsi="Arial" w:cs="Arial"/>
          <w:sz w:val="24"/>
          <w:szCs w:val="24"/>
        </w:rPr>
        <w:t xml:space="preserve">2021 CAM </w:t>
      </w:r>
      <w:r>
        <w:rPr>
          <w:rFonts w:ascii="Arial" w:hAnsi="Arial" w:cs="Arial"/>
          <w:sz w:val="24"/>
          <w:szCs w:val="24"/>
        </w:rPr>
        <w:t xml:space="preserve">(apart from the </w:t>
      </w:r>
      <w:r w:rsidR="00803588">
        <w:rPr>
          <w:rFonts w:ascii="Arial" w:hAnsi="Arial" w:cs="Arial"/>
          <w:sz w:val="24"/>
          <w:szCs w:val="24"/>
        </w:rPr>
        <w:t xml:space="preserve">cost of capital parameters and load forecast) </w:t>
      </w:r>
      <w:r w:rsidR="008B203F">
        <w:rPr>
          <w:rFonts w:ascii="Arial" w:hAnsi="Arial" w:cs="Arial"/>
          <w:sz w:val="24"/>
          <w:szCs w:val="24"/>
        </w:rPr>
        <w:t xml:space="preserve">will be updated (e.g., </w:t>
      </w:r>
      <w:r w:rsidR="00803588">
        <w:rPr>
          <w:rFonts w:ascii="Arial" w:hAnsi="Arial" w:cs="Arial"/>
          <w:sz w:val="24"/>
          <w:szCs w:val="24"/>
        </w:rPr>
        <w:t xml:space="preserve">Other Aspects of the Revenue Requirement, Asset Values, </w:t>
      </w:r>
      <w:r w:rsidR="008B203F">
        <w:rPr>
          <w:rFonts w:ascii="Arial" w:hAnsi="Arial" w:cs="Arial"/>
          <w:sz w:val="24"/>
          <w:szCs w:val="24"/>
        </w:rPr>
        <w:t>Weighting Factors, Average Meter Costs, Meter Reading Weights, etc.)?</w:t>
      </w:r>
    </w:p>
    <w:p w14:paraId="0C57165D" w14:textId="1ADD41CA" w:rsidR="005E0BBD" w:rsidRPr="008B203F" w:rsidRDefault="008B203F" w:rsidP="008B203F">
      <w:pPr>
        <w:spacing w:after="240" w:line="240" w:lineRule="auto"/>
        <w:rPr>
          <w:rFonts w:ascii="Arial" w:hAnsi="Arial" w:cs="Arial"/>
          <w:b/>
          <w:sz w:val="24"/>
          <w:szCs w:val="24"/>
        </w:rPr>
      </w:pPr>
      <w:r w:rsidRPr="008B203F">
        <w:rPr>
          <w:rFonts w:ascii="Arial" w:hAnsi="Arial" w:cs="Arial"/>
          <w:b/>
          <w:sz w:val="24"/>
          <w:szCs w:val="24"/>
        </w:rPr>
        <w:t>Issue #52 – Are the proposed fixed and variable charges for all rate classes over the 2018-2022 period appropriate, including implementation of the OEB’s residential rate design?</w:t>
      </w:r>
    </w:p>
    <w:p w14:paraId="1DA98A2D" w14:textId="3531B58E" w:rsidR="005E0BBD" w:rsidRPr="008B203F" w:rsidRDefault="008B203F" w:rsidP="008B203F">
      <w:pPr>
        <w:spacing w:after="240" w:line="240" w:lineRule="auto"/>
        <w:rPr>
          <w:rFonts w:ascii="Arial" w:hAnsi="Arial" w:cs="Arial"/>
          <w:i/>
          <w:sz w:val="24"/>
          <w:szCs w:val="24"/>
          <w:u w:val="single"/>
        </w:rPr>
      </w:pPr>
      <w:r w:rsidRPr="008B203F">
        <w:rPr>
          <w:rFonts w:ascii="Arial" w:hAnsi="Arial" w:cs="Arial"/>
          <w:i/>
          <w:sz w:val="24"/>
          <w:szCs w:val="24"/>
          <w:u w:val="single"/>
        </w:rPr>
        <w:t>Topic:  Transition to 100% Residential Fixed Rate</w:t>
      </w:r>
    </w:p>
    <w:p w14:paraId="3202EC11" w14:textId="59E34689" w:rsidR="008B203F" w:rsidRDefault="008B203F" w:rsidP="00710299">
      <w:pPr>
        <w:spacing w:after="120" w:line="240" w:lineRule="auto"/>
        <w:rPr>
          <w:rFonts w:ascii="Arial" w:hAnsi="Arial" w:cs="Arial"/>
          <w:sz w:val="24"/>
          <w:szCs w:val="24"/>
        </w:rPr>
      </w:pPr>
      <w:r w:rsidRPr="00F0512B">
        <w:rPr>
          <w:rFonts w:ascii="Arial" w:hAnsi="Arial" w:cs="Arial"/>
          <w:b/>
          <w:sz w:val="24"/>
          <w:szCs w:val="24"/>
        </w:rPr>
        <w:t>TC Question #</w:t>
      </w:r>
      <w:r>
        <w:rPr>
          <w:rFonts w:ascii="Arial" w:hAnsi="Arial" w:cs="Arial"/>
          <w:b/>
          <w:sz w:val="24"/>
          <w:szCs w:val="24"/>
        </w:rPr>
        <w:t>1</w:t>
      </w:r>
      <w:r w:rsidR="006D14E8">
        <w:rPr>
          <w:rFonts w:ascii="Arial" w:hAnsi="Arial" w:cs="Arial"/>
          <w:b/>
          <w:sz w:val="24"/>
          <w:szCs w:val="24"/>
        </w:rPr>
        <w:t>6</w:t>
      </w:r>
      <w:r w:rsidRPr="00F0512B">
        <w:rPr>
          <w:rFonts w:ascii="Arial" w:hAnsi="Arial" w:cs="Arial"/>
          <w:b/>
          <w:sz w:val="24"/>
          <w:szCs w:val="24"/>
        </w:rPr>
        <w:br/>
      </w:r>
      <w:r w:rsidRPr="00F0512B">
        <w:rPr>
          <w:rFonts w:ascii="Arial" w:hAnsi="Arial" w:cs="Arial"/>
          <w:b/>
          <w:sz w:val="24"/>
          <w:szCs w:val="24"/>
        </w:rPr>
        <w:br/>
      </w:r>
      <w:r w:rsidR="00710299">
        <w:rPr>
          <w:rFonts w:ascii="Arial" w:hAnsi="Arial" w:cs="Arial"/>
          <w:sz w:val="24"/>
          <w:szCs w:val="24"/>
        </w:rPr>
        <w:t>Reference:</w:t>
      </w:r>
      <w:r w:rsidR="00710299">
        <w:rPr>
          <w:rFonts w:ascii="Arial" w:hAnsi="Arial" w:cs="Arial"/>
          <w:sz w:val="24"/>
          <w:szCs w:val="24"/>
        </w:rPr>
        <w:tab/>
        <w:t>49-VECC-98</w:t>
      </w:r>
    </w:p>
    <w:p w14:paraId="7B2635E3" w14:textId="77777777" w:rsidR="00710299" w:rsidRDefault="008B203F" w:rsidP="00710299">
      <w:pPr>
        <w:spacing w:after="120" w:line="240" w:lineRule="auto"/>
        <w:contextualSpacing/>
        <w:rPr>
          <w:rFonts w:ascii="Arial" w:hAnsi="Arial" w:cs="Arial"/>
          <w:sz w:val="24"/>
          <w:szCs w:val="24"/>
        </w:rPr>
      </w:pPr>
      <w:r w:rsidRPr="000034A6">
        <w:rPr>
          <w:rFonts w:ascii="Arial" w:hAnsi="Arial" w:cs="Arial"/>
          <w:sz w:val="24"/>
          <w:szCs w:val="24"/>
        </w:rPr>
        <w:t>Preamble:</w:t>
      </w:r>
      <w:r w:rsidRPr="000034A6">
        <w:rPr>
          <w:rFonts w:ascii="Arial" w:hAnsi="Arial" w:cs="Arial"/>
          <w:b/>
          <w:sz w:val="24"/>
          <w:szCs w:val="24"/>
        </w:rPr>
        <w:tab/>
      </w:r>
      <w:r w:rsidR="00710299">
        <w:rPr>
          <w:rFonts w:ascii="Arial" w:hAnsi="Arial" w:cs="Arial"/>
          <w:sz w:val="24"/>
          <w:szCs w:val="24"/>
        </w:rPr>
        <w:t xml:space="preserve">VECC 98 requested that Hydro One provide a table demonstrating whether its </w:t>
      </w:r>
    </w:p>
    <w:p w14:paraId="065B3BD3" w14:textId="77777777" w:rsidR="00710299" w:rsidRDefault="00710299" w:rsidP="00710299">
      <w:pPr>
        <w:spacing w:after="120" w:line="240" w:lineRule="auto"/>
        <w:contextual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 xml:space="preserve">proposed transition to a fully fixed charge for its Residential and Seasonal </w:t>
      </w:r>
    </w:p>
    <w:p w14:paraId="37A75844" w14:textId="3CF0F211" w:rsidR="00710299" w:rsidRDefault="00710299" w:rsidP="00710299">
      <w:pPr>
        <w:spacing w:after="12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classes met the Board’s $4 impact criterion.</w:t>
      </w:r>
    </w:p>
    <w:p w14:paraId="21AF9372" w14:textId="5683333D" w:rsidR="00710299" w:rsidRDefault="00710299" w:rsidP="00710299">
      <w:pPr>
        <w:pStyle w:val="ListParagraph"/>
        <w:numPr>
          <w:ilvl w:val="0"/>
          <w:numId w:val="31"/>
        </w:numPr>
        <w:spacing w:after="120" w:line="240" w:lineRule="auto"/>
        <w:contextualSpacing w:val="0"/>
        <w:rPr>
          <w:rFonts w:ascii="Arial" w:hAnsi="Arial" w:cs="Arial"/>
          <w:sz w:val="24"/>
          <w:szCs w:val="24"/>
        </w:rPr>
      </w:pPr>
      <w:r>
        <w:rPr>
          <w:rFonts w:ascii="Arial" w:hAnsi="Arial" w:cs="Arial"/>
          <w:sz w:val="24"/>
          <w:szCs w:val="24"/>
        </w:rPr>
        <w:t>Please</w:t>
      </w:r>
      <w:r>
        <w:rPr>
          <w:rFonts w:ascii="Arial" w:hAnsi="Arial" w:cs="Arial"/>
          <w:sz w:val="24"/>
          <w:szCs w:val="24"/>
        </w:rPr>
        <w:t xml:space="preserve"> confirm that the table</w:t>
      </w:r>
      <w:r>
        <w:rPr>
          <w:rFonts w:ascii="Arial" w:hAnsi="Arial" w:cs="Arial"/>
          <w:sz w:val="24"/>
          <w:szCs w:val="24"/>
        </w:rPr>
        <w:t xml:space="preserve"> provided</w:t>
      </w:r>
      <w:r>
        <w:rPr>
          <w:rFonts w:ascii="Arial" w:hAnsi="Arial" w:cs="Arial"/>
          <w:sz w:val="24"/>
          <w:szCs w:val="24"/>
        </w:rPr>
        <w:t xml:space="preserve"> shows the total change in the monthly fixed charge for each affected class over the CIR period</w:t>
      </w:r>
      <w:r>
        <w:rPr>
          <w:rFonts w:ascii="Arial" w:hAnsi="Arial" w:cs="Arial"/>
          <w:sz w:val="24"/>
          <w:szCs w:val="24"/>
        </w:rPr>
        <w:t xml:space="preserve"> (i.e., the </w:t>
      </w:r>
      <w:r>
        <w:rPr>
          <w:rFonts w:ascii="Arial" w:hAnsi="Arial" w:cs="Arial"/>
          <w:sz w:val="24"/>
          <w:szCs w:val="24"/>
        </w:rPr>
        <w:t xml:space="preserve">change shown </w:t>
      </w:r>
      <w:r>
        <w:rPr>
          <w:rFonts w:ascii="Arial" w:hAnsi="Arial" w:cs="Arial"/>
          <w:sz w:val="24"/>
          <w:szCs w:val="24"/>
        </w:rPr>
        <w:t>is</w:t>
      </w:r>
      <w:r>
        <w:rPr>
          <w:rFonts w:ascii="Arial" w:hAnsi="Arial" w:cs="Arial"/>
          <w:sz w:val="24"/>
          <w:szCs w:val="24"/>
        </w:rPr>
        <w:t xml:space="preserve"> the result of both the move to a fully fixed charge plus the annual increase in rates for each class</w:t>
      </w:r>
      <w:r>
        <w:rPr>
          <w:rFonts w:ascii="Arial" w:hAnsi="Arial" w:cs="Arial"/>
          <w:sz w:val="24"/>
          <w:szCs w:val="24"/>
        </w:rPr>
        <w:t>)</w:t>
      </w:r>
      <w:r>
        <w:rPr>
          <w:rFonts w:ascii="Arial" w:hAnsi="Arial" w:cs="Arial"/>
          <w:sz w:val="24"/>
          <w:szCs w:val="24"/>
        </w:rPr>
        <w:t>.</w:t>
      </w:r>
    </w:p>
    <w:p w14:paraId="223716CD" w14:textId="0048C90F" w:rsidR="00710299" w:rsidRDefault="00710299" w:rsidP="00710299">
      <w:pPr>
        <w:pStyle w:val="ListParagraph"/>
        <w:numPr>
          <w:ilvl w:val="0"/>
          <w:numId w:val="31"/>
        </w:numPr>
        <w:spacing w:after="120" w:line="240" w:lineRule="auto"/>
        <w:ind w:left="714" w:hanging="357"/>
        <w:contextualSpacing w:val="0"/>
        <w:rPr>
          <w:rFonts w:ascii="Arial" w:hAnsi="Arial" w:cs="Arial"/>
          <w:sz w:val="24"/>
          <w:szCs w:val="24"/>
        </w:rPr>
      </w:pPr>
      <w:r>
        <w:rPr>
          <w:rFonts w:ascii="Arial" w:hAnsi="Arial" w:cs="Arial"/>
          <w:sz w:val="24"/>
          <w:szCs w:val="24"/>
        </w:rPr>
        <w:t xml:space="preserve">Please </w:t>
      </w:r>
      <w:r>
        <w:rPr>
          <w:rFonts w:ascii="Arial" w:hAnsi="Arial" w:cs="Arial"/>
          <w:sz w:val="24"/>
          <w:szCs w:val="24"/>
        </w:rPr>
        <w:t xml:space="preserve">confirm that Appendix 12 of the Board’s Revenue Requirement </w:t>
      </w:r>
      <w:r w:rsidR="0045524A">
        <w:rPr>
          <w:rFonts w:ascii="Arial" w:hAnsi="Arial" w:cs="Arial"/>
          <w:sz w:val="24"/>
          <w:szCs w:val="24"/>
        </w:rPr>
        <w:t>Work Form</w:t>
      </w:r>
      <w:r>
        <w:rPr>
          <w:rFonts w:ascii="Arial" w:hAnsi="Arial" w:cs="Arial"/>
          <w:sz w:val="24"/>
          <w:szCs w:val="24"/>
        </w:rPr>
        <w:t xml:space="preserve"> calculate</w:t>
      </w:r>
      <w:r>
        <w:rPr>
          <w:rFonts w:ascii="Arial" w:hAnsi="Arial" w:cs="Arial"/>
          <w:sz w:val="24"/>
          <w:szCs w:val="24"/>
        </w:rPr>
        <w:t>s</w:t>
      </w:r>
      <w:r>
        <w:rPr>
          <w:rFonts w:ascii="Arial" w:hAnsi="Arial" w:cs="Arial"/>
          <w:sz w:val="24"/>
          <w:szCs w:val="24"/>
        </w:rPr>
        <w:t xml:space="preserve"> the change in monthly fixed charge – excluding the impa</w:t>
      </w:r>
      <w:r>
        <w:rPr>
          <w:rFonts w:ascii="Arial" w:hAnsi="Arial" w:cs="Arial"/>
          <w:sz w:val="24"/>
          <w:szCs w:val="24"/>
        </w:rPr>
        <w:t>ct of the overall rate increase.</w:t>
      </w:r>
    </w:p>
    <w:p w14:paraId="36727C02" w14:textId="35FBA21F" w:rsidR="00710299" w:rsidRDefault="00710299" w:rsidP="00710299">
      <w:pPr>
        <w:pStyle w:val="ListParagraph"/>
        <w:numPr>
          <w:ilvl w:val="0"/>
          <w:numId w:val="31"/>
        </w:numPr>
        <w:spacing w:after="240" w:line="240" w:lineRule="auto"/>
        <w:ind w:left="714" w:hanging="357"/>
        <w:contextualSpacing w:val="0"/>
        <w:rPr>
          <w:rFonts w:ascii="Arial" w:hAnsi="Arial" w:cs="Arial"/>
          <w:sz w:val="24"/>
          <w:szCs w:val="24"/>
        </w:rPr>
      </w:pPr>
      <w:r>
        <w:rPr>
          <w:rFonts w:ascii="Arial" w:hAnsi="Arial" w:cs="Arial"/>
          <w:sz w:val="24"/>
          <w:szCs w:val="24"/>
        </w:rPr>
        <w:t>Please re-do the response</w:t>
      </w:r>
      <w:r>
        <w:rPr>
          <w:rFonts w:ascii="Arial" w:hAnsi="Arial" w:cs="Arial"/>
          <w:sz w:val="24"/>
          <w:szCs w:val="24"/>
        </w:rPr>
        <w:t xml:space="preserve"> to VECC 98 usin</w:t>
      </w:r>
      <w:r>
        <w:rPr>
          <w:rFonts w:ascii="Arial" w:hAnsi="Arial" w:cs="Arial"/>
          <w:sz w:val="24"/>
          <w:szCs w:val="24"/>
        </w:rPr>
        <w:t>g the same approach as the RRWF.</w:t>
      </w:r>
    </w:p>
    <w:p w14:paraId="1D79C36E" w14:textId="01C1F13F" w:rsidR="00710299" w:rsidRDefault="00710299" w:rsidP="00710299">
      <w:pPr>
        <w:spacing w:after="120" w:line="240" w:lineRule="auto"/>
        <w:rPr>
          <w:rFonts w:ascii="Arial" w:hAnsi="Arial" w:cs="Arial"/>
          <w:sz w:val="24"/>
          <w:szCs w:val="24"/>
        </w:rPr>
      </w:pPr>
      <w:r w:rsidRPr="00F0512B">
        <w:rPr>
          <w:rFonts w:ascii="Arial" w:hAnsi="Arial" w:cs="Arial"/>
          <w:b/>
          <w:sz w:val="24"/>
          <w:szCs w:val="24"/>
        </w:rPr>
        <w:t>TC Question #</w:t>
      </w:r>
      <w:r>
        <w:rPr>
          <w:rFonts w:ascii="Arial" w:hAnsi="Arial" w:cs="Arial"/>
          <w:b/>
          <w:sz w:val="24"/>
          <w:szCs w:val="24"/>
        </w:rPr>
        <w:t>1</w:t>
      </w:r>
      <w:r w:rsidR="006D14E8">
        <w:rPr>
          <w:rFonts w:ascii="Arial" w:hAnsi="Arial" w:cs="Arial"/>
          <w:b/>
          <w:sz w:val="24"/>
          <w:szCs w:val="24"/>
        </w:rPr>
        <w:t>7</w:t>
      </w:r>
      <w:r w:rsidRPr="00F0512B">
        <w:rPr>
          <w:rFonts w:ascii="Arial" w:hAnsi="Arial" w:cs="Arial"/>
          <w:b/>
          <w:sz w:val="24"/>
          <w:szCs w:val="24"/>
        </w:rPr>
        <w:br/>
      </w:r>
      <w:r w:rsidRPr="00F0512B">
        <w:rPr>
          <w:rFonts w:ascii="Arial" w:hAnsi="Arial" w:cs="Arial"/>
          <w:b/>
          <w:sz w:val="24"/>
          <w:szCs w:val="24"/>
        </w:rPr>
        <w:br/>
      </w:r>
      <w:r>
        <w:rPr>
          <w:rFonts w:ascii="Arial" w:hAnsi="Arial" w:cs="Arial"/>
          <w:sz w:val="24"/>
          <w:szCs w:val="24"/>
        </w:rPr>
        <w:t>Reference:</w:t>
      </w:r>
      <w:r>
        <w:rPr>
          <w:rFonts w:ascii="Arial" w:hAnsi="Arial" w:cs="Arial"/>
          <w:sz w:val="24"/>
          <w:szCs w:val="24"/>
        </w:rPr>
        <w:tab/>
        <w:t>49-VECC-98</w:t>
      </w:r>
    </w:p>
    <w:p w14:paraId="2E5F8463" w14:textId="77777777" w:rsidR="00710299" w:rsidRDefault="00710299" w:rsidP="00710299">
      <w:pPr>
        <w:spacing w:after="120" w:line="240" w:lineRule="auto"/>
        <w:contextualSpacing/>
        <w:rPr>
          <w:rFonts w:ascii="Arial" w:hAnsi="Arial" w:cs="Arial"/>
          <w:sz w:val="24"/>
          <w:szCs w:val="24"/>
        </w:rPr>
      </w:pPr>
      <w:r w:rsidRPr="000034A6">
        <w:rPr>
          <w:rFonts w:ascii="Arial" w:hAnsi="Arial" w:cs="Arial"/>
          <w:sz w:val="24"/>
          <w:szCs w:val="24"/>
        </w:rPr>
        <w:t>Preamble:</w:t>
      </w:r>
      <w:r w:rsidRPr="000034A6">
        <w:rPr>
          <w:rFonts w:ascii="Arial" w:hAnsi="Arial" w:cs="Arial"/>
          <w:b/>
          <w:sz w:val="24"/>
          <w:szCs w:val="24"/>
        </w:rPr>
        <w:tab/>
      </w:r>
      <w:r w:rsidRPr="00710299">
        <w:rPr>
          <w:rFonts w:ascii="Arial" w:hAnsi="Arial" w:cs="Arial"/>
          <w:sz w:val="24"/>
          <w:szCs w:val="24"/>
        </w:rPr>
        <w:t xml:space="preserve">In the response Hydro One acknowledges that the annual changes are greater </w:t>
      </w:r>
    </w:p>
    <w:p w14:paraId="007BCA4C" w14:textId="77777777" w:rsidR="00710299" w:rsidRDefault="00710299" w:rsidP="00710299">
      <w:pPr>
        <w:spacing w:after="120" w:line="240" w:lineRule="auto"/>
        <w:contextualSpacing/>
        <w:rPr>
          <w:rFonts w:ascii="Arial" w:hAnsi="Arial" w:cs="Arial"/>
          <w:sz w:val="24"/>
          <w:szCs w:val="24"/>
        </w:rPr>
      </w:pPr>
      <w:r>
        <w:rPr>
          <w:rFonts w:ascii="Arial" w:hAnsi="Arial" w:cs="Arial"/>
          <w:sz w:val="24"/>
          <w:szCs w:val="24"/>
        </w:rPr>
        <w:tab/>
      </w:r>
      <w:r>
        <w:rPr>
          <w:rFonts w:ascii="Arial" w:hAnsi="Arial" w:cs="Arial"/>
          <w:sz w:val="24"/>
          <w:szCs w:val="24"/>
        </w:rPr>
        <w:tab/>
      </w:r>
      <w:r w:rsidRPr="00710299">
        <w:rPr>
          <w:rFonts w:ascii="Arial" w:hAnsi="Arial" w:cs="Arial"/>
          <w:sz w:val="24"/>
          <w:szCs w:val="24"/>
        </w:rPr>
        <w:t xml:space="preserve">than $4 – but notes that the transition periods are in accordance with the Board’s </w:t>
      </w:r>
    </w:p>
    <w:p w14:paraId="5AFEC867" w14:textId="77777777" w:rsidR="00710299" w:rsidRDefault="00710299" w:rsidP="00710299">
      <w:pPr>
        <w:spacing w:after="12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sidRPr="00710299">
        <w:rPr>
          <w:rFonts w:ascii="Arial" w:hAnsi="Arial" w:cs="Arial"/>
          <w:sz w:val="24"/>
          <w:szCs w:val="24"/>
        </w:rPr>
        <w:t xml:space="preserve">EB-2015-0079 Decision.  </w:t>
      </w:r>
    </w:p>
    <w:p w14:paraId="6CB0E960" w14:textId="77777777" w:rsidR="005C51F7" w:rsidRDefault="00710299" w:rsidP="00710299">
      <w:pPr>
        <w:spacing w:after="120" w:line="240" w:lineRule="auto"/>
        <w:ind w:left="720" w:firstLine="720"/>
        <w:contextualSpacing/>
        <w:rPr>
          <w:rFonts w:ascii="Arial" w:hAnsi="Arial" w:cs="Arial"/>
          <w:sz w:val="24"/>
          <w:szCs w:val="24"/>
        </w:rPr>
      </w:pPr>
      <w:r w:rsidRPr="00710299">
        <w:rPr>
          <w:rFonts w:ascii="Arial" w:hAnsi="Arial" w:cs="Arial"/>
          <w:sz w:val="24"/>
          <w:szCs w:val="24"/>
        </w:rPr>
        <w:t>In that Decision (page 7) the Board also emphasized that the total</w:t>
      </w:r>
      <w:r w:rsidR="005C51F7">
        <w:rPr>
          <w:rFonts w:ascii="Arial" w:hAnsi="Arial" w:cs="Arial"/>
          <w:sz w:val="24"/>
          <w:szCs w:val="24"/>
        </w:rPr>
        <w:t xml:space="preserve"> annual</w:t>
      </w:r>
      <w:r w:rsidRPr="00710299">
        <w:rPr>
          <w:rFonts w:ascii="Arial" w:hAnsi="Arial" w:cs="Arial"/>
          <w:sz w:val="24"/>
          <w:szCs w:val="24"/>
        </w:rPr>
        <w:t xml:space="preserve"> bill </w:t>
      </w:r>
    </w:p>
    <w:p w14:paraId="634B1E90" w14:textId="4C61D2E1" w:rsidR="00710299" w:rsidRDefault="00710299" w:rsidP="00710299">
      <w:pPr>
        <w:spacing w:after="120" w:line="240" w:lineRule="auto"/>
        <w:ind w:left="720" w:firstLine="720"/>
        <w:contextualSpacing/>
        <w:rPr>
          <w:rFonts w:ascii="Arial" w:hAnsi="Arial" w:cs="Arial"/>
          <w:sz w:val="24"/>
          <w:szCs w:val="24"/>
        </w:rPr>
      </w:pPr>
      <w:r w:rsidRPr="00710299">
        <w:rPr>
          <w:rFonts w:ascii="Arial" w:hAnsi="Arial" w:cs="Arial"/>
          <w:sz w:val="24"/>
          <w:szCs w:val="24"/>
        </w:rPr>
        <w:t xml:space="preserve">impacts would be less than 10% for low volume customers.  </w:t>
      </w:r>
    </w:p>
    <w:p w14:paraId="2978D351" w14:textId="3C210E38" w:rsidR="00710299" w:rsidRPr="00710299" w:rsidRDefault="00710299" w:rsidP="005C51F7">
      <w:pPr>
        <w:pStyle w:val="ListParagraph"/>
        <w:numPr>
          <w:ilvl w:val="0"/>
          <w:numId w:val="33"/>
        </w:numPr>
        <w:spacing w:after="240" w:line="240" w:lineRule="auto"/>
        <w:ind w:left="714" w:hanging="357"/>
        <w:contextualSpacing w:val="0"/>
        <w:rPr>
          <w:rFonts w:ascii="Arial" w:hAnsi="Arial" w:cs="Arial"/>
          <w:sz w:val="24"/>
          <w:szCs w:val="24"/>
        </w:rPr>
      </w:pPr>
      <w:r w:rsidRPr="00710299">
        <w:rPr>
          <w:rFonts w:ascii="Arial" w:hAnsi="Arial" w:cs="Arial"/>
          <w:sz w:val="24"/>
          <w:szCs w:val="24"/>
        </w:rPr>
        <w:t>Please</w:t>
      </w:r>
      <w:r w:rsidR="00803588">
        <w:rPr>
          <w:rFonts w:ascii="Arial" w:hAnsi="Arial" w:cs="Arial"/>
          <w:sz w:val="24"/>
          <w:szCs w:val="24"/>
        </w:rPr>
        <w:t xml:space="preserve"> indicate whether, in the current Application, </w:t>
      </w:r>
      <w:r>
        <w:rPr>
          <w:rFonts w:ascii="Arial" w:hAnsi="Arial" w:cs="Arial"/>
          <w:sz w:val="24"/>
          <w:szCs w:val="24"/>
        </w:rPr>
        <w:t xml:space="preserve">this </w:t>
      </w:r>
      <w:r w:rsidR="00803588">
        <w:rPr>
          <w:rFonts w:ascii="Arial" w:hAnsi="Arial" w:cs="Arial"/>
          <w:sz w:val="24"/>
          <w:szCs w:val="24"/>
        </w:rPr>
        <w:t xml:space="preserve">is </w:t>
      </w:r>
      <w:r>
        <w:rPr>
          <w:rFonts w:ascii="Arial" w:hAnsi="Arial" w:cs="Arial"/>
          <w:sz w:val="24"/>
          <w:szCs w:val="24"/>
        </w:rPr>
        <w:t>still the</w:t>
      </w:r>
      <w:r w:rsidRPr="00710299">
        <w:rPr>
          <w:rFonts w:ascii="Arial" w:hAnsi="Arial" w:cs="Arial"/>
          <w:sz w:val="24"/>
          <w:szCs w:val="24"/>
        </w:rPr>
        <w:t xml:space="preserve"> case </w:t>
      </w:r>
      <w:r>
        <w:rPr>
          <w:rFonts w:ascii="Arial" w:hAnsi="Arial" w:cs="Arial"/>
          <w:sz w:val="24"/>
          <w:szCs w:val="24"/>
        </w:rPr>
        <w:t xml:space="preserve">for each of the affected rate classes, </w:t>
      </w:r>
      <w:r w:rsidRPr="00710299">
        <w:rPr>
          <w:rFonts w:ascii="Arial" w:hAnsi="Arial" w:cs="Arial"/>
          <w:sz w:val="24"/>
          <w:szCs w:val="24"/>
        </w:rPr>
        <w:t>over the entire transition period</w:t>
      </w:r>
      <w:r w:rsidR="00B01C9D">
        <w:rPr>
          <w:rFonts w:ascii="Arial" w:hAnsi="Arial" w:cs="Arial"/>
          <w:sz w:val="24"/>
          <w:szCs w:val="24"/>
        </w:rPr>
        <w:t xml:space="preserve"> (excluding the impacts of Distribution Rate Protection)</w:t>
      </w:r>
      <w:r w:rsidRPr="00710299">
        <w:rPr>
          <w:rFonts w:ascii="Arial" w:hAnsi="Arial" w:cs="Arial"/>
          <w:sz w:val="24"/>
          <w:szCs w:val="24"/>
        </w:rPr>
        <w:t>?</w:t>
      </w:r>
    </w:p>
    <w:p w14:paraId="7BC20AEE" w14:textId="50111CC9" w:rsidR="005E0BBD" w:rsidRPr="005C51F7" w:rsidRDefault="005C51F7" w:rsidP="005C51F7">
      <w:pPr>
        <w:spacing w:after="120" w:line="240" w:lineRule="auto"/>
        <w:rPr>
          <w:rFonts w:ascii="Arial" w:hAnsi="Arial" w:cs="Arial"/>
          <w:b/>
          <w:sz w:val="24"/>
          <w:szCs w:val="24"/>
        </w:rPr>
      </w:pPr>
      <w:r w:rsidRPr="005C51F7">
        <w:rPr>
          <w:rFonts w:ascii="Arial" w:hAnsi="Arial" w:cs="Arial"/>
          <w:b/>
          <w:sz w:val="24"/>
          <w:szCs w:val="24"/>
        </w:rPr>
        <w:t>Issue #54 – Are the proposed specific service charges for miscellaneous services over the 2018-2022 period reasonable?</w:t>
      </w:r>
    </w:p>
    <w:p w14:paraId="2E5704A3" w14:textId="72981957" w:rsidR="005C51F7" w:rsidRPr="00F854CC" w:rsidRDefault="005C51F7" w:rsidP="005C51F7">
      <w:pPr>
        <w:spacing w:after="120" w:line="240" w:lineRule="auto"/>
        <w:rPr>
          <w:rFonts w:ascii="Arial" w:hAnsi="Arial" w:cs="Arial"/>
          <w:i/>
          <w:sz w:val="24"/>
          <w:szCs w:val="24"/>
          <w:u w:val="single"/>
        </w:rPr>
      </w:pPr>
      <w:r w:rsidRPr="00F854CC">
        <w:rPr>
          <w:rFonts w:ascii="Arial" w:hAnsi="Arial" w:cs="Arial"/>
          <w:i/>
          <w:sz w:val="24"/>
          <w:szCs w:val="24"/>
          <w:u w:val="single"/>
        </w:rPr>
        <w:t>Topic:  Reduction in vegetation management costs</w:t>
      </w:r>
    </w:p>
    <w:p w14:paraId="156507A7" w14:textId="275D421B" w:rsidR="005C51F7" w:rsidRDefault="005C51F7" w:rsidP="005C51F7">
      <w:pPr>
        <w:spacing w:after="120" w:line="240" w:lineRule="auto"/>
        <w:rPr>
          <w:rFonts w:ascii="Arial" w:hAnsi="Arial" w:cs="Arial"/>
          <w:sz w:val="24"/>
          <w:szCs w:val="24"/>
        </w:rPr>
      </w:pPr>
      <w:r w:rsidRPr="00F0512B">
        <w:rPr>
          <w:rFonts w:ascii="Arial" w:hAnsi="Arial" w:cs="Arial"/>
          <w:b/>
          <w:sz w:val="24"/>
          <w:szCs w:val="24"/>
        </w:rPr>
        <w:t>TC Question #</w:t>
      </w:r>
      <w:r>
        <w:rPr>
          <w:rFonts w:ascii="Arial" w:hAnsi="Arial" w:cs="Arial"/>
          <w:b/>
          <w:sz w:val="24"/>
          <w:szCs w:val="24"/>
        </w:rPr>
        <w:t>1</w:t>
      </w:r>
      <w:r w:rsidR="006D14E8">
        <w:rPr>
          <w:rFonts w:ascii="Arial" w:hAnsi="Arial" w:cs="Arial"/>
          <w:b/>
          <w:sz w:val="24"/>
          <w:szCs w:val="24"/>
        </w:rPr>
        <w:t>8</w:t>
      </w:r>
      <w:r w:rsidRPr="00F0512B">
        <w:rPr>
          <w:rFonts w:ascii="Arial" w:hAnsi="Arial" w:cs="Arial"/>
          <w:b/>
          <w:sz w:val="24"/>
          <w:szCs w:val="24"/>
        </w:rPr>
        <w:br/>
      </w:r>
      <w:r w:rsidRPr="00F0512B">
        <w:rPr>
          <w:rFonts w:ascii="Arial" w:hAnsi="Arial" w:cs="Arial"/>
          <w:b/>
          <w:sz w:val="24"/>
          <w:szCs w:val="24"/>
        </w:rPr>
        <w:br/>
      </w:r>
      <w:r>
        <w:rPr>
          <w:rFonts w:ascii="Arial" w:hAnsi="Arial" w:cs="Arial"/>
          <w:sz w:val="24"/>
          <w:szCs w:val="24"/>
        </w:rPr>
        <w:t>Reference:</w:t>
      </w:r>
      <w:r>
        <w:rPr>
          <w:rFonts w:ascii="Arial" w:hAnsi="Arial" w:cs="Arial"/>
          <w:sz w:val="24"/>
          <w:szCs w:val="24"/>
        </w:rPr>
        <w:tab/>
        <w:t>4</w:t>
      </w:r>
      <w:r>
        <w:rPr>
          <w:rFonts w:ascii="Arial" w:hAnsi="Arial" w:cs="Arial"/>
          <w:sz w:val="24"/>
          <w:szCs w:val="24"/>
        </w:rPr>
        <w:t>2</w:t>
      </w:r>
      <w:r>
        <w:rPr>
          <w:rFonts w:ascii="Arial" w:hAnsi="Arial" w:cs="Arial"/>
          <w:sz w:val="24"/>
          <w:szCs w:val="24"/>
        </w:rPr>
        <w:t>-VEC</w:t>
      </w:r>
      <w:r>
        <w:rPr>
          <w:rFonts w:ascii="Arial" w:hAnsi="Arial" w:cs="Arial"/>
          <w:sz w:val="24"/>
          <w:szCs w:val="24"/>
        </w:rPr>
        <w:t>C-64</w:t>
      </w:r>
    </w:p>
    <w:p w14:paraId="72E35F5C" w14:textId="77777777" w:rsidR="00F854CC" w:rsidRDefault="005C51F7" w:rsidP="005C51F7">
      <w:pPr>
        <w:spacing w:after="120" w:line="240" w:lineRule="auto"/>
        <w:contextualSpacing/>
        <w:rPr>
          <w:rFonts w:ascii="Arial" w:hAnsi="Arial" w:cs="Arial"/>
          <w:sz w:val="24"/>
          <w:szCs w:val="24"/>
        </w:rPr>
      </w:pPr>
      <w:r w:rsidRPr="000034A6">
        <w:rPr>
          <w:rFonts w:ascii="Arial" w:hAnsi="Arial" w:cs="Arial"/>
          <w:sz w:val="24"/>
          <w:szCs w:val="24"/>
        </w:rPr>
        <w:t>Preamble:</w:t>
      </w:r>
      <w:r w:rsidRPr="000034A6">
        <w:rPr>
          <w:rFonts w:ascii="Arial" w:hAnsi="Arial" w:cs="Arial"/>
          <w:b/>
          <w:sz w:val="24"/>
          <w:szCs w:val="24"/>
        </w:rPr>
        <w:tab/>
      </w:r>
      <w:r>
        <w:rPr>
          <w:rFonts w:ascii="Arial" w:hAnsi="Arial" w:cs="Arial"/>
          <w:sz w:val="24"/>
          <w:szCs w:val="24"/>
        </w:rPr>
        <w:t>During the third day of the Technical Conference (Transcript page</w:t>
      </w:r>
      <w:r w:rsidR="00F854CC">
        <w:rPr>
          <w:rFonts w:ascii="Arial" w:hAnsi="Arial" w:cs="Arial"/>
          <w:sz w:val="24"/>
          <w:szCs w:val="24"/>
        </w:rPr>
        <w:t xml:space="preserve"> 69, line 24 to </w:t>
      </w:r>
    </w:p>
    <w:p w14:paraId="1F14C63A" w14:textId="4AFC76A1" w:rsidR="005C51F7" w:rsidRDefault="00F854CC" w:rsidP="005C51F7">
      <w:pPr>
        <w:spacing w:after="120" w:line="240" w:lineRule="auto"/>
        <w:contextualSpacing/>
        <w:rPr>
          <w:rFonts w:ascii="Arial" w:hAnsi="Arial" w:cs="Arial"/>
          <w:sz w:val="24"/>
          <w:szCs w:val="24"/>
        </w:rPr>
      </w:pPr>
      <w:r>
        <w:rPr>
          <w:rFonts w:ascii="Arial" w:hAnsi="Arial" w:cs="Arial"/>
          <w:sz w:val="24"/>
          <w:szCs w:val="24"/>
        </w:rPr>
        <w:tab/>
      </w:r>
      <w:r>
        <w:rPr>
          <w:rFonts w:ascii="Arial" w:hAnsi="Arial" w:cs="Arial"/>
          <w:sz w:val="24"/>
          <w:szCs w:val="24"/>
        </w:rPr>
        <w:tab/>
        <w:t>page 70, line 7</w:t>
      </w:r>
      <w:r w:rsidR="005C51F7">
        <w:rPr>
          <w:rFonts w:ascii="Arial" w:hAnsi="Arial" w:cs="Arial"/>
          <w:sz w:val="24"/>
          <w:szCs w:val="24"/>
        </w:rPr>
        <w:t>) the following question was deferred to Panel 3.</w:t>
      </w:r>
    </w:p>
    <w:p w14:paraId="55794E93" w14:textId="7655F205" w:rsidR="00F854CC" w:rsidRDefault="00F854CC" w:rsidP="00F854CC">
      <w:pPr>
        <w:pStyle w:val="ListParagraph"/>
        <w:numPr>
          <w:ilvl w:val="0"/>
          <w:numId w:val="34"/>
        </w:numPr>
        <w:spacing w:after="240" w:line="240" w:lineRule="auto"/>
        <w:ind w:left="714" w:hanging="357"/>
        <w:contextualSpacing w:val="0"/>
        <w:rPr>
          <w:rFonts w:ascii="Arial" w:hAnsi="Arial" w:cs="Arial"/>
          <w:sz w:val="24"/>
          <w:szCs w:val="24"/>
        </w:rPr>
      </w:pPr>
      <w:r>
        <w:rPr>
          <w:rFonts w:ascii="Arial" w:hAnsi="Arial" w:cs="Arial"/>
          <w:sz w:val="24"/>
          <w:szCs w:val="24"/>
        </w:rPr>
        <w:t xml:space="preserve">What costs </w:t>
      </w:r>
      <w:r w:rsidRPr="00F854CC">
        <w:rPr>
          <w:rFonts w:ascii="Arial" w:hAnsi="Arial" w:cs="Arial"/>
          <w:sz w:val="24"/>
          <w:szCs w:val="24"/>
        </w:rPr>
        <w:t xml:space="preserve">did </w:t>
      </w:r>
      <w:r>
        <w:rPr>
          <w:rFonts w:ascii="Arial" w:hAnsi="Arial" w:cs="Arial"/>
          <w:sz w:val="24"/>
          <w:szCs w:val="24"/>
        </w:rPr>
        <w:t xml:space="preserve">Hydro One </w:t>
      </w:r>
      <w:r w:rsidRPr="00F854CC">
        <w:rPr>
          <w:rFonts w:ascii="Arial" w:hAnsi="Arial" w:cs="Arial"/>
          <w:sz w:val="24"/>
          <w:szCs w:val="24"/>
        </w:rPr>
        <w:t xml:space="preserve">incur in 2016 and </w:t>
      </w:r>
      <w:r w:rsidR="002C5339">
        <w:rPr>
          <w:rFonts w:ascii="Arial" w:hAnsi="Arial" w:cs="Arial"/>
          <w:sz w:val="24"/>
          <w:szCs w:val="24"/>
        </w:rPr>
        <w:t>were</w:t>
      </w:r>
      <w:r>
        <w:rPr>
          <w:rFonts w:ascii="Arial" w:hAnsi="Arial" w:cs="Arial"/>
          <w:sz w:val="24"/>
          <w:szCs w:val="24"/>
        </w:rPr>
        <w:t xml:space="preserve"> </w:t>
      </w:r>
      <w:r w:rsidRPr="00F854CC">
        <w:rPr>
          <w:rFonts w:ascii="Arial" w:hAnsi="Arial" w:cs="Arial"/>
          <w:sz w:val="24"/>
          <w:szCs w:val="24"/>
        </w:rPr>
        <w:t xml:space="preserve">forecast for 2017 to provide vegetation </w:t>
      </w:r>
      <w:r>
        <w:rPr>
          <w:rFonts w:ascii="Arial" w:hAnsi="Arial" w:cs="Arial"/>
          <w:sz w:val="24"/>
          <w:szCs w:val="24"/>
        </w:rPr>
        <w:t>management services to telecom companies?</w:t>
      </w:r>
    </w:p>
    <w:p w14:paraId="0DD0F05F" w14:textId="6D5774F5" w:rsidR="00F854CC" w:rsidRDefault="00F854CC" w:rsidP="005C51F7">
      <w:pPr>
        <w:spacing w:after="120" w:line="240" w:lineRule="auto"/>
        <w:rPr>
          <w:rFonts w:ascii="Arial" w:hAnsi="Arial" w:cs="Arial"/>
          <w:b/>
          <w:sz w:val="24"/>
          <w:szCs w:val="24"/>
        </w:rPr>
      </w:pPr>
      <w:r w:rsidRPr="00F854CC">
        <w:rPr>
          <w:rFonts w:ascii="Arial" w:hAnsi="Arial" w:cs="Arial"/>
          <w:b/>
          <w:sz w:val="24"/>
          <w:szCs w:val="24"/>
        </w:rPr>
        <w:t>Issue #56 – Do the costs allocated to the acquired utilities appropriately reflect the OEB’s decisions in related Hydro One acquisition proceedings?</w:t>
      </w:r>
    </w:p>
    <w:p w14:paraId="78A2BCB1" w14:textId="6EE28B73" w:rsidR="00F854CC" w:rsidRDefault="00F854CC" w:rsidP="00F854CC">
      <w:pPr>
        <w:spacing w:after="120" w:line="240" w:lineRule="auto"/>
        <w:rPr>
          <w:rFonts w:ascii="Arial" w:hAnsi="Arial" w:cs="Arial"/>
          <w:sz w:val="24"/>
          <w:szCs w:val="24"/>
        </w:rPr>
      </w:pPr>
      <w:r w:rsidRPr="00F0512B">
        <w:rPr>
          <w:rFonts w:ascii="Arial" w:hAnsi="Arial" w:cs="Arial"/>
          <w:b/>
          <w:sz w:val="24"/>
          <w:szCs w:val="24"/>
        </w:rPr>
        <w:t>TC Question #</w:t>
      </w:r>
      <w:r>
        <w:rPr>
          <w:rFonts w:ascii="Arial" w:hAnsi="Arial" w:cs="Arial"/>
          <w:b/>
          <w:sz w:val="24"/>
          <w:szCs w:val="24"/>
        </w:rPr>
        <w:t>1</w:t>
      </w:r>
      <w:r w:rsidR="006D14E8">
        <w:rPr>
          <w:rFonts w:ascii="Arial" w:hAnsi="Arial" w:cs="Arial"/>
          <w:b/>
          <w:sz w:val="24"/>
          <w:szCs w:val="24"/>
        </w:rPr>
        <w:t>9</w:t>
      </w:r>
      <w:r w:rsidRPr="00F0512B">
        <w:rPr>
          <w:rFonts w:ascii="Arial" w:hAnsi="Arial" w:cs="Arial"/>
          <w:b/>
          <w:sz w:val="24"/>
          <w:szCs w:val="24"/>
        </w:rPr>
        <w:br/>
      </w:r>
      <w:r w:rsidRPr="00F0512B">
        <w:rPr>
          <w:rFonts w:ascii="Arial" w:hAnsi="Arial" w:cs="Arial"/>
          <w:b/>
          <w:sz w:val="24"/>
          <w:szCs w:val="24"/>
        </w:rPr>
        <w:br/>
      </w:r>
      <w:r>
        <w:rPr>
          <w:rFonts w:ascii="Arial" w:hAnsi="Arial" w:cs="Arial"/>
          <w:sz w:val="24"/>
          <w:szCs w:val="24"/>
        </w:rPr>
        <w:t>Reference:</w:t>
      </w:r>
      <w:r>
        <w:rPr>
          <w:rFonts w:ascii="Arial" w:hAnsi="Arial" w:cs="Arial"/>
          <w:sz w:val="24"/>
          <w:szCs w:val="24"/>
        </w:rPr>
        <w:tab/>
      </w:r>
      <w:r>
        <w:rPr>
          <w:rFonts w:ascii="Arial" w:hAnsi="Arial" w:cs="Arial"/>
          <w:sz w:val="24"/>
          <w:szCs w:val="24"/>
        </w:rPr>
        <w:t>56-SEC-96</w:t>
      </w:r>
    </w:p>
    <w:p w14:paraId="72078651" w14:textId="77777777" w:rsidR="002C5339" w:rsidRDefault="00F854CC" w:rsidP="002C5339">
      <w:pPr>
        <w:spacing w:after="120" w:line="240" w:lineRule="auto"/>
        <w:contextualSpacing/>
        <w:rPr>
          <w:rFonts w:ascii="Arial" w:hAnsi="Arial" w:cs="Arial"/>
          <w:sz w:val="24"/>
          <w:szCs w:val="24"/>
        </w:rPr>
      </w:pPr>
      <w:r w:rsidRPr="000034A6">
        <w:rPr>
          <w:rFonts w:ascii="Arial" w:hAnsi="Arial" w:cs="Arial"/>
          <w:sz w:val="24"/>
          <w:szCs w:val="24"/>
        </w:rPr>
        <w:t>Preamble:</w:t>
      </w:r>
      <w:r w:rsidRPr="000034A6">
        <w:rPr>
          <w:rFonts w:ascii="Arial" w:hAnsi="Arial" w:cs="Arial"/>
          <w:b/>
          <w:sz w:val="24"/>
          <w:szCs w:val="24"/>
        </w:rPr>
        <w:tab/>
      </w:r>
      <w:r w:rsidR="002C5339">
        <w:rPr>
          <w:rFonts w:ascii="Arial" w:hAnsi="Arial" w:cs="Arial"/>
          <w:sz w:val="24"/>
          <w:szCs w:val="24"/>
        </w:rPr>
        <w:t xml:space="preserve">Part (c) iii) of the response states:  “The combined Hydro One and Acquired </w:t>
      </w:r>
    </w:p>
    <w:p w14:paraId="40B39C77" w14:textId="77777777" w:rsidR="002C5339" w:rsidRDefault="002C5339" w:rsidP="002C5339">
      <w:pPr>
        <w:spacing w:after="120" w:line="240" w:lineRule="auto"/>
        <w:contextualSpacing/>
        <w:rPr>
          <w:rFonts w:ascii="Arial" w:hAnsi="Arial" w:cs="Arial"/>
          <w:sz w:val="24"/>
          <w:szCs w:val="24"/>
        </w:rPr>
      </w:pPr>
      <w:r>
        <w:rPr>
          <w:rFonts w:ascii="Arial" w:hAnsi="Arial" w:cs="Arial"/>
          <w:sz w:val="24"/>
          <w:szCs w:val="24"/>
        </w:rPr>
        <w:tab/>
      </w:r>
      <w:r>
        <w:rPr>
          <w:rFonts w:ascii="Arial" w:hAnsi="Arial" w:cs="Arial"/>
          <w:sz w:val="24"/>
          <w:szCs w:val="24"/>
        </w:rPr>
        <w:tab/>
        <w:t xml:space="preserve">Utilities’ revenue requirement is $9 M less than would have been in the absence </w:t>
      </w:r>
    </w:p>
    <w:p w14:paraId="162DC877" w14:textId="3D25D493" w:rsidR="002C5339" w:rsidRDefault="002C5339" w:rsidP="002C5339">
      <w:pPr>
        <w:spacing w:after="120" w:line="240" w:lineRule="auto"/>
        <w:contextualSpacing/>
        <w:rPr>
          <w:rFonts w:ascii="Arial" w:hAnsi="Arial" w:cs="Arial"/>
          <w:sz w:val="24"/>
          <w:szCs w:val="24"/>
        </w:rPr>
      </w:pPr>
      <w:r>
        <w:rPr>
          <w:rFonts w:ascii="Arial" w:hAnsi="Arial" w:cs="Arial"/>
          <w:sz w:val="24"/>
          <w:szCs w:val="24"/>
        </w:rPr>
        <w:tab/>
      </w:r>
      <w:r>
        <w:rPr>
          <w:rFonts w:ascii="Arial" w:hAnsi="Arial" w:cs="Arial"/>
          <w:sz w:val="24"/>
          <w:szCs w:val="24"/>
        </w:rPr>
        <w:tab/>
        <w:t>of the transaction”.</w:t>
      </w:r>
    </w:p>
    <w:p w14:paraId="0A29E04A" w14:textId="77777777" w:rsidR="002C5339" w:rsidRDefault="002C5339" w:rsidP="00F854CC">
      <w:pPr>
        <w:pStyle w:val="ListParagraph"/>
        <w:numPr>
          <w:ilvl w:val="0"/>
          <w:numId w:val="35"/>
        </w:numPr>
        <w:spacing w:after="240" w:line="240" w:lineRule="auto"/>
        <w:contextualSpacing w:val="0"/>
        <w:rPr>
          <w:rFonts w:ascii="Arial" w:hAnsi="Arial" w:cs="Arial"/>
          <w:sz w:val="24"/>
          <w:szCs w:val="24"/>
        </w:rPr>
      </w:pPr>
      <w:r>
        <w:rPr>
          <w:rFonts w:ascii="Arial" w:hAnsi="Arial" w:cs="Arial"/>
          <w:sz w:val="24"/>
          <w:szCs w:val="24"/>
        </w:rPr>
        <w:t>Please clarify whether the referenced quote was referring to the difference in revenue requirement, as stated in the response, or to the difference in OM&amp;A costs.</w:t>
      </w:r>
    </w:p>
    <w:p w14:paraId="34FC5C14" w14:textId="77777777" w:rsidR="002C5339" w:rsidRDefault="002C5339" w:rsidP="00F854CC">
      <w:pPr>
        <w:pStyle w:val="ListParagraph"/>
        <w:numPr>
          <w:ilvl w:val="0"/>
          <w:numId w:val="35"/>
        </w:numPr>
        <w:spacing w:after="240" w:line="240" w:lineRule="auto"/>
        <w:contextualSpacing w:val="0"/>
        <w:rPr>
          <w:rFonts w:ascii="Arial" w:hAnsi="Arial" w:cs="Arial"/>
          <w:sz w:val="24"/>
          <w:szCs w:val="24"/>
        </w:rPr>
      </w:pPr>
      <w:r>
        <w:rPr>
          <w:rFonts w:ascii="Arial" w:hAnsi="Arial" w:cs="Arial"/>
          <w:sz w:val="24"/>
          <w:szCs w:val="24"/>
        </w:rPr>
        <w:t>If the reference was to the overall revenue requirement, please provide the 2021 forecast values for:  i) Hydro One’s distribution revenue requirement and ii) the Acquired Utilities’ revenue requirement, in the absence of the transaction underpinning the response.</w:t>
      </w:r>
    </w:p>
    <w:p w14:paraId="3DDC80F0" w14:textId="0E2DB92E" w:rsidR="0018575B" w:rsidRDefault="002C5339" w:rsidP="00F854CC">
      <w:pPr>
        <w:pStyle w:val="ListParagraph"/>
        <w:numPr>
          <w:ilvl w:val="0"/>
          <w:numId w:val="35"/>
        </w:numPr>
        <w:spacing w:after="240" w:line="240" w:lineRule="auto"/>
        <w:contextualSpacing w:val="0"/>
        <w:rPr>
          <w:rFonts w:ascii="Arial" w:hAnsi="Arial" w:cs="Arial"/>
          <w:sz w:val="24"/>
          <w:szCs w:val="24"/>
        </w:rPr>
      </w:pPr>
      <w:r>
        <w:rPr>
          <w:rFonts w:ascii="Arial" w:hAnsi="Arial" w:cs="Arial"/>
          <w:sz w:val="24"/>
          <w:szCs w:val="24"/>
        </w:rPr>
        <w:t>If the reference was actually to the difference in 2021 OM&amp;A costs</w:t>
      </w:r>
      <w:r w:rsidR="00C0283B">
        <w:rPr>
          <w:rFonts w:ascii="Arial" w:hAnsi="Arial" w:cs="Arial"/>
          <w:sz w:val="24"/>
          <w:szCs w:val="24"/>
        </w:rPr>
        <w:t xml:space="preserve"> then</w:t>
      </w:r>
      <w:r>
        <w:rPr>
          <w:rFonts w:ascii="Arial" w:hAnsi="Arial" w:cs="Arial"/>
          <w:sz w:val="24"/>
          <w:szCs w:val="24"/>
        </w:rPr>
        <w:t xml:space="preserve">, </w:t>
      </w:r>
      <w:r w:rsidR="0018575B">
        <w:rPr>
          <w:rFonts w:ascii="Arial" w:hAnsi="Arial" w:cs="Arial"/>
          <w:sz w:val="24"/>
          <w:szCs w:val="24"/>
        </w:rPr>
        <w:t xml:space="preserve">based on the forecasts of status quo OM&amp;A and capital expenditures provided in the relevant acquisition proceedings, please provide </w:t>
      </w:r>
      <w:r w:rsidR="0045524A">
        <w:rPr>
          <w:rFonts w:ascii="Arial" w:hAnsi="Arial" w:cs="Arial"/>
          <w:sz w:val="24"/>
          <w:szCs w:val="24"/>
        </w:rPr>
        <w:t>a</w:t>
      </w:r>
      <w:r w:rsidR="0018575B">
        <w:rPr>
          <w:rFonts w:ascii="Arial" w:hAnsi="Arial" w:cs="Arial"/>
          <w:sz w:val="24"/>
          <w:szCs w:val="24"/>
        </w:rPr>
        <w:t xml:space="preserve"> forecast of the 2021 revenue requirement for the Acquired Utilities, in the absence of the transaction.</w:t>
      </w:r>
    </w:p>
    <w:p w14:paraId="0641AFFA" w14:textId="77777777" w:rsidR="00F854CC" w:rsidRDefault="00F854CC" w:rsidP="005C51F7">
      <w:pPr>
        <w:spacing w:after="120" w:line="240" w:lineRule="auto"/>
        <w:rPr>
          <w:rFonts w:ascii="Arial" w:hAnsi="Arial" w:cs="Arial"/>
          <w:sz w:val="24"/>
          <w:szCs w:val="24"/>
        </w:rPr>
      </w:pPr>
    </w:p>
    <w:p w14:paraId="040CA5C7" w14:textId="0173CF0D" w:rsidR="006D14E8" w:rsidRPr="00F854CC" w:rsidRDefault="006D14E8" w:rsidP="006D14E8">
      <w:pPr>
        <w:spacing w:after="120" w:line="240" w:lineRule="auto"/>
        <w:jc w:val="center"/>
        <w:rPr>
          <w:rFonts w:ascii="Arial" w:hAnsi="Arial" w:cs="Arial"/>
          <w:sz w:val="24"/>
          <w:szCs w:val="24"/>
        </w:rPr>
      </w:pPr>
      <w:r>
        <w:rPr>
          <w:rFonts w:ascii="Arial" w:hAnsi="Arial" w:cs="Arial"/>
          <w:sz w:val="24"/>
          <w:szCs w:val="24"/>
        </w:rPr>
        <w:t>End of Document</w:t>
      </w:r>
      <w:bookmarkEnd w:id="1"/>
    </w:p>
    <w:sectPr w:rsidR="006D14E8" w:rsidRPr="00F854CC" w:rsidSect="006942E1">
      <w:headerReference w:type="default" r:id="rId12"/>
      <w:footerReference w:type="default" r:id="rId13"/>
      <w:pgSz w:w="12240" w:h="16340"/>
      <w:pgMar w:top="1158" w:right="909" w:bottom="651" w:left="1236"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EED59B" w14:textId="77777777" w:rsidR="004C52C1" w:rsidRDefault="004C52C1" w:rsidP="007A4F9D">
      <w:pPr>
        <w:spacing w:after="0" w:line="240" w:lineRule="auto"/>
      </w:pPr>
      <w:r>
        <w:separator/>
      </w:r>
    </w:p>
  </w:endnote>
  <w:endnote w:type="continuationSeparator" w:id="0">
    <w:p w14:paraId="7C9EBEFC" w14:textId="77777777" w:rsidR="004C52C1" w:rsidRDefault="004C52C1" w:rsidP="007A4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54CEFD" w14:textId="33A42FDD" w:rsidR="006942E1" w:rsidRDefault="006942E1">
    <w:pPr>
      <w:pStyle w:val="Footer"/>
      <w:jc w:val="right"/>
    </w:pPr>
  </w:p>
  <w:p w14:paraId="0716140E" w14:textId="77777777" w:rsidR="006942E1" w:rsidRDefault="006942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2031218"/>
      <w:docPartObj>
        <w:docPartGallery w:val="Page Numbers (Bottom of Page)"/>
        <w:docPartUnique/>
      </w:docPartObj>
    </w:sdtPr>
    <w:sdtEndPr>
      <w:rPr>
        <w:noProof/>
      </w:rPr>
    </w:sdtEndPr>
    <w:sdtContent>
      <w:p w14:paraId="605F169D" w14:textId="2A489279" w:rsidR="006942E1" w:rsidRDefault="006942E1">
        <w:pPr>
          <w:pStyle w:val="Footer"/>
          <w:jc w:val="right"/>
        </w:pPr>
        <w:r>
          <w:fldChar w:fldCharType="begin"/>
        </w:r>
        <w:r>
          <w:instrText xml:space="preserve"> PAGE   \* MERGEFORMAT </w:instrText>
        </w:r>
        <w:r>
          <w:fldChar w:fldCharType="separate"/>
        </w:r>
        <w:r w:rsidR="00BE1DF9">
          <w:rPr>
            <w:noProof/>
          </w:rPr>
          <w:t>6</w:t>
        </w:r>
        <w:r>
          <w:rPr>
            <w:noProof/>
          </w:rPr>
          <w:fldChar w:fldCharType="end"/>
        </w:r>
      </w:p>
    </w:sdtContent>
  </w:sdt>
  <w:p w14:paraId="6133E805" w14:textId="77777777" w:rsidR="006942E1" w:rsidRDefault="006942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C7284C" w14:textId="77777777" w:rsidR="004C52C1" w:rsidRDefault="004C52C1" w:rsidP="007A4F9D">
      <w:pPr>
        <w:spacing w:after="0" w:line="240" w:lineRule="auto"/>
      </w:pPr>
      <w:r>
        <w:separator/>
      </w:r>
    </w:p>
  </w:footnote>
  <w:footnote w:type="continuationSeparator" w:id="0">
    <w:p w14:paraId="5A05234B" w14:textId="77777777" w:rsidR="004C52C1" w:rsidRDefault="004C52C1" w:rsidP="007A4F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EC4D4" w14:textId="3A64D539" w:rsidR="006942E1" w:rsidRDefault="006942E1" w:rsidP="006942E1">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3866006"/>
      <w:docPartObj>
        <w:docPartGallery w:val="Page Numbers (Top of Page)"/>
        <w:docPartUnique/>
      </w:docPartObj>
    </w:sdtPr>
    <w:sdtContent>
      <w:p w14:paraId="00EFF8C0" w14:textId="77777777" w:rsidR="006942E1" w:rsidRPr="00F0512B" w:rsidRDefault="006942E1">
        <w:pPr>
          <w:pStyle w:val="Header"/>
          <w:jc w:val="right"/>
          <w:rPr>
            <w:rFonts w:ascii="Arial" w:hAnsi="Arial" w:cs="Arial"/>
            <w:sz w:val="20"/>
            <w:szCs w:val="20"/>
          </w:rPr>
        </w:pPr>
        <w:r w:rsidRPr="00F0512B">
          <w:rPr>
            <w:rFonts w:ascii="Arial" w:hAnsi="Arial" w:cs="Arial"/>
            <w:sz w:val="20"/>
            <w:szCs w:val="20"/>
          </w:rPr>
          <w:t>VECC Technical Conference Questions</w:t>
        </w:r>
      </w:p>
      <w:p w14:paraId="11267B80" w14:textId="77777777" w:rsidR="006942E1" w:rsidRPr="00F0512B" w:rsidRDefault="006942E1">
        <w:pPr>
          <w:pStyle w:val="Header"/>
          <w:jc w:val="right"/>
          <w:rPr>
            <w:rFonts w:ascii="Arial" w:hAnsi="Arial" w:cs="Arial"/>
            <w:sz w:val="20"/>
            <w:szCs w:val="20"/>
          </w:rPr>
        </w:pPr>
        <w:r w:rsidRPr="00F0512B">
          <w:rPr>
            <w:rFonts w:ascii="Arial" w:hAnsi="Arial" w:cs="Arial"/>
            <w:sz w:val="20"/>
            <w:szCs w:val="20"/>
          </w:rPr>
          <w:t>EB-2017-0049</w:t>
        </w:r>
      </w:p>
      <w:p w14:paraId="0C5C9540" w14:textId="77777777" w:rsidR="006942E1" w:rsidRDefault="006942E1" w:rsidP="007A4F9D">
        <w:pPr>
          <w:pStyle w:val="Header"/>
          <w:jc w:val="cente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52E9A"/>
    <w:multiLevelType w:val="hybridMultilevel"/>
    <w:tmpl w:val="EB245510"/>
    <w:lvl w:ilvl="0" w:tplc="270C425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0E5931F9"/>
    <w:multiLevelType w:val="hybridMultilevel"/>
    <w:tmpl w:val="93E2DF0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nsid w:val="0F09781A"/>
    <w:multiLevelType w:val="hybridMultilevel"/>
    <w:tmpl w:val="C046B7B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nsid w:val="10037BE3"/>
    <w:multiLevelType w:val="hybridMultilevel"/>
    <w:tmpl w:val="443054EA"/>
    <w:lvl w:ilvl="0" w:tplc="38185F6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11FD516D"/>
    <w:multiLevelType w:val="hybridMultilevel"/>
    <w:tmpl w:val="A27C15A6"/>
    <w:lvl w:ilvl="0" w:tplc="4B568FE4">
      <w:start w:val="1"/>
      <w:numFmt w:val="lowerLetter"/>
      <w:lvlText w:val="%1)"/>
      <w:lvlJc w:val="left"/>
      <w:pPr>
        <w:ind w:left="720" w:hanging="360"/>
      </w:pPr>
      <w:rPr>
        <w:rFonts w:hint="default"/>
      </w:r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13805279"/>
    <w:multiLevelType w:val="hybridMultilevel"/>
    <w:tmpl w:val="7C0E925A"/>
    <w:lvl w:ilvl="0" w:tplc="4B568FE4">
      <w:start w:val="1"/>
      <w:numFmt w:val="lowerLetter"/>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171C3A50"/>
    <w:multiLevelType w:val="hybridMultilevel"/>
    <w:tmpl w:val="8586D8B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nsid w:val="21B67AC1"/>
    <w:multiLevelType w:val="hybridMultilevel"/>
    <w:tmpl w:val="443054EA"/>
    <w:lvl w:ilvl="0" w:tplc="38185F6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22D925B6"/>
    <w:multiLevelType w:val="hybridMultilevel"/>
    <w:tmpl w:val="2132EB36"/>
    <w:lvl w:ilvl="0" w:tplc="38185F6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24F21053"/>
    <w:multiLevelType w:val="hybridMultilevel"/>
    <w:tmpl w:val="C56EA84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nsid w:val="2A732D40"/>
    <w:multiLevelType w:val="hybridMultilevel"/>
    <w:tmpl w:val="BE568D6E"/>
    <w:lvl w:ilvl="0" w:tplc="4B568FE4">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2ABF294B"/>
    <w:multiLevelType w:val="hybridMultilevel"/>
    <w:tmpl w:val="B002C3E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nsid w:val="34D330F3"/>
    <w:multiLevelType w:val="hybridMultilevel"/>
    <w:tmpl w:val="443054EA"/>
    <w:lvl w:ilvl="0" w:tplc="38185F6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3A2D1FB8"/>
    <w:multiLevelType w:val="hybridMultilevel"/>
    <w:tmpl w:val="2132EB36"/>
    <w:lvl w:ilvl="0" w:tplc="38185F6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3C7A434A"/>
    <w:multiLevelType w:val="hybridMultilevel"/>
    <w:tmpl w:val="7C0E925A"/>
    <w:lvl w:ilvl="0" w:tplc="4B568FE4">
      <w:start w:val="1"/>
      <w:numFmt w:val="lowerLetter"/>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3D2022CF"/>
    <w:multiLevelType w:val="hybridMultilevel"/>
    <w:tmpl w:val="49EC66CA"/>
    <w:lvl w:ilvl="0" w:tplc="A336FB90">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3F1C5FB9"/>
    <w:multiLevelType w:val="hybridMultilevel"/>
    <w:tmpl w:val="8FF6720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nsid w:val="469F1379"/>
    <w:multiLevelType w:val="hybridMultilevel"/>
    <w:tmpl w:val="7C72A0D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nsid w:val="4B332D43"/>
    <w:multiLevelType w:val="hybridMultilevel"/>
    <w:tmpl w:val="CE287C4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nsid w:val="4B663D7F"/>
    <w:multiLevelType w:val="hybridMultilevel"/>
    <w:tmpl w:val="E29CFA50"/>
    <w:lvl w:ilvl="0" w:tplc="4B568FE4">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nsid w:val="4DD35F3C"/>
    <w:multiLevelType w:val="hybridMultilevel"/>
    <w:tmpl w:val="B6F2DD5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nsid w:val="522D5F29"/>
    <w:multiLevelType w:val="hybridMultilevel"/>
    <w:tmpl w:val="EB245510"/>
    <w:lvl w:ilvl="0" w:tplc="270C425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nsid w:val="5D303601"/>
    <w:multiLevelType w:val="hybridMultilevel"/>
    <w:tmpl w:val="BE568D6E"/>
    <w:lvl w:ilvl="0" w:tplc="4B568FE4">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5D8D2F4F"/>
    <w:multiLevelType w:val="hybridMultilevel"/>
    <w:tmpl w:val="2132EB36"/>
    <w:lvl w:ilvl="0" w:tplc="38185F6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5DFF3EF1"/>
    <w:multiLevelType w:val="hybridMultilevel"/>
    <w:tmpl w:val="BE568D6E"/>
    <w:lvl w:ilvl="0" w:tplc="4B568FE4">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5EC14BCF"/>
    <w:multiLevelType w:val="hybridMultilevel"/>
    <w:tmpl w:val="FEE4355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nsid w:val="646707E7"/>
    <w:multiLevelType w:val="hybridMultilevel"/>
    <w:tmpl w:val="443054EA"/>
    <w:lvl w:ilvl="0" w:tplc="38185F6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nsid w:val="6BF60E15"/>
    <w:multiLevelType w:val="hybridMultilevel"/>
    <w:tmpl w:val="443054EA"/>
    <w:lvl w:ilvl="0" w:tplc="38185F6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nsid w:val="6D2B5D63"/>
    <w:multiLevelType w:val="hybridMultilevel"/>
    <w:tmpl w:val="D0D04A4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nsid w:val="703D1C85"/>
    <w:multiLevelType w:val="hybridMultilevel"/>
    <w:tmpl w:val="3F50668A"/>
    <w:lvl w:ilvl="0" w:tplc="10090017">
      <w:start w:val="1"/>
      <w:numFmt w:val="lowerLetter"/>
      <w:lvlText w:val="%1)"/>
      <w:lvlJc w:val="left"/>
      <w:pPr>
        <w:ind w:left="720" w:hanging="360"/>
      </w:pPr>
      <w:rPr>
        <w:rFonts w:hint="default"/>
      </w:r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nsid w:val="70E009D9"/>
    <w:multiLevelType w:val="hybridMultilevel"/>
    <w:tmpl w:val="443054EA"/>
    <w:lvl w:ilvl="0" w:tplc="38185F6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nsid w:val="733873AC"/>
    <w:multiLevelType w:val="hybridMultilevel"/>
    <w:tmpl w:val="443054EA"/>
    <w:lvl w:ilvl="0" w:tplc="38185F6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nsid w:val="7802413D"/>
    <w:multiLevelType w:val="hybridMultilevel"/>
    <w:tmpl w:val="443054EA"/>
    <w:lvl w:ilvl="0" w:tplc="38185F6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nsid w:val="7DB433C8"/>
    <w:multiLevelType w:val="hybridMultilevel"/>
    <w:tmpl w:val="660E9C4E"/>
    <w:lvl w:ilvl="0" w:tplc="4B568FE4">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nsid w:val="7F786127"/>
    <w:multiLevelType w:val="hybridMultilevel"/>
    <w:tmpl w:val="B976981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29"/>
  </w:num>
  <w:num w:numId="2">
    <w:abstractNumId w:val="2"/>
  </w:num>
  <w:num w:numId="3">
    <w:abstractNumId w:val="24"/>
  </w:num>
  <w:num w:numId="4">
    <w:abstractNumId w:val="10"/>
  </w:num>
  <w:num w:numId="5">
    <w:abstractNumId w:val="17"/>
  </w:num>
  <w:num w:numId="6">
    <w:abstractNumId w:val="22"/>
  </w:num>
  <w:num w:numId="7">
    <w:abstractNumId w:val="4"/>
  </w:num>
  <w:num w:numId="8">
    <w:abstractNumId w:val="18"/>
  </w:num>
  <w:num w:numId="9">
    <w:abstractNumId w:val="15"/>
  </w:num>
  <w:num w:numId="10">
    <w:abstractNumId w:val="7"/>
  </w:num>
  <w:num w:numId="11">
    <w:abstractNumId w:val="3"/>
  </w:num>
  <w:num w:numId="12">
    <w:abstractNumId w:val="11"/>
  </w:num>
  <w:num w:numId="13">
    <w:abstractNumId w:val="28"/>
  </w:num>
  <w:num w:numId="14">
    <w:abstractNumId w:val="12"/>
  </w:num>
  <w:num w:numId="15">
    <w:abstractNumId w:val="31"/>
  </w:num>
  <w:num w:numId="16">
    <w:abstractNumId w:val="25"/>
  </w:num>
  <w:num w:numId="17">
    <w:abstractNumId w:val="27"/>
  </w:num>
  <w:num w:numId="18">
    <w:abstractNumId w:val="32"/>
  </w:num>
  <w:num w:numId="19">
    <w:abstractNumId w:val="9"/>
  </w:num>
  <w:num w:numId="20">
    <w:abstractNumId w:val="26"/>
  </w:num>
  <w:num w:numId="21">
    <w:abstractNumId w:val="20"/>
  </w:num>
  <w:num w:numId="22">
    <w:abstractNumId w:val="30"/>
  </w:num>
  <w:num w:numId="23">
    <w:abstractNumId w:val="8"/>
  </w:num>
  <w:num w:numId="24">
    <w:abstractNumId w:val="1"/>
  </w:num>
  <w:num w:numId="25">
    <w:abstractNumId w:val="6"/>
  </w:num>
  <w:num w:numId="26">
    <w:abstractNumId w:val="13"/>
  </w:num>
  <w:num w:numId="27">
    <w:abstractNumId w:val="23"/>
  </w:num>
  <w:num w:numId="28">
    <w:abstractNumId w:val="16"/>
  </w:num>
  <w:num w:numId="29">
    <w:abstractNumId w:val="33"/>
  </w:num>
  <w:num w:numId="30">
    <w:abstractNumId w:val="34"/>
  </w:num>
  <w:num w:numId="31">
    <w:abstractNumId w:val="5"/>
  </w:num>
  <w:num w:numId="32">
    <w:abstractNumId w:val="14"/>
  </w:num>
  <w:num w:numId="33">
    <w:abstractNumId w:val="19"/>
  </w:num>
  <w:num w:numId="34">
    <w:abstractNumId w:val="0"/>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84B"/>
    <w:rsid w:val="00000662"/>
    <w:rsid w:val="000033DF"/>
    <w:rsid w:val="000034A6"/>
    <w:rsid w:val="000035CC"/>
    <w:rsid w:val="0000504E"/>
    <w:rsid w:val="00005104"/>
    <w:rsid w:val="00005BB0"/>
    <w:rsid w:val="00006515"/>
    <w:rsid w:val="0000659D"/>
    <w:rsid w:val="000073A0"/>
    <w:rsid w:val="000118D5"/>
    <w:rsid w:val="00011ECB"/>
    <w:rsid w:val="00012DCF"/>
    <w:rsid w:val="000134C6"/>
    <w:rsid w:val="0001530A"/>
    <w:rsid w:val="00015A0B"/>
    <w:rsid w:val="0001603F"/>
    <w:rsid w:val="00016EBF"/>
    <w:rsid w:val="000176B3"/>
    <w:rsid w:val="000176D4"/>
    <w:rsid w:val="00017D74"/>
    <w:rsid w:val="000217A2"/>
    <w:rsid w:val="00022F43"/>
    <w:rsid w:val="000237E6"/>
    <w:rsid w:val="00024F2E"/>
    <w:rsid w:val="00031DF4"/>
    <w:rsid w:val="00032288"/>
    <w:rsid w:val="00034B0E"/>
    <w:rsid w:val="00034CE8"/>
    <w:rsid w:val="00037100"/>
    <w:rsid w:val="00042C60"/>
    <w:rsid w:val="0004603F"/>
    <w:rsid w:val="00050545"/>
    <w:rsid w:val="00052340"/>
    <w:rsid w:val="000527AE"/>
    <w:rsid w:val="0005501C"/>
    <w:rsid w:val="0006288A"/>
    <w:rsid w:val="00065229"/>
    <w:rsid w:val="00066ABB"/>
    <w:rsid w:val="00067C50"/>
    <w:rsid w:val="00070529"/>
    <w:rsid w:val="000731EA"/>
    <w:rsid w:val="00074BBE"/>
    <w:rsid w:val="000828E6"/>
    <w:rsid w:val="00083CDB"/>
    <w:rsid w:val="00084C1B"/>
    <w:rsid w:val="00085145"/>
    <w:rsid w:val="00085180"/>
    <w:rsid w:val="000851D4"/>
    <w:rsid w:val="00092A83"/>
    <w:rsid w:val="00095891"/>
    <w:rsid w:val="00096F7F"/>
    <w:rsid w:val="000A1E73"/>
    <w:rsid w:val="000A2F8F"/>
    <w:rsid w:val="000A538B"/>
    <w:rsid w:val="000A6D2E"/>
    <w:rsid w:val="000B046C"/>
    <w:rsid w:val="000B0ACF"/>
    <w:rsid w:val="000B1246"/>
    <w:rsid w:val="000B1487"/>
    <w:rsid w:val="000B72AC"/>
    <w:rsid w:val="000B7F91"/>
    <w:rsid w:val="000C02E8"/>
    <w:rsid w:val="000C4320"/>
    <w:rsid w:val="000D1796"/>
    <w:rsid w:val="000D2B65"/>
    <w:rsid w:val="000D34B6"/>
    <w:rsid w:val="000D5469"/>
    <w:rsid w:val="000D7980"/>
    <w:rsid w:val="000E15C7"/>
    <w:rsid w:val="000E2777"/>
    <w:rsid w:val="000E45A7"/>
    <w:rsid w:val="000E593D"/>
    <w:rsid w:val="000E75B9"/>
    <w:rsid w:val="000F06FD"/>
    <w:rsid w:val="000F0CEA"/>
    <w:rsid w:val="000F1B1C"/>
    <w:rsid w:val="000F1C64"/>
    <w:rsid w:val="001004ED"/>
    <w:rsid w:val="00100BC4"/>
    <w:rsid w:val="00107202"/>
    <w:rsid w:val="00107F1A"/>
    <w:rsid w:val="001104B2"/>
    <w:rsid w:val="00111F66"/>
    <w:rsid w:val="00121EB0"/>
    <w:rsid w:val="001236F1"/>
    <w:rsid w:val="001257D3"/>
    <w:rsid w:val="001261D0"/>
    <w:rsid w:val="001276C5"/>
    <w:rsid w:val="00130157"/>
    <w:rsid w:val="00132146"/>
    <w:rsid w:val="001355B8"/>
    <w:rsid w:val="00135EBA"/>
    <w:rsid w:val="0014160E"/>
    <w:rsid w:val="00141B63"/>
    <w:rsid w:val="00147638"/>
    <w:rsid w:val="00150092"/>
    <w:rsid w:val="00161DBD"/>
    <w:rsid w:val="00163F1E"/>
    <w:rsid w:val="001642C2"/>
    <w:rsid w:val="00165882"/>
    <w:rsid w:val="001659F2"/>
    <w:rsid w:val="00166993"/>
    <w:rsid w:val="001675E6"/>
    <w:rsid w:val="00170B93"/>
    <w:rsid w:val="001823EB"/>
    <w:rsid w:val="00182A1D"/>
    <w:rsid w:val="001855C2"/>
    <w:rsid w:val="0018575B"/>
    <w:rsid w:val="001950D5"/>
    <w:rsid w:val="00196C14"/>
    <w:rsid w:val="00197398"/>
    <w:rsid w:val="001A3287"/>
    <w:rsid w:val="001B1B1E"/>
    <w:rsid w:val="001B3DB9"/>
    <w:rsid w:val="001B7684"/>
    <w:rsid w:val="001B7C32"/>
    <w:rsid w:val="001C2FB1"/>
    <w:rsid w:val="001C5101"/>
    <w:rsid w:val="001C587B"/>
    <w:rsid w:val="001C6BA1"/>
    <w:rsid w:val="001C6E6C"/>
    <w:rsid w:val="001D0B61"/>
    <w:rsid w:val="001D1DDB"/>
    <w:rsid w:val="001D3604"/>
    <w:rsid w:val="001D5478"/>
    <w:rsid w:val="001E2C9B"/>
    <w:rsid w:val="001F2D00"/>
    <w:rsid w:val="001F5FCC"/>
    <w:rsid w:val="001F6E84"/>
    <w:rsid w:val="001F7FE2"/>
    <w:rsid w:val="00203B1A"/>
    <w:rsid w:val="00205679"/>
    <w:rsid w:val="00205A0D"/>
    <w:rsid w:val="0020627C"/>
    <w:rsid w:val="00214129"/>
    <w:rsid w:val="00216FFC"/>
    <w:rsid w:val="00221951"/>
    <w:rsid w:val="002257C3"/>
    <w:rsid w:val="00227CAF"/>
    <w:rsid w:val="00232101"/>
    <w:rsid w:val="00233D7E"/>
    <w:rsid w:val="0024068D"/>
    <w:rsid w:val="0024163B"/>
    <w:rsid w:val="00242E65"/>
    <w:rsid w:val="00246B6A"/>
    <w:rsid w:val="00246DEC"/>
    <w:rsid w:val="00250B8C"/>
    <w:rsid w:val="00257718"/>
    <w:rsid w:val="0026028C"/>
    <w:rsid w:val="00262731"/>
    <w:rsid w:val="0026288D"/>
    <w:rsid w:val="00265BBC"/>
    <w:rsid w:val="002668E2"/>
    <w:rsid w:val="0026723C"/>
    <w:rsid w:val="00267A83"/>
    <w:rsid w:val="0027033E"/>
    <w:rsid w:val="00270485"/>
    <w:rsid w:val="00272108"/>
    <w:rsid w:val="0027241F"/>
    <w:rsid w:val="00275D10"/>
    <w:rsid w:val="00280D77"/>
    <w:rsid w:val="00283132"/>
    <w:rsid w:val="002865B6"/>
    <w:rsid w:val="00286C74"/>
    <w:rsid w:val="00287D6C"/>
    <w:rsid w:val="00291C1B"/>
    <w:rsid w:val="002947DE"/>
    <w:rsid w:val="00297D62"/>
    <w:rsid w:val="002A0735"/>
    <w:rsid w:val="002A09BB"/>
    <w:rsid w:val="002A4F8E"/>
    <w:rsid w:val="002C2E9B"/>
    <w:rsid w:val="002C5339"/>
    <w:rsid w:val="002C5DF7"/>
    <w:rsid w:val="002D2E31"/>
    <w:rsid w:val="002D4B0B"/>
    <w:rsid w:val="002E5D8E"/>
    <w:rsid w:val="002F2D6F"/>
    <w:rsid w:val="002F30B7"/>
    <w:rsid w:val="002F4C99"/>
    <w:rsid w:val="0030033E"/>
    <w:rsid w:val="00300A2B"/>
    <w:rsid w:val="00300EB7"/>
    <w:rsid w:val="00301E46"/>
    <w:rsid w:val="00302DFE"/>
    <w:rsid w:val="003042EA"/>
    <w:rsid w:val="00307268"/>
    <w:rsid w:val="00307A36"/>
    <w:rsid w:val="00310F90"/>
    <w:rsid w:val="003134C9"/>
    <w:rsid w:val="00313AEF"/>
    <w:rsid w:val="00313FA0"/>
    <w:rsid w:val="00314BCA"/>
    <w:rsid w:val="003167A2"/>
    <w:rsid w:val="00321698"/>
    <w:rsid w:val="00324174"/>
    <w:rsid w:val="00331D40"/>
    <w:rsid w:val="003369A1"/>
    <w:rsid w:val="00336B5D"/>
    <w:rsid w:val="00336BE4"/>
    <w:rsid w:val="00337470"/>
    <w:rsid w:val="003447FC"/>
    <w:rsid w:val="00344B96"/>
    <w:rsid w:val="00344EEB"/>
    <w:rsid w:val="00346953"/>
    <w:rsid w:val="003479EE"/>
    <w:rsid w:val="00350513"/>
    <w:rsid w:val="00351C8B"/>
    <w:rsid w:val="003528F0"/>
    <w:rsid w:val="00353694"/>
    <w:rsid w:val="003568BC"/>
    <w:rsid w:val="003635BC"/>
    <w:rsid w:val="0036462F"/>
    <w:rsid w:val="00370799"/>
    <w:rsid w:val="0037273D"/>
    <w:rsid w:val="00373DB5"/>
    <w:rsid w:val="003766B8"/>
    <w:rsid w:val="00376DE8"/>
    <w:rsid w:val="00380515"/>
    <w:rsid w:val="0038346F"/>
    <w:rsid w:val="00383A6F"/>
    <w:rsid w:val="00383BDA"/>
    <w:rsid w:val="00384B21"/>
    <w:rsid w:val="003851AB"/>
    <w:rsid w:val="00387B01"/>
    <w:rsid w:val="00391EFA"/>
    <w:rsid w:val="0039435C"/>
    <w:rsid w:val="00394BA8"/>
    <w:rsid w:val="00395A23"/>
    <w:rsid w:val="00395C61"/>
    <w:rsid w:val="00395EF0"/>
    <w:rsid w:val="003A1F21"/>
    <w:rsid w:val="003A6092"/>
    <w:rsid w:val="003A7893"/>
    <w:rsid w:val="003B0AFF"/>
    <w:rsid w:val="003B3E30"/>
    <w:rsid w:val="003B42C5"/>
    <w:rsid w:val="003B4D90"/>
    <w:rsid w:val="003B6414"/>
    <w:rsid w:val="003B7CD6"/>
    <w:rsid w:val="003C06C2"/>
    <w:rsid w:val="003C0F34"/>
    <w:rsid w:val="003C2914"/>
    <w:rsid w:val="003C501A"/>
    <w:rsid w:val="003D0006"/>
    <w:rsid w:val="003D0D80"/>
    <w:rsid w:val="003D3E7D"/>
    <w:rsid w:val="003D3FBE"/>
    <w:rsid w:val="003D4F26"/>
    <w:rsid w:val="003D6ADC"/>
    <w:rsid w:val="003D739D"/>
    <w:rsid w:val="003E2C24"/>
    <w:rsid w:val="003E4DE9"/>
    <w:rsid w:val="003F1C16"/>
    <w:rsid w:val="003F25A6"/>
    <w:rsid w:val="003F3B66"/>
    <w:rsid w:val="003F6565"/>
    <w:rsid w:val="00400082"/>
    <w:rsid w:val="004000B3"/>
    <w:rsid w:val="00402A86"/>
    <w:rsid w:val="00406597"/>
    <w:rsid w:val="004134F6"/>
    <w:rsid w:val="004157A7"/>
    <w:rsid w:val="00417095"/>
    <w:rsid w:val="00420785"/>
    <w:rsid w:val="00423B79"/>
    <w:rsid w:val="00426875"/>
    <w:rsid w:val="004301CF"/>
    <w:rsid w:val="00432C7E"/>
    <w:rsid w:val="0043314D"/>
    <w:rsid w:val="004342B0"/>
    <w:rsid w:val="00434DCD"/>
    <w:rsid w:val="004350DC"/>
    <w:rsid w:val="004408E5"/>
    <w:rsid w:val="0044354F"/>
    <w:rsid w:val="004462EC"/>
    <w:rsid w:val="00450BD6"/>
    <w:rsid w:val="00450DAC"/>
    <w:rsid w:val="0045524A"/>
    <w:rsid w:val="00457087"/>
    <w:rsid w:val="00457986"/>
    <w:rsid w:val="00464825"/>
    <w:rsid w:val="00466757"/>
    <w:rsid w:val="0047086B"/>
    <w:rsid w:val="004714C6"/>
    <w:rsid w:val="00471FB3"/>
    <w:rsid w:val="004724F3"/>
    <w:rsid w:val="00475880"/>
    <w:rsid w:val="004807E6"/>
    <w:rsid w:val="00480C65"/>
    <w:rsid w:val="0048184E"/>
    <w:rsid w:val="0048236D"/>
    <w:rsid w:val="00482D2D"/>
    <w:rsid w:val="00483935"/>
    <w:rsid w:val="004850AE"/>
    <w:rsid w:val="00491009"/>
    <w:rsid w:val="004923E5"/>
    <w:rsid w:val="0049473E"/>
    <w:rsid w:val="004A1432"/>
    <w:rsid w:val="004A6A86"/>
    <w:rsid w:val="004A75F6"/>
    <w:rsid w:val="004B1F22"/>
    <w:rsid w:val="004B37AB"/>
    <w:rsid w:val="004B4A54"/>
    <w:rsid w:val="004B52BE"/>
    <w:rsid w:val="004B5543"/>
    <w:rsid w:val="004C0371"/>
    <w:rsid w:val="004C203D"/>
    <w:rsid w:val="004C52C1"/>
    <w:rsid w:val="004C5BC5"/>
    <w:rsid w:val="004C6071"/>
    <w:rsid w:val="004C6548"/>
    <w:rsid w:val="004C77BF"/>
    <w:rsid w:val="004D2B60"/>
    <w:rsid w:val="004E06C5"/>
    <w:rsid w:val="004E1F8A"/>
    <w:rsid w:val="004E4048"/>
    <w:rsid w:val="004F139F"/>
    <w:rsid w:val="004F2AE4"/>
    <w:rsid w:val="004F3AAA"/>
    <w:rsid w:val="004F6A36"/>
    <w:rsid w:val="00501DA8"/>
    <w:rsid w:val="0050587F"/>
    <w:rsid w:val="00506E7B"/>
    <w:rsid w:val="005077BB"/>
    <w:rsid w:val="005077BC"/>
    <w:rsid w:val="00513A18"/>
    <w:rsid w:val="00522CF6"/>
    <w:rsid w:val="00525FF0"/>
    <w:rsid w:val="005268EB"/>
    <w:rsid w:val="005339C7"/>
    <w:rsid w:val="00535788"/>
    <w:rsid w:val="005410F9"/>
    <w:rsid w:val="005431F5"/>
    <w:rsid w:val="00543879"/>
    <w:rsid w:val="0054567A"/>
    <w:rsid w:val="00545967"/>
    <w:rsid w:val="0054637E"/>
    <w:rsid w:val="00546A0F"/>
    <w:rsid w:val="0055006D"/>
    <w:rsid w:val="00550A21"/>
    <w:rsid w:val="00553F71"/>
    <w:rsid w:val="0055437D"/>
    <w:rsid w:val="00554CA5"/>
    <w:rsid w:val="00555211"/>
    <w:rsid w:val="005559F0"/>
    <w:rsid w:val="0055640A"/>
    <w:rsid w:val="00556CC0"/>
    <w:rsid w:val="00556DE5"/>
    <w:rsid w:val="00557585"/>
    <w:rsid w:val="00560EEA"/>
    <w:rsid w:val="00562F8F"/>
    <w:rsid w:val="005642D9"/>
    <w:rsid w:val="0056455F"/>
    <w:rsid w:val="00571051"/>
    <w:rsid w:val="00574FEE"/>
    <w:rsid w:val="0057560D"/>
    <w:rsid w:val="00576483"/>
    <w:rsid w:val="00577261"/>
    <w:rsid w:val="00580EE1"/>
    <w:rsid w:val="00581D95"/>
    <w:rsid w:val="00582EA4"/>
    <w:rsid w:val="00584629"/>
    <w:rsid w:val="005858E7"/>
    <w:rsid w:val="0058764E"/>
    <w:rsid w:val="00591CBF"/>
    <w:rsid w:val="00594D38"/>
    <w:rsid w:val="00594EAD"/>
    <w:rsid w:val="005978A5"/>
    <w:rsid w:val="005A006C"/>
    <w:rsid w:val="005A0F54"/>
    <w:rsid w:val="005A134E"/>
    <w:rsid w:val="005A1438"/>
    <w:rsid w:val="005A1970"/>
    <w:rsid w:val="005A281D"/>
    <w:rsid w:val="005A325B"/>
    <w:rsid w:val="005A37EC"/>
    <w:rsid w:val="005A563F"/>
    <w:rsid w:val="005A6964"/>
    <w:rsid w:val="005B15B4"/>
    <w:rsid w:val="005B2A47"/>
    <w:rsid w:val="005B45D9"/>
    <w:rsid w:val="005C058C"/>
    <w:rsid w:val="005C0700"/>
    <w:rsid w:val="005C0930"/>
    <w:rsid w:val="005C228E"/>
    <w:rsid w:val="005C2C46"/>
    <w:rsid w:val="005C495E"/>
    <w:rsid w:val="005C51F7"/>
    <w:rsid w:val="005C725D"/>
    <w:rsid w:val="005D3370"/>
    <w:rsid w:val="005D35C3"/>
    <w:rsid w:val="005D479F"/>
    <w:rsid w:val="005D606F"/>
    <w:rsid w:val="005D75C9"/>
    <w:rsid w:val="005D7955"/>
    <w:rsid w:val="005E0BBD"/>
    <w:rsid w:val="005F0845"/>
    <w:rsid w:val="005F1D4D"/>
    <w:rsid w:val="005F5559"/>
    <w:rsid w:val="00602A96"/>
    <w:rsid w:val="00603444"/>
    <w:rsid w:val="00612520"/>
    <w:rsid w:val="00612F9A"/>
    <w:rsid w:val="0061330F"/>
    <w:rsid w:val="00613CBA"/>
    <w:rsid w:val="00614F5C"/>
    <w:rsid w:val="0061633D"/>
    <w:rsid w:val="006171F2"/>
    <w:rsid w:val="00617874"/>
    <w:rsid w:val="006243CF"/>
    <w:rsid w:val="00625535"/>
    <w:rsid w:val="006408CD"/>
    <w:rsid w:val="00641C07"/>
    <w:rsid w:val="00647410"/>
    <w:rsid w:val="00651B2B"/>
    <w:rsid w:val="00655C61"/>
    <w:rsid w:val="00656026"/>
    <w:rsid w:val="00660C03"/>
    <w:rsid w:val="0066480E"/>
    <w:rsid w:val="0067455A"/>
    <w:rsid w:val="006752C4"/>
    <w:rsid w:val="006761F1"/>
    <w:rsid w:val="006778F3"/>
    <w:rsid w:val="00687E40"/>
    <w:rsid w:val="0069057C"/>
    <w:rsid w:val="00691CE4"/>
    <w:rsid w:val="00692DBC"/>
    <w:rsid w:val="006937F0"/>
    <w:rsid w:val="006942E1"/>
    <w:rsid w:val="00694BC4"/>
    <w:rsid w:val="006A0B52"/>
    <w:rsid w:val="006A1160"/>
    <w:rsid w:val="006A1BDC"/>
    <w:rsid w:val="006A55DB"/>
    <w:rsid w:val="006A7D2F"/>
    <w:rsid w:val="006B0690"/>
    <w:rsid w:val="006B3919"/>
    <w:rsid w:val="006B561F"/>
    <w:rsid w:val="006B6E26"/>
    <w:rsid w:val="006B77F1"/>
    <w:rsid w:val="006C1A29"/>
    <w:rsid w:val="006C42A8"/>
    <w:rsid w:val="006C5353"/>
    <w:rsid w:val="006D14E8"/>
    <w:rsid w:val="006D1930"/>
    <w:rsid w:val="006D1DC4"/>
    <w:rsid w:val="006D2447"/>
    <w:rsid w:val="006D57DC"/>
    <w:rsid w:val="006E05B9"/>
    <w:rsid w:val="006E0C1D"/>
    <w:rsid w:val="006E26A2"/>
    <w:rsid w:val="006E30C5"/>
    <w:rsid w:val="006E4B9B"/>
    <w:rsid w:val="006E6A83"/>
    <w:rsid w:val="006F002C"/>
    <w:rsid w:val="006F00BA"/>
    <w:rsid w:val="006F162A"/>
    <w:rsid w:val="006F3C50"/>
    <w:rsid w:val="006F51AC"/>
    <w:rsid w:val="0070041D"/>
    <w:rsid w:val="00704DD0"/>
    <w:rsid w:val="007071BC"/>
    <w:rsid w:val="00710299"/>
    <w:rsid w:val="007137AE"/>
    <w:rsid w:val="00713A56"/>
    <w:rsid w:val="00725227"/>
    <w:rsid w:val="007261EF"/>
    <w:rsid w:val="007271CE"/>
    <w:rsid w:val="0072781B"/>
    <w:rsid w:val="00727D32"/>
    <w:rsid w:val="00732B46"/>
    <w:rsid w:val="007343F9"/>
    <w:rsid w:val="00744855"/>
    <w:rsid w:val="00744A6F"/>
    <w:rsid w:val="00745892"/>
    <w:rsid w:val="007479D0"/>
    <w:rsid w:val="00747E56"/>
    <w:rsid w:val="00751739"/>
    <w:rsid w:val="00752084"/>
    <w:rsid w:val="00754892"/>
    <w:rsid w:val="00754BD6"/>
    <w:rsid w:val="00757C2C"/>
    <w:rsid w:val="00760E39"/>
    <w:rsid w:val="00761ED3"/>
    <w:rsid w:val="007660A5"/>
    <w:rsid w:val="007720C4"/>
    <w:rsid w:val="007720C7"/>
    <w:rsid w:val="00773000"/>
    <w:rsid w:val="00777C8D"/>
    <w:rsid w:val="00780BD6"/>
    <w:rsid w:val="007821B6"/>
    <w:rsid w:val="00783471"/>
    <w:rsid w:val="00783716"/>
    <w:rsid w:val="00783A78"/>
    <w:rsid w:val="00783F2B"/>
    <w:rsid w:val="00787604"/>
    <w:rsid w:val="007903AC"/>
    <w:rsid w:val="0079076C"/>
    <w:rsid w:val="00791572"/>
    <w:rsid w:val="00793680"/>
    <w:rsid w:val="00794D39"/>
    <w:rsid w:val="007A09A2"/>
    <w:rsid w:val="007A29A2"/>
    <w:rsid w:val="007A44A2"/>
    <w:rsid w:val="007A4F9D"/>
    <w:rsid w:val="007A527F"/>
    <w:rsid w:val="007A607C"/>
    <w:rsid w:val="007A67BE"/>
    <w:rsid w:val="007A6B41"/>
    <w:rsid w:val="007B0DFA"/>
    <w:rsid w:val="007C1142"/>
    <w:rsid w:val="007C220A"/>
    <w:rsid w:val="007C73D0"/>
    <w:rsid w:val="007C761C"/>
    <w:rsid w:val="007C788C"/>
    <w:rsid w:val="007D0451"/>
    <w:rsid w:val="007D140E"/>
    <w:rsid w:val="007D2EBB"/>
    <w:rsid w:val="007D4121"/>
    <w:rsid w:val="007D4D49"/>
    <w:rsid w:val="007D7FEB"/>
    <w:rsid w:val="007E02F6"/>
    <w:rsid w:val="007E2F75"/>
    <w:rsid w:val="007E3BBB"/>
    <w:rsid w:val="007E3CAA"/>
    <w:rsid w:val="007E4051"/>
    <w:rsid w:val="007E6FBF"/>
    <w:rsid w:val="007E71A3"/>
    <w:rsid w:val="007E7DDE"/>
    <w:rsid w:val="007F2441"/>
    <w:rsid w:val="007F56AE"/>
    <w:rsid w:val="007F684B"/>
    <w:rsid w:val="007F6F3B"/>
    <w:rsid w:val="007F736A"/>
    <w:rsid w:val="007F7BE1"/>
    <w:rsid w:val="00800141"/>
    <w:rsid w:val="00803588"/>
    <w:rsid w:val="008037C8"/>
    <w:rsid w:val="00807796"/>
    <w:rsid w:val="0081173B"/>
    <w:rsid w:val="00812E5C"/>
    <w:rsid w:val="0081329F"/>
    <w:rsid w:val="008153D9"/>
    <w:rsid w:val="00816F30"/>
    <w:rsid w:val="008206C9"/>
    <w:rsid w:val="00822B1E"/>
    <w:rsid w:val="00830CA3"/>
    <w:rsid w:val="00831130"/>
    <w:rsid w:val="00831CB1"/>
    <w:rsid w:val="00831D5C"/>
    <w:rsid w:val="00832EE6"/>
    <w:rsid w:val="00834745"/>
    <w:rsid w:val="008359B7"/>
    <w:rsid w:val="00835D2E"/>
    <w:rsid w:val="00840A04"/>
    <w:rsid w:val="0084136A"/>
    <w:rsid w:val="00843625"/>
    <w:rsid w:val="00843BEC"/>
    <w:rsid w:val="0084756F"/>
    <w:rsid w:val="008538B1"/>
    <w:rsid w:val="00854598"/>
    <w:rsid w:val="008558DA"/>
    <w:rsid w:val="00862599"/>
    <w:rsid w:val="00866813"/>
    <w:rsid w:val="0087352B"/>
    <w:rsid w:val="00876F88"/>
    <w:rsid w:val="0088166C"/>
    <w:rsid w:val="00884001"/>
    <w:rsid w:val="00884D1B"/>
    <w:rsid w:val="00887DDE"/>
    <w:rsid w:val="008941A1"/>
    <w:rsid w:val="00896526"/>
    <w:rsid w:val="008A522F"/>
    <w:rsid w:val="008A6EA1"/>
    <w:rsid w:val="008A7E74"/>
    <w:rsid w:val="008A7ED7"/>
    <w:rsid w:val="008B1187"/>
    <w:rsid w:val="008B1DE3"/>
    <w:rsid w:val="008B203F"/>
    <w:rsid w:val="008B3D87"/>
    <w:rsid w:val="008B493C"/>
    <w:rsid w:val="008B4D93"/>
    <w:rsid w:val="008B56A0"/>
    <w:rsid w:val="008B75B2"/>
    <w:rsid w:val="008C2B2D"/>
    <w:rsid w:val="008C3CB9"/>
    <w:rsid w:val="008C3E63"/>
    <w:rsid w:val="008C46DC"/>
    <w:rsid w:val="008C4855"/>
    <w:rsid w:val="008C5979"/>
    <w:rsid w:val="008C7B59"/>
    <w:rsid w:val="008D6AB5"/>
    <w:rsid w:val="008E1124"/>
    <w:rsid w:val="008E333D"/>
    <w:rsid w:val="008E3365"/>
    <w:rsid w:val="008E5300"/>
    <w:rsid w:val="008F0AF3"/>
    <w:rsid w:val="008F6C6A"/>
    <w:rsid w:val="009000DC"/>
    <w:rsid w:val="00901A61"/>
    <w:rsid w:val="0090227A"/>
    <w:rsid w:val="00902C09"/>
    <w:rsid w:val="009037FB"/>
    <w:rsid w:val="00904C9E"/>
    <w:rsid w:val="0090606B"/>
    <w:rsid w:val="00907B34"/>
    <w:rsid w:val="00912326"/>
    <w:rsid w:val="0091409E"/>
    <w:rsid w:val="00914A5F"/>
    <w:rsid w:val="00915825"/>
    <w:rsid w:val="00915B3A"/>
    <w:rsid w:val="0091602A"/>
    <w:rsid w:val="00916C08"/>
    <w:rsid w:val="00916FCA"/>
    <w:rsid w:val="00917315"/>
    <w:rsid w:val="00920550"/>
    <w:rsid w:val="00921953"/>
    <w:rsid w:val="0092512E"/>
    <w:rsid w:val="009257AE"/>
    <w:rsid w:val="009257B8"/>
    <w:rsid w:val="00930D28"/>
    <w:rsid w:val="0093622A"/>
    <w:rsid w:val="00941443"/>
    <w:rsid w:val="00945337"/>
    <w:rsid w:val="0094612C"/>
    <w:rsid w:val="009466FF"/>
    <w:rsid w:val="00947A9D"/>
    <w:rsid w:val="00950759"/>
    <w:rsid w:val="00951991"/>
    <w:rsid w:val="009526A6"/>
    <w:rsid w:val="00954BD5"/>
    <w:rsid w:val="009577E6"/>
    <w:rsid w:val="00960478"/>
    <w:rsid w:val="009642CC"/>
    <w:rsid w:val="009741E5"/>
    <w:rsid w:val="009847AE"/>
    <w:rsid w:val="009867D7"/>
    <w:rsid w:val="00987676"/>
    <w:rsid w:val="00993040"/>
    <w:rsid w:val="00994D32"/>
    <w:rsid w:val="00994EC1"/>
    <w:rsid w:val="00995D0E"/>
    <w:rsid w:val="00997181"/>
    <w:rsid w:val="009A1378"/>
    <w:rsid w:val="009A18AA"/>
    <w:rsid w:val="009A6DDB"/>
    <w:rsid w:val="009B38CB"/>
    <w:rsid w:val="009B54E0"/>
    <w:rsid w:val="009B5B30"/>
    <w:rsid w:val="009B6774"/>
    <w:rsid w:val="009C02B4"/>
    <w:rsid w:val="009C084E"/>
    <w:rsid w:val="009C28FE"/>
    <w:rsid w:val="009C41DE"/>
    <w:rsid w:val="009C4575"/>
    <w:rsid w:val="009C5696"/>
    <w:rsid w:val="009C72A8"/>
    <w:rsid w:val="009D15CA"/>
    <w:rsid w:val="009D5545"/>
    <w:rsid w:val="009D5BAA"/>
    <w:rsid w:val="009D79B4"/>
    <w:rsid w:val="009E2353"/>
    <w:rsid w:val="009E7277"/>
    <w:rsid w:val="009F00FF"/>
    <w:rsid w:val="009F01C9"/>
    <w:rsid w:val="009F0396"/>
    <w:rsid w:val="009F1E58"/>
    <w:rsid w:val="009F3523"/>
    <w:rsid w:val="009F3ED4"/>
    <w:rsid w:val="009F3FD8"/>
    <w:rsid w:val="009F4E86"/>
    <w:rsid w:val="009F5154"/>
    <w:rsid w:val="009F72AA"/>
    <w:rsid w:val="00A00C79"/>
    <w:rsid w:val="00A02524"/>
    <w:rsid w:val="00A06995"/>
    <w:rsid w:val="00A071CF"/>
    <w:rsid w:val="00A07A47"/>
    <w:rsid w:val="00A11EF4"/>
    <w:rsid w:val="00A12DE5"/>
    <w:rsid w:val="00A136AD"/>
    <w:rsid w:val="00A14D05"/>
    <w:rsid w:val="00A14FA3"/>
    <w:rsid w:val="00A22810"/>
    <w:rsid w:val="00A24F17"/>
    <w:rsid w:val="00A31903"/>
    <w:rsid w:val="00A326A9"/>
    <w:rsid w:val="00A34EF1"/>
    <w:rsid w:val="00A34FAE"/>
    <w:rsid w:val="00A369A9"/>
    <w:rsid w:val="00A37673"/>
    <w:rsid w:val="00A41B0B"/>
    <w:rsid w:val="00A42CEC"/>
    <w:rsid w:val="00A42CFF"/>
    <w:rsid w:val="00A44C13"/>
    <w:rsid w:val="00A4550C"/>
    <w:rsid w:val="00A51982"/>
    <w:rsid w:val="00A52F89"/>
    <w:rsid w:val="00A542E7"/>
    <w:rsid w:val="00A55200"/>
    <w:rsid w:val="00A56650"/>
    <w:rsid w:val="00A60877"/>
    <w:rsid w:val="00A60C9A"/>
    <w:rsid w:val="00A65101"/>
    <w:rsid w:val="00A7019A"/>
    <w:rsid w:val="00A7448F"/>
    <w:rsid w:val="00A74B9A"/>
    <w:rsid w:val="00A7759B"/>
    <w:rsid w:val="00A80BEB"/>
    <w:rsid w:val="00A81008"/>
    <w:rsid w:val="00A81138"/>
    <w:rsid w:val="00A8262C"/>
    <w:rsid w:val="00A82986"/>
    <w:rsid w:val="00A83664"/>
    <w:rsid w:val="00A83D80"/>
    <w:rsid w:val="00A83E20"/>
    <w:rsid w:val="00A84A38"/>
    <w:rsid w:val="00A86B6C"/>
    <w:rsid w:val="00A87263"/>
    <w:rsid w:val="00A93AD9"/>
    <w:rsid w:val="00A96612"/>
    <w:rsid w:val="00AA756F"/>
    <w:rsid w:val="00AA7B28"/>
    <w:rsid w:val="00AB0013"/>
    <w:rsid w:val="00AB3BC0"/>
    <w:rsid w:val="00AB50D7"/>
    <w:rsid w:val="00AB50F0"/>
    <w:rsid w:val="00AB5268"/>
    <w:rsid w:val="00AB5C13"/>
    <w:rsid w:val="00AB5D08"/>
    <w:rsid w:val="00AB6CEB"/>
    <w:rsid w:val="00AB7244"/>
    <w:rsid w:val="00AC115A"/>
    <w:rsid w:val="00AC16F3"/>
    <w:rsid w:val="00AC3DE2"/>
    <w:rsid w:val="00AC6C58"/>
    <w:rsid w:val="00AD5C98"/>
    <w:rsid w:val="00AE0299"/>
    <w:rsid w:val="00AE562F"/>
    <w:rsid w:val="00AE7D26"/>
    <w:rsid w:val="00AF3D5B"/>
    <w:rsid w:val="00AF46BA"/>
    <w:rsid w:val="00AF6876"/>
    <w:rsid w:val="00AF743D"/>
    <w:rsid w:val="00B00859"/>
    <w:rsid w:val="00B0110A"/>
    <w:rsid w:val="00B01BB7"/>
    <w:rsid w:val="00B01C9D"/>
    <w:rsid w:val="00B026B5"/>
    <w:rsid w:val="00B026CD"/>
    <w:rsid w:val="00B0343D"/>
    <w:rsid w:val="00B04E0E"/>
    <w:rsid w:val="00B123B1"/>
    <w:rsid w:val="00B138BF"/>
    <w:rsid w:val="00B13EFF"/>
    <w:rsid w:val="00B17F5A"/>
    <w:rsid w:val="00B21258"/>
    <w:rsid w:val="00B234B5"/>
    <w:rsid w:val="00B250B9"/>
    <w:rsid w:val="00B2556E"/>
    <w:rsid w:val="00B322CD"/>
    <w:rsid w:val="00B338A0"/>
    <w:rsid w:val="00B352EB"/>
    <w:rsid w:val="00B35A33"/>
    <w:rsid w:val="00B35BB6"/>
    <w:rsid w:val="00B4220E"/>
    <w:rsid w:val="00B47DFF"/>
    <w:rsid w:val="00B509BC"/>
    <w:rsid w:val="00B51326"/>
    <w:rsid w:val="00B52361"/>
    <w:rsid w:val="00B52536"/>
    <w:rsid w:val="00B54A5A"/>
    <w:rsid w:val="00B57BBD"/>
    <w:rsid w:val="00B600D8"/>
    <w:rsid w:val="00B606DF"/>
    <w:rsid w:val="00B63FC8"/>
    <w:rsid w:val="00B64184"/>
    <w:rsid w:val="00B65305"/>
    <w:rsid w:val="00B73B07"/>
    <w:rsid w:val="00B747F2"/>
    <w:rsid w:val="00B750AA"/>
    <w:rsid w:val="00B75735"/>
    <w:rsid w:val="00B763AA"/>
    <w:rsid w:val="00B80197"/>
    <w:rsid w:val="00B80BE6"/>
    <w:rsid w:val="00B80DD6"/>
    <w:rsid w:val="00B8254B"/>
    <w:rsid w:val="00B83BBB"/>
    <w:rsid w:val="00B84E0B"/>
    <w:rsid w:val="00B95338"/>
    <w:rsid w:val="00B9797B"/>
    <w:rsid w:val="00BA09D9"/>
    <w:rsid w:val="00BA6700"/>
    <w:rsid w:val="00BB274E"/>
    <w:rsid w:val="00BB772A"/>
    <w:rsid w:val="00BB7835"/>
    <w:rsid w:val="00BB799D"/>
    <w:rsid w:val="00BC418E"/>
    <w:rsid w:val="00BC66D1"/>
    <w:rsid w:val="00BC7259"/>
    <w:rsid w:val="00BD38E0"/>
    <w:rsid w:val="00BD399E"/>
    <w:rsid w:val="00BD6267"/>
    <w:rsid w:val="00BD7511"/>
    <w:rsid w:val="00BD7F4E"/>
    <w:rsid w:val="00BE1DF9"/>
    <w:rsid w:val="00BE312E"/>
    <w:rsid w:val="00BE69B8"/>
    <w:rsid w:val="00BE77A5"/>
    <w:rsid w:val="00BF522D"/>
    <w:rsid w:val="00BF69D0"/>
    <w:rsid w:val="00BF6BD0"/>
    <w:rsid w:val="00BF773B"/>
    <w:rsid w:val="00BF7EC4"/>
    <w:rsid w:val="00C008FD"/>
    <w:rsid w:val="00C0283B"/>
    <w:rsid w:val="00C02A99"/>
    <w:rsid w:val="00C111CE"/>
    <w:rsid w:val="00C12A46"/>
    <w:rsid w:val="00C23197"/>
    <w:rsid w:val="00C25124"/>
    <w:rsid w:val="00C257A0"/>
    <w:rsid w:val="00C25EE2"/>
    <w:rsid w:val="00C26635"/>
    <w:rsid w:val="00C2716C"/>
    <w:rsid w:val="00C27F00"/>
    <w:rsid w:val="00C32631"/>
    <w:rsid w:val="00C3574C"/>
    <w:rsid w:val="00C370D1"/>
    <w:rsid w:val="00C371D2"/>
    <w:rsid w:val="00C400FD"/>
    <w:rsid w:val="00C4237B"/>
    <w:rsid w:val="00C43946"/>
    <w:rsid w:val="00C46E1E"/>
    <w:rsid w:val="00C50893"/>
    <w:rsid w:val="00C50B2B"/>
    <w:rsid w:val="00C50B36"/>
    <w:rsid w:val="00C5308C"/>
    <w:rsid w:val="00C54242"/>
    <w:rsid w:val="00C54A94"/>
    <w:rsid w:val="00C56101"/>
    <w:rsid w:val="00C57AF7"/>
    <w:rsid w:val="00C604FA"/>
    <w:rsid w:val="00C60580"/>
    <w:rsid w:val="00C63DC5"/>
    <w:rsid w:val="00C647C7"/>
    <w:rsid w:val="00C65241"/>
    <w:rsid w:val="00C74636"/>
    <w:rsid w:val="00C74B40"/>
    <w:rsid w:val="00C751AE"/>
    <w:rsid w:val="00C83E79"/>
    <w:rsid w:val="00C84BE2"/>
    <w:rsid w:val="00C84F36"/>
    <w:rsid w:val="00C8738C"/>
    <w:rsid w:val="00C874F9"/>
    <w:rsid w:val="00C922C8"/>
    <w:rsid w:val="00C9334C"/>
    <w:rsid w:val="00C97790"/>
    <w:rsid w:val="00C97802"/>
    <w:rsid w:val="00CA03C2"/>
    <w:rsid w:val="00CA1439"/>
    <w:rsid w:val="00CA5BA8"/>
    <w:rsid w:val="00CA7146"/>
    <w:rsid w:val="00CA7BC0"/>
    <w:rsid w:val="00CB1CD2"/>
    <w:rsid w:val="00CB4540"/>
    <w:rsid w:val="00CB5C24"/>
    <w:rsid w:val="00CC0BEB"/>
    <w:rsid w:val="00CC13CE"/>
    <w:rsid w:val="00CC32BC"/>
    <w:rsid w:val="00CC4A12"/>
    <w:rsid w:val="00CC50D3"/>
    <w:rsid w:val="00CC5530"/>
    <w:rsid w:val="00CC69A2"/>
    <w:rsid w:val="00CD00E5"/>
    <w:rsid w:val="00CD197B"/>
    <w:rsid w:val="00CD401B"/>
    <w:rsid w:val="00CD4380"/>
    <w:rsid w:val="00CD5760"/>
    <w:rsid w:val="00CE4427"/>
    <w:rsid w:val="00CF613B"/>
    <w:rsid w:val="00D01BBD"/>
    <w:rsid w:val="00D02129"/>
    <w:rsid w:val="00D02EFA"/>
    <w:rsid w:val="00D045CE"/>
    <w:rsid w:val="00D05609"/>
    <w:rsid w:val="00D05EA9"/>
    <w:rsid w:val="00D06E9F"/>
    <w:rsid w:val="00D1024D"/>
    <w:rsid w:val="00D1066C"/>
    <w:rsid w:val="00D1644E"/>
    <w:rsid w:val="00D17F4D"/>
    <w:rsid w:val="00D22259"/>
    <w:rsid w:val="00D2227F"/>
    <w:rsid w:val="00D22F7C"/>
    <w:rsid w:val="00D25029"/>
    <w:rsid w:val="00D313EF"/>
    <w:rsid w:val="00D35922"/>
    <w:rsid w:val="00D37B2A"/>
    <w:rsid w:val="00D4050D"/>
    <w:rsid w:val="00D40DFD"/>
    <w:rsid w:val="00D40FCB"/>
    <w:rsid w:val="00D411B0"/>
    <w:rsid w:val="00D41EB2"/>
    <w:rsid w:val="00D42657"/>
    <w:rsid w:val="00D45DE6"/>
    <w:rsid w:val="00D466D5"/>
    <w:rsid w:val="00D50866"/>
    <w:rsid w:val="00D50B44"/>
    <w:rsid w:val="00D536FD"/>
    <w:rsid w:val="00D57CB0"/>
    <w:rsid w:val="00D60938"/>
    <w:rsid w:val="00D61E96"/>
    <w:rsid w:val="00D64F6A"/>
    <w:rsid w:val="00D662DD"/>
    <w:rsid w:val="00D67AFC"/>
    <w:rsid w:val="00D81A8F"/>
    <w:rsid w:val="00D81E9F"/>
    <w:rsid w:val="00D834DB"/>
    <w:rsid w:val="00D84A60"/>
    <w:rsid w:val="00D86C94"/>
    <w:rsid w:val="00D87238"/>
    <w:rsid w:val="00D87612"/>
    <w:rsid w:val="00D91EDA"/>
    <w:rsid w:val="00D94720"/>
    <w:rsid w:val="00DA24AF"/>
    <w:rsid w:val="00DA33D7"/>
    <w:rsid w:val="00DA43DB"/>
    <w:rsid w:val="00DA4FBD"/>
    <w:rsid w:val="00DA77AE"/>
    <w:rsid w:val="00DB0771"/>
    <w:rsid w:val="00DB53BE"/>
    <w:rsid w:val="00DC0059"/>
    <w:rsid w:val="00DC1EBF"/>
    <w:rsid w:val="00DC270C"/>
    <w:rsid w:val="00DC7CDE"/>
    <w:rsid w:val="00DD0FBF"/>
    <w:rsid w:val="00DD180D"/>
    <w:rsid w:val="00DD5FAC"/>
    <w:rsid w:val="00DD6317"/>
    <w:rsid w:val="00DD67B1"/>
    <w:rsid w:val="00DD7AF3"/>
    <w:rsid w:val="00DE1240"/>
    <w:rsid w:val="00DE236D"/>
    <w:rsid w:val="00DE55FB"/>
    <w:rsid w:val="00DF0554"/>
    <w:rsid w:val="00DF0B10"/>
    <w:rsid w:val="00DF164B"/>
    <w:rsid w:val="00DF297C"/>
    <w:rsid w:val="00DF4372"/>
    <w:rsid w:val="00DF46ED"/>
    <w:rsid w:val="00DF4CA6"/>
    <w:rsid w:val="00DF5BD4"/>
    <w:rsid w:val="00DF70E0"/>
    <w:rsid w:val="00E02A8E"/>
    <w:rsid w:val="00E0523D"/>
    <w:rsid w:val="00E06227"/>
    <w:rsid w:val="00E06FDE"/>
    <w:rsid w:val="00E10372"/>
    <w:rsid w:val="00E1335D"/>
    <w:rsid w:val="00E14021"/>
    <w:rsid w:val="00E162FE"/>
    <w:rsid w:val="00E21B1E"/>
    <w:rsid w:val="00E24F3A"/>
    <w:rsid w:val="00E33627"/>
    <w:rsid w:val="00E33A0C"/>
    <w:rsid w:val="00E379E3"/>
    <w:rsid w:val="00E4462C"/>
    <w:rsid w:val="00E47DE7"/>
    <w:rsid w:val="00E50700"/>
    <w:rsid w:val="00E53512"/>
    <w:rsid w:val="00E53DE7"/>
    <w:rsid w:val="00E568CA"/>
    <w:rsid w:val="00E56D55"/>
    <w:rsid w:val="00E57003"/>
    <w:rsid w:val="00E60C69"/>
    <w:rsid w:val="00E643B9"/>
    <w:rsid w:val="00E65DAA"/>
    <w:rsid w:val="00E66BE1"/>
    <w:rsid w:val="00E676FE"/>
    <w:rsid w:val="00E70926"/>
    <w:rsid w:val="00E742CB"/>
    <w:rsid w:val="00E810CC"/>
    <w:rsid w:val="00E82A72"/>
    <w:rsid w:val="00E84980"/>
    <w:rsid w:val="00E87397"/>
    <w:rsid w:val="00E9393B"/>
    <w:rsid w:val="00E950DA"/>
    <w:rsid w:val="00E95CA0"/>
    <w:rsid w:val="00EA1940"/>
    <w:rsid w:val="00EA19CA"/>
    <w:rsid w:val="00EA291C"/>
    <w:rsid w:val="00EA3593"/>
    <w:rsid w:val="00EB1398"/>
    <w:rsid w:val="00EB542C"/>
    <w:rsid w:val="00EB5435"/>
    <w:rsid w:val="00EB7D86"/>
    <w:rsid w:val="00EC7E38"/>
    <w:rsid w:val="00ED0C5D"/>
    <w:rsid w:val="00ED11CE"/>
    <w:rsid w:val="00ED16F9"/>
    <w:rsid w:val="00ED34BE"/>
    <w:rsid w:val="00ED375C"/>
    <w:rsid w:val="00ED3DC6"/>
    <w:rsid w:val="00ED6075"/>
    <w:rsid w:val="00EE03DC"/>
    <w:rsid w:val="00EE15D9"/>
    <w:rsid w:val="00EE3A3F"/>
    <w:rsid w:val="00EE60F8"/>
    <w:rsid w:val="00EE7A37"/>
    <w:rsid w:val="00EF1860"/>
    <w:rsid w:val="00EF2873"/>
    <w:rsid w:val="00EF6FCC"/>
    <w:rsid w:val="00F00B77"/>
    <w:rsid w:val="00F02FE3"/>
    <w:rsid w:val="00F03973"/>
    <w:rsid w:val="00F0512B"/>
    <w:rsid w:val="00F0761B"/>
    <w:rsid w:val="00F07B10"/>
    <w:rsid w:val="00F12753"/>
    <w:rsid w:val="00F17157"/>
    <w:rsid w:val="00F30C38"/>
    <w:rsid w:val="00F30C54"/>
    <w:rsid w:val="00F32683"/>
    <w:rsid w:val="00F33D38"/>
    <w:rsid w:val="00F35295"/>
    <w:rsid w:val="00F3530E"/>
    <w:rsid w:val="00F353BB"/>
    <w:rsid w:val="00F36608"/>
    <w:rsid w:val="00F40467"/>
    <w:rsid w:val="00F416B4"/>
    <w:rsid w:val="00F4339F"/>
    <w:rsid w:val="00F508F8"/>
    <w:rsid w:val="00F512AF"/>
    <w:rsid w:val="00F51739"/>
    <w:rsid w:val="00F51E3F"/>
    <w:rsid w:val="00F5614E"/>
    <w:rsid w:val="00F61B9A"/>
    <w:rsid w:val="00F62653"/>
    <w:rsid w:val="00F655C4"/>
    <w:rsid w:val="00F66061"/>
    <w:rsid w:val="00F66212"/>
    <w:rsid w:val="00F67C31"/>
    <w:rsid w:val="00F719B8"/>
    <w:rsid w:val="00F727A6"/>
    <w:rsid w:val="00F74881"/>
    <w:rsid w:val="00F76BAD"/>
    <w:rsid w:val="00F7761D"/>
    <w:rsid w:val="00F77D5D"/>
    <w:rsid w:val="00F854CC"/>
    <w:rsid w:val="00F85B1D"/>
    <w:rsid w:val="00F93129"/>
    <w:rsid w:val="00F945F7"/>
    <w:rsid w:val="00F9585B"/>
    <w:rsid w:val="00F95A29"/>
    <w:rsid w:val="00FA117D"/>
    <w:rsid w:val="00FA27FF"/>
    <w:rsid w:val="00FA2A53"/>
    <w:rsid w:val="00FA2C7F"/>
    <w:rsid w:val="00FA4303"/>
    <w:rsid w:val="00FA6D76"/>
    <w:rsid w:val="00FB4BA1"/>
    <w:rsid w:val="00FB6928"/>
    <w:rsid w:val="00FB6B8B"/>
    <w:rsid w:val="00FC0CFA"/>
    <w:rsid w:val="00FC10B1"/>
    <w:rsid w:val="00FC164A"/>
    <w:rsid w:val="00FC359E"/>
    <w:rsid w:val="00FC5892"/>
    <w:rsid w:val="00FC70D4"/>
    <w:rsid w:val="00FC7F9B"/>
    <w:rsid w:val="00FD28C2"/>
    <w:rsid w:val="00FD4153"/>
    <w:rsid w:val="00FD4DA0"/>
    <w:rsid w:val="00FD7089"/>
    <w:rsid w:val="00FD76D6"/>
    <w:rsid w:val="00FE4CFC"/>
    <w:rsid w:val="00FE6AD2"/>
    <w:rsid w:val="00FF59FF"/>
    <w:rsid w:val="00FF6B56"/>
    <w:rsid w:val="00FF6F82"/>
    <w:rsid w:val="00FF77DA"/>
    <w:rsid w:val="00FF7FE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526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F684B"/>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4A1432"/>
    <w:pPr>
      <w:ind w:left="720"/>
      <w:contextualSpacing/>
    </w:pPr>
  </w:style>
  <w:style w:type="paragraph" w:styleId="Header">
    <w:name w:val="header"/>
    <w:basedOn w:val="Normal"/>
    <w:link w:val="HeaderChar"/>
    <w:uiPriority w:val="99"/>
    <w:unhideWhenUsed/>
    <w:rsid w:val="007A4F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F9D"/>
  </w:style>
  <w:style w:type="paragraph" w:styleId="Footer">
    <w:name w:val="footer"/>
    <w:basedOn w:val="Normal"/>
    <w:link w:val="FooterChar"/>
    <w:uiPriority w:val="99"/>
    <w:unhideWhenUsed/>
    <w:rsid w:val="007A4F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F9D"/>
  </w:style>
  <w:style w:type="table" w:styleId="TableGrid">
    <w:name w:val="Table Grid"/>
    <w:basedOn w:val="TableNormal"/>
    <w:uiPriority w:val="39"/>
    <w:rsid w:val="00F12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D60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606F"/>
    <w:rPr>
      <w:sz w:val="20"/>
      <w:szCs w:val="20"/>
    </w:rPr>
  </w:style>
  <w:style w:type="character" w:styleId="FootnoteReference">
    <w:name w:val="footnote reference"/>
    <w:basedOn w:val="DefaultParagraphFont"/>
    <w:uiPriority w:val="99"/>
    <w:semiHidden/>
    <w:unhideWhenUsed/>
    <w:rsid w:val="005D606F"/>
    <w:rPr>
      <w:vertAlign w:val="superscript"/>
    </w:rPr>
  </w:style>
  <w:style w:type="paragraph" w:styleId="BalloonText">
    <w:name w:val="Balloon Text"/>
    <w:basedOn w:val="Normal"/>
    <w:link w:val="BalloonTextChar"/>
    <w:uiPriority w:val="99"/>
    <w:semiHidden/>
    <w:unhideWhenUsed/>
    <w:rsid w:val="00F051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12B"/>
    <w:rPr>
      <w:rFonts w:ascii="Tahoma" w:hAnsi="Tahoma" w:cs="Tahoma"/>
      <w:sz w:val="16"/>
      <w:szCs w:val="16"/>
    </w:rPr>
  </w:style>
  <w:style w:type="character" w:styleId="Hyperlink">
    <w:name w:val="Hyperlink"/>
    <w:basedOn w:val="DefaultParagraphFont"/>
    <w:uiPriority w:val="99"/>
    <w:unhideWhenUsed/>
    <w:rsid w:val="00A12DE5"/>
    <w:rPr>
      <w:color w:val="0563C1" w:themeColor="hyperlink"/>
      <w:u w:val="single"/>
    </w:rPr>
  </w:style>
  <w:style w:type="paragraph" w:customStyle="1" w:styleId="Style2">
    <w:name w:val="Style 2"/>
    <w:basedOn w:val="Normal"/>
    <w:uiPriority w:val="99"/>
    <w:rsid w:val="006942E1"/>
    <w:pPr>
      <w:widowControl w:val="0"/>
      <w:autoSpaceDE w:val="0"/>
      <w:autoSpaceDN w:val="0"/>
      <w:spacing w:before="144" w:after="0" w:line="288" w:lineRule="atLeast"/>
      <w:jc w:val="center"/>
    </w:pPr>
    <w:rPr>
      <w:rFonts w:ascii="Times New Roman" w:eastAsia="Times New Roman" w:hAnsi="Times New Roman" w:cs="Times New Roman"/>
      <w:sz w:val="24"/>
      <w:szCs w:val="24"/>
      <w:lang w:val="en-US"/>
    </w:rPr>
  </w:style>
  <w:style w:type="paragraph" w:customStyle="1" w:styleId="Style1">
    <w:name w:val="Style 1"/>
    <w:basedOn w:val="Normal"/>
    <w:uiPriority w:val="99"/>
    <w:rsid w:val="006942E1"/>
    <w:pPr>
      <w:widowControl w:val="0"/>
      <w:autoSpaceDE w:val="0"/>
      <w:autoSpaceDN w:val="0"/>
      <w:spacing w:after="0" w:line="480" w:lineRule="atLeast"/>
      <w:jc w:val="center"/>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F684B"/>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4A1432"/>
    <w:pPr>
      <w:ind w:left="720"/>
      <w:contextualSpacing/>
    </w:pPr>
  </w:style>
  <w:style w:type="paragraph" w:styleId="Header">
    <w:name w:val="header"/>
    <w:basedOn w:val="Normal"/>
    <w:link w:val="HeaderChar"/>
    <w:uiPriority w:val="99"/>
    <w:unhideWhenUsed/>
    <w:rsid w:val="007A4F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F9D"/>
  </w:style>
  <w:style w:type="paragraph" w:styleId="Footer">
    <w:name w:val="footer"/>
    <w:basedOn w:val="Normal"/>
    <w:link w:val="FooterChar"/>
    <w:uiPriority w:val="99"/>
    <w:unhideWhenUsed/>
    <w:rsid w:val="007A4F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F9D"/>
  </w:style>
  <w:style w:type="table" w:styleId="TableGrid">
    <w:name w:val="Table Grid"/>
    <w:basedOn w:val="TableNormal"/>
    <w:uiPriority w:val="39"/>
    <w:rsid w:val="00F12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D60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606F"/>
    <w:rPr>
      <w:sz w:val="20"/>
      <w:szCs w:val="20"/>
    </w:rPr>
  </w:style>
  <w:style w:type="character" w:styleId="FootnoteReference">
    <w:name w:val="footnote reference"/>
    <w:basedOn w:val="DefaultParagraphFont"/>
    <w:uiPriority w:val="99"/>
    <w:semiHidden/>
    <w:unhideWhenUsed/>
    <w:rsid w:val="005D606F"/>
    <w:rPr>
      <w:vertAlign w:val="superscript"/>
    </w:rPr>
  </w:style>
  <w:style w:type="paragraph" w:styleId="BalloonText">
    <w:name w:val="Balloon Text"/>
    <w:basedOn w:val="Normal"/>
    <w:link w:val="BalloonTextChar"/>
    <w:uiPriority w:val="99"/>
    <w:semiHidden/>
    <w:unhideWhenUsed/>
    <w:rsid w:val="00F051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12B"/>
    <w:rPr>
      <w:rFonts w:ascii="Tahoma" w:hAnsi="Tahoma" w:cs="Tahoma"/>
      <w:sz w:val="16"/>
      <w:szCs w:val="16"/>
    </w:rPr>
  </w:style>
  <w:style w:type="character" w:styleId="Hyperlink">
    <w:name w:val="Hyperlink"/>
    <w:basedOn w:val="DefaultParagraphFont"/>
    <w:uiPriority w:val="99"/>
    <w:unhideWhenUsed/>
    <w:rsid w:val="00A12DE5"/>
    <w:rPr>
      <w:color w:val="0563C1" w:themeColor="hyperlink"/>
      <w:u w:val="single"/>
    </w:rPr>
  </w:style>
  <w:style w:type="paragraph" w:customStyle="1" w:styleId="Style2">
    <w:name w:val="Style 2"/>
    <w:basedOn w:val="Normal"/>
    <w:uiPriority w:val="99"/>
    <w:rsid w:val="006942E1"/>
    <w:pPr>
      <w:widowControl w:val="0"/>
      <w:autoSpaceDE w:val="0"/>
      <w:autoSpaceDN w:val="0"/>
      <w:spacing w:before="144" w:after="0" w:line="288" w:lineRule="atLeast"/>
      <w:jc w:val="center"/>
    </w:pPr>
    <w:rPr>
      <w:rFonts w:ascii="Times New Roman" w:eastAsia="Times New Roman" w:hAnsi="Times New Roman" w:cs="Times New Roman"/>
      <w:sz w:val="24"/>
      <w:szCs w:val="24"/>
      <w:lang w:val="en-US"/>
    </w:rPr>
  </w:style>
  <w:style w:type="paragraph" w:customStyle="1" w:styleId="Style1">
    <w:name w:val="Style 1"/>
    <w:basedOn w:val="Normal"/>
    <w:uiPriority w:val="99"/>
    <w:rsid w:val="006942E1"/>
    <w:pPr>
      <w:widowControl w:val="0"/>
      <w:autoSpaceDE w:val="0"/>
      <w:autoSpaceDN w:val="0"/>
      <w:spacing w:after="0" w:line="480" w:lineRule="atLeast"/>
      <w:jc w:val="center"/>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eso.ca/sector-participants/planning-and-forecasting/ontario-planning-outloo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DF51F-6B18-46F0-935E-F7FD85298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2654</Words>
  <Characters>15130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ampcolt2</dc:creator>
  <cp:lastModifiedBy>Owner</cp:lastModifiedBy>
  <cp:revision>6</cp:revision>
  <cp:lastPrinted>2018-03-06T21:56:00Z</cp:lastPrinted>
  <dcterms:created xsi:type="dcterms:W3CDTF">2018-03-06T21:27:00Z</dcterms:created>
  <dcterms:modified xsi:type="dcterms:W3CDTF">2018-03-06T22:02:00Z</dcterms:modified>
</cp:coreProperties>
</file>