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259" w:rsidRPr="00AE5EE7" w:rsidRDefault="00855259" w:rsidP="00855259">
      <w:pPr>
        <w:spacing w:after="0"/>
        <w:jc w:val="center"/>
        <w:rPr>
          <w:rFonts w:ascii="Arial" w:hAnsi="Arial" w:cs="Arial"/>
          <w:b/>
          <w:sz w:val="24"/>
          <w:szCs w:val="24"/>
        </w:rPr>
      </w:pPr>
      <w:bookmarkStart w:id="0" w:name="_GoBack"/>
      <w:bookmarkEnd w:id="0"/>
      <w:r>
        <w:rPr>
          <w:rFonts w:ascii="Arial" w:hAnsi="Arial" w:cs="Arial"/>
          <w:b/>
          <w:sz w:val="24"/>
          <w:szCs w:val="24"/>
        </w:rPr>
        <w:t>North Bay Hydro Distribution Ltd. -</w:t>
      </w:r>
      <w:r w:rsidRPr="00AE5EE7">
        <w:rPr>
          <w:rFonts w:ascii="Arial" w:hAnsi="Arial" w:cs="Arial"/>
          <w:b/>
          <w:sz w:val="24"/>
          <w:szCs w:val="24"/>
        </w:rPr>
        <w:t xml:space="preserve"> Price </w:t>
      </w:r>
      <w:r>
        <w:rPr>
          <w:rFonts w:ascii="Arial" w:hAnsi="Arial" w:cs="Arial"/>
          <w:b/>
          <w:sz w:val="24"/>
          <w:szCs w:val="24"/>
        </w:rPr>
        <w:t>Cap IR Application (EB-2017-0065</w:t>
      </w:r>
      <w:r w:rsidRPr="00AE5EE7">
        <w:rPr>
          <w:rFonts w:ascii="Arial" w:hAnsi="Arial" w:cs="Arial"/>
          <w:b/>
          <w:sz w:val="24"/>
          <w:szCs w:val="24"/>
        </w:rPr>
        <w:t>)</w:t>
      </w:r>
    </w:p>
    <w:p w:rsidR="00855259" w:rsidRDefault="00855259" w:rsidP="00855259">
      <w:pPr>
        <w:jc w:val="center"/>
        <w:rPr>
          <w:rFonts w:ascii="Arial" w:hAnsi="Arial" w:cs="Arial"/>
          <w:b/>
          <w:sz w:val="24"/>
          <w:szCs w:val="24"/>
        </w:rPr>
      </w:pPr>
      <w:r w:rsidRPr="00AE5EE7">
        <w:rPr>
          <w:rFonts w:ascii="Arial" w:hAnsi="Arial" w:cs="Arial"/>
          <w:b/>
          <w:sz w:val="24"/>
          <w:szCs w:val="24"/>
        </w:rPr>
        <w:t>OEB Staff Questions</w:t>
      </w:r>
    </w:p>
    <w:p w:rsidR="00855259" w:rsidRDefault="00855259" w:rsidP="008A6077">
      <w:pPr>
        <w:rPr>
          <w:rFonts w:ascii="Arial" w:hAnsi="Arial" w:cs="Arial"/>
          <w:b/>
          <w:sz w:val="24"/>
          <w:szCs w:val="24"/>
        </w:rPr>
      </w:pPr>
    </w:p>
    <w:p w:rsidR="008A6077" w:rsidRDefault="008A6077" w:rsidP="008A6077">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1</w:t>
      </w:r>
    </w:p>
    <w:p w:rsidR="008A6077" w:rsidRPr="00527C2D" w:rsidRDefault="008A6077" w:rsidP="008A6077">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t>2018 Rate Generator Model – Tab 3 Continuity Schedule</w:t>
      </w:r>
    </w:p>
    <w:p w:rsidR="008A6077" w:rsidRDefault="008A6077" w:rsidP="008A6077">
      <w:pPr>
        <w:rPr>
          <w:rFonts w:ascii="Arial" w:hAnsi="Arial" w:cs="Arial"/>
          <w:sz w:val="24"/>
          <w:szCs w:val="24"/>
        </w:rPr>
      </w:pPr>
      <w:r w:rsidRPr="00A87532">
        <w:rPr>
          <w:rFonts w:ascii="Arial" w:hAnsi="Arial" w:cs="Arial"/>
          <w:sz w:val="24"/>
          <w:szCs w:val="24"/>
        </w:rPr>
        <w:t>With regards to the</w:t>
      </w:r>
      <w:r>
        <w:rPr>
          <w:rFonts w:ascii="Arial" w:hAnsi="Arial" w:cs="Arial"/>
          <w:sz w:val="24"/>
          <w:szCs w:val="24"/>
        </w:rPr>
        <w:t xml:space="preserve"> </w:t>
      </w:r>
      <w:r w:rsidRPr="00A87532">
        <w:rPr>
          <w:rFonts w:ascii="Arial" w:hAnsi="Arial" w:cs="Arial"/>
          <w:sz w:val="24"/>
          <w:szCs w:val="24"/>
        </w:rPr>
        <w:t xml:space="preserve">amount </w:t>
      </w:r>
      <w:r>
        <w:rPr>
          <w:rFonts w:ascii="Arial" w:hAnsi="Arial" w:cs="Arial"/>
          <w:sz w:val="24"/>
          <w:szCs w:val="24"/>
        </w:rPr>
        <w:t xml:space="preserve">in </w:t>
      </w:r>
      <w:proofErr w:type="spellStart"/>
      <w:r w:rsidRPr="00A87532">
        <w:rPr>
          <w:rFonts w:ascii="Arial" w:hAnsi="Arial" w:cs="Arial"/>
          <w:sz w:val="24"/>
          <w:szCs w:val="24"/>
        </w:rPr>
        <w:t>USoA</w:t>
      </w:r>
      <w:proofErr w:type="spellEnd"/>
      <w:r w:rsidRPr="00A87532">
        <w:rPr>
          <w:rFonts w:ascii="Arial" w:hAnsi="Arial" w:cs="Arial"/>
          <w:sz w:val="24"/>
          <w:szCs w:val="24"/>
        </w:rPr>
        <w:t xml:space="preserve"> 158</w:t>
      </w:r>
      <w:r>
        <w:rPr>
          <w:rFonts w:ascii="Arial" w:hAnsi="Arial" w:cs="Arial"/>
          <w:sz w:val="24"/>
          <w:szCs w:val="24"/>
        </w:rPr>
        <w:t>8</w:t>
      </w:r>
      <w:r w:rsidR="00315680">
        <w:rPr>
          <w:rStyle w:val="FootnoteReference"/>
          <w:rFonts w:ascii="Arial" w:hAnsi="Arial" w:cs="Arial"/>
          <w:sz w:val="24"/>
          <w:szCs w:val="24"/>
        </w:rPr>
        <w:footnoteReference w:id="1"/>
      </w:r>
      <w:r w:rsidRPr="00A87532">
        <w:rPr>
          <w:rFonts w:ascii="Arial" w:hAnsi="Arial" w:cs="Arial"/>
          <w:sz w:val="24"/>
          <w:szCs w:val="24"/>
        </w:rPr>
        <w:t xml:space="preserve"> account balance as at Dec. 31, 2016, all components that flow into Account 158</w:t>
      </w:r>
      <w:r>
        <w:rPr>
          <w:rFonts w:ascii="Arial" w:hAnsi="Arial" w:cs="Arial"/>
          <w:sz w:val="24"/>
          <w:szCs w:val="24"/>
        </w:rPr>
        <w:t>8</w:t>
      </w:r>
      <w:r w:rsidRPr="00A87532">
        <w:rPr>
          <w:rFonts w:ascii="Arial" w:hAnsi="Arial" w:cs="Arial"/>
          <w:sz w:val="24"/>
          <w:szCs w:val="24"/>
        </w:rPr>
        <w:t xml:space="preserve">  (</w:t>
      </w:r>
      <w:proofErr w:type="spellStart"/>
      <w:r w:rsidRPr="00A87532">
        <w:rPr>
          <w:rFonts w:ascii="Arial" w:hAnsi="Arial" w:cs="Arial"/>
          <w:sz w:val="24"/>
          <w:szCs w:val="24"/>
        </w:rPr>
        <w:t>i</w:t>
      </w:r>
      <w:proofErr w:type="spellEnd"/>
      <w:r w:rsidRPr="00A87532">
        <w:rPr>
          <w:rFonts w:ascii="Arial" w:hAnsi="Arial" w:cs="Arial"/>
          <w:sz w:val="24"/>
          <w:szCs w:val="24"/>
        </w:rPr>
        <w:t xml:space="preserve"> to iv in table below) should be all based on actuals at year end. Please complete the following table</w:t>
      </w:r>
      <w:r>
        <w:rPr>
          <w:rFonts w:ascii="Arial" w:hAnsi="Arial" w:cs="Arial"/>
          <w:sz w:val="24"/>
          <w:szCs w:val="24"/>
        </w:rPr>
        <w:t>:</w:t>
      </w:r>
    </w:p>
    <w:p w:rsidR="008A6077" w:rsidRPr="00AD1178" w:rsidRDefault="008A6077" w:rsidP="008A6077">
      <w:pPr>
        <w:pStyle w:val="ListParagraph"/>
        <w:numPr>
          <w:ilvl w:val="0"/>
          <w:numId w:val="1"/>
        </w:numPr>
        <w:rPr>
          <w:rFonts w:ascii="Arial" w:hAnsi="Arial" w:cs="Arial"/>
          <w:sz w:val="24"/>
          <w:szCs w:val="24"/>
        </w:rPr>
      </w:pPr>
      <w:r w:rsidRPr="00AD1178">
        <w:rPr>
          <w:rFonts w:ascii="Arial" w:hAnsi="Arial" w:cs="Arial"/>
          <w:sz w:val="24"/>
          <w:szCs w:val="24"/>
        </w:rPr>
        <w:t xml:space="preserve">Indicate whether the component is based on estimates or actuals at year end, and </w:t>
      </w:r>
    </w:p>
    <w:p w:rsidR="008A6077" w:rsidRDefault="008A6077" w:rsidP="008A6077">
      <w:pPr>
        <w:pStyle w:val="ListParagraph"/>
        <w:numPr>
          <w:ilvl w:val="0"/>
          <w:numId w:val="1"/>
        </w:numPr>
        <w:rPr>
          <w:rFonts w:ascii="Arial" w:hAnsi="Arial" w:cs="Arial"/>
          <w:sz w:val="24"/>
          <w:szCs w:val="24"/>
        </w:rPr>
      </w:pPr>
      <w:r w:rsidRPr="00AD1178">
        <w:rPr>
          <w:rFonts w:ascii="Arial" w:hAnsi="Arial" w:cs="Arial"/>
          <w:sz w:val="24"/>
          <w:szCs w:val="24"/>
        </w:rPr>
        <w:t>Quantify the adjustment pertaining to each component that is trued-up from estimate to actual</w:t>
      </w:r>
    </w:p>
    <w:p w:rsidR="007E41F7" w:rsidRPr="00037437" w:rsidRDefault="007E41F7" w:rsidP="007E41F7">
      <w:pPr>
        <w:rPr>
          <w:rFonts w:ascii="Arial" w:hAnsi="Arial" w:cs="Arial"/>
          <w:b/>
          <w:sz w:val="24"/>
          <w:szCs w:val="24"/>
          <w:u w:val="single"/>
        </w:rPr>
      </w:pPr>
      <w:r w:rsidRPr="00037437">
        <w:rPr>
          <w:rFonts w:ascii="Arial" w:hAnsi="Arial" w:cs="Arial"/>
          <w:b/>
          <w:sz w:val="24"/>
          <w:szCs w:val="24"/>
          <w:u w:val="single"/>
        </w:rPr>
        <w:t>Response</w:t>
      </w:r>
    </w:p>
    <w:p w:rsidR="007E41F7" w:rsidRPr="00037437" w:rsidRDefault="00831770" w:rsidP="00037437">
      <w:pPr>
        <w:rPr>
          <w:rFonts w:ascii="Arial" w:hAnsi="Arial" w:cs="Arial"/>
          <w:sz w:val="24"/>
          <w:szCs w:val="24"/>
        </w:rPr>
      </w:pPr>
      <w:r>
        <w:rPr>
          <w:rFonts w:ascii="Arial" w:hAnsi="Arial" w:cs="Arial"/>
          <w:sz w:val="24"/>
          <w:szCs w:val="24"/>
        </w:rPr>
        <w:t>NBHDL has filled out the table below</w:t>
      </w:r>
      <w:r w:rsidR="00037437">
        <w:rPr>
          <w:rFonts w:ascii="Arial" w:hAnsi="Arial" w:cs="Arial"/>
          <w:sz w:val="24"/>
          <w:szCs w:val="24"/>
        </w:rPr>
        <w:t>.</w:t>
      </w:r>
    </w:p>
    <w:tbl>
      <w:tblPr>
        <w:tblStyle w:val="TableGrid"/>
        <w:tblW w:w="10435" w:type="dxa"/>
        <w:tblLook w:val="04A0" w:firstRow="1" w:lastRow="0" w:firstColumn="1" w:lastColumn="0" w:noHBand="0" w:noVBand="1"/>
      </w:tblPr>
      <w:tblGrid>
        <w:gridCol w:w="389"/>
        <w:gridCol w:w="2486"/>
        <w:gridCol w:w="1350"/>
        <w:gridCol w:w="4230"/>
        <w:gridCol w:w="1980"/>
      </w:tblGrid>
      <w:tr w:rsidR="008A6077" w:rsidTr="00C313CD">
        <w:tc>
          <w:tcPr>
            <w:tcW w:w="389" w:type="dxa"/>
          </w:tcPr>
          <w:p w:rsidR="008A6077" w:rsidRPr="00FE126C" w:rsidRDefault="008A6077" w:rsidP="00C313CD">
            <w:pPr>
              <w:rPr>
                <w:rFonts w:ascii="Arial" w:hAnsi="Arial" w:cs="Arial"/>
                <w:sz w:val="20"/>
                <w:szCs w:val="20"/>
              </w:rPr>
            </w:pPr>
          </w:p>
        </w:tc>
        <w:tc>
          <w:tcPr>
            <w:tcW w:w="2486" w:type="dxa"/>
          </w:tcPr>
          <w:p w:rsidR="008A6077" w:rsidRPr="00FE126C" w:rsidRDefault="008A6077" w:rsidP="00C313CD">
            <w:pPr>
              <w:rPr>
                <w:rFonts w:ascii="Arial" w:hAnsi="Arial" w:cs="Arial"/>
                <w:b/>
                <w:sz w:val="20"/>
                <w:szCs w:val="20"/>
              </w:rPr>
            </w:pPr>
            <w:r w:rsidRPr="00FE126C">
              <w:rPr>
                <w:rFonts w:ascii="Arial" w:hAnsi="Arial" w:cs="Arial"/>
                <w:b/>
                <w:sz w:val="20"/>
                <w:szCs w:val="20"/>
              </w:rPr>
              <w:t>Component</w:t>
            </w:r>
          </w:p>
        </w:tc>
        <w:tc>
          <w:tcPr>
            <w:tcW w:w="1350" w:type="dxa"/>
          </w:tcPr>
          <w:p w:rsidR="008A6077" w:rsidRPr="00FE126C" w:rsidRDefault="008A6077" w:rsidP="00C313CD">
            <w:pPr>
              <w:rPr>
                <w:rFonts w:ascii="Arial" w:hAnsi="Arial" w:cs="Arial"/>
                <w:b/>
                <w:sz w:val="20"/>
                <w:szCs w:val="20"/>
              </w:rPr>
            </w:pPr>
            <w:r w:rsidRPr="00FE126C">
              <w:rPr>
                <w:rFonts w:ascii="Arial" w:hAnsi="Arial" w:cs="Arial"/>
                <w:b/>
                <w:sz w:val="20"/>
                <w:szCs w:val="20"/>
              </w:rPr>
              <w:t>Estimate or Actual</w:t>
            </w:r>
            <w:r>
              <w:rPr>
                <w:rFonts w:ascii="Arial" w:hAnsi="Arial" w:cs="Arial"/>
                <w:b/>
                <w:sz w:val="20"/>
                <w:szCs w:val="20"/>
              </w:rPr>
              <w:t>?</w:t>
            </w:r>
          </w:p>
        </w:tc>
        <w:tc>
          <w:tcPr>
            <w:tcW w:w="4230" w:type="dxa"/>
          </w:tcPr>
          <w:p w:rsidR="008A6077" w:rsidRPr="00FE126C" w:rsidRDefault="008A6077" w:rsidP="00C313CD">
            <w:pPr>
              <w:rPr>
                <w:rFonts w:ascii="Arial" w:hAnsi="Arial" w:cs="Arial"/>
                <w:b/>
                <w:sz w:val="20"/>
                <w:szCs w:val="20"/>
              </w:rPr>
            </w:pPr>
            <w:r w:rsidRPr="00FE126C">
              <w:rPr>
                <w:rFonts w:ascii="Arial" w:hAnsi="Arial" w:cs="Arial"/>
                <w:b/>
                <w:sz w:val="20"/>
                <w:szCs w:val="20"/>
              </w:rPr>
              <w:t>Notes/Comments</w:t>
            </w:r>
          </w:p>
        </w:tc>
        <w:tc>
          <w:tcPr>
            <w:tcW w:w="1980" w:type="dxa"/>
          </w:tcPr>
          <w:p w:rsidR="008A6077" w:rsidRPr="00FE126C" w:rsidRDefault="008A6077" w:rsidP="00C313CD">
            <w:pPr>
              <w:rPr>
                <w:rFonts w:ascii="Arial" w:hAnsi="Arial" w:cs="Arial"/>
                <w:b/>
                <w:sz w:val="20"/>
                <w:szCs w:val="20"/>
              </w:rPr>
            </w:pPr>
            <w:r w:rsidRPr="00FE126C">
              <w:rPr>
                <w:rFonts w:ascii="Arial" w:hAnsi="Arial" w:cs="Arial"/>
                <w:b/>
                <w:sz w:val="20"/>
                <w:szCs w:val="20"/>
              </w:rPr>
              <w:t>Quantify True Up  Adjustment</w:t>
            </w:r>
            <w:r>
              <w:rPr>
                <w:rFonts w:ascii="Arial" w:hAnsi="Arial" w:cs="Arial"/>
                <w:b/>
                <w:sz w:val="20"/>
                <w:szCs w:val="20"/>
              </w:rPr>
              <w:t xml:space="preserve"> $ Amount</w:t>
            </w:r>
          </w:p>
        </w:tc>
      </w:tr>
      <w:tr w:rsidR="00831770" w:rsidTr="00C313CD">
        <w:trPr>
          <w:trHeight w:val="1385"/>
        </w:trPr>
        <w:tc>
          <w:tcPr>
            <w:tcW w:w="389" w:type="dxa"/>
          </w:tcPr>
          <w:p w:rsidR="00831770" w:rsidRPr="00FE126C" w:rsidRDefault="00831770" w:rsidP="00831770">
            <w:pPr>
              <w:rPr>
                <w:rFonts w:ascii="Arial" w:hAnsi="Arial" w:cs="Arial"/>
                <w:sz w:val="20"/>
                <w:szCs w:val="20"/>
              </w:rPr>
            </w:pPr>
            <w:proofErr w:type="spellStart"/>
            <w:r w:rsidRPr="00FE126C">
              <w:rPr>
                <w:rFonts w:ascii="Arial" w:hAnsi="Arial" w:cs="Arial"/>
                <w:sz w:val="20"/>
                <w:szCs w:val="20"/>
              </w:rPr>
              <w:t>i</w:t>
            </w:r>
            <w:proofErr w:type="spellEnd"/>
          </w:p>
        </w:tc>
        <w:tc>
          <w:tcPr>
            <w:tcW w:w="2486" w:type="dxa"/>
          </w:tcPr>
          <w:p w:rsidR="00831770" w:rsidRPr="00FE126C" w:rsidRDefault="00831770" w:rsidP="00831770">
            <w:pPr>
              <w:rPr>
                <w:rFonts w:ascii="Arial" w:hAnsi="Arial" w:cs="Arial"/>
                <w:sz w:val="20"/>
                <w:szCs w:val="20"/>
              </w:rPr>
            </w:pPr>
            <w:r w:rsidRPr="00FE126C">
              <w:rPr>
                <w:rFonts w:ascii="Arial" w:hAnsi="Arial" w:cs="Arial"/>
                <w:sz w:val="20"/>
                <w:szCs w:val="20"/>
              </w:rPr>
              <w:t xml:space="preserve">Revenues (i.e. </w:t>
            </w:r>
            <w:r w:rsidRPr="00360DCD">
              <w:rPr>
                <w:rFonts w:ascii="Arial" w:hAnsi="Arial" w:cs="Arial"/>
                <w:sz w:val="20"/>
                <w:szCs w:val="20"/>
              </w:rPr>
              <w:t xml:space="preserve">is </w:t>
            </w:r>
            <w:r>
              <w:rPr>
                <w:rFonts w:ascii="Arial" w:hAnsi="Arial" w:cs="Arial"/>
                <w:sz w:val="20"/>
                <w:szCs w:val="20"/>
              </w:rPr>
              <w:t xml:space="preserve">an </w:t>
            </w:r>
            <w:r w:rsidRPr="00360DCD">
              <w:rPr>
                <w:rFonts w:ascii="Arial" w:hAnsi="Arial" w:cs="Arial"/>
                <w:sz w:val="20"/>
                <w:szCs w:val="20"/>
              </w:rPr>
              <w:t>unbilled revenue true</w:t>
            </w:r>
            <w:r>
              <w:rPr>
                <w:rFonts w:ascii="Arial" w:hAnsi="Arial" w:cs="Arial"/>
                <w:sz w:val="20"/>
                <w:szCs w:val="20"/>
              </w:rPr>
              <w:t>-</w:t>
            </w:r>
            <w:r w:rsidRPr="00360DCD">
              <w:rPr>
                <w:rFonts w:ascii="Arial" w:hAnsi="Arial" w:cs="Arial"/>
                <w:sz w:val="20"/>
                <w:szCs w:val="20"/>
              </w:rPr>
              <w:t>up</w:t>
            </w:r>
            <w:r>
              <w:rPr>
                <w:rFonts w:ascii="Arial" w:hAnsi="Arial" w:cs="Arial"/>
                <w:sz w:val="20"/>
                <w:szCs w:val="20"/>
              </w:rPr>
              <w:t xml:space="preserve"> adjustment reflected in the balances being requested for disposition?</w:t>
            </w:r>
            <w:r w:rsidRPr="00FE126C">
              <w:rPr>
                <w:rFonts w:ascii="Arial" w:hAnsi="Arial" w:cs="Arial"/>
                <w:sz w:val="20"/>
                <w:szCs w:val="20"/>
              </w:rPr>
              <w:t xml:space="preserve">) </w:t>
            </w:r>
          </w:p>
        </w:tc>
        <w:tc>
          <w:tcPr>
            <w:tcW w:w="1350" w:type="dxa"/>
          </w:tcPr>
          <w:p w:rsidR="00831770" w:rsidRPr="00360DCD" w:rsidRDefault="00831770" w:rsidP="00831770">
            <w:pPr>
              <w:rPr>
                <w:rFonts w:ascii="Arial" w:hAnsi="Arial" w:cs="Arial"/>
                <w:sz w:val="20"/>
                <w:szCs w:val="20"/>
              </w:rPr>
            </w:pPr>
            <w:r>
              <w:rPr>
                <w:rFonts w:ascii="Arial" w:hAnsi="Arial" w:cs="Arial"/>
                <w:sz w:val="20"/>
                <w:szCs w:val="20"/>
              </w:rPr>
              <w:t>Estimate</w:t>
            </w:r>
          </w:p>
        </w:tc>
        <w:tc>
          <w:tcPr>
            <w:tcW w:w="4230" w:type="dxa"/>
          </w:tcPr>
          <w:p w:rsidR="00831770" w:rsidRPr="00360DCD" w:rsidRDefault="00831770" w:rsidP="00831770">
            <w:pPr>
              <w:rPr>
                <w:rFonts w:ascii="Arial" w:hAnsi="Arial" w:cs="Arial"/>
                <w:sz w:val="20"/>
                <w:szCs w:val="20"/>
              </w:rPr>
            </w:pPr>
            <w:r>
              <w:rPr>
                <w:rFonts w:ascii="Arial" w:hAnsi="Arial" w:cs="Arial"/>
                <w:sz w:val="20"/>
                <w:szCs w:val="20"/>
              </w:rPr>
              <w:t>NBHDL’s revenues at year-end are recorded through accrual of unbilled data. The true-up for this is done in the following fiscal period ex; at Dec16 unbilled revenue is accrued – this reverses in Jan17 and actual billing for Dec16 consumption takes place primarily in Jan~Feb17. Any unbilled variances in revenue are then reflected in current fiscal year revenue. In this example, that would be 2017.</w:t>
            </w:r>
          </w:p>
        </w:tc>
        <w:tc>
          <w:tcPr>
            <w:tcW w:w="1980" w:type="dxa"/>
          </w:tcPr>
          <w:p w:rsidR="00831770" w:rsidRPr="00FE126C" w:rsidRDefault="00875572" w:rsidP="00831770">
            <w:pPr>
              <w:rPr>
                <w:rFonts w:ascii="Arial" w:hAnsi="Arial" w:cs="Arial"/>
                <w:sz w:val="20"/>
                <w:szCs w:val="20"/>
              </w:rPr>
            </w:pPr>
            <w:r>
              <w:rPr>
                <w:rFonts w:ascii="Arial" w:hAnsi="Arial" w:cs="Arial"/>
                <w:sz w:val="20"/>
                <w:szCs w:val="20"/>
              </w:rPr>
              <w:t>$237,308</w:t>
            </w:r>
          </w:p>
        </w:tc>
      </w:tr>
      <w:tr w:rsidR="00831770" w:rsidTr="00C313CD">
        <w:tc>
          <w:tcPr>
            <w:tcW w:w="389" w:type="dxa"/>
          </w:tcPr>
          <w:p w:rsidR="00831770" w:rsidRPr="00FE126C" w:rsidRDefault="00831770" w:rsidP="00831770">
            <w:pPr>
              <w:rPr>
                <w:rFonts w:ascii="Arial" w:hAnsi="Arial" w:cs="Arial"/>
                <w:sz w:val="20"/>
                <w:szCs w:val="20"/>
              </w:rPr>
            </w:pPr>
            <w:r>
              <w:rPr>
                <w:rFonts w:ascii="Arial" w:hAnsi="Arial" w:cs="Arial"/>
                <w:sz w:val="20"/>
                <w:szCs w:val="20"/>
              </w:rPr>
              <w:t>ii</w:t>
            </w:r>
          </w:p>
        </w:tc>
        <w:tc>
          <w:tcPr>
            <w:tcW w:w="2486" w:type="dxa"/>
          </w:tcPr>
          <w:p w:rsidR="00831770" w:rsidRDefault="00831770" w:rsidP="00831770">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350" w:type="dxa"/>
          </w:tcPr>
          <w:p w:rsidR="00831770" w:rsidRPr="00FE126C" w:rsidRDefault="00831770" w:rsidP="00831770">
            <w:pPr>
              <w:rPr>
                <w:rFonts w:ascii="Arial" w:hAnsi="Arial" w:cs="Arial"/>
                <w:sz w:val="20"/>
                <w:szCs w:val="20"/>
              </w:rPr>
            </w:pPr>
            <w:r>
              <w:rPr>
                <w:rFonts w:ascii="Arial" w:hAnsi="Arial" w:cs="Arial"/>
                <w:sz w:val="20"/>
                <w:szCs w:val="20"/>
              </w:rPr>
              <w:t>Actual</w:t>
            </w:r>
          </w:p>
        </w:tc>
        <w:tc>
          <w:tcPr>
            <w:tcW w:w="4230" w:type="dxa"/>
          </w:tcPr>
          <w:p w:rsidR="00831770" w:rsidRPr="00FE126C" w:rsidRDefault="00831770" w:rsidP="00831770">
            <w:pPr>
              <w:rPr>
                <w:rFonts w:ascii="Arial" w:hAnsi="Arial" w:cs="Arial"/>
                <w:sz w:val="20"/>
                <w:szCs w:val="20"/>
              </w:rPr>
            </w:pPr>
            <w:r>
              <w:rPr>
                <w:rFonts w:ascii="Arial" w:hAnsi="Arial" w:cs="Arial"/>
                <w:sz w:val="20"/>
                <w:szCs w:val="20"/>
              </w:rPr>
              <w:t>Charge Type 1</w:t>
            </w:r>
            <w:r>
              <w:rPr>
                <w:rFonts w:ascii="Arial" w:hAnsi="Arial" w:cs="Arial"/>
                <w:sz w:val="20"/>
                <w:szCs w:val="20"/>
              </w:rPr>
              <w:t>01</w:t>
            </w:r>
            <w:r>
              <w:rPr>
                <w:rFonts w:ascii="Arial" w:hAnsi="Arial" w:cs="Arial"/>
                <w:sz w:val="20"/>
                <w:szCs w:val="20"/>
              </w:rPr>
              <w:t xml:space="preserve"> $ in Dec16 is based on IESO invoice for Dec16.</w:t>
            </w:r>
          </w:p>
        </w:tc>
        <w:tc>
          <w:tcPr>
            <w:tcW w:w="1980" w:type="dxa"/>
          </w:tcPr>
          <w:p w:rsidR="00831770" w:rsidRPr="00FE126C" w:rsidRDefault="00831770" w:rsidP="00831770">
            <w:pPr>
              <w:rPr>
                <w:rFonts w:ascii="Arial" w:hAnsi="Arial" w:cs="Arial"/>
                <w:sz w:val="20"/>
                <w:szCs w:val="20"/>
              </w:rPr>
            </w:pPr>
            <w:r>
              <w:rPr>
                <w:rFonts w:ascii="Arial" w:hAnsi="Arial" w:cs="Arial"/>
                <w:sz w:val="20"/>
                <w:szCs w:val="20"/>
              </w:rPr>
              <w:t>$0</w:t>
            </w:r>
          </w:p>
        </w:tc>
      </w:tr>
      <w:tr w:rsidR="00831770" w:rsidTr="00C313CD">
        <w:trPr>
          <w:trHeight w:val="1628"/>
        </w:trPr>
        <w:tc>
          <w:tcPr>
            <w:tcW w:w="389" w:type="dxa"/>
          </w:tcPr>
          <w:p w:rsidR="00831770" w:rsidRPr="00FE126C" w:rsidRDefault="00831770" w:rsidP="00831770">
            <w:pPr>
              <w:rPr>
                <w:rFonts w:ascii="Arial" w:hAnsi="Arial" w:cs="Arial"/>
                <w:sz w:val="20"/>
                <w:szCs w:val="20"/>
              </w:rPr>
            </w:pPr>
            <w:proofErr w:type="spellStart"/>
            <w:r>
              <w:rPr>
                <w:rFonts w:ascii="Arial" w:hAnsi="Arial" w:cs="Arial"/>
                <w:sz w:val="20"/>
                <w:szCs w:val="20"/>
              </w:rPr>
              <w:lastRenderedPageBreak/>
              <w:t>ijj</w:t>
            </w:r>
            <w:proofErr w:type="spellEnd"/>
          </w:p>
        </w:tc>
        <w:tc>
          <w:tcPr>
            <w:tcW w:w="2486" w:type="dxa"/>
          </w:tcPr>
          <w:p w:rsidR="00831770" w:rsidRPr="00FE126C" w:rsidRDefault="00831770" w:rsidP="00831770">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tc>
        <w:tc>
          <w:tcPr>
            <w:tcW w:w="1350" w:type="dxa"/>
          </w:tcPr>
          <w:p w:rsidR="00831770" w:rsidRPr="00FE126C" w:rsidRDefault="00831770" w:rsidP="00831770">
            <w:pPr>
              <w:rPr>
                <w:rFonts w:ascii="Arial" w:hAnsi="Arial" w:cs="Arial"/>
                <w:sz w:val="20"/>
                <w:szCs w:val="20"/>
              </w:rPr>
            </w:pPr>
          </w:p>
        </w:tc>
        <w:tc>
          <w:tcPr>
            <w:tcW w:w="4230" w:type="dxa"/>
          </w:tcPr>
          <w:p w:rsidR="00831770" w:rsidRPr="00FE126C" w:rsidRDefault="00831770" w:rsidP="00831770">
            <w:pPr>
              <w:rPr>
                <w:rFonts w:ascii="Arial" w:hAnsi="Arial" w:cs="Arial"/>
                <w:sz w:val="20"/>
                <w:szCs w:val="20"/>
              </w:rPr>
            </w:pPr>
          </w:p>
        </w:tc>
        <w:tc>
          <w:tcPr>
            <w:tcW w:w="1980" w:type="dxa"/>
          </w:tcPr>
          <w:p w:rsidR="00831770" w:rsidRPr="00FE126C" w:rsidRDefault="00831770" w:rsidP="00831770">
            <w:pPr>
              <w:rPr>
                <w:rFonts w:ascii="Arial" w:hAnsi="Arial" w:cs="Arial"/>
                <w:sz w:val="20"/>
                <w:szCs w:val="20"/>
              </w:rPr>
            </w:pPr>
          </w:p>
        </w:tc>
      </w:tr>
      <w:tr w:rsidR="00831770" w:rsidTr="00C313CD">
        <w:tc>
          <w:tcPr>
            <w:tcW w:w="389" w:type="dxa"/>
          </w:tcPr>
          <w:p w:rsidR="00831770" w:rsidRPr="00FE126C" w:rsidRDefault="00831770" w:rsidP="00831770">
            <w:pPr>
              <w:rPr>
                <w:rFonts w:ascii="Arial" w:hAnsi="Arial" w:cs="Arial"/>
                <w:sz w:val="20"/>
                <w:szCs w:val="20"/>
              </w:rPr>
            </w:pPr>
            <w:r>
              <w:rPr>
                <w:rFonts w:ascii="Arial" w:hAnsi="Arial" w:cs="Arial"/>
                <w:sz w:val="20"/>
                <w:szCs w:val="20"/>
              </w:rPr>
              <w:t>iv</w:t>
            </w:r>
          </w:p>
        </w:tc>
        <w:tc>
          <w:tcPr>
            <w:tcW w:w="2486" w:type="dxa"/>
          </w:tcPr>
          <w:p w:rsidR="00831770" w:rsidRPr="00FE126C" w:rsidRDefault="00831770" w:rsidP="00831770">
            <w:pPr>
              <w:rPr>
                <w:rFonts w:ascii="Arial" w:hAnsi="Arial" w:cs="Arial"/>
                <w:sz w:val="20"/>
                <w:szCs w:val="20"/>
              </w:rPr>
            </w:pPr>
            <w:r>
              <w:rPr>
                <w:rFonts w:ascii="Arial" w:hAnsi="Arial" w:cs="Arial"/>
                <w:sz w:val="20"/>
                <w:szCs w:val="20"/>
              </w:rPr>
              <w:t>Expenses - GA RPP: Charge Type 148</w:t>
            </w:r>
            <w:r w:rsidRPr="00360DCD">
              <w:rPr>
                <w:rFonts w:ascii="Arial" w:hAnsi="Arial" w:cs="Arial"/>
                <w:sz w:val="20"/>
                <w:szCs w:val="20"/>
              </w:rPr>
              <w:t xml:space="preserve"> with respect </w:t>
            </w:r>
            <w:r>
              <w:rPr>
                <w:rFonts w:ascii="Arial" w:hAnsi="Arial" w:cs="Arial"/>
                <w:sz w:val="20"/>
                <w:szCs w:val="20"/>
              </w:rPr>
              <w:t xml:space="preserve">to the </w:t>
            </w:r>
            <w:r w:rsidRPr="00360DCD">
              <w:rPr>
                <w:rFonts w:ascii="Arial" w:hAnsi="Arial" w:cs="Arial"/>
                <w:sz w:val="20"/>
                <w:szCs w:val="20"/>
              </w:rPr>
              <w:t xml:space="preserve">RPP/non-RPP </w:t>
            </w:r>
            <w:r>
              <w:rPr>
                <w:rFonts w:ascii="Arial" w:hAnsi="Arial" w:cs="Arial"/>
                <w:sz w:val="20"/>
                <w:szCs w:val="20"/>
              </w:rPr>
              <w:t xml:space="preserve">kWh volume </w:t>
            </w:r>
            <w:r w:rsidRPr="00360DCD">
              <w:rPr>
                <w:rFonts w:ascii="Arial" w:hAnsi="Arial" w:cs="Arial"/>
                <w:sz w:val="20"/>
                <w:szCs w:val="20"/>
              </w:rPr>
              <w:t>pro</w:t>
            </w:r>
            <w:r>
              <w:rPr>
                <w:rFonts w:ascii="Arial" w:hAnsi="Arial" w:cs="Arial"/>
                <w:sz w:val="20"/>
                <w:szCs w:val="20"/>
              </w:rPr>
              <w:t>portions.</w:t>
            </w:r>
          </w:p>
        </w:tc>
        <w:tc>
          <w:tcPr>
            <w:tcW w:w="1350" w:type="dxa"/>
          </w:tcPr>
          <w:p w:rsidR="00831770" w:rsidRPr="00FE126C" w:rsidRDefault="00831770" w:rsidP="00831770">
            <w:pPr>
              <w:rPr>
                <w:rFonts w:ascii="Arial" w:hAnsi="Arial" w:cs="Arial"/>
                <w:sz w:val="20"/>
                <w:szCs w:val="20"/>
              </w:rPr>
            </w:pPr>
          </w:p>
        </w:tc>
        <w:tc>
          <w:tcPr>
            <w:tcW w:w="4230" w:type="dxa"/>
          </w:tcPr>
          <w:p w:rsidR="00831770" w:rsidRPr="00FE126C" w:rsidRDefault="00831770" w:rsidP="00831770">
            <w:pPr>
              <w:rPr>
                <w:rFonts w:ascii="Arial" w:hAnsi="Arial" w:cs="Arial"/>
                <w:sz w:val="20"/>
                <w:szCs w:val="20"/>
              </w:rPr>
            </w:pPr>
          </w:p>
        </w:tc>
        <w:tc>
          <w:tcPr>
            <w:tcW w:w="1980" w:type="dxa"/>
          </w:tcPr>
          <w:p w:rsidR="00831770" w:rsidRPr="00FE126C" w:rsidRDefault="00831770" w:rsidP="00831770">
            <w:pPr>
              <w:rPr>
                <w:rFonts w:ascii="Arial" w:hAnsi="Arial" w:cs="Arial"/>
                <w:sz w:val="20"/>
                <w:szCs w:val="20"/>
              </w:rPr>
            </w:pPr>
          </w:p>
        </w:tc>
      </w:tr>
      <w:tr w:rsidR="00831770" w:rsidTr="00C313CD">
        <w:tc>
          <w:tcPr>
            <w:tcW w:w="389" w:type="dxa"/>
          </w:tcPr>
          <w:p w:rsidR="00831770" w:rsidRPr="00FE126C" w:rsidRDefault="00831770" w:rsidP="00831770">
            <w:pPr>
              <w:rPr>
                <w:rFonts w:ascii="Arial" w:hAnsi="Arial" w:cs="Arial"/>
                <w:sz w:val="20"/>
                <w:szCs w:val="20"/>
              </w:rPr>
            </w:pPr>
            <w:r>
              <w:rPr>
                <w:rFonts w:ascii="Arial" w:hAnsi="Arial" w:cs="Arial"/>
                <w:sz w:val="20"/>
                <w:szCs w:val="20"/>
              </w:rPr>
              <w:t>v</w:t>
            </w:r>
          </w:p>
        </w:tc>
        <w:tc>
          <w:tcPr>
            <w:tcW w:w="2486" w:type="dxa"/>
          </w:tcPr>
          <w:p w:rsidR="00831770" w:rsidRPr="00FE126C" w:rsidRDefault="00831770" w:rsidP="00831770">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 xml:space="preserve">including any data used for determining the RPP/HOEP/RPP GA </w:t>
            </w:r>
            <w:r>
              <w:rPr>
                <w:rFonts w:ascii="Arial" w:hAnsi="Arial" w:cs="Arial"/>
                <w:sz w:val="20"/>
                <w:szCs w:val="20"/>
              </w:rPr>
              <w:t>185,405</w:t>
            </w:r>
            <w:r w:rsidR="00B92A7E">
              <w:rPr>
                <w:rFonts w:ascii="Arial" w:hAnsi="Arial" w:cs="Arial"/>
                <w:sz w:val="20"/>
                <w:szCs w:val="20"/>
              </w:rPr>
              <w:t xml:space="preserve"> c</w:t>
            </w:r>
            <w:r w:rsidRPr="007B4E89">
              <w:rPr>
                <w:rFonts w:ascii="Arial" w:hAnsi="Arial" w:cs="Arial"/>
                <w:sz w:val="20"/>
                <w:szCs w:val="20"/>
              </w:rPr>
              <w:t>omponents of  the charge type</w:t>
            </w:r>
          </w:p>
        </w:tc>
        <w:tc>
          <w:tcPr>
            <w:tcW w:w="1350" w:type="dxa"/>
          </w:tcPr>
          <w:p w:rsidR="00831770" w:rsidRPr="00360DCD" w:rsidRDefault="00831770" w:rsidP="00831770">
            <w:pPr>
              <w:rPr>
                <w:rFonts w:ascii="Arial" w:hAnsi="Arial" w:cs="Arial"/>
                <w:sz w:val="20"/>
                <w:szCs w:val="20"/>
              </w:rPr>
            </w:pPr>
            <w:r>
              <w:rPr>
                <w:rFonts w:ascii="Arial" w:hAnsi="Arial" w:cs="Arial"/>
                <w:sz w:val="20"/>
                <w:szCs w:val="20"/>
              </w:rPr>
              <w:t>Estimate</w:t>
            </w:r>
          </w:p>
        </w:tc>
        <w:tc>
          <w:tcPr>
            <w:tcW w:w="4230" w:type="dxa"/>
          </w:tcPr>
          <w:p w:rsidR="00831770" w:rsidRPr="00FE126C" w:rsidRDefault="00B92A7E" w:rsidP="00C90875">
            <w:pPr>
              <w:rPr>
                <w:rFonts w:ascii="Arial" w:hAnsi="Arial" w:cs="Arial"/>
                <w:sz w:val="20"/>
                <w:szCs w:val="20"/>
              </w:rPr>
            </w:pPr>
            <w:r>
              <w:rPr>
                <w:rFonts w:ascii="Arial" w:hAnsi="Arial" w:cs="Arial"/>
                <w:sz w:val="20"/>
                <w:szCs w:val="20"/>
              </w:rPr>
              <w:t>NBHDL estimates the kWh for RPP customers and records estimate based on TOU/Tier buckets</w:t>
            </w:r>
            <w:r>
              <w:rPr>
                <w:rFonts w:ascii="Arial" w:hAnsi="Arial" w:cs="Arial"/>
                <w:sz w:val="20"/>
                <w:szCs w:val="20"/>
              </w:rPr>
              <w:t xml:space="preserve"> and used. The 2nd GA rate used to determine RPP GA and</w:t>
            </w:r>
            <w:r w:rsidR="00C90875">
              <w:rPr>
                <w:rFonts w:ascii="Arial" w:hAnsi="Arial" w:cs="Arial"/>
                <w:sz w:val="20"/>
                <w:szCs w:val="20"/>
              </w:rPr>
              <w:t xml:space="preserve"> HOEP is determined on average cost/hour for the month</w:t>
            </w:r>
            <w:r>
              <w:rPr>
                <w:rFonts w:ascii="Arial" w:hAnsi="Arial" w:cs="Arial"/>
                <w:sz w:val="20"/>
                <w:szCs w:val="20"/>
              </w:rPr>
              <w:t xml:space="preserve">. The true-up amount represents both the change in kWh and </w:t>
            </w:r>
            <w:r w:rsidR="00C90875">
              <w:rPr>
                <w:rFonts w:ascii="Arial" w:hAnsi="Arial" w:cs="Arial"/>
                <w:sz w:val="20"/>
                <w:szCs w:val="20"/>
              </w:rPr>
              <w:t>prices</w:t>
            </w:r>
            <w:r>
              <w:rPr>
                <w:rFonts w:ascii="Arial" w:hAnsi="Arial" w:cs="Arial"/>
                <w:sz w:val="20"/>
                <w:szCs w:val="20"/>
              </w:rPr>
              <w:t xml:space="preserve"> vs. accrual.</w:t>
            </w:r>
          </w:p>
        </w:tc>
        <w:tc>
          <w:tcPr>
            <w:tcW w:w="1980" w:type="dxa"/>
          </w:tcPr>
          <w:p w:rsidR="00831770" w:rsidRPr="00FE126C" w:rsidRDefault="00875572" w:rsidP="00875572">
            <w:pPr>
              <w:rPr>
                <w:rFonts w:ascii="Arial" w:hAnsi="Arial" w:cs="Arial"/>
                <w:sz w:val="20"/>
                <w:szCs w:val="20"/>
              </w:rPr>
            </w:pPr>
            <w:r>
              <w:rPr>
                <w:rFonts w:ascii="Arial" w:hAnsi="Arial" w:cs="Arial"/>
                <w:sz w:val="20"/>
                <w:szCs w:val="20"/>
              </w:rPr>
              <w:t>$92,841</w:t>
            </w:r>
          </w:p>
        </w:tc>
      </w:tr>
    </w:tbl>
    <w:p w:rsidR="008A6077" w:rsidRDefault="008A6077" w:rsidP="008A6077">
      <w:pPr>
        <w:rPr>
          <w:rFonts w:ascii="Arial" w:hAnsi="Arial" w:cs="Arial"/>
          <w:b/>
          <w:bCs/>
          <w:i/>
          <w:sz w:val="24"/>
          <w:szCs w:val="24"/>
        </w:rPr>
      </w:pPr>
    </w:p>
    <w:p w:rsidR="008A6077" w:rsidRPr="00831770" w:rsidRDefault="008A6077" w:rsidP="008A6077">
      <w:pPr>
        <w:pStyle w:val="ListParagraph"/>
        <w:numPr>
          <w:ilvl w:val="0"/>
          <w:numId w:val="1"/>
        </w:numPr>
        <w:rPr>
          <w:rFonts w:ascii="Arial" w:hAnsi="Arial" w:cs="Arial"/>
          <w:b/>
          <w:sz w:val="24"/>
          <w:szCs w:val="24"/>
        </w:rPr>
      </w:pPr>
      <w:r>
        <w:rPr>
          <w:rFonts w:ascii="Arial" w:hAnsi="Arial" w:cs="Arial"/>
          <w:sz w:val="24"/>
          <w:szCs w:val="24"/>
        </w:rPr>
        <w:t>For each item in the table above, p</w:t>
      </w:r>
      <w:r w:rsidRPr="00583F39">
        <w:rPr>
          <w:rFonts w:ascii="Arial" w:hAnsi="Arial" w:cs="Arial"/>
          <w:sz w:val="24"/>
          <w:szCs w:val="24"/>
        </w:rPr>
        <w:t>lease confirm that the 2018 Rate Generator Model Tab 3 Continuity Schedule for 2016 ha</w:t>
      </w:r>
      <w:r>
        <w:rPr>
          <w:rFonts w:ascii="Arial" w:hAnsi="Arial" w:cs="Arial"/>
          <w:sz w:val="24"/>
          <w:szCs w:val="24"/>
        </w:rPr>
        <w:t>ve</w:t>
      </w:r>
      <w:r w:rsidRPr="00583F39">
        <w:rPr>
          <w:rFonts w:ascii="Arial" w:hAnsi="Arial" w:cs="Arial"/>
          <w:sz w:val="24"/>
          <w:szCs w:val="24"/>
        </w:rPr>
        <w:t xml:space="preserve"> been adjusted for settlement true-ups where settlement was originally based on estimate and trued up to actuals subsequent to 2016</w:t>
      </w:r>
      <w:r>
        <w:rPr>
          <w:rFonts w:ascii="Arial" w:hAnsi="Arial" w:cs="Arial"/>
          <w:sz w:val="24"/>
          <w:szCs w:val="24"/>
        </w:rPr>
        <w:t>.</w:t>
      </w:r>
    </w:p>
    <w:p w:rsidR="00831770" w:rsidRDefault="00831770" w:rsidP="00831770">
      <w:pPr>
        <w:pStyle w:val="ListParagraph"/>
        <w:ind w:left="1080"/>
        <w:rPr>
          <w:rFonts w:ascii="Arial" w:hAnsi="Arial" w:cs="Arial"/>
          <w:b/>
          <w:sz w:val="24"/>
          <w:szCs w:val="24"/>
          <w:u w:val="single"/>
        </w:rPr>
      </w:pPr>
    </w:p>
    <w:p w:rsidR="00831770" w:rsidRPr="00831770" w:rsidRDefault="00831770" w:rsidP="00831770">
      <w:pPr>
        <w:pStyle w:val="ListParagraph"/>
        <w:ind w:left="1080"/>
        <w:rPr>
          <w:rFonts w:ascii="Arial" w:hAnsi="Arial" w:cs="Arial"/>
          <w:b/>
          <w:sz w:val="24"/>
          <w:szCs w:val="24"/>
          <w:u w:val="single"/>
        </w:rPr>
      </w:pPr>
      <w:r w:rsidRPr="00831770">
        <w:rPr>
          <w:rFonts w:ascii="Arial" w:hAnsi="Arial" w:cs="Arial"/>
          <w:b/>
          <w:sz w:val="24"/>
          <w:szCs w:val="24"/>
          <w:u w:val="single"/>
        </w:rPr>
        <w:t>Response</w:t>
      </w:r>
    </w:p>
    <w:p w:rsidR="00451072" w:rsidRDefault="00831770" w:rsidP="00831770">
      <w:pPr>
        <w:pStyle w:val="ListParagraph"/>
        <w:ind w:left="1080"/>
        <w:rPr>
          <w:rFonts w:ascii="Arial" w:hAnsi="Arial" w:cs="Arial"/>
          <w:sz w:val="24"/>
          <w:szCs w:val="24"/>
        </w:rPr>
      </w:pPr>
      <w:r>
        <w:rPr>
          <w:rFonts w:ascii="Arial" w:hAnsi="Arial" w:cs="Arial"/>
          <w:sz w:val="24"/>
          <w:szCs w:val="24"/>
        </w:rPr>
        <w:t xml:space="preserve">The 2018 Rate Generator Model </w:t>
      </w:r>
      <w:r w:rsidRPr="00583F39">
        <w:rPr>
          <w:rFonts w:ascii="Arial" w:hAnsi="Arial" w:cs="Arial"/>
          <w:sz w:val="24"/>
          <w:szCs w:val="24"/>
        </w:rPr>
        <w:t>Tab 3 Continuity Schedule for 2016 ha</w:t>
      </w:r>
      <w:r>
        <w:rPr>
          <w:rFonts w:ascii="Arial" w:hAnsi="Arial" w:cs="Arial"/>
          <w:sz w:val="24"/>
          <w:szCs w:val="24"/>
        </w:rPr>
        <w:t xml:space="preserve">s </w:t>
      </w:r>
      <w:r w:rsidRPr="00583F39">
        <w:rPr>
          <w:rFonts w:ascii="Arial" w:hAnsi="Arial" w:cs="Arial"/>
          <w:sz w:val="24"/>
          <w:szCs w:val="24"/>
        </w:rPr>
        <w:t>been adjusted for settlement true-ups</w:t>
      </w:r>
      <w:r w:rsidRPr="00831770">
        <w:rPr>
          <w:rFonts w:ascii="Arial" w:hAnsi="Arial" w:cs="Arial"/>
          <w:sz w:val="24"/>
          <w:szCs w:val="24"/>
        </w:rPr>
        <w:t>.</w:t>
      </w:r>
    </w:p>
    <w:p w:rsidR="00831770" w:rsidRDefault="00831770" w:rsidP="00831770">
      <w:pPr>
        <w:pStyle w:val="ListParagraph"/>
        <w:ind w:left="1080"/>
      </w:pPr>
    </w:p>
    <w:p w:rsidR="00BB05E6" w:rsidRDefault="00BB05E6" w:rsidP="00BB05E6">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2</w:t>
      </w:r>
    </w:p>
    <w:p w:rsidR="00BB05E6" w:rsidRDefault="00BB05E6" w:rsidP="00BB05E6">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r>
      <w:r w:rsidR="009C634E">
        <w:rPr>
          <w:rFonts w:ascii="Arial" w:hAnsi="Arial" w:cs="Arial"/>
          <w:b/>
          <w:bCs/>
          <w:sz w:val="24"/>
          <w:szCs w:val="24"/>
        </w:rPr>
        <w:t>Deferral of Accounts 1588 and 1589</w:t>
      </w:r>
    </w:p>
    <w:p w:rsidR="000322A6" w:rsidRDefault="009C1E25" w:rsidP="009532C4">
      <w:pPr>
        <w:pStyle w:val="ListParagraph"/>
        <w:numPr>
          <w:ilvl w:val="0"/>
          <w:numId w:val="3"/>
        </w:numPr>
        <w:rPr>
          <w:rFonts w:ascii="Arial" w:hAnsi="Arial" w:cs="Arial"/>
          <w:bCs/>
          <w:sz w:val="24"/>
          <w:szCs w:val="24"/>
        </w:rPr>
      </w:pPr>
      <w:r w:rsidRPr="009532C4">
        <w:rPr>
          <w:rFonts w:ascii="Arial" w:hAnsi="Arial" w:cs="Arial"/>
          <w:sz w:val="24"/>
          <w:szCs w:val="24"/>
        </w:rPr>
        <w:t>North Bay Hydro</w:t>
      </w:r>
      <w:r w:rsidR="00BB05E6">
        <w:rPr>
          <w:rFonts w:ascii="Arial" w:hAnsi="Arial" w:cs="Arial"/>
          <w:bCs/>
          <w:sz w:val="24"/>
          <w:szCs w:val="24"/>
        </w:rPr>
        <w:t xml:space="preserve"> has requested to defer the disposition of </w:t>
      </w:r>
      <w:proofErr w:type="spellStart"/>
      <w:r w:rsidR="00BB05E6">
        <w:rPr>
          <w:rFonts w:ascii="Arial" w:hAnsi="Arial" w:cs="Arial"/>
          <w:bCs/>
          <w:sz w:val="24"/>
          <w:szCs w:val="24"/>
        </w:rPr>
        <w:t>USoA</w:t>
      </w:r>
      <w:proofErr w:type="spellEnd"/>
      <w:r w:rsidR="00BB05E6">
        <w:rPr>
          <w:rFonts w:ascii="Arial" w:hAnsi="Arial" w:cs="Arial"/>
          <w:bCs/>
          <w:sz w:val="24"/>
          <w:szCs w:val="24"/>
        </w:rPr>
        <w:t xml:space="preserve"> 1588 and 1589 an additional year</w:t>
      </w:r>
      <w:r w:rsidR="00855259">
        <w:rPr>
          <w:rFonts w:ascii="Arial" w:hAnsi="Arial" w:cs="Arial"/>
          <w:bCs/>
          <w:sz w:val="24"/>
          <w:szCs w:val="24"/>
        </w:rPr>
        <w:t>.</w:t>
      </w:r>
      <w:r>
        <w:rPr>
          <w:rFonts w:ascii="Arial" w:hAnsi="Arial" w:cs="Arial"/>
          <w:bCs/>
          <w:sz w:val="24"/>
          <w:szCs w:val="24"/>
        </w:rPr>
        <w:t xml:space="preserve"> Accounts 1588 and 1589 are a portion of the Group 1 accounts which are normally disposed contemporaneously in a rate proceeding.</w:t>
      </w:r>
      <w:r w:rsidR="00C715D9">
        <w:rPr>
          <w:rFonts w:ascii="Arial" w:hAnsi="Arial" w:cs="Arial"/>
          <w:bCs/>
          <w:sz w:val="24"/>
          <w:szCs w:val="24"/>
        </w:rPr>
        <w:t xml:space="preserve"> </w:t>
      </w:r>
      <w:r w:rsidR="00BB05E6" w:rsidRPr="009532C4">
        <w:rPr>
          <w:rFonts w:ascii="Arial" w:hAnsi="Arial" w:cs="Arial"/>
          <w:bCs/>
          <w:sz w:val="24"/>
          <w:szCs w:val="24"/>
        </w:rPr>
        <w:t xml:space="preserve">Please </w:t>
      </w:r>
      <w:r w:rsidR="007C58E5" w:rsidRPr="009532C4">
        <w:rPr>
          <w:rFonts w:ascii="Arial" w:hAnsi="Arial" w:cs="Arial"/>
          <w:bCs/>
          <w:sz w:val="24"/>
          <w:szCs w:val="24"/>
        </w:rPr>
        <w:t xml:space="preserve">calculate the </w:t>
      </w:r>
      <w:r w:rsidR="00BB05E6" w:rsidRPr="009532C4">
        <w:rPr>
          <w:rFonts w:ascii="Arial" w:hAnsi="Arial" w:cs="Arial"/>
          <w:bCs/>
          <w:sz w:val="24"/>
          <w:szCs w:val="24"/>
        </w:rPr>
        <w:t xml:space="preserve">effects on the total bill </w:t>
      </w:r>
      <w:r w:rsidR="007C58E5" w:rsidRPr="009532C4">
        <w:rPr>
          <w:rFonts w:ascii="Arial" w:hAnsi="Arial" w:cs="Arial"/>
          <w:bCs/>
          <w:sz w:val="24"/>
          <w:szCs w:val="24"/>
        </w:rPr>
        <w:t xml:space="preserve">by customer class </w:t>
      </w:r>
      <w:r w:rsidR="00BB05E6" w:rsidRPr="009532C4">
        <w:rPr>
          <w:rFonts w:ascii="Arial" w:hAnsi="Arial" w:cs="Arial"/>
          <w:bCs/>
          <w:sz w:val="24"/>
          <w:szCs w:val="24"/>
        </w:rPr>
        <w:t xml:space="preserve">of disposing </w:t>
      </w:r>
      <w:r w:rsidR="007C58E5" w:rsidRPr="009532C4">
        <w:rPr>
          <w:rFonts w:ascii="Arial" w:hAnsi="Arial" w:cs="Arial"/>
          <w:bCs/>
          <w:sz w:val="24"/>
          <w:szCs w:val="24"/>
        </w:rPr>
        <w:t>of Group 1 account balances as compared to not disposing of Group 1 account balances.</w:t>
      </w:r>
      <w:r w:rsidR="00E3440E" w:rsidRPr="009532C4">
        <w:rPr>
          <w:rFonts w:ascii="Arial" w:hAnsi="Arial" w:cs="Arial"/>
          <w:bCs/>
          <w:sz w:val="24"/>
          <w:szCs w:val="24"/>
        </w:rPr>
        <w:t xml:space="preserve"> </w:t>
      </w:r>
    </w:p>
    <w:p w:rsidR="004E6D90" w:rsidRDefault="004E6D90" w:rsidP="004E6D90">
      <w:pPr>
        <w:rPr>
          <w:rFonts w:ascii="Arial" w:hAnsi="Arial" w:cs="Arial"/>
          <w:bCs/>
          <w:sz w:val="24"/>
          <w:szCs w:val="24"/>
        </w:rPr>
      </w:pPr>
    </w:p>
    <w:p w:rsidR="004E6D90" w:rsidRPr="004E6D90" w:rsidRDefault="004E6D90" w:rsidP="004E6D90">
      <w:pPr>
        <w:rPr>
          <w:rFonts w:ascii="Arial" w:hAnsi="Arial" w:cs="Arial"/>
          <w:bCs/>
          <w:sz w:val="24"/>
          <w:szCs w:val="24"/>
        </w:rPr>
      </w:pPr>
    </w:p>
    <w:p w:rsidR="007E41F7" w:rsidRDefault="007E41F7" w:rsidP="00037437">
      <w:pPr>
        <w:ind w:left="720"/>
        <w:jc w:val="both"/>
        <w:rPr>
          <w:rFonts w:ascii="Arial" w:hAnsi="Arial" w:cs="Arial"/>
          <w:b/>
          <w:bCs/>
          <w:sz w:val="24"/>
          <w:szCs w:val="24"/>
          <w:u w:val="single"/>
        </w:rPr>
      </w:pPr>
      <w:r>
        <w:rPr>
          <w:rFonts w:ascii="Arial" w:hAnsi="Arial" w:cs="Arial"/>
          <w:b/>
          <w:bCs/>
          <w:sz w:val="24"/>
          <w:szCs w:val="24"/>
          <w:u w:val="single"/>
        </w:rPr>
        <w:lastRenderedPageBreak/>
        <w:t>Response:</w:t>
      </w:r>
    </w:p>
    <w:p w:rsidR="004C0FC7" w:rsidRDefault="007E41F7" w:rsidP="00037437">
      <w:pPr>
        <w:ind w:left="720"/>
        <w:jc w:val="both"/>
        <w:rPr>
          <w:rFonts w:ascii="Arial" w:hAnsi="Arial" w:cs="Arial"/>
          <w:bCs/>
          <w:sz w:val="24"/>
          <w:szCs w:val="24"/>
        </w:rPr>
      </w:pPr>
      <w:r>
        <w:rPr>
          <w:rFonts w:ascii="Arial" w:hAnsi="Arial" w:cs="Arial"/>
          <w:bCs/>
          <w:sz w:val="24"/>
          <w:szCs w:val="24"/>
        </w:rPr>
        <w:t>NBHDL has discussed the disposition deferral request with Board Staff and while concerns with the disposition of unaudited amounts still exist, NBHDL proposes to rescind its original proposed treatment and has updated the rate generator model for true-up amounts for both 1588 and 1589 and will seek to dispose of the adjusted amounts in this IRM proceeding through rate riders over a 1 year term.</w:t>
      </w:r>
      <w:r w:rsidR="00F00883">
        <w:rPr>
          <w:rFonts w:ascii="Arial" w:hAnsi="Arial" w:cs="Arial"/>
          <w:bCs/>
          <w:sz w:val="24"/>
          <w:szCs w:val="24"/>
        </w:rPr>
        <w:t xml:space="preserve"> </w:t>
      </w:r>
      <w:r w:rsidR="004C0FC7">
        <w:rPr>
          <w:rFonts w:ascii="Arial" w:hAnsi="Arial" w:cs="Arial"/>
          <w:bCs/>
          <w:sz w:val="24"/>
          <w:szCs w:val="24"/>
        </w:rPr>
        <w:t xml:space="preserve">NBHDL has included the adjustments in column “BF” of tab ‘3.Continuity Schedule’ in the Rate Generator Model. Carrying charges in 2017 (column “BQ”) and 2018 (column “BR”) have also been updated to assume the adjustment would be recorded in December 2016 and carrying charges would be applied forward on the total cumulative balance. </w:t>
      </w:r>
    </w:p>
    <w:p w:rsidR="007E41F7" w:rsidRPr="007E41F7" w:rsidRDefault="00F00883" w:rsidP="00037437">
      <w:pPr>
        <w:ind w:left="720"/>
        <w:jc w:val="both"/>
        <w:rPr>
          <w:rFonts w:ascii="Arial" w:hAnsi="Arial" w:cs="Arial"/>
          <w:bCs/>
          <w:sz w:val="24"/>
          <w:szCs w:val="24"/>
        </w:rPr>
      </w:pPr>
      <w:r>
        <w:rPr>
          <w:rFonts w:ascii="Arial" w:hAnsi="Arial" w:cs="Arial"/>
          <w:bCs/>
          <w:sz w:val="24"/>
          <w:szCs w:val="24"/>
        </w:rPr>
        <w:t xml:space="preserve">Total bill impacts continue to fall </w:t>
      </w:r>
      <w:r w:rsidRPr="00F00883">
        <w:rPr>
          <w:rFonts w:ascii="Arial" w:hAnsi="Arial" w:cs="Arial"/>
          <w:bCs/>
          <w:sz w:val="24"/>
          <w:szCs w:val="24"/>
        </w:rPr>
        <w:t>below the rate mitigation threshold and NBHDL considers the proposed rates and applicable disposition periods to be reasonable.</w:t>
      </w:r>
    </w:p>
    <w:p w:rsidR="00BB05E6" w:rsidRDefault="00E3440E" w:rsidP="009532C4">
      <w:pPr>
        <w:pStyle w:val="ListParagraph"/>
        <w:numPr>
          <w:ilvl w:val="0"/>
          <w:numId w:val="3"/>
        </w:numPr>
        <w:rPr>
          <w:rFonts w:ascii="Arial" w:hAnsi="Arial" w:cs="Arial"/>
          <w:bCs/>
          <w:sz w:val="24"/>
          <w:szCs w:val="24"/>
        </w:rPr>
      </w:pPr>
      <w:r w:rsidRPr="009532C4">
        <w:rPr>
          <w:rFonts w:ascii="Arial" w:hAnsi="Arial" w:cs="Arial"/>
          <w:bCs/>
          <w:sz w:val="24"/>
          <w:szCs w:val="24"/>
        </w:rPr>
        <w:t xml:space="preserve">In the customer impacts for the Residential and General Service </w:t>
      </w:r>
      <w:r w:rsidR="004D63D6" w:rsidRPr="009532C4">
        <w:rPr>
          <w:rFonts w:ascii="Arial" w:hAnsi="Arial" w:cs="Arial"/>
          <w:bCs/>
          <w:sz w:val="24"/>
          <w:szCs w:val="24"/>
        </w:rPr>
        <w:t xml:space="preserve">&lt; 50 kW </w:t>
      </w:r>
      <w:r w:rsidRPr="009532C4">
        <w:rPr>
          <w:rFonts w:ascii="Arial" w:hAnsi="Arial" w:cs="Arial"/>
          <w:bCs/>
          <w:sz w:val="24"/>
          <w:szCs w:val="24"/>
        </w:rPr>
        <w:t xml:space="preserve">Customer Classes, please perform the same calculations for customers with retailers. </w:t>
      </w:r>
    </w:p>
    <w:p w:rsidR="007E41F7" w:rsidRDefault="007E41F7" w:rsidP="007E41F7">
      <w:pPr>
        <w:ind w:left="720"/>
        <w:jc w:val="both"/>
        <w:rPr>
          <w:rFonts w:ascii="Arial" w:hAnsi="Arial" w:cs="Arial"/>
          <w:b/>
          <w:bCs/>
          <w:sz w:val="24"/>
          <w:szCs w:val="24"/>
          <w:u w:val="single"/>
        </w:rPr>
      </w:pPr>
      <w:r>
        <w:rPr>
          <w:rFonts w:ascii="Arial" w:hAnsi="Arial" w:cs="Arial"/>
          <w:b/>
          <w:bCs/>
          <w:sz w:val="24"/>
          <w:szCs w:val="24"/>
          <w:u w:val="single"/>
        </w:rPr>
        <w:t>Response:</w:t>
      </w:r>
    </w:p>
    <w:p w:rsidR="007E41F7" w:rsidRPr="00926586" w:rsidRDefault="007E41F7" w:rsidP="007E41F7">
      <w:pPr>
        <w:ind w:left="720"/>
        <w:jc w:val="both"/>
        <w:rPr>
          <w:rFonts w:ascii="Arial" w:hAnsi="Arial" w:cs="Arial"/>
          <w:bCs/>
          <w:sz w:val="24"/>
          <w:szCs w:val="24"/>
        </w:rPr>
      </w:pPr>
      <w:r>
        <w:rPr>
          <w:rFonts w:ascii="Arial" w:hAnsi="Arial" w:cs="Arial"/>
          <w:bCs/>
          <w:sz w:val="24"/>
          <w:szCs w:val="24"/>
        </w:rPr>
        <w:t>Please see response to Q2 a). Based on this revision, NBHDL does not believe this calculation is required.</w:t>
      </w:r>
    </w:p>
    <w:p w:rsidR="00BB05E6" w:rsidRDefault="00BB05E6" w:rsidP="00BB05E6">
      <w:pPr>
        <w:rPr>
          <w:rFonts w:ascii="Arial" w:hAnsi="Arial" w:cs="Arial"/>
          <w:bCs/>
          <w:sz w:val="24"/>
          <w:szCs w:val="24"/>
        </w:rPr>
      </w:pPr>
    </w:p>
    <w:p w:rsidR="00855259" w:rsidRDefault="00855259" w:rsidP="00855259">
      <w:pPr>
        <w:rPr>
          <w:rFonts w:ascii="Arial" w:hAnsi="Arial" w:cs="Arial"/>
          <w:b/>
          <w:sz w:val="24"/>
          <w:szCs w:val="24"/>
        </w:rPr>
      </w:pPr>
      <w:r w:rsidRPr="00A87532">
        <w:rPr>
          <w:rFonts w:ascii="Arial" w:hAnsi="Arial" w:cs="Arial"/>
          <w:b/>
          <w:sz w:val="24"/>
          <w:szCs w:val="24"/>
        </w:rPr>
        <w:t>OEB Staff Question #</w:t>
      </w:r>
      <w:r>
        <w:rPr>
          <w:rFonts w:ascii="Arial" w:hAnsi="Arial" w:cs="Arial"/>
          <w:b/>
          <w:sz w:val="24"/>
          <w:szCs w:val="24"/>
        </w:rPr>
        <w:t>3</w:t>
      </w:r>
    </w:p>
    <w:p w:rsidR="00855259" w:rsidRDefault="00855259" w:rsidP="00855259">
      <w:pPr>
        <w:ind w:left="1440" w:hanging="1440"/>
        <w:rPr>
          <w:rFonts w:ascii="Arial" w:hAnsi="Arial" w:cs="Arial"/>
          <w:b/>
          <w:bCs/>
          <w:sz w:val="24"/>
          <w:szCs w:val="24"/>
        </w:rPr>
      </w:pPr>
      <w:r>
        <w:rPr>
          <w:rFonts w:ascii="Arial" w:hAnsi="Arial" w:cs="Arial"/>
          <w:b/>
          <w:bCs/>
          <w:sz w:val="24"/>
          <w:szCs w:val="24"/>
        </w:rPr>
        <w:t>References:</w:t>
      </w:r>
      <w:r>
        <w:rPr>
          <w:rFonts w:ascii="Arial" w:hAnsi="Arial" w:cs="Arial"/>
          <w:b/>
          <w:bCs/>
          <w:sz w:val="24"/>
          <w:szCs w:val="24"/>
        </w:rPr>
        <w:tab/>
        <w:t>2018 IRM Model – Continuity Schedule (</w:t>
      </w:r>
      <w:proofErr w:type="gramStart"/>
      <w:r>
        <w:rPr>
          <w:rFonts w:ascii="Arial" w:hAnsi="Arial" w:cs="Arial"/>
          <w:b/>
          <w:bCs/>
          <w:sz w:val="24"/>
          <w:szCs w:val="24"/>
        </w:rPr>
        <w:t>Sheet  #</w:t>
      </w:r>
      <w:proofErr w:type="gramEnd"/>
      <w:r>
        <w:rPr>
          <w:rFonts w:ascii="Arial" w:hAnsi="Arial" w:cs="Arial"/>
          <w:b/>
          <w:bCs/>
          <w:sz w:val="24"/>
          <w:szCs w:val="24"/>
        </w:rPr>
        <w:t>3)</w:t>
      </w:r>
    </w:p>
    <w:p w:rsidR="00855259" w:rsidRDefault="00855259" w:rsidP="00855259">
      <w:pPr>
        <w:rPr>
          <w:rFonts w:ascii="Arial" w:hAnsi="Arial" w:cs="Arial"/>
          <w:bCs/>
          <w:sz w:val="24"/>
          <w:szCs w:val="24"/>
        </w:rPr>
      </w:pPr>
      <w:r>
        <w:rPr>
          <w:rFonts w:ascii="Arial" w:hAnsi="Arial" w:cs="Arial"/>
          <w:bCs/>
          <w:sz w:val="24"/>
          <w:szCs w:val="24"/>
        </w:rPr>
        <w:t>In the 2018 continuity schedule, North Bay</w:t>
      </w:r>
      <w:r w:rsidR="009C1E25">
        <w:rPr>
          <w:rFonts w:ascii="Arial" w:hAnsi="Arial" w:cs="Arial"/>
          <w:bCs/>
          <w:sz w:val="24"/>
          <w:szCs w:val="24"/>
        </w:rPr>
        <w:t xml:space="preserve"> Hydro</w:t>
      </w:r>
      <w:r>
        <w:rPr>
          <w:rFonts w:ascii="Arial" w:hAnsi="Arial" w:cs="Arial"/>
          <w:bCs/>
          <w:sz w:val="24"/>
          <w:szCs w:val="24"/>
        </w:rPr>
        <w:t xml:space="preserve"> has recorded an LRAM</w:t>
      </w:r>
      <w:r w:rsidR="009C1E25">
        <w:rPr>
          <w:rFonts w:ascii="Arial" w:hAnsi="Arial" w:cs="Arial"/>
          <w:bCs/>
          <w:sz w:val="24"/>
          <w:szCs w:val="24"/>
        </w:rPr>
        <w:t>VA</w:t>
      </w:r>
      <w:r>
        <w:rPr>
          <w:rFonts w:ascii="Arial" w:hAnsi="Arial" w:cs="Arial"/>
          <w:bCs/>
          <w:sz w:val="24"/>
          <w:szCs w:val="24"/>
        </w:rPr>
        <w:t xml:space="preserve"> disposition amount of $190,949, consisting of a principal amount of $184,734 and an interest amount of $6,215.  In its 2017 IRM decision, the OEB approved a debit balance of $191,584, consisting of a principal amount of $185,405 and an interest amount of $6,179.</w:t>
      </w:r>
    </w:p>
    <w:p w:rsidR="00855259" w:rsidRDefault="00855259" w:rsidP="00855259">
      <w:pPr>
        <w:rPr>
          <w:rFonts w:ascii="Arial" w:hAnsi="Arial" w:cs="Arial"/>
          <w:bCs/>
          <w:sz w:val="24"/>
          <w:szCs w:val="24"/>
        </w:rPr>
      </w:pPr>
      <w:r>
        <w:rPr>
          <w:rFonts w:ascii="Arial" w:hAnsi="Arial" w:cs="Arial"/>
          <w:bCs/>
          <w:sz w:val="24"/>
          <w:szCs w:val="24"/>
        </w:rPr>
        <w:t>Please reconcile the differences and update the continuity schedule if necessary.</w:t>
      </w:r>
    </w:p>
    <w:p w:rsidR="007E41F7" w:rsidRDefault="007E41F7" w:rsidP="007E41F7">
      <w:pPr>
        <w:ind w:left="720"/>
        <w:jc w:val="both"/>
        <w:rPr>
          <w:rFonts w:ascii="Arial" w:hAnsi="Arial" w:cs="Arial"/>
          <w:b/>
          <w:bCs/>
          <w:sz w:val="24"/>
          <w:szCs w:val="24"/>
          <w:u w:val="single"/>
        </w:rPr>
      </w:pPr>
      <w:r>
        <w:rPr>
          <w:rFonts w:ascii="Arial" w:hAnsi="Arial" w:cs="Arial"/>
          <w:b/>
          <w:bCs/>
          <w:sz w:val="24"/>
          <w:szCs w:val="24"/>
          <w:u w:val="single"/>
        </w:rPr>
        <w:t>Response:</w:t>
      </w:r>
    </w:p>
    <w:p w:rsidR="004D63D6" w:rsidRDefault="00935DFE" w:rsidP="00037437">
      <w:pPr>
        <w:ind w:left="720"/>
        <w:jc w:val="both"/>
        <w:rPr>
          <w:rFonts w:ascii="Arial" w:hAnsi="Arial" w:cs="Arial"/>
          <w:bCs/>
          <w:sz w:val="24"/>
          <w:szCs w:val="24"/>
        </w:rPr>
      </w:pPr>
      <w:r>
        <w:rPr>
          <w:rFonts w:ascii="Arial" w:hAnsi="Arial" w:cs="Arial"/>
          <w:bCs/>
          <w:sz w:val="24"/>
          <w:szCs w:val="24"/>
        </w:rPr>
        <w:t>In its 2017 IRM decision, the OEB approved balance consisted of an amount owing to the GS &gt;3,000 customer class of $6</w:t>
      </w:r>
      <w:r w:rsidR="00B56340">
        <w:rPr>
          <w:rFonts w:ascii="Arial" w:hAnsi="Arial" w:cs="Arial"/>
          <w:bCs/>
          <w:sz w:val="24"/>
          <w:szCs w:val="24"/>
        </w:rPr>
        <w:t>71, plus carrying charges. At the end of 2016, NBHDL had not recorded this amount due to</w:t>
      </w:r>
      <w:r w:rsidR="007E41F7" w:rsidRPr="007E41F7">
        <w:rPr>
          <w:rFonts w:ascii="Arial" w:hAnsi="Arial" w:cs="Arial"/>
          <w:bCs/>
          <w:sz w:val="24"/>
          <w:szCs w:val="24"/>
        </w:rPr>
        <w:t xml:space="preserve"> the materiality</w:t>
      </w:r>
      <w:r w:rsidR="00B56340">
        <w:rPr>
          <w:rFonts w:ascii="Arial" w:hAnsi="Arial" w:cs="Arial"/>
          <w:bCs/>
          <w:sz w:val="24"/>
          <w:szCs w:val="24"/>
        </w:rPr>
        <w:t xml:space="preserve">. When the Decision and Rate Order was issued on March 30, 2017, NBHDL recorded the </w:t>
      </w:r>
      <w:r w:rsidR="00B56340">
        <w:rPr>
          <w:rFonts w:ascii="Arial" w:hAnsi="Arial" w:cs="Arial"/>
          <w:bCs/>
          <w:sz w:val="24"/>
          <w:szCs w:val="24"/>
        </w:rPr>
        <w:lastRenderedPageBreak/>
        <w:t>additional amounts in fiscal year 2017. The disposition amount and rate rider were subsequently disposed in</w:t>
      </w:r>
      <w:r w:rsidR="004C0FC7">
        <w:rPr>
          <w:rFonts w:ascii="Arial" w:hAnsi="Arial" w:cs="Arial"/>
          <w:bCs/>
          <w:sz w:val="24"/>
          <w:szCs w:val="24"/>
        </w:rPr>
        <w:t xml:space="preserve"> accordance with the decision</w:t>
      </w:r>
      <w:r w:rsidR="00B56340">
        <w:rPr>
          <w:rFonts w:ascii="Arial" w:hAnsi="Arial" w:cs="Arial"/>
          <w:bCs/>
          <w:sz w:val="24"/>
          <w:szCs w:val="24"/>
        </w:rPr>
        <w:t>. NBHDL has updated the continuity schedule to reflect this adjusted amount in cells “BM43” and “BN43” to reconcile to the OEB approved balance, however, an additional adjustment was included in cell “BQ43” in order to ensure that the net claim for this was $0 and that the 2016 balance reconciled to the amount submitted in the 2016 RRR filing.</w:t>
      </w:r>
    </w:p>
    <w:p w:rsidR="00BD7D8C" w:rsidRPr="009532C4" w:rsidRDefault="00E72855" w:rsidP="00855259">
      <w:pPr>
        <w:rPr>
          <w:rFonts w:ascii="Arial" w:hAnsi="Arial" w:cs="Arial"/>
          <w:b/>
          <w:bCs/>
          <w:sz w:val="24"/>
          <w:szCs w:val="24"/>
        </w:rPr>
      </w:pPr>
      <w:r w:rsidRPr="009532C4">
        <w:rPr>
          <w:rFonts w:ascii="Arial" w:hAnsi="Arial" w:cs="Arial"/>
          <w:b/>
          <w:bCs/>
          <w:sz w:val="24"/>
          <w:szCs w:val="24"/>
        </w:rPr>
        <w:t>OEB Staff Question #4</w:t>
      </w:r>
    </w:p>
    <w:p w:rsidR="009C1E25" w:rsidRDefault="009C1E25" w:rsidP="006B30EA">
      <w:pPr>
        <w:rPr>
          <w:rFonts w:ascii="Arial" w:hAnsi="Arial" w:cs="Arial"/>
          <w:bCs/>
          <w:sz w:val="24"/>
          <w:szCs w:val="24"/>
        </w:rPr>
      </w:pPr>
      <w:r>
        <w:rPr>
          <w:rFonts w:ascii="Arial" w:hAnsi="Arial" w:cs="Arial"/>
          <w:bCs/>
          <w:sz w:val="24"/>
          <w:szCs w:val="24"/>
        </w:rPr>
        <w:t xml:space="preserve">As Per the OEBs Accounting Guidance on the Disposition of Accounts 1588 and 1589 issued May 23, 2017: </w:t>
      </w:r>
    </w:p>
    <w:p w:rsidR="00670D22" w:rsidRDefault="00670D22" w:rsidP="00670D22">
      <w:pPr>
        <w:pStyle w:val="Default"/>
      </w:pPr>
    </w:p>
    <w:p w:rsidR="00670D22" w:rsidRDefault="00670D22" w:rsidP="009532C4">
      <w:pPr>
        <w:ind w:left="720"/>
        <w:rPr>
          <w:rFonts w:ascii="Arial" w:hAnsi="Arial" w:cs="Arial"/>
          <w:bCs/>
          <w:sz w:val="24"/>
          <w:szCs w:val="24"/>
        </w:rPr>
      </w:pPr>
      <w:r>
        <w:rPr>
          <w:rFonts w:ascii="Arial" w:hAnsi="Arial" w:cs="Arial"/>
          <w:bCs/>
          <w:sz w:val="24"/>
          <w:szCs w:val="24"/>
        </w:rPr>
        <w:t xml:space="preserve">The OEB requires distributors to </w:t>
      </w:r>
      <w:r w:rsidRPr="009532C4">
        <w:rPr>
          <w:rFonts w:ascii="Arial" w:hAnsi="Arial" w:cs="Arial"/>
          <w:bCs/>
          <w:sz w:val="24"/>
          <w:szCs w:val="24"/>
        </w:rPr>
        <w:t>complete RPP settlement true-up claims and to reflect these true-ups in the account balances being requested for disposition, before filing for disposition of the RSVA Power (1588) and Global Adjustment (1589) variance accounts.</w:t>
      </w:r>
    </w:p>
    <w:p w:rsidR="00670D22" w:rsidRDefault="00670D22" w:rsidP="009532C4">
      <w:pPr>
        <w:ind w:left="720"/>
        <w:rPr>
          <w:rFonts w:ascii="Arial" w:hAnsi="Arial" w:cs="Arial"/>
          <w:bCs/>
          <w:sz w:val="24"/>
          <w:szCs w:val="24"/>
        </w:rPr>
      </w:pPr>
      <w:r>
        <w:rPr>
          <w:rFonts w:ascii="Arial" w:hAnsi="Arial" w:cs="Arial"/>
          <w:bCs/>
          <w:sz w:val="24"/>
          <w:szCs w:val="24"/>
        </w:rPr>
        <w:t>…</w:t>
      </w:r>
    </w:p>
    <w:p w:rsidR="00670D22" w:rsidRDefault="00670D22" w:rsidP="00670D22">
      <w:pPr>
        <w:pStyle w:val="Default"/>
      </w:pPr>
    </w:p>
    <w:p w:rsidR="00670D22" w:rsidRPr="009532C4" w:rsidRDefault="00670D22" w:rsidP="009532C4">
      <w:pPr>
        <w:ind w:left="720"/>
        <w:rPr>
          <w:rFonts w:ascii="Arial" w:hAnsi="Arial" w:cs="Arial"/>
          <w:bCs/>
          <w:sz w:val="24"/>
          <w:szCs w:val="24"/>
        </w:rPr>
      </w:pPr>
      <w:r w:rsidRPr="009532C4">
        <w:rPr>
          <w:rFonts w:ascii="Arial" w:hAnsi="Arial" w:cs="Arial"/>
          <w:bCs/>
          <w:sz w:val="24"/>
          <w:szCs w:val="24"/>
        </w:rPr>
        <w:t xml:space="preserve">The balances in distributors’ RSVA Power (1588) and Global Adjustment (1589) variance accounts that are requested for disposition by distributors must reflect RPP settlement amounts pertaining to the period that is being requested for disposition. This means that RPP settlement true-up claims made with the IESO in the period subsequent to the fiscal year for which disposition is being requested must be reflected in the balances being requested for disposition. </w:t>
      </w:r>
    </w:p>
    <w:p w:rsidR="00670D22" w:rsidRDefault="00670D22" w:rsidP="009532C4">
      <w:pPr>
        <w:ind w:left="720"/>
        <w:rPr>
          <w:rFonts w:ascii="Arial" w:hAnsi="Arial" w:cs="Arial"/>
          <w:bCs/>
          <w:sz w:val="24"/>
          <w:szCs w:val="24"/>
        </w:rPr>
      </w:pPr>
    </w:p>
    <w:p w:rsidR="006B30EA" w:rsidRDefault="009C1E25" w:rsidP="00EA7295">
      <w:pPr>
        <w:rPr>
          <w:rFonts w:ascii="Arial" w:hAnsi="Arial" w:cs="Arial"/>
          <w:sz w:val="24"/>
          <w:szCs w:val="24"/>
        </w:rPr>
      </w:pPr>
      <w:r w:rsidRPr="009532C4">
        <w:rPr>
          <w:rFonts w:ascii="Arial" w:hAnsi="Arial" w:cs="Arial"/>
          <w:sz w:val="24"/>
          <w:szCs w:val="24"/>
        </w:rPr>
        <w:t>North Bay Hydro</w:t>
      </w:r>
      <w:r>
        <w:rPr>
          <w:rFonts w:ascii="Arial" w:hAnsi="Arial" w:cs="Arial"/>
          <w:sz w:val="24"/>
          <w:szCs w:val="24"/>
        </w:rPr>
        <w:t xml:space="preserve"> stated in its Managers Summary that</w:t>
      </w:r>
      <w:r w:rsidR="006B30EA">
        <w:rPr>
          <w:rFonts w:ascii="Arial" w:hAnsi="Arial" w:cs="Arial"/>
          <w:sz w:val="24"/>
          <w:szCs w:val="24"/>
        </w:rPr>
        <w:t xml:space="preserve"> it will be revising its year-end settlement procedures to address this new guidance, The applicant however would like to ensure that balances requested for disposition agree with the audited financial statements and requests not to make such adjustments for 2016, but rather defer the disposal of accounts 1588 and 1589 until it has updated i</w:t>
      </w:r>
      <w:r w:rsidR="004D63D6">
        <w:rPr>
          <w:rFonts w:ascii="Arial" w:hAnsi="Arial" w:cs="Arial"/>
          <w:sz w:val="24"/>
          <w:szCs w:val="24"/>
        </w:rPr>
        <w:t>t</w:t>
      </w:r>
      <w:r w:rsidR="006B30EA">
        <w:rPr>
          <w:rFonts w:ascii="Arial" w:hAnsi="Arial" w:cs="Arial"/>
          <w:sz w:val="24"/>
          <w:szCs w:val="24"/>
        </w:rPr>
        <w:t xml:space="preserve">s settlement procedures so that the amounts requested for disposition align with the audited financial statements. </w:t>
      </w:r>
    </w:p>
    <w:p w:rsidR="009532C4" w:rsidRPr="00037437" w:rsidRDefault="006B30EA" w:rsidP="00C715D9">
      <w:pPr>
        <w:pStyle w:val="ListParagraph"/>
        <w:numPr>
          <w:ilvl w:val="0"/>
          <w:numId w:val="4"/>
        </w:numPr>
        <w:rPr>
          <w:rFonts w:ascii="Arial" w:hAnsi="Arial" w:cs="Arial"/>
          <w:bCs/>
          <w:sz w:val="24"/>
          <w:szCs w:val="24"/>
        </w:rPr>
      </w:pPr>
      <w:r w:rsidRPr="00C715D9">
        <w:rPr>
          <w:rFonts w:ascii="Arial" w:hAnsi="Arial" w:cs="Arial"/>
          <w:sz w:val="24"/>
          <w:szCs w:val="24"/>
        </w:rPr>
        <w:t xml:space="preserve">Please </w:t>
      </w:r>
      <w:r w:rsidR="00E3440E" w:rsidRPr="00C715D9">
        <w:rPr>
          <w:rFonts w:ascii="Arial" w:hAnsi="Arial" w:cs="Arial"/>
          <w:sz w:val="24"/>
          <w:szCs w:val="24"/>
        </w:rPr>
        <w:t xml:space="preserve">confirm that North Bay Hydro performs RPP settlement true-ups with the IESO. If not, please explain. </w:t>
      </w:r>
    </w:p>
    <w:p w:rsidR="00B56340" w:rsidRDefault="00B56340" w:rsidP="00037437">
      <w:pPr>
        <w:ind w:left="720"/>
        <w:rPr>
          <w:rFonts w:ascii="Arial" w:hAnsi="Arial" w:cs="Arial"/>
          <w:b/>
          <w:bCs/>
          <w:sz w:val="24"/>
          <w:szCs w:val="24"/>
          <w:u w:val="single"/>
        </w:rPr>
      </w:pPr>
      <w:r>
        <w:rPr>
          <w:rFonts w:ascii="Arial" w:hAnsi="Arial" w:cs="Arial"/>
          <w:b/>
          <w:bCs/>
          <w:sz w:val="24"/>
          <w:szCs w:val="24"/>
          <w:u w:val="single"/>
        </w:rPr>
        <w:t>Response:</w:t>
      </w:r>
    </w:p>
    <w:p w:rsidR="00B56340" w:rsidRPr="00037437" w:rsidRDefault="00B56340" w:rsidP="00037437">
      <w:pPr>
        <w:ind w:left="720"/>
        <w:rPr>
          <w:rFonts w:ascii="Arial" w:hAnsi="Arial" w:cs="Arial"/>
          <w:bCs/>
          <w:sz w:val="24"/>
          <w:szCs w:val="24"/>
        </w:rPr>
      </w:pPr>
      <w:r>
        <w:rPr>
          <w:rFonts w:ascii="Arial" w:hAnsi="Arial" w:cs="Arial"/>
          <w:bCs/>
          <w:sz w:val="24"/>
          <w:szCs w:val="24"/>
        </w:rPr>
        <w:t xml:space="preserve">NBHDL confirms that it performs RPP settlement true-ups with the IESO on a monthly basis. </w:t>
      </w:r>
    </w:p>
    <w:p w:rsidR="00315680" w:rsidRPr="00037437" w:rsidRDefault="00E3440E" w:rsidP="00C715D9">
      <w:pPr>
        <w:pStyle w:val="ListParagraph"/>
        <w:numPr>
          <w:ilvl w:val="0"/>
          <w:numId w:val="4"/>
        </w:numPr>
        <w:rPr>
          <w:rFonts w:ascii="Arial" w:hAnsi="Arial" w:cs="Arial"/>
          <w:bCs/>
          <w:sz w:val="24"/>
          <w:szCs w:val="24"/>
        </w:rPr>
      </w:pPr>
      <w:r w:rsidRPr="00C715D9">
        <w:rPr>
          <w:rFonts w:ascii="Arial" w:hAnsi="Arial" w:cs="Arial"/>
          <w:sz w:val="24"/>
          <w:szCs w:val="24"/>
        </w:rPr>
        <w:lastRenderedPageBreak/>
        <w:t xml:space="preserve">If North Bay Hydro does perform RPP settlement true-ups please </w:t>
      </w:r>
      <w:r w:rsidR="006B30EA" w:rsidRPr="00C715D9">
        <w:rPr>
          <w:rFonts w:ascii="Arial" w:hAnsi="Arial" w:cs="Arial"/>
          <w:sz w:val="24"/>
          <w:szCs w:val="24"/>
        </w:rPr>
        <w:t xml:space="preserve">provide an itemized list of </w:t>
      </w:r>
      <w:r w:rsidRPr="00C715D9">
        <w:rPr>
          <w:rFonts w:ascii="Arial" w:hAnsi="Arial" w:cs="Arial"/>
          <w:sz w:val="24"/>
          <w:szCs w:val="24"/>
        </w:rPr>
        <w:t xml:space="preserve">each of the elements of the </w:t>
      </w:r>
      <w:r w:rsidR="006B30EA" w:rsidRPr="00C715D9">
        <w:rPr>
          <w:rFonts w:ascii="Arial" w:hAnsi="Arial" w:cs="Arial"/>
          <w:sz w:val="24"/>
          <w:szCs w:val="24"/>
        </w:rPr>
        <w:t>RPP Settlement true-up amounts that were recorded in 2017 that relate to 2016</w:t>
      </w:r>
      <w:r w:rsidRPr="00C715D9">
        <w:rPr>
          <w:rFonts w:ascii="Arial" w:hAnsi="Arial" w:cs="Arial"/>
          <w:sz w:val="24"/>
          <w:szCs w:val="24"/>
        </w:rPr>
        <w:t xml:space="preserve"> for both accounts 1588 and 1589 and explain how the true-ups are calculated. </w:t>
      </w:r>
      <w:r w:rsidR="006B30EA" w:rsidRPr="00C715D9">
        <w:rPr>
          <w:rFonts w:ascii="Arial" w:hAnsi="Arial" w:cs="Arial"/>
          <w:sz w:val="24"/>
          <w:szCs w:val="24"/>
        </w:rPr>
        <w:t xml:space="preserve"> </w:t>
      </w:r>
    </w:p>
    <w:p w:rsidR="00B56340" w:rsidRDefault="00B56340" w:rsidP="00037437">
      <w:pPr>
        <w:pStyle w:val="ListParagraph"/>
        <w:rPr>
          <w:rFonts w:ascii="Arial" w:hAnsi="Arial" w:cs="Arial"/>
          <w:b/>
          <w:bCs/>
          <w:sz w:val="24"/>
          <w:szCs w:val="24"/>
          <w:u w:val="single"/>
        </w:rPr>
      </w:pPr>
    </w:p>
    <w:p w:rsidR="00B56340" w:rsidRDefault="00B56340" w:rsidP="00B56340">
      <w:pPr>
        <w:ind w:left="720"/>
        <w:rPr>
          <w:rFonts w:ascii="Arial" w:hAnsi="Arial" w:cs="Arial"/>
          <w:b/>
          <w:bCs/>
          <w:sz w:val="24"/>
          <w:szCs w:val="24"/>
          <w:u w:val="single"/>
        </w:rPr>
      </w:pPr>
      <w:r>
        <w:rPr>
          <w:rFonts w:ascii="Arial" w:hAnsi="Arial" w:cs="Arial"/>
          <w:b/>
          <w:bCs/>
          <w:sz w:val="24"/>
          <w:szCs w:val="24"/>
          <w:u w:val="single"/>
        </w:rPr>
        <w:t>Response:</w:t>
      </w:r>
    </w:p>
    <w:p w:rsidR="00CC6713" w:rsidRDefault="004933E0" w:rsidP="00037437">
      <w:pPr>
        <w:pStyle w:val="ListParagraph"/>
        <w:jc w:val="both"/>
        <w:rPr>
          <w:rFonts w:ascii="Arial" w:hAnsi="Arial" w:cs="Arial"/>
          <w:bCs/>
          <w:sz w:val="24"/>
          <w:szCs w:val="24"/>
        </w:rPr>
      </w:pPr>
      <w:r>
        <w:rPr>
          <w:rFonts w:ascii="Arial" w:hAnsi="Arial" w:cs="Arial"/>
          <w:bCs/>
          <w:sz w:val="24"/>
          <w:szCs w:val="24"/>
        </w:rPr>
        <w:t>NBDHL perform</w:t>
      </w:r>
      <w:r w:rsidR="00F31833">
        <w:rPr>
          <w:rFonts w:ascii="Arial" w:hAnsi="Arial" w:cs="Arial"/>
          <w:bCs/>
          <w:sz w:val="24"/>
          <w:szCs w:val="24"/>
        </w:rPr>
        <w:t>s</w:t>
      </w:r>
      <w:r>
        <w:rPr>
          <w:rFonts w:ascii="Arial" w:hAnsi="Arial" w:cs="Arial"/>
          <w:bCs/>
          <w:sz w:val="24"/>
          <w:szCs w:val="24"/>
        </w:rPr>
        <w:t xml:space="preserve"> RPP settlement true-ups on a monthly basis. </w:t>
      </w:r>
      <w:r w:rsidR="00135AA5">
        <w:rPr>
          <w:rFonts w:ascii="Arial" w:hAnsi="Arial" w:cs="Arial"/>
          <w:bCs/>
          <w:sz w:val="24"/>
          <w:szCs w:val="24"/>
        </w:rPr>
        <w:t>The following listing makes up the elements of the RPP settlement true-up amounts that were recorded in</w:t>
      </w:r>
      <w:r w:rsidR="00F31833">
        <w:rPr>
          <w:rFonts w:ascii="Arial" w:hAnsi="Arial" w:cs="Arial"/>
          <w:bCs/>
          <w:sz w:val="24"/>
          <w:szCs w:val="24"/>
        </w:rPr>
        <w:t xml:space="preserve"> 2017 </w:t>
      </w:r>
      <w:r w:rsidR="00135AA5">
        <w:rPr>
          <w:rFonts w:ascii="Arial" w:hAnsi="Arial" w:cs="Arial"/>
          <w:bCs/>
          <w:sz w:val="24"/>
          <w:szCs w:val="24"/>
        </w:rPr>
        <w:t xml:space="preserve">that </w:t>
      </w:r>
      <w:r w:rsidR="00F31833">
        <w:rPr>
          <w:rFonts w:ascii="Arial" w:hAnsi="Arial" w:cs="Arial"/>
          <w:bCs/>
          <w:sz w:val="24"/>
          <w:szCs w:val="24"/>
        </w:rPr>
        <w:t>relate to 2016</w:t>
      </w:r>
      <w:r w:rsidR="00135AA5">
        <w:rPr>
          <w:rFonts w:ascii="Arial" w:hAnsi="Arial" w:cs="Arial"/>
          <w:bCs/>
          <w:sz w:val="24"/>
          <w:szCs w:val="24"/>
        </w:rPr>
        <w:t>.</w:t>
      </w:r>
    </w:p>
    <w:p w:rsidR="00CC6713" w:rsidRPr="00F31833" w:rsidRDefault="004933E0" w:rsidP="00037437">
      <w:pPr>
        <w:pStyle w:val="ListParagraph"/>
        <w:jc w:val="both"/>
        <w:rPr>
          <w:rFonts w:ascii="Arial" w:hAnsi="Arial" w:cs="Arial"/>
          <w:bCs/>
          <w:sz w:val="24"/>
          <w:szCs w:val="24"/>
          <w:u w:val="single"/>
        </w:rPr>
      </w:pPr>
      <w:r w:rsidRPr="00F31833">
        <w:rPr>
          <w:rFonts w:ascii="Arial" w:hAnsi="Arial" w:cs="Arial"/>
          <w:bCs/>
          <w:sz w:val="24"/>
          <w:szCs w:val="24"/>
          <w:u w:val="single"/>
        </w:rPr>
        <w:t>1588</w:t>
      </w:r>
    </w:p>
    <w:p w:rsidR="009C12EE" w:rsidRPr="009C12EE" w:rsidRDefault="004933E0" w:rsidP="009C12EE">
      <w:pPr>
        <w:pStyle w:val="ListParagraph"/>
        <w:jc w:val="both"/>
        <w:rPr>
          <w:rFonts w:ascii="Arial" w:hAnsi="Arial" w:cs="Arial"/>
          <w:bCs/>
          <w:i/>
          <w:sz w:val="24"/>
          <w:szCs w:val="24"/>
        </w:rPr>
      </w:pPr>
      <w:r w:rsidRPr="009C12EE">
        <w:rPr>
          <w:rFonts w:ascii="Arial" w:hAnsi="Arial" w:cs="Arial"/>
          <w:bCs/>
          <w:i/>
          <w:sz w:val="24"/>
          <w:szCs w:val="24"/>
        </w:rPr>
        <w:t>Revenue</w:t>
      </w:r>
    </w:p>
    <w:p w:rsidR="009C12EE" w:rsidRDefault="009C12EE" w:rsidP="009C12EE">
      <w:pPr>
        <w:pStyle w:val="ListParagraph"/>
        <w:jc w:val="both"/>
        <w:rPr>
          <w:rFonts w:ascii="Arial" w:hAnsi="Arial" w:cs="Arial"/>
          <w:bCs/>
          <w:sz w:val="24"/>
          <w:szCs w:val="24"/>
        </w:rPr>
      </w:pPr>
      <w:r>
        <w:rPr>
          <w:rFonts w:ascii="Arial" w:hAnsi="Arial" w:cs="Arial"/>
          <w:bCs/>
          <w:sz w:val="24"/>
          <w:szCs w:val="24"/>
        </w:rPr>
        <w:t xml:space="preserve">A </w:t>
      </w:r>
      <w:r w:rsidR="00CC6713">
        <w:rPr>
          <w:rFonts w:ascii="Arial" w:hAnsi="Arial" w:cs="Arial"/>
          <w:bCs/>
          <w:sz w:val="24"/>
          <w:szCs w:val="24"/>
        </w:rPr>
        <w:t xml:space="preserve">reconciliation </w:t>
      </w:r>
      <w:r>
        <w:rPr>
          <w:rFonts w:ascii="Arial" w:hAnsi="Arial" w:cs="Arial"/>
          <w:bCs/>
          <w:sz w:val="24"/>
          <w:szCs w:val="24"/>
        </w:rPr>
        <w:t>is completed based on the variance between</w:t>
      </w:r>
      <w:r w:rsidR="00CC6713">
        <w:rPr>
          <w:rFonts w:ascii="Arial" w:hAnsi="Arial" w:cs="Arial"/>
          <w:bCs/>
          <w:sz w:val="24"/>
          <w:szCs w:val="24"/>
        </w:rPr>
        <w:t xml:space="preserve"> </w:t>
      </w:r>
      <w:proofErr w:type="gramStart"/>
      <w:r w:rsidR="00CC6713">
        <w:rPr>
          <w:rFonts w:ascii="Arial" w:hAnsi="Arial" w:cs="Arial"/>
          <w:bCs/>
          <w:sz w:val="24"/>
          <w:szCs w:val="24"/>
        </w:rPr>
        <w:t>estimate</w:t>
      </w:r>
      <w:proofErr w:type="gramEnd"/>
      <w:r w:rsidR="00CC6713">
        <w:rPr>
          <w:rFonts w:ascii="Arial" w:hAnsi="Arial" w:cs="Arial"/>
          <w:bCs/>
          <w:sz w:val="24"/>
          <w:szCs w:val="24"/>
        </w:rPr>
        <w:t xml:space="preserve"> vs. actual consumption</w:t>
      </w:r>
      <w:r>
        <w:rPr>
          <w:rFonts w:ascii="Arial" w:hAnsi="Arial" w:cs="Arial"/>
          <w:bCs/>
          <w:sz w:val="24"/>
          <w:szCs w:val="24"/>
        </w:rPr>
        <w:t xml:space="preserve"> billed </w:t>
      </w:r>
      <w:r w:rsidR="00CC6713">
        <w:rPr>
          <w:rFonts w:ascii="Arial" w:hAnsi="Arial" w:cs="Arial"/>
          <w:bCs/>
          <w:sz w:val="24"/>
          <w:szCs w:val="24"/>
        </w:rPr>
        <w:t>by TOU / tier buckets</w:t>
      </w:r>
      <w:r>
        <w:rPr>
          <w:rFonts w:ascii="Arial" w:hAnsi="Arial" w:cs="Arial"/>
          <w:bCs/>
          <w:sz w:val="24"/>
          <w:szCs w:val="24"/>
        </w:rPr>
        <w:t xml:space="preserve">. The true-up amount </w:t>
      </w:r>
      <w:r w:rsidR="00CC6713">
        <w:rPr>
          <w:rFonts w:ascii="Arial" w:hAnsi="Arial" w:cs="Arial"/>
          <w:bCs/>
          <w:sz w:val="24"/>
          <w:szCs w:val="24"/>
        </w:rPr>
        <w:t>captures both volume and rate variances. NBHDL use</w:t>
      </w:r>
      <w:r w:rsidR="00F31833">
        <w:rPr>
          <w:rFonts w:ascii="Arial" w:hAnsi="Arial" w:cs="Arial"/>
          <w:bCs/>
          <w:sz w:val="24"/>
          <w:szCs w:val="24"/>
        </w:rPr>
        <w:t>s</w:t>
      </w:r>
      <w:r w:rsidR="00CC6713">
        <w:rPr>
          <w:rFonts w:ascii="Arial" w:hAnsi="Arial" w:cs="Arial"/>
          <w:bCs/>
          <w:sz w:val="24"/>
          <w:szCs w:val="24"/>
        </w:rPr>
        <w:t xml:space="preserve"> billed revenue dat</w:t>
      </w:r>
      <w:r>
        <w:rPr>
          <w:rFonts w:ascii="Arial" w:hAnsi="Arial" w:cs="Arial"/>
          <w:bCs/>
          <w:sz w:val="24"/>
          <w:szCs w:val="24"/>
        </w:rPr>
        <w:t xml:space="preserve">a to complete this reconciliation each month. Revenue </w:t>
      </w:r>
      <w:r>
        <w:rPr>
          <w:rFonts w:ascii="Arial" w:hAnsi="Arial" w:cs="Arial"/>
          <w:bCs/>
          <w:sz w:val="24"/>
          <w:szCs w:val="24"/>
        </w:rPr>
        <w:t xml:space="preserve">estimates </w:t>
      </w:r>
      <w:r>
        <w:rPr>
          <w:rFonts w:ascii="Arial" w:hAnsi="Arial" w:cs="Arial"/>
          <w:bCs/>
          <w:sz w:val="24"/>
          <w:szCs w:val="24"/>
        </w:rPr>
        <w:t xml:space="preserve">for ISO settlement </w:t>
      </w:r>
      <w:r>
        <w:rPr>
          <w:rFonts w:ascii="Arial" w:hAnsi="Arial" w:cs="Arial"/>
          <w:bCs/>
          <w:sz w:val="24"/>
          <w:szCs w:val="24"/>
        </w:rPr>
        <w:t>are based on prior month usage for January through November and on actual billed data for year-end. Pricing is based on current RPP pricing which is updated based on OEB rate changes.</w:t>
      </w:r>
    </w:p>
    <w:p w:rsidR="009C12EE" w:rsidRPr="009C12EE" w:rsidRDefault="009C12EE" w:rsidP="009C12EE">
      <w:pPr>
        <w:pStyle w:val="ListParagraph"/>
        <w:jc w:val="both"/>
        <w:rPr>
          <w:rFonts w:ascii="Arial" w:hAnsi="Arial" w:cs="Arial"/>
          <w:bCs/>
          <w:i/>
          <w:sz w:val="24"/>
          <w:szCs w:val="24"/>
        </w:rPr>
      </w:pPr>
      <w:r>
        <w:rPr>
          <w:rFonts w:ascii="Arial" w:hAnsi="Arial" w:cs="Arial"/>
          <w:bCs/>
          <w:i/>
          <w:sz w:val="24"/>
          <w:szCs w:val="24"/>
        </w:rPr>
        <w:t>Cost</w:t>
      </w:r>
    </w:p>
    <w:p w:rsidR="009C12EE" w:rsidRDefault="009C12EE" w:rsidP="009C12EE">
      <w:pPr>
        <w:pStyle w:val="ListParagraph"/>
        <w:jc w:val="both"/>
        <w:rPr>
          <w:rFonts w:ascii="Arial" w:hAnsi="Arial" w:cs="Arial"/>
          <w:bCs/>
          <w:sz w:val="24"/>
          <w:szCs w:val="24"/>
        </w:rPr>
      </w:pPr>
      <w:r>
        <w:rPr>
          <w:rFonts w:ascii="Arial" w:hAnsi="Arial" w:cs="Arial"/>
          <w:bCs/>
          <w:sz w:val="24"/>
          <w:szCs w:val="24"/>
        </w:rPr>
        <w:t>NBHDL trues up the cost based on actual billing data compared to the estimate.</w:t>
      </w:r>
      <w:r>
        <w:rPr>
          <w:rFonts w:ascii="Arial" w:hAnsi="Arial" w:cs="Arial"/>
          <w:bCs/>
          <w:sz w:val="24"/>
          <w:szCs w:val="24"/>
        </w:rPr>
        <w:t xml:space="preserve"> The </w:t>
      </w:r>
      <w:r w:rsidRPr="009C12EE">
        <w:rPr>
          <w:rFonts w:ascii="Arial" w:hAnsi="Arial" w:cs="Arial"/>
          <w:bCs/>
          <w:sz w:val="24"/>
          <w:szCs w:val="24"/>
        </w:rPr>
        <w:t>estimate</w:t>
      </w:r>
      <w:r>
        <w:rPr>
          <w:rFonts w:ascii="Arial" w:hAnsi="Arial" w:cs="Arial"/>
          <w:bCs/>
          <w:sz w:val="24"/>
          <w:szCs w:val="24"/>
        </w:rPr>
        <w:t xml:space="preserve"> is</w:t>
      </w:r>
      <w:r w:rsidRPr="009C12EE">
        <w:rPr>
          <w:rFonts w:ascii="Arial" w:hAnsi="Arial" w:cs="Arial"/>
          <w:bCs/>
          <w:sz w:val="24"/>
          <w:szCs w:val="24"/>
        </w:rPr>
        <w:t xml:space="preserve"> base</w:t>
      </w:r>
      <w:r>
        <w:rPr>
          <w:rFonts w:ascii="Arial" w:hAnsi="Arial" w:cs="Arial"/>
          <w:bCs/>
          <w:sz w:val="24"/>
          <w:szCs w:val="24"/>
        </w:rPr>
        <w:t>d</w:t>
      </w:r>
      <w:r w:rsidRPr="009C12EE">
        <w:rPr>
          <w:rFonts w:ascii="Arial" w:hAnsi="Arial" w:cs="Arial"/>
          <w:bCs/>
          <w:sz w:val="24"/>
          <w:szCs w:val="24"/>
        </w:rPr>
        <w:t xml:space="preserve"> on </w:t>
      </w:r>
      <w:r>
        <w:rPr>
          <w:rFonts w:ascii="Arial" w:hAnsi="Arial" w:cs="Arial"/>
          <w:bCs/>
          <w:sz w:val="24"/>
          <w:szCs w:val="24"/>
        </w:rPr>
        <w:t xml:space="preserve">the </w:t>
      </w:r>
      <w:r w:rsidRPr="009C12EE">
        <w:rPr>
          <w:rFonts w:ascii="Arial" w:hAnsi="Arial" w:cs="Arial"/>
          <w:bCs/>
          <w:sz w:val="24"/>
          <w:szCs w:val="24"/>
        </w:rPr>
        <w:t xml:space="preserve">average HOEP for the month in question and uses </w:t>
      </w:r>
      <w:r>
        <w:rPr>
          <w:rFonts w:ascii="Arial" w:hAnsi="Arial" w:cs="Arial"/>
          <w:bCs/>
          <w:sz w:val="24"/>
          <w:szCs w:val="24"/>
        </w:rPr>
        <w:t xml:space="preserve">the </w:t>
      </w:r>
      <w:r w:rsidRPr="009C12EE">
        <w:rPr>
          <w:rFonts w:ascii="Arial" w:hAnsi="Arial" w:cs="Arial"/>
          <w:bCs/>
          <w:sz w:val="24"/>
          <w:szCs w:val="24"/>
        </w:rPr>
        <w:t>same consumption determined in the revenue estimate.</w:t>
      </w:r>
      <w:r>
        <w:rPr>
          <w:rFonts w:ascii="Arial" w:hAnsi="Arial" w:cs="Arial"/>
          <w:bCs/>
          <w:sz w:val="24"/>
          <w:szCs w:val="24"/>
        </w:rPr>
        <w:t xml:space="preserve"> NBHDL’s CIS c</w:t>
      </w:r>
      <w:r>
        <w:rPr>
          <w:rFonts w:ascii="Arial" w:hAnsi="Arial" w:cs="Arial"/>
          <w:bCs/>
          <w:sz w:val="24"/>
          <w:szCs w:val="24"/>
        </w:rPr>
        <w:t>alculates NSLS cost for all RPP customers</w:t>
      </w:r>
      <w:r>
        <w:rPr>
          <w:rFonts w:ascii="Arial" w:hAnsi="Arial" w:cs="Arial"/>
          <w:bCs/>
          <w:sz w:val="24"/>
          <w:szCs w:val="24"/>
        </w:rPr>
        <w:t xml:space="preserve"> for each billing period (this calculation results in a DR/CR calculation for net $0 impact on customer’s bill</w:t>
      </w:r>
      <w:r w:rsidR="005E0336">
        <w:rPr>
          <w:rFonts w:ascii="Arial" w:hAnsi="Arial" w:cs="Arial"/>
          <w:bCs/>
          <w:sz w:val="24"/>
          <w:szCs w:val="24"/>
        </w:rPr>
        <w:t>)</w:t>
      </w:r>
      <w:r>
        <w:rPr>
          <w:rFonts w:ascii="Arial" w:hAnsi="Arial" w:cs="Arial"/>
          <w:bCs/>
          <w:sz w:val="24"/>
          <w:szCs w:val="24"/>
        </w:rPr>
        <w:t>. T</w:t>
      </w:r>
      <w:r>
        <w:rPr>
          <w:rFonts w:ascii="Arial" w:hAnsi="Arial" w:cs="Arial"/>
          <w:bCs/>
          <w:sz w:val="24"/>
          <w:szCs w:val="24"/>
        </w:rPr>
        <w:t xml:space="preserve">he determination of </w:t>
      </w:r>
      <w:r>
        <w:rPr>
          <w:rFonts w:ascii="Arial" w:hAnsi="Arial" w:cs="Arial"/>
          <w:bCs/>
          <w:sz w:val="24"/>
          <w:szCs w:val="24"/>
        </w:rPr>
        <w:t xml:space="preserve">billed </w:t>
      </w:r>
      <w:r>
        <w:rPr>
          <w:rFonts w:ascii="Arial" w:hAnsi="Arial" w:cs="Arial"/>
          <w:bCs/>
          <w:sz w:val="24"/>
          <w:szCs w:val="24"/>
        </w:rPr>
        <w:t xml:space="preserve">cost is then compared to </w:t>
      </w:r>
      <w:r>
        <w:rPr>
          <w:rFonts w:ascii="Arial" w:hAnsi="Arial" w:cs="Arial"/>
          <w:bCs/>
          <w:sz w:val="24"/>
          <w:szCs w:val="24"/>
        </w:rPr>
        <w:t xml:space="preserve">the </w:t>
      </w:r>
      <w:r>
        <w:rPr>
          <w:rFonts w:ascii="Arial" w:hAnsi="Arial" w:cs="Arial"/>
          <w:bCs/>
          <w:sz w:val="24"/>
          <w:szCs w:val="24"/>
        </w:rPr>
        <w:t>estimate for an accurate true-up process.</w:t>
      </w:r>
      <w:r>
        <w:rPr>
          <w:rFonts w:ascii="Arial" w:hAnsi="Arial" w:cs="Arial"/>
          <w:bCs/>
          <w:sz w:val="24"/>
          <w:szCs w:val="24"/>
        </w:rPr>
        <w:t xml:space="preserve"> A summary is provided below for Account 1588.</w:t>
      </w:r>
    </w:p>
    <w:p w:rsidR="00135AA5" w:rsidRDefault="005372A6" w:rsidP="00037437">
      <w:pPr>
        <w:pStyle w:val="ListParagraph"/>
        <w:jc w:val="both"/>
        <w:rPr>
          <w:rFonts w:ascii="Arial" w:hAnsi="Arial" w:cs="Arial"/>
          <w:bCs/>
          <w:sz w:val="24"/>
          <w:szCs w:val="24"/>
        </w:rPr>
      </w:pPr>
      <w:r w:rsidRPr="005372A6">
        <w:lastRenderedPageBreak/>
        <w:drawing>
          <wp:inline distT="0" distB="0" distL="0" distR="0">
            <wp:extent cx="4963886" cy="3028476"/>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8263" cy="3037247"/>
                    </a:xfrm>
                    <a:prstGeom prst="rect">
                      <a:avLst/>
                    </a:prstGeom>
                    <a:noFill/>
                    <a:ln>
                      <a:noFill/>
                    </a:ln>
                  </pic:spPr>
                </pic:pic>
              </a:graphicData>
            </a:graphic>
          </wp:inline>
        </w:drawing>
      </w:r>
    </w:p>
    <w:p w:rsidR="00135AA5" w:rsidRDefault="00135AA5" w:rsidP="00037437">
      <w:pPr>
        <w:pStyle w:val="ListParagraph"/>
        <w:jc w:val="both"/>
        <w:rPr>
          <w:rFonts w:ascii="Arial" w:hAnsi="Arial" w:cs="Arial"/>
          <w:bCs/>
          <w:sz w:val="24"/>
          <w:szCs w:val="24"/>
        </w:rPr>
      </w:pPr>
    </w:p>
    <w:p w:rsidR="009C12EE" w:rsidRPr="00F31833" w:rsidRDefault="009C12EE" w:rsidP="009C12EE">
      <w:pPr>
        <w:pStyle w:val="ListParagraph"/>
        <w:jc w:val="both"/>
        <w:rPr>
          <w:rFonts w:ascii="Arial" w:hAnsi="Arial" w:cs="Arial"/>
          <w:bCs/>
          <w:sz w:val="24"/>
          <w:szCs w:val="24"/>
          <w:u w:val="single"/>
        </w:rPr>
      </w:pPr>
      <w:r w:rsidRPr="00F31833">
        <w:rPr>
          <w:rFonts w:ascii="Arial" w:hAnsi="Arial" w:cs="Arial"/>
          <w:bCs/>
          <w:sz w:val="24"/>
          <w:szCs w:val="24"/>
          <w:u w:val="single"/>
        </w:rPr>
        <w:t>158</w:t>
      </w:r>
      <w:r>
        <w:rPr>
          <w:rFonts w:ascii="Arial" w:hAnsi="Arial" w:cs="Arial"/>
          <w:bCs/>
          <w:sz w:val="24"/>
          <w:szCs w:val="24"/>
          <w:u w:val="single"/>
        </w:rPr>
        <w:t>9</w:t>
      </w:r>
    </w:p>
    <w:p w:rsidR="009C12EE" w:rsidRPr="009C12EE" w:rsidRDefault="009C12EE" w:rsidP="009C12EE">
      <w:pPr>
        <w:pStyle w:val="ListParagraph"/>
        <w:jc w:val="both"/>
        <w:rPr>
          <w:rFonts w:ascii="Arial" w:hAnsi="Arial" w:cs="Arial"/>
          <w:bCs/>
          <w:i/>
          <w:sz w:val="24"/>
          <w:szCs w:val="24"/>
        </w:rPr>
      </w:pPr>
      <w:r w:rsidRPr="009C12EE">
        <w:rPr>
          <w:rFonts w:ascii="Arial" w:hAnsi="Arial" w:cs="Arial"/>
          <w:bCs/>
          <w:i/>
          <w:sz w:val="24"/>
          <w:szCs w:val="24"/>
        </w:rPr>
        <w:t>Revenue</w:t>
      </w:r>
    </w:p>
    <w:p w:rsidR="005E0336" w:rsidRDefault="00A662F5" w:rsidP="005E0336">
      <w:pPr>
        <w:pStyle w:val="ListParagraph"/>
        <w:jc w:val="both"/>
        <w:rPr>
          <w:rFonts w:ascii="Arial" w:hAnsi="Arial" w:cs="Arial"/>
          <w:bCs/>
          <w:sz w:val="24"/>
          <w:szCs w:val="24"/>
        </w:rPr>
      </w:pPr>
      <w:r>
        <w:rPr>
          <w:rFonts w:ascii="Arial" w:hAnsi="Arial" w:cs="Arial"/>
          <w:bCs/>
          <w:sz w:val="24"/>
          <w:szCs w:val="24"/>
        </w:rPr>
        <w:t xml:space="preserve">Revenue estimates are based on pending meter reads not yet billed and included in the unbilled revenue accrual. </w:t>
      </w:r>
      <w:r w:rsidR="005E0336">
        <w:rPr>
          <w:rFonts w:ascii="Arial" w:hAnsi="Arial" w:cs="Arial"/>
          <w:bCs/>
          <w:sz w:val="24"/>
          <w:szCs w:val="24"/>
        </w:rPr>
        <w:t xml:space="preserve">NBHDL uses the </w:t>
      </w:r>
      <w:r>
        <w:rPr>
          <w:rFonts w:ascii="Arial" w:hAnsi="Arial" w:cs="Arial"/>
          <w:bCs/>
          <w:sz w:val="24"/>
          <w:szCs w:val="24"/>
        </w:rPr>
        <w:t>1</w:t>
      </w:r>
      <w:r w:rsidRPr="00A662F5">
        <w:rPr>
          <w:rFonts w:ascii="Arial" w:hAnsi="Arial" w:cs="Arial"/>
          <w:bCs/>
          <w:sz w:val="24"/>
          <w:szCs w:val="24"/>
          <w:vertAlign w:val="superscript"/>
        </w:rPr>
        <w:t>st</w:t>
      </w:r>
      <w:r>
        <w:rPr>
          <w:rFonts w:ascii="Arial" w:hAnsi="Arial" w:cs="Arial"/>
          <w:bCs/>
          <w:sz w:val="24"/>
          <w:szCs w:val="24"/>
        </w:rPr>
        <w:t xml:space="preserve"> </w:t>
      </w:r>
      <w:r w:rsidR="005E0336">
        <w:rPr>
          <w:rFonts w:ascii="Arial" w:hAnsi="Arial" w:cs="Arial"/>
          <w:bCs/>
          <w:sz w:val="24"/>
          <w:szCs w:val="24"/>
        </w:rPr>
        <w:t xml:space="preserve">estimate from the ISO to determine revenues. </w:t>
      </w:r>
      <w:r w:rsidR="009C12EE">
        <w:rPr>
          <w:rFonts w:ascii="Arial" w:hAnsi="Arial" w:cs="Arial"/>
          <w:bCs/>
          <w:sz w:val="24"/>
          <w:szCs w:val="24"/>
        </w:rPr>
        <w:t xml:space="preserve">NBHDL </w:t>
      </w:r>
      <w:r>
        <w:rPr>
          <w:rFonts w:ascii="Arial" w:hAnsi="Arial" w:cs="Arial"/>
          <w:bCs/>
          <w:sz w:val="24"/>
          <w:szCs w:val="24"/>
        </w:rPr>
        <w:t xml:space="preserve">reconciles unbilled vs. actual billed </w:t>
      </w:r>
      <w:r w:rsidR="009C12EE">
        <w:rPr>
          <w:rFonts w:ascii="Arial" w:hAnsi="Arial" w:cs="Arial"/>
          <w:bCs/>
          <w:sz w:val="24"/>
          <w:szCs w:val="24"/>
        </w:rPr>
        <w:t xml:space="preserve">data </w:t>
      </w:r>
      <w:r>
        <w:rPr>
          <w:rFonts w:ascii="Arial" w:hAnsi="Arial" w:cs="Arial"/>
          <w:bCs/>
          <w:sz w:val="24"/>
          <w:szCs w:val="24"/>
        </w:rPr>
        <w:t xml:space="preserve">as part of the true-up process. In January 2017, additional non-RPP billings related to 2016 consumption were recorded. </w:t>
      </w:r>
    </w:p>
    <w:p w:rsidR="009C12EE" w:rsidRPr="009C12EE" w:rsidRDefault="009C12EE" w:rsidP="009C12EE">
      <w:pPr>
        <w:pStyle w:val="ListParagraph"/>
        <w:jc w:val="both"/>
        <w:rPr>
          <w:rFonts w:ascii="Arial" w:hAnsi="Arial" w:cs="Arial"/>
          <w:bCs/>
          <w:i/>
          <w:sz w:val="24"/>
          <w:szCs w:val="24"/>
        </w:rPr>
      </w:pPr>
      <w:r>
        <w:rPr>
          <w:rFonts w:ascii="Arial" w:hAnsi="Arial" w:cs="Arial"/>
          <w:bCs/>
          <w:i/>
          <w:sz w:val="24"/>
          <w:szCs w:val="24"/>
        </w:rPr>
        <w:t>Cost</w:t>
      </w:r>
    </w:p>
    <w:p w:rsidR="00B56340" w:rsidRDefault="009C12EE" w:rsidP="009C12EE">
      <w:pPr>
        <w:pStyle w:val="ListParagraph"/>
        <w:jc w:val="both"/>
        <w:rPr>
          <w:rFonts w:ascii="Arial" w:hAnsi="Arial" w:cs="Arial"/>
          <w:bCs/>
          <w:sz w:val="24"/>
          <w:szCs w:val="24"/>
        </w:rPr>
      </w:pPr>
      <w:r>
        <w:rPr>
          <w:rFonts w:ascii="Arial" w:hAnsi="Arial" w:cs="Arial"/>
          <w:bCs/>
          <w:sz w:val="24"/>
          <w:szCs w:val="24"/>
        </w:rPr>
        <w:t xml:space="preserve">NBHDL trues up the cost based on actual billing data compared to the estimate. </w:t>
      </w:r>
      <w:r w:rsidR="00480144">
        <w:rPr>
          <w:rFonts w:ascii="Arial" w:hAnsi="Arial" w:cs="Arial"/>
          <w:bCs/>
          <w:sz w:val="24"/>
          <w:szCs w:val="24"/>
        </w:rPr>
        <w:t xml:space="preserve">NBHDL’s CIS calculates GA </w:t>
      </w:r>
      <w:r w:rsidR="00480144">
        <w:rPr>
          <w:rFonts w:ascii="Arial" w:hAnsi="Arial" w:cs="Arial"/>
          <w:bCs/>
          <w:sz w:val="24"/>
          <w:szCs w:val="24"/>
        </w:rPr>
        <w:t>based on 1</w:t>
      </w:r>
      <w:r w:rsidR="00480144" w:rsidRPr="00480144">
        <w:rPr>
          <w:rFonts w:ascii="Arial" w:hAnsi="Arial" w:cs="Arial"/>
          <w:bCs/>
          <w:sz w:val="24"/>
          <w:szCs w:val="24"/>
          <w:vertAlign w:val="superscript"/>
        </w:rPr>
        <w:t>st</w:t>
      </w:r>
      <w:r w:rsidR="00480144">
        <w:rPr>
          <w:rFonts w:ascii="Arial" w:hAnsi="Arial" w:cs="Arial"/>
          <w:bCs/>
          <w:sz w:val="24"/>
          <w:szCs w:val="24"/>
        </w:rPr>
        <w:t xml:space="preserve"> estimate</w:t>
      </w:r>
      <w:r w:rsidR="00480144">
        <w:rPr>
          <w:rFonts w:ascii="Arial" w:hAnsi="Arial" w:cs="Arial"/>
          <w:bCs/>
          <w:sz w:val="24"/>
          <w:szCs w:val="24"/>
        </w:rPr>
        <w:t xml:space="preserve"> for all RPP customers for each billing period (this calculation results in a DR/CR calculation for net $0 impact on customer’s bill).</w:t>
      </w:r>
      <w:r w:rsidR="00480144">
        <w:rPr>
          <w:rFonts w:ascii="Arial" w:hAnsi="Arial" w:cs="Arial"/>
          <w:bCs/>
          <w:sz w:val="24"/>
          <w:szCs w:val="24"/>
        </w:rPr>
        <w:t xml:space="preserve"> The</w:t>
      </w:r>
      <w:r>
        <w:rPr>
          <w:rFonts w:ascii="Arial" w:hAnsi="Arial" w:cs="Arial"/>
          <w:bCs/>
          <w:sz w:val="24"/>
          <w:szCs w:val="24"/>
        </w:rPr>
        <w:t xml:space="preserve"> determination of billed is then compared to the estimate for an accurate true-up process. A summary is provided below for Account 158</w:t>
      </w:r>
      <w:r w:rsidR="00480144">
        <w:rPr>
          <w:rFonts w:ascii="Arial" w:hAnsi="Arial" w:cs="Arial"/>
          <w:bCs/>
          <w:sz w:val="24"/>
          <w:szCs w:val="24"/>
        </w:rPr>
        <w:t>9</w:t>
      </w:r>
      <w:r>
        <w:rPr>
          <w:rFonts w:ascii="Arial" w:hAnsi="Arial" w:cs="Arial"/>
          <w:bCs/>
          <w:sz w:val="24"/>
          <w:szCs w:val="24"/>
        </w:rPr>
        <w:t>.</w:t>
      </w:r>
    </w:p>
    <w:p w:rsidR="005372A6" w:rsidRDefault="005372A6" w:rsidP="009C12EE">
      <w:pPr>
        <w:pStyle w:val="ListParagraph"/>
        <w:jc w:val="both"/>
        <w:rPr>
          <w:rFonts w:ascii="Arial" w:hAnsi="Arial" w:cs="Arial"/>
          <w:bCs/>
          <w:sz w:val="24"/>
          <w:szCs w:val="24"/>
        </w:rPr>
      </w:pPr>
    </w:p>
    <w:p w:rsidR="005372A6" w:rsidRPr="00B56340" w:rsidRDefault="005372A6" w:rsidP="009C12EE">
      <w:pPr>
        <w:pStyle w:val="ListParagraph"/>
        <w:jc w:val="both"/>
        <w:rPr>
          <w:rFonts w:ascii="Arial" w:hAnsi="Arial" w:cs="Arial"/>
          <w:bCs/>
          <w:sz w:val="24"/>
          <w:szCs w:val="24"/>
        </w:rPr>
      </w:pPr>
      <w:r w:rsidRPr="005372A6">
        <w:lastRenderedPageBreak/>
        <w:drawing>
          <wp:inline distT="0" distB="0" distL="0" distR="0">
            <wp:extent cx="4386943" cy="520055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9506" cy="5215443"/>
                    </a:xfrm>
                    <a:prstGeom prst="rect">
                      <a:avLst/>
                    </a:prstGeom>
                    <a:noFill/>
                    <a:ln>
                      <a:noFill/>
                    </a:ln>
                  </pic:spPr>
                </pic:pic>
              </a:graphicData>
            </a:graphic>
          </wp:inline>
        </w:drawing>
      </w:r>
    </w:p>
    <w:p w:rsidR="009532C4" w:rsidRDefault="009532C4" w:rsidP="004D63D6">
      <w:pPr>
        <w:rPr>
          <w:rFonts w:ascii="Arial" w:hAnsi="Arial" w:cs="Arial"/>
          <w:b/>
          <w:bCs/>
          <w:sz w:val="24"/>
          <w:szCs w:val="24"/>
        </w:rPr>
      </w:pPr>
    </w:p>
    <w:p w:rsidR="00315680" w:rsidRPr="00BB05E6" w:rsidRDefault="00315680" w:rsidP="004D63D6">
      <w:pPr>
        <w:rPr>
          <w:rFonts w:ascii="Arial" w:hAnsi="Arial" w:cs="Arial"/>
          <w:bCs/>
          <w:sz w:val="24"/>
          <w:szCs w:val="24"/>
        </w:rPr>
      </w:pPr>
      <w:r w:rsidRPr="005F0707">
        <w:rPr>
          <w:rFonts w:ascii="Arial" w:hAnsi="Arial" w:cs="Arial"/>
          <w:b/>
          <w:bCs/>
          <w:sz w:val="24"/>
          <w:szCs w:val="24"/>
        </w:rPr>
        <w:t xml:space="preserve">OEB Staff Question </w:t>
      </w:r>
      <w:r w:rsidRPr="00037437">
        <w:rPr>
          <w:rFonts w:ascii="Arial" w:hAnsi="Arial" w:cs="Arial"/>
          <w:b/>
          <w:bCs/>
          <w:sz w:val="24"/>
          <w:szCs w:val="24"/>
          <w:highlight w:val="yellow"/>
        </w:rPr>
        <w:t>#</w:t>
      </w:r>
      <w:r w:rsidR="005F0707" w:rsidRPr="00037437">
        <w:rPr>
          <w:rFonts w:ascii="Arial" w:hAnsi="Arial" w:cs="Arial"/>
          <w:b/>
          <w:bCs/>
          <w:sz w:val="24"/>
          <w:szCs w:val="24"/>
          <w:highlight w:val="yellow"/>
        </w:rPr>
        <w:t>5</w:t>
      </w:r>
      <w:r>
        <w:rPr>
          <w:rFonts w:ascii="Arial" w:hAnsi="Arial" w:cs="Arial"/>
          <w:b/>
          <w:sz w:val="24"/>
          <w:szCs w:val="24"/>
        </w:rPr>
        <w:br/>
        <w:t xml:space="preserve">Reference: </w:t>
      </w:r>
      <w:r>
        <w:rPr>
          <w:rFonts w:ascii="Arial" w:hAnsi="Arial" w:cs="Arial"/>
          <w:b/>
          <w:sz w:val="24"/>
          <w:szCs w:val="24"/>
        </w:rPr>
        <w:tab/>
        <w:t>Tab 3 “Continuity Schedule”</w:t>
      </w:r>
      <w:r>
        <w:rPr>
          <w:rFonts w:ascii="Arial" w:hAnsi="Arial" w:cs="Arial"/>
          <w:b/>
          <w:sz w:val="24"/>
          <w:szCs w:val="24"/>
        </w:rPr>
        <w:br/>
        <w:t xml:space="preserve">                      Account 1595 (2014)</w:t>
      </w:r>
    </w:p>
    <w:p w:rsidR="00C715D9" w:rsidRDefault="00315680" w:rsidP="009532C4">
      <w:pPr>
        <w:spacing w:after="0" w:line="240" w:lineRule="auto"/>
        <w:rPr>
          <w:rFonts w:ascii="Arial" w:hAnsi="Arial" w:cs="Arial"/>
          <w:sz w:val="24"/>
          <w:szCs w:val="24"/>
        </w:rPr>
      </w:pPr>
      <w:r>
        <w:rPr>
          <w:rFonts w:ascii="Arial" w:hAnsi="Arial" w:cs="Arial"/>
          <w:sz w:val="24"/>
          <w:szCs w:val="24"/>
        </w:rPr>
        <w:t xml:space="preserve">In its DVA Continuity Schedule North Bay Hydro recorded a disposition of $807,284 in 2014 and recoveries of $831,396 during 2014 and 2015. </w:t>
      </w:r>
    </w:p>
    <w:p w:rsidR="00C715D9" w:rsidRDefault="00315680" w:rsidP="00C715D9">
      <w:pPr>
        <w:pStyle w:val="ListParagraph"/>
        <w:numPr>
          <w:ilvl w:val="0"/>
          <w:numId w:val="5"/>
        </w:numPr>
        <w:spacing w:after="0" w:line="240" w:lineRule="auto"/>
        <w:rPr>
          <w:rFonts w:ascii="Arial" w:hAnsi="Arial" w:cs="Arial"/>
          <w:sz w:val="24"/>
          <w:szCs w:val="24"/>
        </w:rPr>
      </w:pPr>
      <w:r w:rsidRPr="00C715D9">
        <w:rPr>
          <w:rFonts w:ascii="Arial" w:hAnsi="Arial" w:cs="Arial"/>
          <w:sz w:val="24"/>
          <w:szCs w:val="24"/>
        </w:rPr>
        <w:t xml:space="preserve">Please confirm that North Bay Hydro complied with the Accounting Guidance from October 2009 related to the over recoveries for sub-account 1595 (2014). </w:t>
      </w:r>
    </w:p>
    <w:p w:rsidR="00420472" w:rsidRDefault="00420472" w:rsidP="00037437">
      <w:pPr>
        <w:pStyle w:val="ListParagraph"/>
        <w:spacing w:after="0" w:line="240" w:lineRule="auto"/>
        <w:rPr>
          <w:rFonts w:ascii="Arial" w:hAnsi="Arial" w:cs="Arial"/>
          <w:sz w:val="24"/>
          <w:szCs w:val="24"/>
        </w:rPr>
      </w:pPr>
    </w:p>
    <w:p w:rsidR="00420472" w:rsidRDefault="00420472" w:rsidP="00037437">
      <w:pPr>
        <w:pStyle w:val="ListParagraph"/>
        <w:spacing w:after="0" w:line="240" w:lineRule="auto"/>
        <w:rPr>
          <w:rFonts w:ascii="Arial" w:hAnsi="Arial" w:cs="Arial"/>
          <w:b/>
          <w:sz w:val="24"/>
          <w:szCs w:val="24"/>
          <w:u w:val="single"/>
        </w:rPr>
      </w:pPr>
      <w:r>
        <w:rPr>
          <w:rFonts w:ascii="Arial" w:hAnsi="Arial" w:cs="Arial"/>
          <w:b/>
          <w:sz w:val="24"/>
          <w:szCs w:val="24"/>
          <w:u w:val="single"/>
        </w:rPr>
        <w:t>Response:</w:t>
      </w:r>
    </w:p>
    <w:p w:rsidR="00420472" w:rsidRDefault="00420472" w:rsidP="00037437">
      <w:pPr>
        <w:pStyle w:val="ListParagraph"/>
        <w:spacing w:after="0" w:line="240" w:lineRule="auto"/>
        <w:jc w:val="both"/>
        <w:rPr>
          <w:rFonts w:ascii="Arial" w:hAnsi="Arial" w:cs="Arial"/>
          <w:sz w:val="24"/>
          <w:szCs w:val="24"/>
        </w:rPr>
      </w:pPr>
      <w:r>
        <w:rPr>
          <w:rFonts w:ascii="Arial" w:hAnsi="Arial" w:cs="Arial"/>
          <w:sz w:val="24"/>
          <w:szCs w:val="24"/>
        </w:rPr>
        <w:t xml:space="preserve">NBHDL confirms that it has complied with the Accounting Guidance from October 2009 related to the over recoveries for sub-account 1595 (2014) to the best of its knowledge. NBHDL’s understanding is that recoveries are to be applied to </w:t>
      </w:r>
      <w:r w:rsidRPr="00420472">
        <w:rPr>
          <w:rFonts w:ascii="Arial" w:hAnsi="Arial" w:cs="Arial"/>
          <w:sz w:val="24"/>
          <w:szCs w:val="24"/>
        </w:rPr>
        <w:t xml:space="preserve">the sub-account balances in order of priority, as follows: </w:t>
      </w:r>
    </w:p>
    <w:p w:rsidR="00420472" w:rsidRDefault="00420472" w:rsidP="00037437">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lastRenderedPageBreak/>
        <w:t>T</w:t>
      </w:r>
      <w:r w:rsidRPr="00420472">
        <w:rPr>
          <w:rFonts w:ascii="Arial" w:hAnsi="Arial" w:cs="Arial"/>
          <w:sz w:val="24"/>
          <w:szCs w:val="24"/>
        </w:rPr>
        <w:t xml:space="preserve">he cumulative principal balance transferred to and recorded in “Sub-account Principal Balances Approved for Disposition in </w:t>
      </w:r>
      <w:r>
        <w:rPr>
          <w:rFonts w:ascii="Arial" w:hAnsi="Arial" w:cs="Arial"/>
          <w:sz w:val="24"/>
          <w:szCs w:val="24"/>
        </w:rPr>
        <w:t>2xxx”</w:t>
      </w:r>
    </w:p>
    <w:p w:rsidR="00420472" w:rsidRDefault="00420472" w:rsidP="00037437">
      <w:pPr>
        <w:pStyle w:val="ListParagraph"/>
        <w:numPr>
          <w:ilvl w:val="0"/>
          <w:numId w:val="6"/>
        </w:numPr>
        <w:spacing w:after="0" w:line="240" w:lineRule="auto"/>
        <w:jc w:val="both"/>
        <w:rPr>
          <w:rFonts w:ascii="Arial" w:hAnsi="Arial" w:cs="Arial"/>
          <w:sz w:val="24"/>
          <w:szCs w:val="24"/>
        </w:rPr>
      </w:pPr>
      <w:r w:rsidRPr="00420472">
        <w:rPr>
          <w:rFonts w:ascii="Arial" w:hAnsi="Arial" w:cs="Arial"/>
          <w:sz w:val="24"/>
          <w:szCs w:val="24"/>
        </w:rPr>
        <w:t>The cumulative carrying charge balance transferred to and recorded in “Subaccount Carrying Charges Approved for Disposition in 2</w:t>
      </w:r>
      <w:r>
        <w:rPr>
          <w:rFonts w:ascii="Arial" w:hAnsi="Arial" w:cs="Arial"/>
          <w:sz w:val="24"/>
          <w:szCs w:val="24"/>
        </w:rPr>
        <w:t>xxx</w:t>
      </w:r>
      <w:r w:rsidRPr="00420472">
        <w:rPr>
          <w:rFonts w:ascii="Arial" w:hAnsi="Arial" w:cs="Arial"/>
          <w:sz w:val="24"/>
          <w:szCs w:val="24"/>
        </w:rPr>
        <w:t xml:space="preserve">” and, </w:t>
      </w:r>
    </w:p>
    <w:p w:rsidR="00420472" w:rsidRDefault="00420472" w:rsidP="00037437">
      <w:pPr>
        <w:pStyle w:val="ListParagraph"/>
        <w:numPr>
          <w:ilvl w:val="0"/>
          <w:numId w:val="6"/>
        </w:numPr>
        <w:spacing w:after="0" w:line="240" w:lineRule="auto"/>
        <w:jc w:val="both"/>
        <w:rPr>
          <w:rFonts w:ascii="Arial" w:hAnsi="Arial" w:cs="Arial"/>
          <w:sz w:val="24"/>
          <w:szCs w:val="24"/>
        </w:rPr>
      </w:pPr>
      <w:r w:rsidRPr="00420472">
        <w:rPr>
          <w:rFonts w:ascii="Arial" w:hAnsi="Arial" w:cs="Arial"/>
          <w:sz w:val="24"/>
          <w:szCs w:val="24"/>
        </w:rPr>
        <w:t>The accrued carrying charges recorded in “Sub-account Carrying Charges on 2</w:t>
      </w:r>
      <w:r>
        <w:rPr>
          <w:rFonts w:ascii="Arial" w:hAnsi="Arial" w:cs="Arial"/>
          <w:sz w:val="24"/>
          <w:szCs w:val="24"/>
        </w:rPr>
        <w:t>xxx</w:t>
      </w:r>
      <w:r w:rsidRPr="00420472">
        <w:rPr>
          <w:rFonts w:ascii="Arial" w:hAnsi="Arial" w:cs="Arial"/>
          <w:sz w:val="24"/>
          <w:szCs w:val="24"/>
        </w:rPr>
        <w:t xml:space="preserve"> Net Principal Account Balances.”</w:t>
      </w:r>
    </w:p>
    <w:p w:rsidR="000D1185" w:rsidRDefault="000D1185" w:rsidP="00037437">
      <w:pPr>
        <w:spacing w:after="0" w:line="240" w:lineRule="auto"/>
        <w:ind w:left="720"/>
        <w:jc w:val="both"/>
        <w:rPr>
          <w:rFonts w:ascii="Arial" w:hAnsi="Arial" w:cs="Arial"/>
          <w:sz w:val="24"/>
          <w:szCs w:val="24"/>
        </w:rPr>
      </w:pPr>
    </w:p>
    <w:p w:rsidR="00A631EF" w:rsidRDefault="00420472" w:rsidP="00037437">
      <w:pPr>
        <w:spacing w:after="0" w:line="240" w:lineRule="auto"/>
        <w:ind w:left="720"/>
        <w:jc w:val="both"/>
        <w:rPr>
          <w:rFonts w:ascii="Arial" w:hAnsi="Arial" w:cs="Arial"/>
          <w:sz w:val="24"/>
          <w:szCs w:val="24"/>
        </w:rPr>
      </w:pPr>
      <w:r>
        <w:rPr>
          <w:rFonts w:ascii="Arial" w:hAnsi="Arial" w:cs="Arial"/>
          <w:sz w:val="24"/>
          <w:szCs w:val="24"/>
        </w:rPr>
        <w:t>NBHDL has followed this guidance, however,</w:t>
      </w:r>
      <w:r w:rsidR="000D1185">
        <w:rPr>
          <w:rFonts w:ascii="Arial" w:hAnsi="Arial" w:cs="Arial"/>
          <w:sz w:val="24"/>
          <w:szCs w:val="24"/>
        </w:rPr>
        <w:t xml:space="preserve"> in the specific case of the 2014 disposition amount the </w:t>
      </w:r>
      <w:r w:rsidR="00A631EF">
        <w:rPr>
          <w:rFonts w:ascii="Arial" w:hAnsi="Arial" w:cs="Arial"/>
          <w:sz w:val="24"/>
          <w:szCs w:val="24"/>
        </w:rPr>
        <w:t xml:space="preserve">net principal balance was an amount owing to customers. Once this rate rider expired, NBHDL was in a position where it had refunded more to customers than was owing. After applying the additional refund amounts against the cumulative carrying charges (2), the balance was in a total net debit balance. </w:t>
      </w:r>
      <w:r>
        <w:rPr>
          <w:rFonts w:ascii="Arial" w:hAnsi="Arial" w:cs="Arial"/>
          <w:sz w:val="24"/>
          <w:szCs w:val="24"/>
        </w:rPr>
        <w:t xml:space="preserve">NBHDL’s understanding </w:t>
      </w:r>
      <w:r w:rsidR="00A631EF">
        <w:rPr>
          <w:rFonts w:ascii="Arial" w:hAnsi="Arial" w:cs="Arial"/>
          <w:sz w:val="24"/>
          <w:szCs w:val="24"/>
        </w:rPr>
        <w:t xml:space="preserve">in this situation is that carrying charges should not continue to accumulate against the customer. </w:t>
      </w:r>
    </w:p>
    <w:p w:rsidR="00A631EF" w:rsidRDefault="00A631EF" w:rsidP="00037437">
      <w:pPr>
        <w:spacing w:after="0" w:line="240" w:lineRule="auto"/>
        <w:ind w:left="720"/>
        <w:jc w:val="both"/>
        <w:rPr>
          <w:rFonts w:ascii="Arial" w:hAnsi="Arial" w:cs="Arial"/>
          <w:sz w:val="24"/>
          <w:szCs w:val="24"/>
        </w:rPr>
      </w:pPr>
    </w:p>
    <w:p w:rsidR="00420472" w:rsidRPr="00037437" w:rsidRDefault="00A631EF" w:rsidP="00037437">
      <w:pPr>
        <w:spacing w:after="0" w:line="240" w:lineRule="auto"/>
        <w:ind w:left="720"/>
        <w:jc w:val="both"/>
        <w:rPr>
          <w:rFonts w:ascii="Arial" w:hAnsi="Arial" w:cs="Arial"/>
          <w:sz w:val="24"/>
          <w:szCs w:val="24"/>
        </w:rPr>
      </w:pPr>
      <w:r>
        <w:rPr>
          <w:rFonts w:ascii="Arial" w:hAnsi="Arial" w:cs="Arial"/>
          <w:sz w:val="24"/>
          <w:szCs w:val="24"/>
        </w:rPr>
        <w:t xml:space="preserve">Further to this, within the 2014 amount reported in the </w:t>
      </w:r>
      <w:r w:rsidR="005F0707">
        <w:rPr>
          <w:rFonts w:ascii="Arial" w:hAnsi="Arial" w:cs="Arial"/>
          <w:sz w:val="24"/>
          <w:szCs w:val="24"/>
        </w:rPr>
        <w:t>DVA C</w:t>
      </w:r>
      <w:r>
        <w:rPr>
          <w:rFonts w:ascii="Arial" w:hAnsi="Arial" w:cs="Arial"/>
          <w:sz w:val="24"/>
          <w:szCs w:val="24"/>
        </w:rPr>
        <w:t xml:space="preserve">ontinuity </w:t>
      </w:r>
      <w:r w:rsidR="005F0707">
        <w:rPr>
          <w:rFonts w:ascii="Arial" w:hAnsi="Arial" w:cs="Arial"/>
          <w:sz w:val="24"/>
          <w:szCs w:val="24"/>
        </w:rPr>
        <w:t>S</w:t>
      </w:r>
      <w:r>
        <w:rPr>
          <w:rFonts w:ascii="Arial" w:hAnsi="Arial" w:cs="Arial"/>
          <w:sz w:val="24"/>
          <w:szCs w:val="24"/>
        </w:rPr>
        <w:t xml:space="preserve">chedule, </w:t>
      </w:r>
      <w:r w:rsidR="005F0707">
        <w:rPr>
          <w:rFonts w:ascii="Arial" w:hAnsi="Arial" w:cs="Arial"/>
          <w:sz w:val="24"/>
          <w:szCs w:val="24"/>
        </w:rPr>
        <w:t>is</w:t>
      </w:r>
      <w:r>
        <w:rPr>
          <w:rFonts w:ascii="Arial" w:hAnsi="Arial" w:cs="Arial"/>
          <w:sz w:val="24"/>
          <w:szCs w:val="24"/>
        </w:rPr>
        <w:t xml:space="preserve"> the 2014 Shared Tax Savings amount. Upon the expiration of this rate rider, the net balance was a credit owing to customers. NBHDL’s understanding in this situation is that carrying charges should continue to accrue to the customer. The different treatment of these two situations is purposely asymmetrical and done to the benefit of customers, not NBHDL. NBHDL notes that the additional carrying charges owing to customers from the STS balance was incorrectly included in the row related to the 1595 (2015) amounts</w:t>
      </w:r>
      <w:r w:rsidR="00DD7161">
        <w:rPr>
          <w:rFonts w:ascii="Arial" w:hAnsi="Arial" w:cs="Arial"/>
          <w:sz w:val="24"/>
          <w:szCs w:val="24"/>
        </w:rPr>
        <w:t xml:space="preserve">; </w:t>
      </w:r>
      <w:r>
        <w:rPr>
          <w:rFonts w:ascii="Arial" w:hAnsi="Arial" w:cs="Arial"/>
          <w:sz w:val="24"/>
          <w:szCs w:val="24"/>
        </w:rPr>
        <w:t xml:space="preserve">the </w:t>
      </w:r>
      <w:r w:rsidR="00DD7161">
        <w:rPr>
          <w:rFonts w:ascii="Arial" w:hAnsi="Arial" w:cs="Arial"/>
          <w:sz w:val="24"/>
          <w:szCs w:val="24"/>
        </w:rPr>
        <w:t>DVA C</w:t>
      </w:r>
      <w:r>
        <w:rPr>
          <w:rFonts w:ascii="Arial" w:hAnsi="Arial" w:cs="Arial"/>
          <w:sz w:val="24"/>
          <w:szCs w:val="24"/>
        </w:rPr>
        <w:t xml:space="preserve">ontinuity </w:t>
      </w:r>
      <w:r w:rsidR="00DD7161">
        <w:rPr>
          <w:rFonts w:ascii="Arial" w:hAnsi="Arial" w:cs="Arial"/>
          <w:sz w:val="24"/>
          <w:szCs w:val="24"/>
        </w:rPr>
        <w:t>S</w:t>
      </w:r>
      <w:r>
        <w:rPr>
          <w:rFonts w:ascii="Arial" w:hAnsi="Arial" w:cs="Arial"/>
          <w:sz w:val="24"/>
          <w:szCs w:val="24"/>
        </w:rPr>
        <w:t>chedule</w:t>
      </w:r>
      <w:r w:rsidR="00DD7161">
        <w:rPr>
          <w:rFonts w:ascii="Arial" w:hAnsi="Arial" w:cs="Arial"/>
          <w:sz w:val="24"/>
          <w:szCs w:val="24"/>
        </w:rPr>
        <w:t xml:space="preserve"> has been updated</w:t>
      </w:r>
      <w:r>
        <w:rPr>
          <w:rFonts w:ascii="Arial" w:hAnsi="Arial" w:cs="Arial"/>
          <w:sz w:val="24"/>
          <w:szCs w:val="24"/>
        </w:rPr>
        <w:t xml:space="preserve"> accordingly. </w:t>
      </w:r>
    </w:p>
    <w:p w:rsidR="00420472" w:rsidRPr="00420472" w:rsidRDefault="00420472" w:rsidP="00037437">
      <w:pPr>
        <w:pStyle w:val="ListParagraph"/>
        <w:spacing w:after="0" w:line="240" w:lineRule="auto"/>
        <w:rPr>
          <w:rFonts w:ascii="Arial" w:hAnsi="Arial" w:cs="Arial"/>
          <w:sz w:val="24"/>
          <w:szCs w:val="24"/>
        </w:rPr>
      </w:pPr>
    </w:p>
    <w:p w:rsidR="00C715D9" w:rsidRDefault="00315680" w:rsidP="00C715D9">
      <w:pPr>
        <w:pStyle w:val="ListParagraph"/>
        <w:numPr>
          <w:ilvl w:val="0"/>
          <w:numId w:val="5"/>
        </w:numPr>
        <w:spacing w:after="0" w:line="240" w:lineRule="auto"/>
        <w:rPr>
          <w:rFonts w:ascii="Arial" w:hAnsi="Arial" w:cs="Arial"/>
          <w:sz w:val="24"/>
          <w:szCs w:val="24"/>
        </w:rPr>
      </w:pPr>
      <w:r w:rsidRPr="00C715D9">
        <w:rPr>
          <w:rFonts w:ascii="Arial" w:hAnsi="Arial" w:cs="Arial"/>
          <w:sz w:val="24"/>
          <w:szCs w:val="24"/>
        </w:rPr>
        <w:t>If the Accounting Guidance was not followed, please provide a worksheet calculating the correct monthly balances for each Principal and Interest component of sub-account 1595 (2014)</w:t>
      </w:r>
      <w:r w:rsidR="00C715D9">
        <w:rPr>
          <w:rFonts w:ascii="Arial" w:hAnsi="Arial" w:cs="Arial"/>
          <w:sz w:val="24"/>
          <w:szCs w:val="24"/>
        </w:rPr>
        <w:t xml:space="preserve">.  </w:t>
      </w:r>
    </w:p>
    <w:p w:rsidR="00DD7161" w:rsidRDefault="00DD7161" w:rsidP="00037437">
      <w:pPr>
        <w:spacing w:after="0" w:line="240" w:lineRule="auto"/>
        <w:rPr>
          <w:rFonts w:ascii="Arial" w:hAnsi="Arial" w:cs="Arial"/>
          <w:sz w:val="24"/>
          <w:szCs w:val="24"/>
        </w:rPr>
      </w:pPr>
    </w:p>
    <w:p w:rsidR="00DD7161" w:rsidRDefault="00DD7161" w:rsidP="00037437">
      <w:pPr>
        <w:spacing w:after="0" w:line="240" w:lineRule="auto"/>
        <w:ind w:left="720"/>
        <w:rPr>
          <w:rFonts w:ascii="Arial" w:hAnsi="Arial" w:cs="Arial"/>
          <w:b/>
          <w:sz w:val="24"/>
          <w:szCs w:val="24"/>
          <w:u w:val="single"/>
        </w:rPr>
      </w:pPr>
      <w:r>
        <w:rPr>
          <w:rFonts w:ascii="Arial" w:hAnsi="Arial" w:cs="Arial"/>
          <w:b/>
          <w:sz w:val="24"/>
          <w:szCs w:val="24"/>
          <w:u w:val="single"/>
        </w:rPr>
        <w:t>Response:</w:t>
      </w:r>
    </w:p>
    <w:p w:rsidR="00DD7161" w:rsidRPr="00037437" w:rsidRDefault="00DD7161" w:rsidP="00037437">
      <w:pPr>
        <w:spacing w:after="0" w:line="240" w:lineRule="auto"/>
        <w:ind w:left="720"/>
        <w:jc w:val="both"/>
        <w:rPr>
          <w:rFonts w:ascii="Arial" w:hAnsi="Arial" w:cs="Arial"/>
          <w:sz w:val="24"/>
          <w:szCs w:val="24"/>
        </w:rPr>
      </w:pPr>
      <w:r>
        <w:rPr>
          <w:rFonts w:ascii="Arial" w:hAnsi="Arial" w:cs="Arial"/>
          <w:sz w:val="24"/>
          <w:szCs w:val="24"/>
        </w:rPr>
        <w:t xml:space="preserve">NBHDL submits that the balances reported in the continuity schedule </w:t>
      </w:r>
      <w:r w:rsidR="005F0707">
        <w:rPr>
          <w:rFonts w:ascii="Arial" w:hAnsi="Arial" w:cs="Arial"/>
          <w:sz w:val="24"/>
          <w:szCs w:val="24"/>
        </w:rPr>
        <w:t xml:space="preserve">for 1595 (2014) </w:t>
      </w:r>
      <w:r>
        <w:rPr>
          <w:rFonts w:ascii="Arial" w:hAnsi="Arial" w:cs="Arial"/>
          <w:sz w:val="24"/>
          <w:szCs w:val="24"/>
        </w:rPr>
        <w:t>are correct</w:t>
      </w:r>
      <w:r w:rsidR="005F0707">
        <w:rPr>
          <w:rFonts w:ascii="Arial" w:hAnsi="Arial" w:cs="Arial"/>
          <w:sz w:val="24"/>
          <w:szCs w:val="24"/>
        </w:rPr>
        <w:t xml:space="preserve"> with the exception of the additional carrying charge amounts referred to in Q4 a) for 2017 and 2018. The carrying charge amounts that have been updated are immaterial in nature and were incorrectly included in the 1595 (2015) amounts. </w:t>
      </w:r>
    </w:p>
    <w:p w:rsidR="00420472" w:rsidRDefault="00420472" w:rsidP="00037437">
      <w:pPr>
        <w:pStyle w:val="ListParagraph"/>
        <w:spacing w:after="0" w:line="240" w:lineRule="auto"/>
        <w:rPr>
          <w:rFonts w:ascii="Arial" w:hAnsi="Arial" w:cs="Arial"/>
          <w:sz w:val="24"/>
          <w:szCs w:val="24"/>
        </w:rPr>
      </w:pPr>
    </w:p>
    <w:p w:rsidR="00315680" w:rsidRDefault="00C715D9" w:rsidP="00C715D9">
      <w:pPr>
        <w:pStyle w:val="ListParagraph"/>
        <w:numPr>
          <w:ilvl w:val="0"/>
          <w:numId w:val="5"/>
        </w:numPr>
        <w:spacing w:after="0" w:line="240" w:lineRule="auto"/>
        <w:rPr>
          <w:rFonts w:ascii="Arial" w:hAnsi="Arial" w:cs="Arial"/>
          <w:sz w:val="24"/>
          <w:szCs w:val="24"/>
        </w:rPr>
      </w:pPr>
      <w:r>
        <w:rPr>
          <w:rFonts w:ascii="Arial" w:hAnsi="Arial" w:cs="Arial"/>
          <w:sz w:val="24"/>
          <w:szCs w:val="24"/>
        </w:rPr>
        <w:t xml:space="preserve">Adjust the </w:t>
      </w:r>
      <w:r w:rsidR="00315680" w:rsidRPr="00C715D9">
        <w:rPr>
          <w:rFonts w:ascii="Arial" w:hAnsi="Arial" w:cs="Arial"/>
          <w:sz w:val="24"/>
          <w:szCs w:val="24"/>
        </w:rPr>
        <w:t>DVA Continuity Schedule as required.</w:t>
      </w:r>
    </w:p>
    <w:p w:rsidR="00DD7161" w:rsidRDefault="00DD7161" w:rsidP="00037437">
      <w:pPr>
        <w:pStyle w:val="ListParagraph"/>
        <w:spacing w:after="0" w:line="240" w:lineRule="auto"/>
        <w:rPr>
          <w:rFonts w:ascii="Arial" w:hAnsi="Arial" w:cs="Arial"/>
          <w:sz w:val="24"/>
          <w:szCs w:val="24"/>
        </w:rPr>
      </w:pPr>
    </w:p>
    <w:p w:rsidR="00DD7161" w:rsidRDefault="00DD7161" w:rsidP="00DD7161">
      <w:pPr>
        <w:spacing w:after="0" w:line="240" w:lineRule="auto"/>
        <w:ind w:left="720"/>
        <w:rPr>
          <w:rFonts w:ascii="Arial" w:hAnsi="Arial" w:cs="Arial"/>
          <w:b/>
          <w:sz w:val="24"/>
          <w:szCs w:val="24"/>
          <w:u w:val="single"/>
        </w:rPr>
      </w:pPr>
      <w:r>
        <w:rPr>
          <w:rFonts w:ascii="Arial" w:hAnsi="Arial" w:cs="Arial"/>
          <w:b/>
          <w:sz w:val="24"/>
          <w:szCs w:val="24"/>
          <w:u w:val="single"/>
        </w:rPr>
        <w:t>Response:</w:t>
      </w:r>
    </w:p>
    <w:p w:rsidR="00DD7161" w:rsidRPr="00926586" w:rsidRDefault="00DD7161" w:rsidP="00037437">
      <w:pPr>
        <w:spacing w:after="0" w:line="240" w:lineRule="auto"/>
        <w:ind w:left="720"/>
        <w:jc w:val="both"/>
        <w:rPr>
          <w:rFonts w:ascii="Arial" w:hAnsi="Arial" w:cs="Arial"/>
          <w:sz w:val="24"/>
          <w:szCs w:val="24"/>
        </w:rPr>
      </w:pPr>
      <w:r>
        <w:rPr>
          <w:rFonts w:ascii="Arial" w:hAnsi="Arial" w:cs="Arial"/>
          <w:sz w:val="24"/>
          <w:szCs w:val="24"/>
        </w:rPr>
        <w:t>The DVA continuity Schedule has been updated to reflect the corrected 2017/2018 carryin</w:t>
      </w:r>
      <w:r w:rsidR="005F0707">
        <w:rPr>
          <w:rFonts w:ascii="Arial" w:hAnsi="Arial" w:cs="Arial"/>
          <w:sz w:val="24"/>
          <w:szCs w:val="24"/>
        </w:rPr>
        <w:t>g charges as explained in Q4 a) for account 1595 (2014).</w:t>
      </w:r>
    </w:p>
    <w:p w:rsidR="00DD7161" w:rsidRPr="00C715D9" w:rsidRDefault="00DD7161" w:rsidP="00037437">
      <w:pPr>
        <w:pStyle w:val="ListParagraph"/>
        <w:spacing w:after="0" w:line="240" w:lineRule="auto"/>
        <w:rPr>
          <w:rFonts w:ascii="Arial" w:hAnsi="Arial" w:cs="Arial"/>
          <w:sz w:val="24"/>
          <w:szCs w:val="24"/>
        </w:rPr>
      </w:pPr>
    </w:p>
    <w:p w:rsidR="00BB05E6" w:rsidRDefault="00BB05E6"/>
    <w:sectPr w:rsidR="00BB05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35" w:rsidRDefault="005A4935" w:rsidP="00315680">
      <w:pPr>
        <w:spacing w:after="0" w:line="240" w:lineRule="auto"/>
      </w:pPr>
      <w:r>
        <w:separator/>
      </w:r>
    </w:p>
  </w:endnote>
  <w:endnote w:type="continuationSeparator" w:id="0">
    <w:p w:rsidR="005A4935" w:rsidRDefault="005A4935" w:rsidP="0031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35" w:rsidRDefault="005A4935" w:rsidP="00315680">
      <w:pPr>
        <w:spacing w:after="0" w:line="240" w:lineRule="auto"/>
      </w:pPr>
      <w:r>
        <w:separator/>
      </w:r>
    </w:p>
  </w:footnote>
  <w:footnote w:type="continuationSeparator" w:id="0">
    <w:p w:rsidR="005A4935" w:rsidRDefault="005A4935" w:rsidP="00315680">
      <w:pPr>
        <w:spacing w:after="0" w:line="240" w:lineRule="auto"/>
      </w:pPr>
      <w:r>
        <w:continuationSeparator/>
      </w:r>
    </w:p>
  </w:footnote>
  <w:footnote w:id="1">
    <w:p w:rsidR="00315680" w:rsidRPr="009532C4" w:rsidRDefault="00315680">
      <w:pPr>
        <w:pStyle w:val="FootnoteText"/>
        <w:rPr>
          <w:lang w:val="en-US"/>
        </w:rPr>
      </w:pPr>
      <w:r>
        <w:rPr>
          <w:rStyle w:val="FootnoteReference"/>
        </w:rPr>
        <w:footnoteRef/>
      </w:r>
      <w:r>
        <w:t xml:space="preserve"> </w:t>
      </w:r>
      <w:r w:rsidRPr="00315680">
        <w:t>Note</w:t>
      </w:r>
      <w:r w:rsidR="004D63D6">
        <w:t xml:space="preserve"> the following in relation to </w:t>
      </w:r>
      <w:r w:rsidRPr="00315680">
        <w:t xml:space="preserve">all references in OEB Staff questions relating to amounts booked to account 1588. Amounts are not booked directly to account </w:t>
      </w:r>
      <w:proofErr w:type="spellStart"/>
      <w:r w:rsidRPr="00315680">
        <w:t>USoA</w:t>
      </w:r>
      <w:proofErr w:type="spellEnd"/>
      <w:r w:rsidRPr="00315680">
        <w:t xml:space="preserve"> 1588 relating to power purchase and sale transactions, but are rather booked to the cost of power </w:t>
      </w:r>
      <w:proofErr w:type="spellStart"/>
      <w:r w:rsidRPr="00315680">
        <w:t>USoA</w:t>
      </w:r>
      <w:proofErr w:type="spellEnd"/>
      <w:r w:rsidRPr="00315680">
        <w:t xml:space="preserve"> 4705 Power Purchased and the respective Energy Sales </w:t>
      </w:r>
      <w:proofErr w:type="spellStart"/>
      <w:r w:rsidRPr="00315680">
        <w:t>USoA</w:t>
      </w:r>
      <w:proofErr w:type="spellEnd"/>
      <w:r w:rsidRPr="00315680">
        <w:t xml:space="preserve"> accounts. However, account 1588 is impacted the same way as accounts 4705 is for cost of power transactions, and the same way as the Energy Sales accounts are for revenue transactions.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E5C93"/>
    <w:multiLevelType w:val="hybridMultilevel"/>
    <w:tmpl w:val="FBDA6C3E"/>
    <w:lvl w:ilvl="0" w:tplc="305206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1C44713"/>
    <w:multiLevelType w:val="hybridMultilevel"/>
    <w:tmpl w:val="0B10D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7A3A85"/>
    <w:multiLevelType w:val="hybridMultilevel"/>
    <w:tmpl w:val="C9929B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77026"/>
    <w:multiLevelType w:val="hybridMultilevel"/>
    <w:tmpl w:val="67E419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2929D4"/>
    <w:multiLevelType w:val="hybridMultilevel"/>
    <w:tmpl w:val="A1886A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077"/>
    <w:rsid w:val="000322A6"/>
    <w:rsid w:val="00037437"/>
    <w:rsid w:val="000D1185"/>
    <w:rsid w:val="000F0987"/>
    <w:rsid w:val="00107923"/>
    <w:rsid w:val="00135AA5"/>
    <w:rsid w:val="002E61AF"/>
    <w:rsid w:val="00315680"/>
    <w:rsid w:val="00420472"/>
    <w:rsid w:val="004641BB"/>
    <w:rsid w:val="00480144"/>
    <w:rsid w:val="004933E0"/>
    <w:rsid w:val="004C0FC7"/>
    <w:rsid w:val="004D63D6"/>
    <w:rsid w:val="004E6D90"/>
    <w:rsid w:val="005372A6"/>
    <w:rsid w:val="00585A36"/>
    <w:rsid w:val="005A4935"/>
    <w:rsid w:val="005E0336"/>
    <w:rsid w:val="005F0707"/>
    <w:rsid w:val="00606EDD"/>
    <w:rsid w:val="00670D22"/>
    <w:rsid w:val="006B30EA"/>
    <w:rsid w:val="007958E2"/>
    <w:rsid w:val="007B00D9"/>
    <w:rsid w:val="007C58E5"/>
    <w:rsid w:val="007E41F7"/>
    <w:rsid w:val="008006AF"/>
    <w:rsid w:val="008174B6"/>
    <w:rsid w:val="00831770"/>
    <w:rsid w:val="00853B93"/>
    <w:rsid w:val="00855259"/>
    <w:rsid w:val="00875572"/>
    <w:rsid w:val="008A6077"/>
    <w:rsid w:val="00935DFE"/>
    <w:rsid w:val="009532C4"/>
    <w:rsid w:val="009C12EE"/>
    <w:rsid w:val="009C1E25"/>
    <w:rsid w:val="009C634E"/>
    <w:rsid w:val="009D0A39"/>
    <w:rsid w:val="00A2744A"/>
    <w:rsid w:val="00A631EF"/>
    <w:rsid w:val="00A662F5"/>
    <w:rsid w:val="00AA64E9"/>
    <w:rsid w:val="00B45CEC"/>
    <w:rsid w:val="00B56340"/>
    <w:rsid w:val="00B92A7E"/>
    <w:rsid w:val="00BB05E6"/>
    <w:rsid w:val="00BC612A"/>
    <w:rsid w:val="00BD7D8C"/>
    <w:rsid w:val="00C17C1E"/>
    <w:rsid w:val="00C715D9"/>
    <w:rsid w:val="00C740EA"/>
    <w:rsid w:val="00C90875"/>
    <w:rsid w:val="00CC6713"/>
    <w:rsid w:val="00DD7161"/>
    <w:rsid w:val="00E03D02"/>
    <w:rsid w:val="00E3440E"/>
    <w:rsid w:val="00E72855"/>
    <w:rsid w:val="00EA7295"/>
    <w:rsid w:val="00F00883"/>
    <w:rsid w:val="00F31833"/>
    <w:rsid w:val="00F43719"/>
    <w:rsid w:val="00F83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4EDE7-B4F9-4842-85A2-3BCF7D80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077"/>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077"/>
    <w:pPr>
      <w:ind w:left="720"/>
      <w:contextualSpacing/>
    </w:pPr>
  </w:style>
  <w:style w:type="table" w:styleId="TableGrid">
    <w:name w:val="Table Grid"/>
    <w:basedOn w:val="TableNormal"/>
    <w:uiPriority w:val="59"/>
    <w:rsid w:val="008A6077"/>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7D8C"/>
    <w:rPr>
      <w:sz w:val="16"/>
      <w:szCs w:val="16"/>
    </w:rPr>
  </w:style>
  <w:style w:type="paragraph" w:styleId="CommentText">
    <w:name w:val="annotation text"/>
    <w:basedOn w:val="Normal"/>
    <w:link w:val="CommentTextChar"/>
    <w:uiPriority w:val="99"/>
    <w:semiHidden/>
    <w:unhideWhenUsed/>
    <w:rsid w:val="00BD7D8C"/>
    <w:pPr>
      <w:spacing w:line="240" w:lineRule="auto"/>
    </w:pPr>
    <w:rPr>
      <w:sz w:val="20"/>
      <w:szCs w:val="20"/>
    </w:rPr>
  </w:style>
  <w:style w:type="character" w:customStyle="1" w:styleId="CommentTextChar">
    <w:name w:val="Comment Text Char"/>
    <w:basedOn w:val="DefaultParagraphFont"/>
    <w:link w:val="CommentText"/>
    <w:uiPriority w:val="99"/>
    <w:semiHidden/>
    <w:rsid w:val="00BD7D8C"/>
    <w:rPr>
      <w:sz w:val="20"/>
      <w:szCs w:val="20"/>
      <w:lang w:val="en-CA"/>
    </w:rPr>
  </w:style>
  <w:style w:type="paragraph" w:styleId="CommentSubject">
    <w:name w:val="annotation subject"/>
    <w:basedOn w:val="CommentText"/>
    <w:next w:val="CommentText"/>
    <w:link w:val="CommentSubjectChar"/>
    <w:uiPriority w:val="99"/>
    <w:semiHidden/>
    <w:unhideWhenUsed/>
    <w:rsid w:val="00BD7D8C"/>
    <w:rPr>
      <w:b/>
      <w:bCs/>
    </w:rPr>
  </w:style>
  <w:style w:type="character" w:customStyle="1" w:styleId="CommentSubjectChar">
    <w:name w:val="Comment Subject Char"/>
    <w:basedOn w:val="CommentTextChar"/>
    <w:link w:val="CommentSubject"/>
    <w:uiPriority w:val="99"/>
    <w:semiHidden/>
    <w:rsid w:val="00BD7D8C"/>
    <w:rPr>
      <w:b/>
      <w:bCs/>
      <w:sz w:val="20"/>
      <w:szCs w:val="20"/>
      <w:lang w:val="en-CA"/>
    </w:rPr>
  </w:style>
  <w:style w:type="paragraph" w:styleId="BalloonText">
    <w:name w:val="Balloon Text"/>
    <w:basedOn w:val="Normal"/>
    <w:link w:val="BalloonTextChar"/>
    <w:uiPriority w:val="99"/>
    <w:semiHidden/>
    <w:unhideWhenUsed/>
    <w:rsid w:val="00BD7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D8C"/>
    <w:rPr>
      <w:rFonts w:ascii="Segoe UI" w:hAnsi="Segoe UI" w:cs="Segoe UI"/>
      <w:sz w:val="18"/>
      <w:szCs w:val="18"/>
      <w:lang w:val="en-CA"/>
    </w:rPr>
  </w:style>
  <w:style w:type="paragraph" w:styleId="FootnoteText">
    <w:name w:val="footnote text"/>
    <w:basedOn w:val="Normal"/>
    <w:link w:val="FootnoteTextChar"/>
    <w:uiPriority w:val="99"/>
    <w:semiHidden/>
    <w:unhideWhenUsed/>
    <w:rsid w:val="00315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680"/>
    <w:rPr>
      <w:sz w:val="20"/>
      <w:szCs w:val="20"/>
      <w:lang w:val="en-CA"/>
    </w:rPr>
  </w:style>
  <w:style w:type="character" w:styleId="FootnoteReference">
    <w:name w:val="footnote reference"/>
    <w:basedOn w:val="DefaultParagraphFont"/>
    <w:uiPriority w:val="99"/>
    <w:semiHidden/>
    <w:unhideWhenUsed/>
    <w:rsid w:val="00315680"/>
    <w:rPr>
      <w:vertAlign w:val="superscript"/>
    </w:rPr>
  </w:style>
  <w:style w:type="paragraph" w:customStyle="1" w:styleId="Default">
    <w:name w:val="Default"/>
    <w:rsid w:val="00670D2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525C-3631-4165-BEBB-C53D7F3EA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8</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12235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Abramovitz</dc:creator>
  <cp:keywords/>
  <dc:description/>
  <cp:lastModifiedBy>Melissa Casson</cp:lastModifiedBy>
  <cp:revision>7</cp:revision>
  <dcterms:created xsi:type="dcterms:W3CDTF">2018-03-12T15:08:00Z</dcterms:created>
  <dcterms:modified xsi:type="dcterms:W3CDTF">2018-03-12T20:28:00Z</dcterms:modified>
</cp:coreProperties>
</file>