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bookmarkEnd w:id="0"/>
    <w:p w:rsidR="00213175" w:rsidRPr="00E04B04" w:rsidRDefault="00500834" w:rsidP="00213175">
      <w:r w:rsidRPr="00E04B04">
        <w:rPr>
          <w:noProof/>
          <w:lang w:val="en-US"/>
        </w:rPr>
        <mc:AlternateContent>
          <mc:Choice Requires="wps">
            <w:drawing>
              <wp:anchor distT="0" distB="0" distL="114300" distR="114300" simplePos="0" relativeHeight="251667456" behindDoc="0" locked="0" layoutInCell="1" allowOverlap="1" wp14:anchorId="72B7D86C" wp14:editId="11F6ACE9">
                <wp:simplePos x="0" y="0"/>
                <wp:positionH relativeFrom="column">
                  <wp:posOffset>3610610</wp:posOffset>
                </wp:positionH>
                <wp:positionV relativeFrom="paragraph">
                  <wp:posOffset>38735</wp:posOffset>
                </wp:positionV>
                <wp:extent cx="2631440" cy="716691"/>
                <wp:effectExtent l="0" t="0" r="0"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716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34 King Street East, Suite 600</w:t>
                            </w:r>
                          </w:p>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Toronto, Ontario, M5C 2X8</w:t>
                            </w:r>
                          </w:p>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elenchus.ca</w:t>
                            </w:r>
                          </w:p>
                          <w:p w:rsidR="00DC0492" w:rsidRPr="00595D9F" w:rsidRDefault="00DC0492" w:rsidP="00213175">
                            <w:pPr>
                              <w:rPr>
                                <w:color w:val="1F487C"/>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B7D86C" id="_x0000_t202" coordsize="21600,21600" o:spt="202" path="m,l,21600r21600,l21600,xe">
                <v:stroke joinstyle="miter"/>
                <v:path gradientshapeok="t" o:connecttype="rect"/>
              </v:shapetype>
              <v:shape id="Text Box 1" o:spid="_x0000_s1026" type="#_x0000_t202" style="position:absolute;left:0;text-align:left;margin-left:284.3pt;margin-top:3.05pt;width:207.2pt;height:5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Pdsw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" filled="f" stroked="f">
                <v:textbox>
                  <w:txbxContent>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34 King Street East, Suite 600</w:t>
                      </w:r>
                    </w:p>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Toronto, Ontario, M5C 2X8</w:t>
                      </w:r>
                    </w:p>
                    <w:p w:rsidR="00DC0492" w:rsidRPr="00595D9F" w:rsidRDefault="00DC0492" w:rsidP="00500834">
                      <w:pPr>
                        <w:spacing w:before="0" w:after="0" w:line="240" w:lineRule="auto"/>
                        <w:jc w:val="left"/>
                        <w:rPr>
                          <w:rFonts w:cs="Arial"/>
                          <w:color w:val="1F487C"/>
                          <w:sz w:val="28"/>
                          <w:szCs w:val="28"/>
                        </w:rPr>
                      </w:pPr>
                      <w:r w:rsidRPr="00595D9F">
                        <w:rPr>
                          <w:rFonts w:cs="Arial"/>
                          <w:color w:val="1F487C"/>
                          <w:sz w:val="28"/>
                          <w:szCs w:val="28"/>
                        </w:rPr>
                        <w:t>elenchus.ca</w:t>
                      </w:r>
                    </w:p>
                    <w:p w:rsidR="00DC0492" w:rsidRPr="00595D9F" w:rsidRDefault="00DC0492" w:rsidP="00213175">
                      <w:pPr>
                        <w:rPr>
                          <w:color w:val="1F487C"/>
                          <w:sz w:val="18"/>
                        </w:rPr>
                      </w:pPr>
                    </w:p>
                  </w:txbxContent>
                </v:textbox>
              </v:shape>
            </w:pict>
          </mc:Fallback>
        </mc:AlternateContent>
      </w:r>
      <w:r w:rsidR="00A920E0" w:rsidRPr="00E04B04">
        <w:rPr>
          <w:noProof/>
          <w:lang w:val="en-US"/>
        </w:rPr>
        <w:drawing>
          <wp:anchor distT="0" distB="0" distL="114300" distR="114300" simplePos="0" relativeHeight="251660288" behindDoc="1" locked="0" layoutInCell="1" allowOverlap="1" wp14:anchorId="14E0DF98" wp14:editId="11EE7B13">
            <wp:simplePos x="0" y="0"/>
            <wp:positionH relativeFrom="column">
              <wp:posOffset>-161925</wp:posOffset>
            </wp:positionH>
            <wp:positionV relativeFrom="paragraph">
              <wp:posOffset>9525</wp:posOffset>
            </wp:positionV>
            <wp:extent cx="3275330" cy="596900"/>
            <wp:effectExtent l="0" t="0" r="1270" b="0"/>
            <wp:wrapTight wrapText="bothSides">
              <wp:wrapPolygon edited="0">
                <wp:start x="628" y="0"/>
                <wp:lineTo x="0" y="4826"/>
                <wp:lineTo x="0" y="20681"/>
                <wp:lineTo x="20101" y="20681"/>
                <wp:lineTo x="20729" y="20681"/>
                <wp:lineTo x="21483" y="19991"/>
                <wp:lineTo x="21483" y="6894"/>
                <wp:lineTo x="15453" y="0"/>
                <wp:lineTo x="628"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33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175" w:rsidRDefault="00213175" w:rsidP="0072092D">
      <w:pPr>
        <w:spacing w:before="0" w:after="0" w:line="240" w:lineRule="auto"/>
        <w:jc w:val="left"/>
        <w:rPr>
          <w:sz w:val="40"/>
        </w:rPr>
      </w:pPr>
    </w:p>
    <w:p w:rsidR="0072092D" w:rsidRPr="0072092D" w:rsidRDefault="0072092D" w:rsidP="0072092D">
      <w:pPr>
        <w:spacing w:before="0" w:after="0" w:line="240" w:lineRule="auto"/>
        <w:jc w:val="left"/>
        <w:rPr>
          <w:sz w:val="40"/>
        </w:rPr>
      </w:pPr>
    </w:p>
    <w:p w:rsidR="00213175" w:rsidRPr="00E04B04" w:rsidRDefault="00570BAE" w:rsidP="00D60729">
      <w:pPr>
        <w:tabs>
          <w:tab w:val="left" w:pos="8318"/>
        </w:tabs>
        <w:spacing w:before="0"/>
        <w:jc w:val="left"/>
      </w:pPr>
      <w:r w:rsidRPr="00E04B04">
        <w:rPr>
          <w:noProof/>
          <w:lang w:val="en-US"/>
        </w:rPr>
        <mc:AlternateContent>
          <mc:Choice Requires="wps">
            <w:drawing>
              <wp:anchor distT="0" distB="0" distL="114300" distR="114300" simplePos="0" relativeHeight="251664384" behindDoc="0" locked="0" layoutInCell="1" allowOverlap="1" wp14:anchorId="71885253" wp14:editId="15CB326A">
                <wp:simplePos x="0" y="0"/>
                <wp:positionH relativeFrom="column">
                  <wp:posOffset>-198120</wp:posOffset>
                </wp:positionH>
                <wp:positionV relativeFrom="paragraph">
                  <wp:posOffset>281305</wp:posOffset>
                </wp:positionV>
                <wp:extent cx="6644640" cy="10820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08204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sdt>
                            <w:sdtPr>
                              <w:rPr>
                                <w:b/>
                                <w:color w:val="1F497D" w:themeColor="text2"/>
                                <w:sz w:val="52"/>
                                <w:szCs w:val="72"/>
                              </w:rPr>
                              <w:id w:val="-1298607507"/>
                            </w:sdtPr>
                            <w:sdtEndPr/>
                            <w:sdtContent>
                              <w:p w:rsidR="00DC0492" w:rsidRPr="00521119" w:rsidRDefault="00DC0492" w:rsidP="00862D16">
                                <w:pPr>
                                  <w:rPr>
                                    <w:b/>
                                    <w:color w:val="1F497D" w:themeColor="text2"/>
                                    <w:sz w:val="52"/>
                                    <w:szCs w:val="72"/>
                                  </w:rPr>
                                </w:pPr>
                                <w:r w:rsidRPr="00521119">
                                  <w:rPr>
                                    <w:b/>
                                    <w:color w:val="1F497D" w:themeColor="text2"/>
                                    <w:sz w:val="52"/>
                                    <w:szCs w:val="72"/>
                                  </w:rPr>
                                  <w:t>Weather Normalized Distribution System Load Forecast</w:t>
                                </w:r>
                                <w:r>
                                  <w:rPr>
                                    <w:b/>
                                    <w:color w:val="1F497D" w:themeColor="text2"/>
                                    <w:sz w:val="52"/>
                                    <w:szCs w:val="72"/>
                                  </w:rPr>
                                  <w:t>:</w:t>
                                </w:r>
                                <w:r w:rsidRPr="00521119">
                                  <w:rPr>
                                    <w:b/>
                                    <w:color w:val="1F497D" w:themeColor="text2"/>
                                    <w:sz w:val="52"/>
                                    <w:szCs w:val="72"/>
                                  </w:rPr>
                                  <w:t xml:space="preserve"> 201</w:t>
                                </w:r>
                                <w:r>
                                  <w:rPr>
                                    <w:b/>
                                    <w:color w:val="1F497D" w:themeColor="text2"/>
                                    <w:sz w:val="52"/>
                                    <w:szCs w:val="72"/>
                                  </w:rPr>
                                  <w:t>8 Cost of Service</w:t>
                                </w:r>
                              </w:p>
                            </w:sdtContent>
                          </w:sdt>
                          <w:p w:rsidR="00DC0492" w:rsidRPr="00570BAE" w:rsidRDefault="00DC0492" w:rsidP="00595D9F">
                            <w:pPr>
                              <w:pStyle w:val="CoverPage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85253" id="Text Box 2" o:spid="_x0000_s1027" type="#_x0000_t202" style="position:absolute;margin-left:-15.6pt;margin-top:22.15pt;width:523.2pt;height: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" filled="f" stroked="f" strokeweight="2pt">
                <v:textbox>
                  <w:txbxContent>
                    <w:sdt>
                      <w:sdtPr>
                        <w:rPr>
                          <w:b/>
                          <w:color w:val="1F497D" w:themeColor="text2"/>
                          <w:sz w:val="52"/>
                          <w:szCs w:val="72"/>
                        </w:rPr>
                        <w:id w:val="-1298607507"/>
                      </w:sdtPr>
                      <w:sdtEndPr/>
                      <w:sdtContent>
                        <w:p w:rsidR="00DC0492" w:rsidRPr="00521119" w:rsidRDefault="00DC0492" w:rsidP="00862D16">
                          <w:pPr>
                            <w:rPr>
                              <w:b/>
                              <w:color w:val="1F497D" w:themeColor="text2"/>
                              <w:sz w:val="52"/>
                              <w:szCs w:val="72"/>
                            </w:rPr>
                          </w:pPr>
                          <w:r w:rsidRPr="00521119">
                            <w:rPr>
                              <w:b/>
                              <w:color w:val="1F497D" w:themeColor="text2"/>
                              <w:sz w:val="52"/>
                              <w:szCs w:val="72"/>
                            </w:rPr>
                            <w:t>Weather Normalized Distribution System Load Forecast</w:t>
                          </w:r>
                          <w:r>
                            <w:rPr>
                              <w:b/>
                              <w:color w:val="1F497D" w:themeColor="text2"/>
                              <w:sz w:val="52"/>
                              <w:szCs w:val="72"/>
                            </w:rPr>
                            <w:t>:</w:t>
                          </w:r>
                          <w:r w:rsidRPr="00521119">
                            <w:rPr>
                              <w:b/>
                              <w:color w:val="1F497D" w:themeColor="text2"/>
                              <w:sz w:val="52"/>
                              <w:szCs w:val="72"/>
                            </w:rPr>
                            <w:t xml:space="preserve"> 201</w:t>
                          </w:r>
                          <w:r>
                            <w:rPr>
                              <w:b/>
                              <w:color w:val="1F497D" w:themeColor="text2"/>
                              <w:sz w:val="52"/>
                              <w:szCs w:val="72"/>
                            </w:rPr>
                            <w:t>8 Cost of Service</w:t>
                          </w:r>
                        </w:p>
                      </w:sdtContent>
                    </w:sdt>
                    <w:p w:rsidR="00DC0492" w:rsidRPr="00570BAE" w:rsidRDefault="00DC0492" w:rsidP="00595D9F">
                      <w:pPr>
                        <w:pStyle w:val="CoverPage1"/>
                      </w:pPr>
                    </w:p>
                  </w:txbxContent>
                </v:textbox>
              </v:shape>
            </w:pict>
          </mc:Fallback>
        </mc:AlternateContent>
      </w:r>
      <w:r w:rsidR="009A321B" w:rsidRPr="00E04B04">
        <w:rPr>
          <w:noProof/>
          <w:lang w:val="en-US"/>
        </w:rPr>
        <w:drawing>
          <wp:anchor distT="0" distB="0" distL="114300" distR="114300" simplePos="0" relativeHeight="251659264" behindDoc="1" locked="0" layoutInCell="1" allowOverlap="1" wp14:anchorId="39FED6C8" wp14:editId="00828051">
            <wp:simplePos x="0" y="0"/>
            <wp:positionH relativeFrom="column">
              <wp:posOffset>-588645</wp:posOffset>
            </wp:positionH>
            <wp:positionV relativeFrom="paragraph">
              <wp:posOffset>144145</wp:posOffset>
            </wp:positionV>
            <wp:extent cx="7141845" cy="7272655"/>
            <wp:effectExtent l="0" t="0" r="1905" b="4445"/>
            <wp:wrapThrough wrapText="bothSides">
              <wp:wrapPolygon edited="0">
                <wp:start x="0" y="8713"/>
                <wp:lineTo x="0" y="21557"/>
                <wp:lineTo x="21548" y="21557"/>
                <wp:lineTo x="21548" y="8713"/>
                <wp:lineTo x="0" y="8713"/>
              </wp:wrapPolygon>
            </wp:wrapThrough>
            <wp:docPr id="1" name="Picture 1" descr="C:\Users\ppow\AppData\Local\Microsoft\Windows\Temporary Internet Files\Content.Outlook\67AAB3B9\Backgroun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pow\AppData\Local\Microsoft\Windows\Temporary Internet Files\Content.Outlook\67AAB3B9\Background (3).jpg"/>
                    <pic:cNvPicPr>
                      <a:picLocks noChangeAspect="1" noChangeArrowheads="1"/>
                    </pic:cNvPicPr>
                  </pic:nvPicPr>
                  <pic:blipFill rotWithShape="1">
                    <a:blip r:embed="rId9">
                      <a:extLst>
                        <a:ext uri="{28A0092B-C50C-407E-A947-70E740481C1C}">
                          <a14:useLocalDpi xmlns:a14="http://schemas.microsoft.com/office/drawing/2010/main" val="0"/>
                        </a:ext>
                      </a:extLst>
                    </a:blip>
                    <a:srcRect t="-40969" b="40969"/>
                    <a:stretch/>
                  </pic:blipFill>
                  <pic:spPr bwMode="auto">
                    <a:xfrm>
                      <a:off x="0" y="0"/>
                      <a:ext cx="7141845" cy="727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A920E0" w:rsidRPr="00E04B04">
        <w:tab/>
      </w:r>
    </w:p>
    <w:p w:rsidR="00213175" w:rsidRPr="00E04B04" w:rsidRDefault="00213175" w:rsidP="00D60729">
      <w:pPr>
        <w:spacing w:before="0"/>
        <w:jc w:val="left"/>
      </w:pPr>
    </w:p>
    <w:p w:rsidR="00213175" w:rsidRPr="00E04B04" w:rsidRDefault="00213175" w:rsidP="00D60729">
      <w:pPr>
        <w:spacing w:before="0"/>
      </w:pPr>
    </w:p>
    <w:p w:rsidR="00213175" w:rsidRPr="00E04B04" w:rsidRDefault="005B36CA" w:rsidP="00D60729">
      <w:pPr>
        <w:spacing w:before="0"/>
      </w:pPr>
      <w:r w:rsidRPr="00E04B04">
        <w:rPr>
          <w:noProof/>
          <w:lang w:val="en-US"/>
        </w:rPr>
        <mc:AlternateContent>
          <mc:Choice Requires="wps">
            <w:drawing>
              <wp:anchor distT="0" distB="0" distL="114300" distR="114300" simplePos="0" relativeHeight="251666432" behindDoc="0" locked="0" layoutInCell="1" allowOverlap="1" wp14:anchorId="2F59D484" wp14:editId="243A94C9">
                <wp:simplePos x="0" y="0"/>
                <wp:positionH relativeFrom="column">
                  <wp:posOffset>-580390</wp:posOffset>
                </wp:positionH>
                <wp:positionV relativeFrom="paragraph">
                  <wp:posOffset>444500</wp:posOffset>
                </wp:positionV>
                <wp:extent cx="7141845" cy="0"/>
                <wp:effectExtent l="19050" t="19050" r="40005" b="38100"/>
                <wp:wrapNone/>
                <wp:docPr id="11" name="Straight Connector 11"/>
                <wp:cNvGraphicFramePr/>
                <a:graphic xmlns:a="http://schemas.openxmlformats.org/drawingml/2006/main">
                  <a:graphicData uri="http://schemas.microsoft.com/office/word/2010/wordprocessingShape">
                    <wps:wsp>
                      <wps:cNvCnPr/>
                      <wps:spPr>
                        <a:xfrm>
                          <a:off x="0" y="0"/>
                          <a:ext cx="7141845" cy="0"/>
                        </a:xfrm>
                        <a:prstGeom prst="line">
                          <a:avLst/>
                        </a:prstGeom>
                        <a:ln w="12700" cap="sq" cmpd="sng">
                          <a:solidFill>
                            <a:srgbClr val="0070C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3CDB4D"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35pt" to="516.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" strokecolor="#0070c0" strokeweight="1pt">
                <v:stroke endcap="square"/>
              </v:line>
            </w:pict>
          </mc:Fallback>
        </mc:AlternateContent>
      </w:r>
    </w:p>
    <w:p w:rsidR="00213175" w:rsidRPr="00E04B04" w:rsidRDefault="00213175" w:rsidP="00D60729">
      <w:pPr>
        <w:spacing w:before="0"/>
      </w:pPr>
    </w:p>
    <w:p w:rsidR="00213175" w:rsidRPr="00E04B04" w:rsidRDefault="00570BAE" w:rsidP="00D60729">
      <w:pPr>
        <w:spacing w:before="0"/>
      </w:pPr>
      <w:r>
        <w:rPr>
          <w:noProof/>
          <w:lang w:val="en-US"/>
        </w:rPr>
        <mc:AlternateContent>
          <mc:Choice Requires="wps">
            <w:drawing>
              <wp:anchor distT="45720" distB="45720" distL="114300" distR="114300" simplePos="0" relativeHeight="251671552" behindDoc="0" locked="0" layoutInCell="1" allowOverlap="1">
                <wp:simplePos x="0" y="0"/>
                <wp:positionH relativeFrom="column">
                  <wp:posOffset>-200025</wp:posOffset>
                </wp:positionH>
                <wp:positionV relativeFrom="paragraph">
                  <wp:posOffset>142875</wp:posOffset>
                </wp:positionV>
                <wp:extent cx="56121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404620"/>
                        </a:xfrm>
                        <a:prstGeom prst="rect">
                          <a:avLst/>
                        </a:prstGeom>
                        <a:solidFill>
                          <a:srgbClr val="FFFFFF">
                            <a:alpha val="0"/>
                          </a:srgbClr>
                        </a:solidFill>
                        <a:ln w="9525">
                          <a:noFill/>
                          <a:miter lim="800000"/>
                          <a:headEnd/>
                          <a:tailEnd/>
                        </a:ln>
                      </wps:spPr>
                      <wps:txbx>
                        <w:txbxContent>
                          <w:p w:rsidR="00DC0492" w:rsidRPr="00595D9F" w:rsidRDefault="00DC0492" w:rsidP="00595D9F">
                            <w:pPr>
                              <w:pStyle w:val="CoverPage2"/>
                            </w:pPr>
                            <w:r w:rsidRPr="00595D9F">
                              <w:t>Report prepared by</w:t>
                            </w:r>
                          </w:p>
                          <w:p w:rsidR="00DC0492" w:rsidRPr="00595D9F" w:rsidRDefault="00DC0492" w:rsidP="00595D9F">
                            <w:pPr>
                              <w:pStyle w:val="CoverPage2"/>
                            </w:pPr>
                            <w:r>
                              <w:t>Andrew Frank</w:t>
                            </w:r>
                          </w:p>
                          <w:p w:rsidR="00DC0492" w:rsidRPr="00595D9F" w:rsidRDefault="00DC0492" w:rsidP="00595D9F">
                            <w:pPr>
                              <w:pStyle w:val="CoverPage2"/>
                            </w:pPr>
                            <w:r w:rsidRPr="00595D9F">
                              <w:t>Elenchus Research Associates Inc.</w:t>
                            </w:r>
                          </w:p>
                          <w:p w:rsidR="00DC0492" w:rsidRDefault="00DC0492" w:rsidP="00595D9F">
                            <w:pPr>
                              <w:pStyle w:val="CoverPage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75pt;margin-top:11.25pt;width:441.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" stroked="f">
                <v:fill opacity="0"/>
                <v:textbox style="mso-fit-shape-to-text:t">
                  <w:txbxContent>
                    <w:p w:rsidR="00DC0492" w:rsidRPr="00595D9F" w:rsidRDefault="00DC0492" w:rsidP="00595D9F">
                      <w:pPr>
                        <w:pStyle w:val="CoverPage2"/>
                      </w:pPr>
                      <w:r w:rsidRPr="00595D9F">
                        <w:t>Report prepared by</w:t>
                      </w:r>
                    </w:p>
                    <w:p w:rsidR="00DC0492" w:rsidRPr="00595D9F" w:rsidRDefault="00DC0492" w:rsidP="00595D9F">
                      <w:pPr>
                        <w:pStyle w:val="CoverPage2"/>
                      </w:pPr>
                      <w:r>
                        <w:t>Andrew Frank</w:t>
                      </w:r>
                    </w:p>
                    <w:p w:rsidR="00DC0492" w:rsidRPr="00595D9F" w:rsidRDefault="00DC0492" w:rsidP="00595D9F">
                      <w:pPr>
                        <w:pStyle w:val="CoverPage2"/>
                      </w:pPr>
                      <w:r w:rsidRPr="00595D9F">
                        <w:t>Elenchus Research Associates Inc.</w:t>
                      </w:r>
                    </w:p>
                    <w:p w:rsidR="00DC0492" w:rsidRDefault="00DC0492" w:rsidP="00595D9F">
                      <w:pPr>
                        <w:pStyle w:val="CoverPage2"/>
                      </w:pPr>
                    </w:p>
                  </w:txbxContent>
                </v:textbox>
                <w10:wrap type="square"/>
              </v:shape>
            </w:pict>
          </mc:Fallback>
        </mc:AlternateContent>
      </w:r>
    </w:p>
    <w:p w:rsidR="00213175" w:rsidRPr="00E04B04" w:rsidRDefault="00213175" w:rsidP="00D60729">
      <w:pPr>
        <w:spacing w:before="0"/>
      </w:pPr>
    </w:p>
    <w:p w:rsidR="006448EB" w:rsidRPr="00E04B04" w:rsidRDefault="006448EB" w:rsidP="008E4EF6">
      <w:pPr>
        <w:spacing w:before="0"/>
        <w:jc w:val="left"/>
      </w:pPr>
    </w:p>
    <w:p w:rsidR="009A321B" w:rsidRDefault="003E6D77">
      <w:pPr>
        <w:spacing w:before="0" w:after="200"/>
        <w:jc w:val="left"/>
        <w:rPr>
          <w:rFonts w:eastAsia="Times New Roman" w:cs="Times New Roman"/>
          <w:i/>
          <w:spacing w:val="-5"/>
          <w:szCs w:val="20"/>
        </w:rPr>
      </w:pPr>
      <w:r w:rsidRPr="00E04B04">
        <w:rPr>
          <w:noProof/>
          <w:lang w:val="en-US"/>
        </w:rPr>
        <w:drawing>
          <wp:anchor distT="0" distB="0" distL="114300" distR="114300" simplePos="0" relativeHeight="251665408" behindDoc="1" locked="0" layoutInCell="1" allowOverlap="1" wp14:anchorId="4CBDFF67" wp14:editId="2FFBE3F1">
            <wp:simplePos x="0" y="0"/>
            <wp:positionH relativeFrom="column">
              <wp:posOffset>-597535</wp:posOffset>
            </wp:positionH>
            <wp:positionV relativeFrom="paragraph">
              <wp:posOffset>5154641</wp:posOffset>
            </wp:positionV>
            <wp:extent cx="7154545" cy="506095"/>
            <wp:effectExtent l="0" t="0" r="8255" b="8255"/>
            <wp:wrapTight wrapText="bothSides">
              <wp:wrapPolygon edited="0">
                <wp:start x="0" y="0"/>
                <wp:lineTo x="0" y="21139"/>
                <wp:lineTo x="21567" y="21139"/>
                <wp:lineTo x="21567" y="0"/>
                <wp:lineTo x="0" y="0"/>
              </wp:wrapPolygon>
            </wp:wrapTight>
            <wp:docPr id="8" name="Picture 2" descr="http://elenchus.ca/images/email_footer_0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elenchus.ca/images/email_footer_01.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4545" cy="5060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A321B" w:rsidRPr="00E04B04">
        <w:rPr>
          <w:noProof/>
          <w:lang w:val="en-US"/>
        </w:rPr>
        <mc:AlternateContent>
          <mc:Choice Requires="wps">
            <w:drawing>
              <wp:anchor distT="0" distB="0" distL="114300" distR="114300" simplePos="0" relativeHeight="251669504" behindDoc="0" locked="0" layoutInCell="1" allowOverlap="1" wp14:anchorId="502B4ED9" wp14:editId="287CCB60">
                <wp:simplePos x="0" y="0"/>
                <wp:positionH relativeFrom="column">
                  <wp:posOffset>-335857</wp:posOffset>
                </wp:positionH>
                <wp:positionV relativeFrom="paragraph">
                  <wp:posOffset>3656033</wp:posOffset>
                </wp:positionV>
                <wp:extent cx="4035534" cy="990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534" cy="990600"/>
                        </a:xfrm>
                        <a:prstGeom prst="rect">
                          <a:avLst/>
                        </a:prstGeom>
                        <a:noFill/>
                        <a:ln w="25400" cap="flat" cmpd="sng" algn="ctr">
                          <a:noFill/>
                          <a:prstDash val="solid"/>
                          <a:headEnd/>
                          <a:tailEnd/>
                        </a:ln>
                        <a:effectLst/>
                      </wps:spPr>
                      <wps:txbx>
                        <w:txbxContent>
                          <w:p w:rsidR="00DC0492" w:rsidRPr="00570BAE" w:rsidRDefault="00DC0492" w:rsidP="00595D9F">
                            <w:pPr>
                              <w:pStyle w:val="CoverPage3"/>
                            </w:pPr>
                            <w:r w:rsidRPr="00570BAE">
                              <w:t>Prepared for:</w:t>
                            </w:r>
                          </w:p>
                          <w:p w:rsidR="00DC0492" w:rsidRPr="00570BAE" w:rsidRDefault="00DC0492" w:rsidP="00595D9F">
                            <w:pPr>
                              <w:pStyle w:val="CoverPage3"/>
                            </w:pPr>
                            <w:r>
                              <w:t>Erie Thames Powerlines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B4ED9" id="_x0000_s1029" type="#_x0000_t202" style="position:absolute;margin-left:-26.45pt;margin-top:287.9pt;width:317.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" filled="f" stroked="f" strokeweight="2pt">
                <v:textbox>
                  <w:txbxContent>
                    <w:p w:rsidR="00DC0492" w:rsidRPr="00570BAE" w:rsidRDefault="00DC0492" w:rsidP="00595D9F">
                      <w:pPr>
                        <w:pStyle w:val="CoverPage3"/>
                      </w:pPr>
                      <w:r w:rsidRPr="00570BAE">
                        <w:t>Prepared for:</w:t>
                      </w:r>
                    </w:p>
                    <w:p w:rsidR="00DC0492" w:rsidRPr="00570BAE" w:rsidRDefault="00DC0492" w:rsidP="00595D9F">
                      <w:pPr>
                        <w:pStyle w:val="CoverPage3"/>
                      </w:pPr>
                      <w:r>
                        <w:t>Erie Thames Powerlines</w:t>
                      </w:r>
                    </w:p>
                  </w:txbxContent>
                </v:textbox>
              </v:shape>
            </w:pict>
          </mc:Fallback>
        </mc:AlternateContent>
      </w:r>
      <w:r w:rsidR="009A321B" w:rsidRPr="00E04B04">
        <w:rPr>
          <w:noProof/>
          <w:lang w:val="en-US"/>
        </w:rPr>
        <mc:AlternateContent>
          <mc:Choice Requires="wps">
            <w:drawing>
              <wp:anchor distT="0" distB="0" distL="114300" distR="114300" simplePos="0" relativeHeight="251663360" behindDoc="0" locked="0" layoutInCell="1" allowOverlap="1" wp14:anchorId="7AFBA261" wp14:editId="22915CA0">
                <wp:simplePos x="0" y="0"/>
                <wp:positionH relativeFrom="column">
                  <wp:posOffset>3386630</wp:posOffset>
                </wp:positionH>
                <wp:positionV relativeFrom="paragraph">
                  <wp:posOffset>4017733</wp:posOffset>
                </wp:positionV>
                <wp:extent cx="2905760" cy="6286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62865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rsidR="00DC0492" w:rsidRPr="00570BAE" w:rsidRDefault="00DC0492" w:rsidP="00595D9F">
                            <w:pPr>
                              <w:pStyle w:val="CoverPage3"/>
                              <w:jc w:val="right"/>
                            </w:pPr>
                            <w:r>
                              <w:t>8</w:t>
                            </w:r>
                            <w:r w:rsidRPr="00570BAE">
                              <w:t xml:space="preserve"> </w:t>
                            </w:r>
                            <w:r>
                              <w:t>June</w:t>
                            </w:r>
                            <w:r w:rsidRPr="00570BAE">
                              <w:t xml:space="preserve"> 2017</w:t>
                            </w:r>
                          </w:p>
                          <w:p w:rsidR="00DC0492" w:rsidRPr="001C182F" w:rsidRDefault="00DC0492" w:rsidP="00D60729">
                            <w:pPr>
                              <w:spacing w:before="0" w:after="200"/>
                              <w:jc w:val="right"/>
                              <w:rPr>
                                <w:rFonts w:cs="Arial"/>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BA261" id="_x0000_s1030" type="#_x0000_t202" style="position:absolute;margin-left:266.65pt;margin-top:316.35pt;width:228.8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" filled="f" stroked="f" strokeweight="2pt">
                <v:textbox>
                  <w:txbxContent>
                    <w:p w:rsidR="00DC0492" w:rsidRPr="00570BAE" w:rsidRDefault="00DC0492" w:rsidP="00595D9F">
                      <w:pPr>
                        <w:pStyle w:val="CoverPage3"/>
                        <w:jc w:val="right"/>
                      </w:pPr>
                      <w:r>
                        <w:t>8</w:t>
                      </w:r>
                      <w:r w:rsidRPr="00570BAE">
                        <w:t xml:space="preserve"> </w:t>
                      </w:r>
                      <w:r>
                        <w:t>June</w:t>
                      </w:r>
                      <w:r w:rsidRPr="00570BAE">
                        <w:t xml:space="preserve"> 2017</w:t>
                      </w:r>
                    </w:p>
                    <w:p w:rsidR="00DC0492" w:rsidRPr="001C182F" w:rsidRDefault="00DC0492" w:rsidP="00D60729">
                      <w:pPr>
                        <w:spacing w:before="0" w:after="200"/>
                        <w:jc w:val="right"/>
                        <w:rPr>
                          <w:rFonts w:cs="Arial"/>
                          <w:sz w:val="40"/>
                          <w:szCs w:val="40"/>
                        </w:rPr>
                      </w:pPr>
                    </w:p>
                  </w:txbxContent>
                </v:textbox>
              </v:shape>
            </w:pict>
          </mc:Fallback>
        </mc:AlternateContent>
      </w:r>
      <w:r w:rsidR="009A321B">
        <w:br w:type="page"/>
      </w:r>
    </w:p>
    <w:p w:rsidR="006448EB" w:rsidRPr="00E04B04" w:rsidRDefault="006448EB" w:rsidP="006448EB">
      <w:pPr>
        <w:pStyle w:val="Quote"/>
        <w:jc w:val="center"/>
      </w:pPr>
    </w:p>
    <w:p w:rsidR="006448EB" w:rsidRPr="00E04B04" w:rsidRDefault="006448EB" w:rsidP="00D60729">
      <w:pPr>
        <w:pStyle w:val="Quote"/>
        <w:jc w:val="center"/>
      </w:pPr>
      <w:r w:rsidRPr="00E04B04">
        <w:t>Page Intentionally Blank</w:t>
      </w:r>
    </w:p>
    <w:p w:rsidR="006448EB" w:rsidRPr="00E04B04" w:rsidRDefault="006448EB" w:rsidP="006448EB"/>
    <w:p w:rsidR="006448EB" w:rsidRPr="00E04B04" w:rsidRDefault="006448EB" w:rsidP="006448EB">
      <w:pPr>
        <w:sectPr w:rsidR="006448EB" w:rsidRPr="00E04B04" w:rsidSect="00137142">
          <w:headerReference w:type="even" r:id="rId12"/>
          <w:footerReference w:type="default" r:id="rId13"/>
          <w:pgSz w:w="12240" w:h="15840"/>
          <w:pgMar w:top="1440" w:right="1440" w:bottom="426" w:left="1440" w:header="720" w:footer="720" w:gutter="0"/>
          <w:pgBorders w:display="firstPage"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20"/>
          <w:titlePg/>
          <w:docGrid w:linePitch="360"/>
        </w:sectPr>
      </w:pPr>
    </w:p>
    <w:p w:rsidR="007D4324" w:rsidRDefault="006448EB" w:rsidP="00CD25EE">
      <w:pPr>
        <w:pStyle w:val="TOCHeadingE"/>
        <w:rPr>
          <w:noProof/>
        </w:rPr>
      </w:pPr>
      <w:bookmarkStart w:id="1" w:name="_Toc343854569"/>
      <w:bookmarkStart w:id="2" w:name="_Toc373420460"/>
      <w:bookmarkStart w:id="3" w:name="_Toc434499866"/>
      <w:r w:rsidRPr="00E04B04">
        <w:lastRenderedPageBreak/>
        <w:t>Table of Contents</w:t>
      </w:r>
      <w:bookmarkEnd w:id="1"/>
      <w:bookmarkEnd w:id="2"/>
      <w:bookmarkEnd w:id="3"/>
      <w:r w:rsidR="00CD25EE">
        <w:fldChar w:fldCharType="begin"/>
      </w:r>
      <w:r w:rsidR="00CD25EE">
        <w:instrText xml:space="preserve"> TOC \o "1-2" \h \z \u </w:instrText>
      </w:r>
      <w:r w:rsidR="00CD25EE">
        <w:fldChar w:fldCharType="separate"/>
      </w:r>
    </w:p>
    <w:p w:rsidR="007D4324" w:rsidRDefault="00D80468">
      <w:pPr>
        <w:pStyle w:val="TOC1"/>
        <w:rPr>
          <w:rFonts w:asciiTheme="minorHAnsi" w:eastAsiaTheme="minorEastAsia" w:hAnsiTheme="minorHAnsi"/>
          <w:noProof/>
          <w:sz w:val="22"/>
          <w:lang w:eastAsia="en-CA"/>
        </w:rPr>
      </w:pPr>
      <w:hyperlink w:anchor="_Toc484704233" w:history="1">
        <w:r w:rsidR="007D4324" w:rsidRPr="006756C7">
          <w:rPr>
            <w:rStyle w:val="Hyperlink"/>
            <w:noProof/>
          </w:rPr>
          <w:t>1</w:t>
        </w:r>
        <w:r w:rsidR="007D4324">
          <w:rPr>
            <w:rFonts w:asciiTheme="minorHAnsi" w:eastAsiaTheme="minorEastAsia" w:hAnsiTheme="minorHAnsi"/>
            <w:noProof/>
            <w:sz w:val="22"/>
            <w:lang w:eastAsia="en-CA"/>
          </w:rPr>
          <w:tab/>
        </w:r>
        <w:r w:rsidR="007D4324" w:rsidRPr="006756C7">
          <w:rPr>
            <w:rStyle w:val="Hyperlink"/>
            <w:noProof/>
          </w:rPr>
          <w:t>Introduction</w:t>
        </w:r>
        <w:r w:rsidR="007D4324">
          <w:rPr>
            <w:noProof/>
            <w:webHidden/>
          </w:rPr>
          <w:tab/>
        </w:r>
        <w:r w:rsidR="007D4324">
          <w:rPr>
            <w:noProof/>
            <w:webHidden/>
          </w:rPr>
          <w:fldChar w:fldCharType="begin"/>
        </w:r>
        <w:r w:rsidR="007D4324">
          <w:rPr>
            <w:noProof/>
            <w:webHidden/>
          </w:rPr>
          <w:instrText xml:space="preserve"> PAGEREF _Toc484704233 \h </w:instrText>
        </w:r>
        <w:r w:rsidR="007D4324">
          <w:rPr>
            <w:noProof/>
            <w:webHidden/>
          </w:rPr>
        </w:r>
        <w:r w:rsidR="007D4324">
          <w:rPr>
            <w:noProof/>
            <w:webHidden/>
          </w:rPr>
          <w:fldChar w:fldCharType="separate"/>
        </w:r>
        <w:r w:rsidR="00CF2300">
          <w:rPr>
            <w:noProof/>
            <w:webHidden/>
          </w:rPr>
          <w:t>1</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34" w:history="1">
        <w:r w:rsidR="007D4324" w:rsidRPr="006756C7">
          <w:rPr>
            <w:rStyle w:val="Hyperlink"/>
            <w:noProof/>
          </w:rPr>
          <w:t>1.1</w:t>
        </w:r>
        <w:r w:rsidR="007D4324">
          <w:rPr>
            <w:rFonts w:asciiTheme="minorHAnsi" w:eastAsiaTheme="minorEastAsia" w:hAnsiTheme="minorHAnsi"/>
            <w:noProof/>
            <w:sz w:val="22"/>
            <w:lang w:eastAsia="en-CA"/>
          </w:rPr>
          <w:tab/>
        </w:r>
        <w:r w:rsidR="007D4324" w:rsidRPr="006756C7">
          <w:rPr>
            <w:rStyle w:val="Hyperlink"/>
            <w:noProof/>
          </w:rPr>
          <w:t>Summarized Results</w:t>
        </w:r>
        <w:r w:rsidR="007D4324">
          <w:rPr>
            <w:noProof/>
            <w:webHidden/>
          </w:rPr>
          <w:tab/>
        </w:r>
        <w:r w:rsidR="007D4324">
          <w:rPr>
            <w:noProof/>
            <w:webHidden/>
          </w:rPr>
          <w:fldChar w:fldCharType="begin"/>
        </w:r>
        <w:r w:rsidR="007D4324">
          <w:rPr>
            <w:noProof/>
            <w:webHidden/>
          </w:rPr>
          <w:instrText xml:space="preserve"> PAGEREF _Toc484704234 \h </w:instrText>
        </w:r>
        <w:r w:rsidR="007D4324">
          <w:rPr>
            <w:noProof/>
            <w:webHidden/>
          </w:rPr>
        </w:r>
        <w:r w:rsidR="007D4324">
          <w:rPr>
            <w:noProof/>
            <w:webHidden/>
          </w:rPr>
          <w:fldChar w:fldCharType="separate"/>
        </w:r>
        <w:r w:rsidR="00CF2300">
          <w:rPr>
            <w:noProof/>
            <w:webHidden/>
          </w:rPr>
          <w:t>2</w:t>
        </w:r>
        <w:r w:rsidR="007D4324">
          <w:rPr>
            <w:noProof/>
            <w:webHidden/>
          </w:rPr>
          <w:fldChar w:fldCharType="end"/>
        </w:r>
      </w:hyperlink>
    </w:p>
    <w:p w:rsidR="007D4324" w:rsidRDefault="00D80468">
      <w:pPr>
        <w:pStyle w:val="TOC1"/>
        <w:rPr>
          <w:rFonts w:asciiTheme="minorHAnsi" w:eastAsiaTheme="minorEastAsia" w:hAnsiTheme="minorHAnsi"/>
          <w:noProof/>
          <w:sz w:val="22"/>
          <w:lang w:eastAsia="en-CA"/>
        </w:rPr>
      </w:pPr>
      <w:hyperlink w:anchor="_Toc484704235" w:history="1">
        <w:r w:rsidR="007D4324" w:rsidRPr="006756C7">
          <w:rPr>
            <w:rStyle w:val="Hyperlink"/>
            <w:noProof/>
          </w:rPr>
          <w:t>2</w:t>
        </w:r>
        <w:r w:rsidR="007D4324">
          <w:rPr>
            <w:rFonts w:asciiTheme="minorHAnsi" w:eastAsiaTheme="minorEastAsia" w:hAnsiTheme="minorHAnsi"/>
            <w:noProof/>
            <w:sz w:val="22"/>
            <w:lang w:eastAsia="en-CA"/>
          </w:rPr>
          <w:tab/>
        </w:r>
        <w:r w:rsidR="007D4324" w:rsidRPr="006756C7">
          <w:rPr>
            <w:rStyle w:val="Hyperlink"/>
            <w:noProof/>
          </w:rPr>
          <w:t>Class Specific kWh Regression</w:t>
        </w:r>
        <w:r w:rsidR="007D4324">
          <w:rPr>
            <w:noProof/>
            <w:webHidden/>
          </w:rPr>
          <w:tab/>
        </w:r>
        <w:r w:rsidR="007D4324">
          <w:rPr>
            <w:noProof/>
            <w:webHidden/>
          </w:rPr>
          <w:fldChar w:fldCharType="begin"/>
        </w:r>
        <w:r w:rsidR="007D4324">
          <w:rPr>
            <w:noProof/>
            <w:webHidden/>
          </w:rPr>
          <w:instrText xml:space="preserve"> PAGEREF _Toc484704235 \h </w:instrText>
        </w:r>
        <w:r w:rsidR="007D4324">
          <w:rPr>
            <w:noProof/>
            <w:webHidden/>
          </w:rPr>
        </w:r>
        <w:r w:rsidR="007D4324">
          <w:rPr>
            <w:noProof/>
            <w:webHidden/>
          </w:rPr>
          <w:fldChar w:fldCharType="separate"/>
        </w:r>
        <w:r w:rsidR="00CF2300">
          <w:rPr>
            <w:noProof/>
            <w:webHidden/>
          </w:rPr>
          <w:t>4</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36" w:history="1">
        <w:r w:rsidR="007D4324" w:rsidRPr="006756C7">
          <w:rPr>
            <w:rStyle w:val="Hyperlink"/>
            <w:noProof/>
          </w:rPr>
          <w:t>2.1</w:t>
        </w:r>
        <w:r w:rsidR="007D4324">
          <w:rPr>
            <w:rFonts w:asciiTheme="minorHAnsi" w:eastAsiaTheme="minorEastAsia" w:hAnsiTheme="minorHAnsi"/>
            <w:noProof/>
            <w:sz w:val="22"/>
            <w:lang w:eastAsia="en-CA"/>
          </w:rPr>
          <w:tab/>
        </w:r>
        <w:r w:rsidR="007D4324" w:rsidRPr="006756C7">
          <w:rPr>
            <w:rStyle w:val="Hyperlink"/>
            <w:noProof/>
          </w:rPr>
          <w:t>Residential</w:t>
        </w:r>
        <w:r w:rsidR="007D4324">
          <w:rPr>
            <w:noProof/>
            <w:webHidden/>
          </w:rPr>
          <w:tab/>
        </w:r>
        <w:r w:rsidR="007D4324">
          <w:rPr>
            <w:noProof/>
            <w:webHidden/>
          </w:rPr>
          <w:fldChar w:fldCharType="begin"/>
        </w:r>
        <w:r w:rsidR="007D4324">
          <w:rPr>
            <w:noProof/>
            <w:webHidden/>
          </w:rPr>
          <w:instrText xml:space="preserve"> PAGEREF _Toc484704236 \h </w:instrText>
        </w:r>
        <w:r w:rsidR="007D4324">
          <w:rPr>
            <w:noProof/>
            <w:webHidden/>
          </w:rPr>
        </w:r>
        <w:r w:rsidR="007D4324">
          <w:rPr>
            <w:noProof/>
            <w:webHidden/>
          </w:rPr>
          <w:fldChar w:fldCharType="separate"/>
        </w:r>
        <w:r w:rsidR="00CF2300">
          <w:rPr>
            <w:noProof/>
            <w:webHidden/>
          </w:rPr>
          <w:t>4</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37" w:history="1">
        <w:r w:rsidR="007D4324" w:rsidRPr="006756C7">
          <w:rPr>
            <w:rStyle w:val="Hyperlink"/>
            <w:noProof/>
          </w:rPr>
          <w:t>2.2</w:t>
        </w:r>
        <w:r w:rsidR="007D4324">
          <w:rPr>
            <w:rFonts w:asciiTheme="minorHAnsi" w:eastAsiaTheme="minorEastAsia" w:hAnsiTheme="minorHAnsi"/>
            <w:noProof/>
            <w:sz w:val="22"/>
            <w:lang w:eastAsia="en-CA"/>
          </w:rPr>
          <w:tab/>
        </w:r>
        <w:r w:rsidR="007D4324" w:rsidRPr="006756C7">
          <w:rPr>
            <w:rStyle w:val="Hyperlink"/>
            <w:noProof/>
          </w:rPr>
          <w:t>GS &lt; 50</w:t>
        </w:r>
        <w:r w:rsidR="007D4324">
          <w:rPr>
            <w:noProof/>
            <w:webHidden/>
          </w:rPr>
          <w:tab/>
        </w:r>
        <w:r w:rsidR="007D4324">
          <w:rPr>
            <w:noProof/>
            <w:webHidden/>
          </w:rPr>
          <w:fldChar w:fldCharType="begin"/>
        </w:r>
        <w:r w:rsidR="007D4324">
          <w:rPr>
            <w:noProof/>
            <w:webHidden/>
          </w:rPr>
          <w:instrText xml:space="preserve"> PAGEREF _Toc484704237 \h </w:instrText>
        </w:r>
        <w:r w:rsidR="007D4324">
          <w:rPr>
            <w:noProof/>
            <w:webHidden/>
          </w:rPr>
        </w:r>
        <w:r w:rsidR="007D4324">
          <w:rPr>
            <w:noProof/>
            <w:webHidden/>
          </w:rPr>
          <w:fldChar w:fldCharType="separate"/>
        </w:r>
        <w:r w:rsidR="00CF2300">
          <w:rPr>
            <w:noProof/>
            <w:webHidden/>
          </w:rPr>
          <w:t>6</w:t>
        </w:r>
        <w:r w:rsidR="007D4324">
          <w:rPr>
            <w:noProof/>
            <w:webHidden/>
          </w:rPr>
          <w:fldChar w:fldCharType="end"/>
        </w:r>
      </w:hyperlink>
    </w:p>
    <w:p w:rsidR="007D4324" w:rsidRDefault="00D80468">
      <w:pPr>
        <w:pStyle w:val="TOC1"/>
        <w:rPr>
          <w:rFonts w:asciiTheme="minorHAnsi" w:eastAsiaTheme="minorEastAsia" w:hAnsiTheme="minorHAnsi"/>
          <w:noProof/>
          <w:sz w:val="22"/>
          <w:lang w:eastAsia="en-CA"/>
        </w:rPr>
      </w:pPr>
      <w:hyperlink w:anchor="_Toc484704238" w:history="1">
        <w:r w:rsidR="007D4324" w:rsidRPr="006756C7">
          <w:rPr>
            <w:rStyle w:val="Hyperlink"/>
            <w:noProof/>
          </w:rPr>
          <w:t>3</w:t>
        </w:r>
        <w:r w:rsidR="007D4324">
          <w:rPr>
            <w:rFonts w:asciiTheme="minorHAnsi" w:eastAsiaTheme="minorEastAsia" w:hAnsiTheme="minorHAnsi"/>
            <w:noProof/>
            <w:sz w:val="22"/>
            <w:lang w:eastAsia="en-CA"/>
          </w:rPr>
          <w:tab/>
        </w:r>
        <w:r w:rsidR="007D4324" w:rsidRPr="006756C7">
          <w:rPr>
            <w:rStyle w:val="Hyperlink"/>
            <w:noProof/>
          </w:rPr>
          <w:t>Weather Normalization and Economic Forecast</w:t>
        </w:r>
        <w:r w:rsidR="007D4324">
          <w:rPr>
            <w:noProof/>
            <w:webHidden/>
          </w:rPr>
          <w:tab/>
        </w:r>
        <w:r w:rsidR="007D4324">
          <w:rPr>
            <w:noProof/>
            <w:webHidden/>
          </w:rPr>
          <w:fldChar w:fldCharType="begin"/>
        </w:r>
        <w:r w:rsidR="007D4324">
          <w:rPr>
            <w:noProof/>
            <w:webHidden/>
          </w:rPr>
          <w:instrText xml:space="preserve"> PAGEREF _Toc484704238 \h </w:instrText>
        </w:r>
        <w:r w:rsidR="007D4324">
          <w:rPr>
            <w:noProof/>
            <w:webHidden/>
          </w:rPr>
        </w:r>
        <w:r w:rsidR="007D4324">
          <w:rPr>
            <w:noProof/>
            <w:webHidden/>
          </w:rPr>
          <w:fldChar w:fldCharType="separate"/>
        </w:r>
        <w:r w:rsidR="00CF2300">
          <w:rPr>
            <w:noProof/>
            <w:webHidden/>
          </w:rPr>
          <w:t>9</w:t>
        </w:r>
        <w:r w:rsidR="007D4324">
          <w:rPr>
            <w:noProof/>
            <w:webHidden/>
          </w:rPr>
          <w:fldChar w:fldCharType="end"/>
        </w:r>
      </w:hyperlink>
    </w:p>
    <w:p w:rsidR="007D4324" w:rsidRDefault="00D80468">
      <w:pPr>
        <w:pStyle w:val="TOC1"/>
        <w:rPr>
          <w:rFonts w:asciiTheme="minorHAnsi" w:eastAsiaTheme="minorEastAsia" w:hAnsiTheme="minorHAnsi"/>
          <w:noProof/>
          <w:sz w:val="22"/>
          <w:lang w:eastAsia="en-CA"/>
        </w:rPr>
      </w:pPr>
      <w:hyperlink w:anchor="_Toc484704239" w:history="1">
        <w:r w:rsidR="007D4324" w:rsidRPr="006756C7">
          <w:rPr>
            <w:rStyle w:val="Hyperlink"/>
            <w:noProof/>
          </w:rPr>
          <w:t>4</w:t>
        </w:r>
        <w:r w:rsidR="007D4324">
          <w:rPr>
            <w:rFonts w:asciiTheme="minorHAnsi" w:eastAsiaTheme="minorEastAsia" w:hAnsiTheme="minorHAnsi"/>
            <w:noProof/>
            <w:sz w:val="22"/>
            <w:lang w:eastAsia="en-CA"/>
          </w:rPr>
          <w:tab/>
        </w:r>
        <w:r w:rsidR="007D4324" w:rsidRPr="006756C7">
          <w:rPr>
            <w:rStyle w:val="Hyperlink"/>
            <w:noProof/>
          </w:rPr>
          <w:t>Class Specific Normalized Forecasts</w:t>
        </w:r>
        <w:r w:rsidR="007D4324">
          <w:rPr>
            <w:noProof/>
            <w:webHidden/>
          </w:rPr>
          <w:tab/>
        </w:r>
        <w:r w:rsidR="007D4324">
          <w:rPr>
            <w:noProof/>
            <w:webHidden/>
          </w:rPr>
          <w:fldChar w:fldCharType="begin"/>
        </w:r>
        <w:r w:rsidR="007D4324">
          <w:rPr>
            <w:noProof/>
            <w:webHidden/>
          </w:rPr>
          <w:instrText xml:space="preserve"> PAGEREF _Toc484704239 \h </w:instrText>
        </w:r>
        <w:r w:rsidR="007D4324">
          <w:rPr>
            <w:noProof/>
            <w:webHidden/>
          </w:rPr>
        </w:r>
        <w:r w:rsidR="007D4324">
          <w:rPr>
            <w:noProof/>
            <w:webHidden/>
          </w:rPr>
          <w:fldChar w:fldCharType="separate"/>
        </w:r>
        <w:r w:rsidR="00CF2300">
          <w:rPr>
            <w:noProof/>
            <w:webHidden/>
          </w:rPr>
          <w:t>11</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0" w:history="1">
        <w:r w:rsidR="007D4324" w:rsidRPr="006756C7">
          <w:rPr>
            <w:rStyle w:val="Hyperlink"/>
            <w:noProof/>
          </w:rPr>
          <w:t>4.1</w:t>
        </w:r>
        <w:r w:rsidR="007D4324">
          <w:rPr>
            <w:rFonts w:asciiTheme="minorHAnsi" w:eastAsiaTheme="minorEastAsia" w:hAnsiTheme="minorHAnsi"/>
            <w:noProof/>
            <w:sz w:val="22"/>
            <w:lang w:eastAsia="en-CA"/>
          </w:rPr>
          <w:tab/>
        </w:r>
        <w:r w:rsidR="007D4324" w:rsidRPr="006756C7">
          <w:rPr>
            <w:rStyle w:val="Hyperlink"/>
            <w:noProof/>
          </w:rPr>
          <w:t>Residential</w:t>
        </w:r>
        <w:r w:rsidR="007D4324">
          <w:rPr>
            <w:noProof/>
            <w:webHidden/>
          </w:rPr>
          <w:tab/>
        </w:r>
        <w:r w:rsidR="007D4324">
          <w:rPr>
            <w:noProof/>
            <w:webHidden/>
          </w:rPr>
          <w:fldChar w:fldCharType="begin"/>
        </w:r>
        <w:r w:rsidR="007D4324">
          <w:rPr>
            <w:noProof/>
            <w:webHidden/>
          </w:rPr>
          <w:instrText xml:space="preserve"> PAGEREF _Toc484704240 \h </w:instrText>
        </w:r>
        <w:r w:rsidR="007D4324">
          <w:rPr>
            <w:noProof/>
            <w:webHidden/>
          </w:rPr>
        </w:r>
        <w:r w:rsidR="007D4324">
          <w:rPr>
            <w:noProof/>
            <w:webHidden/>
          </w:rPr>
          <w:fldChar w:fldCharType="separate"/>
        </w:r>
        <w:r w:rsidR="00CF2300">
          <w:rPr>
            <w:noProof/>
            <w:webHidden/>
          </w:rPr>
          <w:t>11</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1" w:history="1">
        <w:r w:rsidR="007D4324" w:rsidRPr="006756C7">
          <w:rPr>
            <w:rStyle w:val="Hyperlink"/>
            <w:noProof/>
          </w:rPr>
          <w:t>4.2</w:t>
        </w:r>
        <w:r w:rsidR="007D4324">
          <w:rPr>
            <w:rFonts w:asciiTheme="minorHAnsi" w:eastAsiaTheme="minorEastAsia" w:hAnsiTheme="minorHAnsi"/>
            <w:noProof/>
            <w:sz w:val="22"/>
            <w:lang w:eastAsia="en-CA"/>
          </w:rPr>
          <w:tab/>
        </w:r>
        <w:r w:rsidR="007D4324" w:rsidRPr="006756C7">
          <w:rPr>
            <w:rStyle w:val="Hyperlink"/>
            <w:noProof/>
          </w:rPr>
          <w:t>GS &lt; 50</w:t>
        </w:r>
        <w:r w:rsidR="007D4324">
          <w:rPr>
            <w:noProof/>
            <w:webHidden/>
          </w:rPr>
          <w:tab/>
        </w:r>
        <w:r w:rsidR="007D4324">
          <w:rPr>
            <w:noProof/>
            <w:webHidden/>
          </w:rPr>
          <w:fldChar w:fldCharType="begin"/>
        </w:r>
        <w:r w:rsidR="007D4324">
          <w:rPr>
            <w:noProof/>
            <w:webHidden/>
          </w:rPr>
          <w:instrText xml:space="preserve"> PAGEREF _Toc484704241 \h </w:instrText>
        </w:r>
        <w:r w:rsidR="007D4324">
          <w:rPr>
            <w:noProof/>
            <w:webHidden/>
          </w:rPr>
        </w:r>
        <w:r w:rsidR="007D4324">
          <w:rPr>
            <w:noProof/>
            <w:webHidden/>
          </w:rPr>
          <w:fldChar w:fldCharType="separate"/>
        </w:r>
        <w:r w:rsidR="00CF2300">
          <w:rPr>
            <w:noProof/>
            <w:webHidden/>
          </w:rPr>
          <w:t>12</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2" w:history="1">
        <w:r w:rsidR="007D4324" w:rsidRPr="006756C7">
          <w:rPr>
            <w:rStyle w:val="Hyperlink"/>
            <w:noProof/>
          </w:rPr>
          <w:t>4.3</w:t>
        </w:r>
        <w:r w:rsidR="007D4324">
          <w:rPr>
            <w:rFonts w:asciiTheme="minorHAnsi" w:eastAsiaTheme="minorEastAsia" w:hAnsiTheme="minorHAnsi"/>
            <w:noProof/>
            <w:sz w:val="22"/>
            <w:lang w:eastAsia="en-CA"/>
          </w:rPr>
          <w:tab/>
        </w:r>
        <w:r w:rsidR="007D4324" w:rsidRPr="006756C7">
          <w:rPr>
            <w:rStyle w:val="Hyperlink"/>
            <w:noProof/>
          </w:rPr>
          <w:t>GS &gt; 50</w:t>
        </w:r>
        <w:r w:rsidR="007D4324">
          <w:rPr>
            <w:noProof/>
            <w:webHidden/>
          </w:rPr>
          <w:tab/>
        </w:r>
        <w:r w:rsidR="007D4324">
          <w:rPr>
            <w:noProof/>
            <w:webHidden/>
          </w:rPr>
          <w:fldChar w:fldCharType="begin"/>
        </w:r>
        <w:r w:rsidR="007D4324">
          <w:rPr>
            <w:noProof/>
            <w:webHidden/>
          </w:rPr>
          <w:instrText xml:space="preserve"> PAGEREF _Toc484704242 \h </w:instrText>
        </w:r>
        <w:r w:rsidR="007D4324">
          <w:rPr>
            <w:noProof/>
            <w:webHidden/>
          </w:rPr>
        </w:r>
        <w:r w:rsidR="007D4324">
          <w:rPr>
            <w:noProof/>
            <w:webHidden/>
          </w:rPr>
          <w:fldChar w:fldCharType="separate"/>
        </w:r>
        <w:r w:rsidR="00CF2300">
          <w:rPr>
            <w:noProof/>
            <w:webHidden/>
          </w:rPr>
          <w:t>13</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3" w:history="1">
        <w:r w:rsidR="007D4324" w:rsidRPr="006756C7">
          <w:rPr>
            <w:rStyle w:val="Hyperlink"/>
            <w:noProof/>
          </w:rPr>
          <w:t>4.4</w:t>
        </w:r>
        <w:r w:rsidR="007D4324">
          <w:rPr>
            <w:rFonts w:asciiTheme="minorHAnsi" w:eastAsiaTheme="minorEastAsia" w:hAnsiTheme="minorHAnsi"/>
            <w:noProof/>
            <w:sz w:val="22"/>
            <w:lang w:eastAsia="en-CA"/>
          </w:rPr>
          <w:tab/>
        </w:r>
        <w:r w:rsidR="007D4324" w:rsidRPr="006756C7">
          <w:rPr>
            <w:rStyle w:val="Hyperlink"/>
            <w:noProof/>
          </w:rPr>
          <w:t>Intermediate</w:t>
        </w:r>
        <w:r w:rsidR="007D4324">
          <w:rPr>
            <w:noProof/>
            <w:webHidden/>
          </w:rPr>
          <w:tab/>
        </w:r>
        <w:r w:rsidR="007D4324">
          <w:rPr>
            <w:noProof/>
            <w:webHidden/>
          </w:rPr>
          <w:fldChar w:fldCharType="begin"/>
        </w:r>
        <w:r w:rsidR="007D4324">
          <w:rPr>
            <w:noProof/>
            <w:webHidden/>
          </w:rPr>
          <w:instrText xml:space="preserve"> PAGEREF _Toc484704243 \h </w:instrText>
        </w:r>
        <w:r w:rsidR="007D4324">
          <w:rPr>
            <w:noProof/>
            <w:webHidden/>
          </w:rPr>
        </w:r>
        <w:r w:rsidR="007D4324">
          <w:rPr>
            <w:noProof/>
            <w:webHidden/>
          </w:rPr>
          <w:fldChar w:fldCharType="separate"/>
        </w:r>
        <w:r w:rsidR="00CF2300">
          <w:rPr>
            <w:noProof/>
            <w:webHidden/>
          </w:rPr>
          <w:t>15</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4" w:history="1">
        <w:r w:rsidR="007D4324" w:rsidRPr="006756C7">
          <w:rPr>
            <w:rStyle w:val="Hyperlink"/>
            <w:noProof/>
          </w:rPr>
          <w:t>4.5</w:t>
        </w:r>
        <w:r w:rsidR="007D4324">
          <w:rPr>
            <w:rFonts w:asciiTheme="minorHAnsi" w:eastAsiaTheme="minorEastAsia" w:hAnsiTheme="minorHAnsi"/>
            <w:noProof/>
            <w:sz w:val="22"/>
            <w:lang w:eastAsia="en-CA"/>
          </w:rPr>
          <w:tab/>
        </w:r>
        <w:r w:rsidR="007D4324" w:rsidRPr="006756C7">
          <w:rPr>
            <w:rStyle w:val="Hyperlink"/>
            <w:noProof/>
          </w:rPr>
          <w:t>Large Use</w:t>
        </w:r>
        <w:r w:rsidR="007D4324">
          <w:rPr>
            <w:noProof/>
            <w:webHidden/>
          </w:rPr>
          <w:tab/>
        </w:r>
        <w:r w:rsidR="007D4324">
          <w:rPr>
            <w:noProof/>
            <w:webHidden/>
          </w:rPr>
          <w:fldChar w:fldCharType="begin"/>
        </w:r>
        <w:r w:rsidR="007D4324">
          <w:rPr>
            <w:noProof/>
            <w:webHidden/>
          </w:rPr>
          <w:instrText xml:space="preserve"> PAGEREF _Toc484704244 \h </w:instrText>
        </w:r>
        <w:r w:rsidR="007D4324">
          <w:rPr>
            <w:noProof/>
            <w:webHidden/>
          </w:rPr>
        </w:r>
        <w:r w:rsidR="007D4324">
          <w:rPr>
            <w:noProof/>
            <w:webHidden/>
          </w:rPr>
          <w:fldChar w:fldCharType="separate"/>
        </w:r>
        <w:r w:rsidR="00CF2300">
          <w:rPr>
            <w:noProof/>
            <w:webHidden/>
          </w:rPr>
          <w:t>17</w:t>
        </w:r>
        <w:r w:rsidR="007D4324">
          <w:rPr>
            <w:noProof/>
            <w:webHidden/>
          </w:rPr>
          <w:fldChar w:fldCharType="end"/>
        </w:r>
      </w:hyperlink>
    </w:p>
    <w:p w:rsidR="007D4324" w:rsidRDefault="00D80468">
      <w:pPr>
        <w:pStyle w:val="TOC2"/>
        <w:tabs>
          <w:tab w:val="right" w:leader="dot" w:pos="9350"/>
        </w:tabs>
        <w:rPr>
          <w:rFonts w:asciiTheme="minorHAnsi" w:eastAsiaTheme="minorEastAsia" w:hAnsiTheme="minorHAnsi"/>
          <w:noProof/>
          <w:sz w:val="22"/>
          <w:lang w:eastAsia="en-CA"/>
        </w:rPr>
      </w:pPr>
      <w:hyperlink w:anchor="_Toc484704245" w:history="1">
        <w:r w:rsidR="007D4324" w:rsidRPr="006756C7">
          <w:rPr>
            <w:rStyle w:val="Hyperlink"/>
            <w:noProof/>
          </w:rPr>
          <w:t>4.6</w:t>
        </w:r>
        <w:r w:rsidR="007D4324">
          <w:rPr>
            <w:rFonts w:asciiTheme="minorHAnsi" w:eastAsiaTheme="minorEastAsia" w:hAnsiTheme="minorHAnsi"/>
            <w:noProof/>
            <w:sz w:val="22"/>
            <w:lang w:eastAsia="en-CA"/>
          </w:rPr>
          <w:tab/>
        </w:r>
        <w:r w:rsidR="007D4324" w:rsidRPr="006756C7">
          <w:rPr>
            <w:rStyle w:val="Hyperlink"/>
            <w:noProof/>
          </w:rPr>
          <w:t>Embedded Distributor</w:t>
        </w:r>
        <w:r w:rsidR="007D4324">
          <w:rPr>
            <w:noProof/>
            <w:webHidden/>
          </w:rPr>
          <w:tab/>
        </w:r>
        <w:r w:rsidR="007D4324">
          <w:rPr>
            <w:noProof/>
            <w:webHidden/>
          </w:rPr>
          <w:fldChar w:fldCharType="begin"/>
        </w:r>
        <w:r w:rsidR="007D4324">
          <w:rPr>
            <w:noProof/>
            <w:webHidden/>
          </w:rPr>
          <w:instrText xml:space="preserve"> PAGEREF _Toc484704245 \h </w:instrText>
        </w:r>
        <w:r w:rsidR="007D4324">
          <w:rPr>
            <w:noProof/>
            <w:webHidden/>
          </w:rPr>
        </w:r>
        <w:r w:rsidR="007D4324">
          <w:rPr>
            <w:noProof/>
            <w:webHidden/>
          </w:rPr>
          <w:fldChar w:fldCharType="separate"/>
        </w:r>
        <w:r w:rsidR="00CF2300">
          <w:rPr>
            <w:noProof/>
            <w:webHidden/>
          </w:rPr>
          <w:t>19</w:t>
        </w:r>
        <w:r w:rsidR="007D4324">
          <w:rPr>
            <w:noProof/>
            <w:webHidden/>
          </w:rPr>
          <w:fldChar w:fldCharType="end"/>
        </w:r>
      </w:hyperlink>
    </w:p>
    <w:p w:rsidR="007D4324" w:rsidRDefault="00D80468">
      <w:pPr>
        <w:pStyle w:val="TOC1"/>
        <w:rPr>
          <w:rFonts w:asciiTheme="minorHAnsi" w:eastAsiaTheme="minorEastAsia" w:hAnsiTheme="minorHAnsi"/>
          <w:noProof/>
          <w:sz w:val="22"/>
          <w:lang w:eastAsia="en-CA"/>
        </w:rPr>
      </w:pPr>
      <w:hyperlink w:anchor="_Toc484704246" w:history="1">
        <w:r w:rsidR="007D4324" w:rsidRPr="006756C7">
          <w:rPr>
            <w:rStyle w:val="Hyperlink"/>
            <w:noProof/>
          </w:rPr>
          <w:t>5</w:t>
        </w:r>
        <w:r w:rsidR="007D4324">
          <w:rPr>
            <w:rFonts w:asciiTheme="minorHAnsi" w:eastAsiaTheme="minorEastAsia" w:hAnsiTheme="minorHAnsi"/>
            <w:noProof/>
            <w:sz w:val="22"/>
            <w:lang w:eastAsia="en-CA"/>
          </w:rPr>
          <w:tab/>
        </w:r>
        <w:r w:rsidR="007D4324" w:rsidRPr="006756C7">
          <w:rPr>
            <w:rStyle w:val="Hyperlink"/>
            <w:noProof/>
          </w:rPr>
          <w:t>Street Light, Sentinel and USL Forecast</w:t>
        </w:r>
        <w:r w:rsidR="007D4324">
          <w:rPr>
            <w:noProof/>
            <w:webHidden/>
          </w:rPr>
          <w:tab/>
        </w:r>
        <w:r w:rsidR="007D4324">
          <w:rPr>
            <w:noProof/>
            <w:webHidden/>
          </w:rPr>
          <w:fldChar w:fldCharType="begin"/>
        </w:r>
        <w:r w:rsidR="007D4324">
          <w:rPr>
            <w:noProof/>
            <w:webHidden/>
          </w:rPr>
          <w:instrText xml:space="preserve"> PAGEREF _Toc484704246 \h </w:instrText>
        </w:r>
        <w:r w:rsidR="007D4324">
          <w:rPr>
            <w:noProof/>
            <w:webHidden/>
          </w:rPr>
        </w:r>
        <w:r w:rsidR="007D4324">
          <w:rPr>
            <w:noProof/>
            <w:webHidden/>
          </w:rPr>
          <w:fldChar w:fldCharType="separate"/>
        </w:r>
        <w:r w:rsidR="00CF2300">
          <w:rPr>
            <w:noProof/>
            <w:webHidden/>
          </w:rPr>
          <w:t>20</w:t>
        </w:r>
        <w:r w:rsidR="007D4324">
          <w:rPr>
            <w:noProof/>
            <w:webHidden/>
          </w:rPr>
          <w:fldChar w:fldCharType="end"/>
        </w:r>
      </w:hyperlink>
    </w:p>
    <w:p w:rsidR="007D4324" w:rsidRDefault="00D80468">
      <w:pPr>
        <w:pStyle w:val="TOC1"/>
        <w:rPr>
          <w:rFonts w:asciiTheme="minorHAnsi" w:eastAsiaTheme="minorEastAsia" w:hAnsiTheme="minorHAnsi"/>
          <w:noProof/>
          <w:sz w:val="22"/>
          <w:lang w:eastAsia="en-CA"/>
        </w:rPr>
      </w:pPr>
      <w:hyperlink w:anchor="_Toc484704247" w:history="1">
        <w:r w:rsidR="007D4324" w:rsidRPr="006756C7">
          <w:rPr>
            <w:rStyle w:val="Hyperlink"/>
            <w:noProof/>
          </w:rPr>
          <w:t>6</w:t>
        </w:r>
        <w:r w:rsidR="007D4324">
          <w:rPr>
            <w:rFonts w:asciiTheme="minorHAnsi" w:eastAsiaTheme="minorEastAsia" w:hAnsiTheme="minorHAnsi"/>
            <w:noProof/>
            <w:sz w:val="22"/>
            <w:lang w:eastAsia="en-CA"/>
          </w:rPr>
          <w:tab/>
        </w:r>
        <w:r w:rsidR="007D4324" w:rsidRPr="006756C7">
          <w:rPr>
            <w:rStyle w:val="Hyperlink"/>
            <w:noProof/>
          </w:rPr>
          <w:t>CDM Adjustment to Load Forecast</w:t>
        </w:r>
        <w:r w:rsidR="007D4324">
          <w:rPr>
            <w:noProof/>
            <w:webHidden/>
          </w:rPr>
          <w:tab/>
        </w:r>
        <w:r w:rsidR="007D4324">
          <w:rPr>
            <w:noProof/>
            <w:webHidden/>
          </w:rPr>
          <w:fldChar w:fldCharType="begin"/>
        </w:r>
        <w:r w:rsidR="007D4324">
          <w:rPr>
            <w:noProof/>
            <w:webHidden/>
          </w:rPr>
          <w:instrText xml:space="preserve"> PAGEREF _Toc484704247 \h </w:instrText>
        </w:r>
        <w:r w:rsidR="007D4324">
          <w:rPr>
            <w:noProof/>
            <w:webHidden/>
          </w:rPr>
        </w:r>
        <w:r w:rsidR="007D4324">
          <w:rPr>
            <w:noProof/>
            <w:webHidden/>
          </w:rPr>
          <w:fldChar w:fldCharType="separate"/>
        </w:r>
        <w:r w:rsidR="00CF2300">
          <w:rPr>
            <w:noProof/>
            <w:webHidden/>
          </w:rPr>
          <w:t>25</w:t>
        </w:r>
        <w:r w:rsidR="007D4324">
          <w:rPr>
            <w:noProof/>
            <w:webHidden/>
          </w:rPr>
          <w:fldChar w:fldCharType="end"/>
        </w:r>
      </w:hyperlink>
    </w:p>
    <w:p w:rsidR="00483644" w:rsidRDefault="00CD25EE" w:rsidP="00CD25EE">
      <w:pPr>
        <w:pStyle w:val="TOCHeadingE"/>
      </w:pPr>
      <w:r>
        <w:fldChar w:fldCharType="end"/>
      </w:r>
    </w:p>
    <w:p w:rsidR="00483644" w:rsidRPr="00E04B04" w:rsidRDefault="00483644" w:rsidP="00483644">
      <w:pPr>
        <w:spacing w:line="240" w:lineRule="auto"/>
      </w:pPr>
    </w:p>
    <w:p w:rsidR="002720A5" w:rsidRPr="00E04B04" w:rsidRDefault="002720A5" w:rsidP="002720A5"/>
    <w:p w:rsidR="006448EB" w:rsidRDefault="006448EB" w:rsidP="006448EB">
      <w:pPr>
        <w:pStyle w:val="Quote"/>
        <w:jc w:val="center"/>
      </w:pPr>
    </w:p>
    <w:p w:rsidR="008E4EF6" w:rsidRDefault="008E4EF6" w:rsidP="008E4EF6"/>
    <w:p w:rsidR="008E4EF6" w:rsidRDefault="008E4EF6" w:rsidP="008E4EF6"/>
    <w:p w:rsidR="008E4EF6" w:rsidRDefault="008E4EF6" w:rsidP="000768F5">
      <w:pPr>
        <w:pStyle w:val="Title"/>
      </w:pPr>
      <w:r>
        <w:br w:type="page"/>
      </w:r>
    </w:p>
    <w:p w:rsidR="008E4EF6" w:rsidRDefault="008E4EF6" w:rsidP="008E4EF6"/>
    <w:p w:rsidR="008E4EF6" w:rsidRDefault="008E4EF6" w:rsidP="008E4EF6"/>
    <w:p w:rsidR="008E4EF6" w:rsidRPr="008E4EF6" w:rsidRDefault="008E4EF6" w:rsidP="008E4EF6"/>
    <w:p w:rsidR="00483644" w:rsidRPr="000768F5" w:rsidRDefault="00674E0D" w:rsidP="000768F5">
      <w:pPr>
        <w:pStyle w:val="Quote"/>
        <w:jc w:val="center"/>
        <w:sectPr w:rsidR="00483644" w:rsidRPr="000768F5" w:rsidSect="000768F5">
          <w:headerReference w:type="even" r:id="rId14"/>
          <w:headerReference w:type="default" r:id="rId15"/>
          <w:footerReference w:type="default" r:id="rId16"/>
          <w:headerReference w:type="first" r:id="rId17"/>
          <w:pgSz w:w="12240" w:h="15840"/>
          <w:pgMar w:top="1440" w:right="1440" w:bottom="1440" w:left="1440" w:header="709" w:footer="709" w:gutter="0"/>
          <w:cols w:space="720"/>
          <w:titlePg/>
          <w:docGrid w:linePitch="360"/>
        </w:sectPr>
      </w:pPr>
      <w:r>
        <w:t>Page Intentionally Blank</w:t>
      </w:r>
    </w:p>
    <w:p w:rsidR="00397DA5" w:rsidRDefault="00397DA5" w:rsidP="00397DA5">
      <w:pPr>
        <w:pStyle w:val="Heading1"/>
        <w:numPr>
          <w:ilvl w:val="0"/>
          <w:numId w:val="11"/>
        </w:numPr>
        <w:tabs>
          <w:tab w:val="num" w:pos="432"/>
        </w:tabs>
        <w:spacing w:before="480" w:after="240" w:line="240" w:lineRule="auto"/>
        <w:ind w:left="432" w:hanging="432"/>
      </w:pPr>
      <w:bookmarkStart w:id="4" w:name="_Toc458178851"/>
      <w:bookmarkStart w:id="5" w:name="_Toc484704233"/>
      <w:r>
        <w:lastRenderedPageBreak/>
        <w:t>Introduction</w:t>
      </w:r>
      <w:bookmarkEnd w:id="4"/>
      <w:bookmarkEnd w:id="5"/>
    </w:p>
    <w:p w:rsidR="00397DA5" w:rsidRDefault="00397DA5" w:rsidP="00397DA5">
      <w:r>
        <w:t>This report outlines the results and methodology used to derive the weather normal load forecast prepared for use in the Cost of Service application for 201</w:t>
      </w:r>
      <w:r w:rsidR="00847AE5">
        <w:t>8</w:t>
      </w:r>
      <w:r>
        <w:t xml:space="preserve"> rates for Erie Thames Powerlines (“Erie Thames”).</w:t>
      </w:r>
    </w:p>
    <w:p w:rsidR="00397DA5" w:rsidRDefault="00397DA5" w:rsidP="00397DA5">
      <w:r>
        <w:t xml:space="preserve">The regression equations used to normalize and forecast Erie Thames’ weather sensitive load use monthly heating degree days and cooling degree days as measured at Environment Canada’s London Airport weather station to take into account temperature sensitivity. This location is central to the communities in Erie Thames’s service territory, and has strong historical weather data. Erie Thames experiences peak loads in both the summer and winter seasons. Environment Canada defines heating degree days and cooling degree days as the difference between the average daily temperature and 18°C for each day (below for heating, above for cooling). </w:t>
      </w:r>
    </w:p>
    <w:p w:rsidR="00397DA5" w:rsidRDefault="00397DA5" w:rsidP="00397DA5">
      <w:r>
        <w:t>Overall economic activity also impacts energy consumption. There is no known agency that publishes monthly economic accounts on a regional basis for Ontario. However, regional employment levels are available. Given that income from employment and labour sources accounts for the largest portion of GDP on an income basis, and a study by Statistics Canada that has indicated that “turning points in the growth of output and employment appear to have been virtually the same over the past three decades”</w:t>
      </w:r>
      <w:r>
        <w:rPr>
          <w:rStyle w:val="FootnoteReference"/>
        </w:rPr>
        <w:footnoteReference w:id="1"/>
      </w:r>
      <w:r>
        <w:t xml:space="preserve">, employment has been chosen as the economic variable to incorporate into the analysis. Specifically, the monthly full-time employment level for </w:t>
      </w:r>
      <w:r w:rsidR="00287B37">
        <w:t>London, Ontario</w:t>
      </w:r>
      <w:r>
        <w:t xml:space="preserve">, as reported in Statistics Canada’s Monthly Labour Force Survey (CANSIM series Table 282-0135) </w:t>
      </w:r>
      <w:r w:rsidR="00287B37">
        <w:t xml:space="preserve">was tested and used for the GS &lt; 50 rate class.  </w:t>
      </w:r>
      <w:r w:rsidR="00D616EA">
        <w:t>Employment was found to not have a statistically significant explanatory value for the Residential rate class, the only other class where linear regression was found to be appropriate.</w:t>
      </w:r>
    </w:p>
    <w:p w:rsidR="00397DA5" w:rsidRDefault="00397DA5" w:rsidP="00397DA5">
      <w:r>
        <w:t xml:space="preserve">In order to isolate demand determinants at the class specific level, equations to weather normalize and forecast kWh </w:t>
      </w:r>
      <w:r w:rsidR="00D616EA">
        <w:t>consumption for the Residential and</w:t>
      </w:r>
      <w:r>
        <w:t xml:space="preserve"> GS&lt;50 classes, have been estimated.</w:t>
      </w:r>
    </w:p>
    <w:p w:rsidR="00397DA5" w:rsidRDefault="00397DA5" w:rsidP="00397DA5">
      <w:r>
        <w:t>In addition to the weather and economic variables, a time trend variable, number of days and number of working days in each month, number of customers, and month of year variables, have been examined for all rate classes. More details on the individual class specifications are provided in the next section.</w:t>
      </w:r>
    </w:p>
    <w:p w:rsidR="00397DA5" w:rsidRDefault="00397DA5" w:rsidP="00397DA5">
      <w:r>
        <w:t xml:space="preserve">Finally, for classes with demand charges, an annual kW to kWh ratio is calculated using actual observations for each historical year and applied to the normalized kWh to derive a weather normal kW observation. For forecast values, the average kW to kWh ratio for </w:t>
      </w:r>
      <w:r>
        <w:lastRenderedPageBreak/>
        <w:t>200</w:t>
      </w:r>
      <w:r w:rsidR="00D616EA">
        <w:t>7-2016</w:t>
      </w:r>
      <w:r>
        <w:t xml:space="preserve"> is applied</w:t>
      </w:r>
      <w:r w:rsidR="00D616EA">
        <w:t xml:space="preserve"> for all metered rate classes</w:t>
      </w:r>
      <w:r>
        <w:t>.</w:t>
      </w:r>
      <w:r w:rsidR="00D616EA">
        <w:t xml:space="preserve">  For the Street Light and Sentinel rate classes, a more recent history of 2014-2016 is used as these classes should not be sensitive to weather, and aren’t expected to benefit from the longer time horizon.</w:t>
      </w:r>
    </w:p>
    <w:p w:rsidR="00397DA5" w:rsidRDefault="00397DA5" w:rsidP="00397DA5">
      <w:pPr>
        <w:pStyle w:val="Heading2"/>
        <w:tabs>
          <w:tab w:val="clear" w:pos="1002"/>
          <w:tab w:val="num" w:pos="576"/>
        </w:tabs>
        <w:spacing w:before="480" w:after="240" w:line="240" w:lineRule="auto"/>
        <w:ind w:left="576" w:hanging="576"/>
      </w:pPr>
      <w:bookmarkStart w:id="6" w:name="_Toc458178852"/>
      <w:bookmarkStart w:id="7" w:name="_Toc484704234"/>
      <w:r>
        <w:t>Summarized Results</w:t>
      </w:r>
      <w:bookmarkEnd w:id="6"/>
      <w:bookmarkEnd w:id="7"/>
    </w:p>
    <w:p w:rsidR="00397DA5" w:rsidRDefault="00397DA5" w:rsidP="00397DA5">
      <w:r>
        <w:t>The following table summarizes the historic and forecast kWh for 201</w:t>
      </w:r>
      <w:r w:rsidR="009B4694">
        <w:t>2</w:t>
      </w:r>
      <w:r>
        <w:t>-201</w:t>
      </w:r>
      <w:r w:rsidR="009B4694">
        <w:t>8</w:t>
      </w:r>
      <w:r>
        <w:t>:</w:t>
      </w:r>
    </w:p>
    <w:p w:rsidR="009B4694" w:rsidRDefault="005C1530" w:rsidP="00397DA5">
      <w:r>
        <w:rPr>
          <w:noProof/>
          <w:lang w:val="en-US"/>
        </w:rPr>
        <w:drawing>
          <wp:inline distT="0" distB="0" distL="0" distR="0" wp14:anchorId="43447F91" wp14:editId="24CE074A">
            <wp:extent cx="5943600" cy="1430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430020"/>
                    </a:xfrm>
                    <a:prstGeom prst="rect">
                      <a:avLst/>
                    </a:prstGeom>
                  </pic:spPr>
                </pic:pic>
              </a:graphicData>
            </a:graphic>
          </wp:inline>
        </w:drawing>
      </w:r>
    </w:p>
    <w:p w:rsidR="00397DA5" w:rsidRDefault="00397DA5" w:rsidP="00397DA5">
      <w:pPr>
        <w:pStyle w:val="Caption"/>
      </w:pPr>
      <w:r>
        <w:t xml:space="preserve">Table </w:t>
      </w:r>
      <w:fldSimple w:instr=" SEQ Table \* ARABIC ">
        <w:r w:rsidR="00CF2300">
          <w:rPr>
            <w:noProof/>
          </w:rPr>
          <w:t>1</w:t>
        </w:r>
      </w:fldSimple>
      <w:r>
        <w:t xml:space="preserve"> kWh forecast by class</w:t>
      </w:r>
    </w:p>
    <w:p w:rsidR="00397DA5" w:rsidRDefault="00397DA5" w:rsidP="00397DA5">
      <w:r>
        <w:t>The following table summarizes 2015-2020 CDM Adjusted Load Forecast kWh. Details for this calculation can be found in Schedule 6 of this report.</w:t>
      </w:r>
    </w:p>
    <w:tbl>
      <w:tblPr>
        <w:tblW w:w="6825" w:type="dxa"/>
        <w:tblCellMar>
          <w:top w:w="15" w:type="dxa"/>
          <w:bottom w:w="15" w:type="dxa"/>
        </w:tblCellMar>
        <w:tblLook w:val="04A0" w:firstRow="1" w:lastRow="0" w:firstColumn="1" w:lastColumn="0" w:noHBand="0" w:noVBand="1"/>
      </w:tblPr>
      <w:tblGrid>
        <w:gridCol w:w="2760"/>
        <w:gridCol w:w="1420"/>
        <w:gridCol w:w="1316"/>
        <w:gridCol w:w="1329"/>
      </w:tblGrid>
      <w:tr w:rsidR="009B4694" w:rsidRPr="009B4694" w:rsidTr="005C1530">
        <w:trPr>
          <w:trHeight w:val="330"/>
        </w:trPr>
        <w:tc>
          <w:tcPr>
            <w:tcW w:w="2760"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eastAsia="Times New Roman" w:cs="Arial"/>
                <w:b/>
                <w:bCs/>
                <w:szCs w:val="24"/>
                <w:lang w:eastAsia="en-CA"/>
              </w:rPr>
            </w:pPr>
            <w:bookmarkStart w:id="8" w:name="_Hlk498348948"/>
            <w:r w:rsidRPr="009B4694">
              <w:rPr>
                <w:rFonts w:eastAsia="Times New Roman" w:cs="Arial"/>
                <w:b/>
                <w:bCs/>
                <w:szCs w:val="24"/>
                <w:lang w:eastAsia="en-CA"/>
              </w:rPr>
              <w:t>CDM Adjusted</w:t>
            </w:r>
          </w:p>
        </w:tc>
        <w:tc>
          <w:tcPr>
            <w:tcW w:w="1420"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eastAsia="Times New Roman" w:cs="Arial"/>
                <w:b/>
                <w:bCs/>
                <w:szCs w:val="24"/>
                <w:lang w:eastAsia="en-CA"/>
              </w:rPr>
            </w:pPr>
          </w:p>
        </w:tc>
        <w:tc>
          <w:tcPr>
            <w:tcW w:w="1316"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ascii="Times New Roman" w:eastAsia="Times New Roman" w:hAnsi="Times New Roman" w:cs="Times New Roman"/>
                <w:sz w:val="20"/>
                <w:szCs w:val="20"/>
                <w:lang w:eastAsia="en-CA"/>
              </w:rPr>
            </w:pPr>
          </w:p>
        </w:tc>
        <w:tc>
          <w:tcPr>
            <w:tcW w:w="1329"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ascii="Times New Roman" w:eastAsia="Times New Roman" w:hAnsi="Times New Roman" w:cs="Times New Roman"/>
                <w:sz w:val="20"/>
                <w:szCs w:val="20"/>
                <w:lang w:eastAsia="en-CA"/>
              </w:rPr>
            </w:pPr>
          </w:p>
        </w:tc>
      </w:tr>
      <w:tr w:rsidR="009B4694" w:rsidRPr="009B4694" w:rsidTr="005C1530">
        <w:trPr>
          <w:trHeight w:val="795"/>
        </w:trPr>
        <w:tc>
          <w:tcPr>
            <w:tcW w:w="2760" w:type="dxa"/>
            <w:tcBorders>
              <w:top w:val="single" w:sz="8" w:space="0" w:color="auto"/>
              <w:left w:val="single" w:sz="8" w:space="0" w:color="auto"/>
              <w:bottom w:val="single" w:sz="4" w:space="0" w:color="auto"/>
              <w:right w:val="nil"/>
            </w:tcBorders>
            <w:shd w:val="clear" w:color="000000" w:fill="DAEEF3"/>
            <w:noWrap/>
            <w:vAlign w:val="bottom"/>
            <w:hideMark/>
          </w:tcPr>
          <w:p w:rsidR="009B4694" w:rsidRPr="009B4694" w:rsidRDefault="009B4694" w:rsidP="009B4694">
            <w:pPr>
              <w:spacing w:before="0" w:after="0" w:line="240" w:lineRule="auto"/>
              <w:jc w:val="left"/>
              <w:rPr>
                <w:rFonts w:eastAsia="Times New Roman" w:cs="Arial"/>
                <w:b/>
                <w:bCs/>
                <w:sz w:val="20"/>
                <w:szCs w:val="20"/>
                <w:lang w:eastAsia="en-CA"/>
              </w:rPr>
            </w:pPr>
            <w:r w:rsidRPr="009B4694">
              <w:rPr>
                <w:rFonts w:eastAsia="Times New Roman" w:cs="Arial"/>
                <w:b/>
                <w:bCs/>
                <w:sz w:val="20"/>
                <w:szCs w:val="20"/>
                <w:lang w:eastAsia="en-CA"/>
              </w:rPr>
              <w:t>kWh</w:t>
            </w:r>
          </w:p>
        </w:tc>
        <w:tc>
          <w:tcPr>
            <w:tcW w:w="1420" w:type="dxa"/>
            <w:tcBorders>
              <w:top w:val="single" w:sz="8" w:space="0" w:color="auto"/>
              <w:left w:val="nil"/>
              <w:bottom w:val="single" w:sz="4" w:space="0" w:color="auto"/>
              <w:right w:val="nil"/>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2018 Weather Normal Forecast</w:t>
            </w:r>
          </w:p>
        </w:tc>
        <w:tc>
          <w:tcPr>
            <w:tcW w:w="1316" w:type="dxa"/>
            <w:tcBorders>
              <w:top w:val="single" w:sz="8" w:space="0" w:color="auto"/>
              <w:left w:val="nil"/>
              <w:bottom w:val="single" w:sz="4" w:space="0" w:color="auto"/>
              <w:right w:val="nil"/>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CDM Adjustment</w:t>
            </w:r>
          </w:p>
        </w:tc>
        <w:tc>
          <w:tcPr>
            <w:tcW w:w="1329" w:type="dxa"/>
            <w:tcBorders>
              <w:top w:val="single" w:sz="8" w:space="0" w:color="auto"/>
              <w:left w:val="nil"/>
              <w:bottom w:val="single" w:sz="4" w:space="0" w:color="auto"/>
              <w:right w:val="single" w:sz="8" w:space="0" w:color="auto"/>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2018 CDM Adjusted Forecast</w:t>
            </w:r>
          </w:p>
        </w:tc>
      </w:tr>
      <w:tr w:rsidR="005C1530" w:rsidRPr="009B4694" w:rsidTr="005C1530">
        <w:trPr>
          <w:trHeight w:val="270"/>
        </w:trPr>
        <w:tc>
          <w:tcPr>
            <w:tcW w:w="2760" w:type="dxa"/>
            <w:tcBorders>
              <w:top w:val="single" w:sz="4" w:space="0" w:color="auto"/>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Residential</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133,764,095</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1,256,917</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132,507,178</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GS &lt; 50</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49,394,965</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1,142,121</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48,252,843</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GS &gt; 50</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89,222,069</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2,246,878</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86,975,191</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Intermediate</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76,967,386</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2,069,177</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74,898,209</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Large User</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99,199,239</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2,264,836</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96,934,403</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Embedded Distributor</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16,296,711</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0</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16,296,711</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Street Light</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1,985,669</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0</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1,985,669</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Sentinel Light</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221,514</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0</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221,514</w:t>
            </w:r>
          </w:p>
        </w:tc>
      </w:tr>
      <w:tr w:rsidR="005C1530" w:rsidRPr="009B4694" w:rsidTr="005C1530">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USL</w:t>
            </w:r>
          </w:p>
        </w:tc>
        <w:tc>
          <w:tcPr>
            <w:tcW w:w="1420"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517,597</w:t>
            </w:r>
          </w:p>
        </w:tc>
        <w:tc>
          <w:tcPr>
            <w:tcW w:w="1316" w:type="dxa"/>
            <w:tcBorders>
              <w:top w:val="nil"/>
              <w:left w:val="nil"/>
              <w:bottom w:val="nil"/>
              <w:right w:val="nil"/>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0</w:t>
            </w:r>
          </w:p>
        </w:tc>
        <w:tc>
          <w:tcPr>
            <w:tcW w:w="1329" w:type="dxa"/>
            <w:tcBorders>
              <w:top w:val="nil"/>
              <w:left w:val="nil"/>
              <w:bottom w:val="nil"/>
              <w:right w:val="single" w:sz="8" w:space="0" w:color="auto"/>
            </w:tcBorders>
            <w:shd w:val="clear" w:color="000000" w:fill="FFFFFF"/>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517,597</w:t>
            </w:r>
          </w:p>
        </w:tc>
      </w:tr>
      <w:tr w:rsidR="005C1530" w:rsidRPr="009B4694" w:rsidTr="005C1530">
        <w:trPr>
          <w:trHeight w:val="270"/>
        </w:trPr>
        <w:tc>
          <w:tcPr>
            <w:tcW w:w="2760" w:type="dxa"/>
            <w:tcBorders>
              <w:top w:val="nil"/>
              <w:left w:val="single" w:sz="8" w:space="0" w:color="auto"/>
              <w:bottom w:val="single" w:sz="8" w:space="0" w:color="auto"/>
              <w:right w:val="single" w:sz="4" w:space="0" w:color="auto"/>
            </w:tcBorders>
            <w:shd w:val="clear" w:color="000000" w:fill="DAEEF3"/>
            <w:noWrap/>
            <w:vAlign w:val="bottom"/>
            <w:hideMark/>
          </w:tcPr>
          <w:p w:rsidR="005C1530" w:rsidRPr="009B4694" w:rsidRDefault="005C1530" w:rsidP="005C1530">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Total</w:t>
            </w:r>
          </w:p>
        </w:tc>
        <w:tc>
          <w:tcPr>
            <w:tcW w:w="1420" w:type="dxa"/>
            <w:tcBorders>
              <w:top w:val="nil"/>
              <w:left w:val="nil"/>
              <w:bottom w:val="single" w:sz="8" w:space="0" w:color="auto"/>
              <w:right w:val="nil"/>
            </w:tcBorders>
            <w:shd w:val="clear" w:color="000000" w:fill="DAEEF3"/>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467,569,245</w:t>
            </w:r>
          </w:p>
        </w:tc>
        <w:tc>
          <w:tcPr>
            <w:tcW w:w="1316" w:type="dxa"/>
            <w:tcBorders>
              <w:top w:val="nil"/>
              <w:left w:val="nil"/>
              <w:bottom w:val="single" w:sz="8" w:space="0" w:color="auto"/>
              <w:right w:val="nil"/>
            </w:tcBorders>
            <w:shd w:val="clear" w:color="000000" w:fill="DAEEF3"/>
            <w:noWrap/>
            <w:vAlign w:val="bottom"/>
            <w:hideMark/>
          </w:tcPr>
          <w:p w:rsidR="005C1530" w:rsidRPr="005C1530" w:rsidRDefault="005C1530" w:rsidP="005C1530">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8,979,929</w:t>
            </w:r>
          </w:p>
        </w:tc>
        <w:tc>
          <w:tcPr>
            <w:tcW w:w="1329" w:type="dxa"/>
            <w:tcBorders>
              <w:top w:val="nil"/>
              <w:left w:val="nil"/>
              <w:bottom w:val="single" w:sz="8" w:space="0" w:color="auto"/>
              <w:right w:val="single" w:sz="8" w:space="0" w:color="auto"/>
            </w:tcBorders>
            <w:shd w:val="clear" w:color="000000" w:fill="DAEEF3"/>
            <w:noWrap/>
            <w:vAlign w:val="bottom"/>
            <w:hideMark/>
          </w:tcPr>
          <w:p w:rsidR="005C1530" w:rsidRPr="000A1705" w:rsidRDefault="005C1530" w:rsidP="000A1705">
            <w:pPr>
              <w:spacing w:before="0" w:after="0" w:line="240" w:lineRule="auto"/>
              <w:jc w:val="right"/>
              <w:rPr>
                <w:rFonts w:eastAsia="Times New Roman" w:cs="Arial"/>
                <w:sz w:val="20"/>
                <w:szCs w:val="20"/>
                <w:lang w:eastAsia="en-CA"/>
              </w:rPr>
            </w:pPr>
            <w:r w:rsidRPr="005C1530">
              <w:rPr>
                <w:rFonts w:eastAsia="Times New Roman" w:cs="Arial"/>
                <w:sz w:val="20"/>
                <w:szCs w:val="20"/>
                <w:lang w:eastAsia="en-CA"/>
              </w:rPr>
              <w:t>458,589,315</w:t>
            </w:r>
          </w:p>
        </w:tc>
      </w:tr>
    </w:tbl>
    <w:bookmarkEnd w:id="8"/>
    <w:p w:rsidR="00397DA5" w:rsidRDefault="00397DA5" w:rsidP="00397DA5">
      <w:pPr>
        <w:pStyle w:val="Caption"/>
      </w:pPr>
      <w:r>
        <w:t xml:space="preserve">Table </w:t>
      </w:r>
      <w:fldSimple w:instr=" SEQ Table \* ARABIC ">
        <w:r w:rsidR="00CF2300">
          <w:rPr>
            <w:noProof/>
          </w:rPr>
          <w:t>2</w:t>
        </w:r>
      </w:fldSimple>
      <w:r>
        <w:t xml:space="preserve"> CDM Adjusted kWh forecast</w:t>
      </w:r>
    </w:p>
    <w:p w:rsidR="00397DA5" w:rsidRDefault="00397DA5" w:rsidP="00397DA5">
      <w:pPr>
        <w:keepNext/>
      </w:pPr>
      <w:r>
        <w:lastRenderedPageBreak/>
        <w:t>The following table summarizes the historic and forecast kW for 201</w:t>
      </w:r>
      <w:r w:rsidR="009B4694">
        <w:t>2</w:t>
      </w:r>
      <w:r>
        <w:t>-201</w:t>
      </w:r>
      <w:r w:rsidR="009B4694">
        <w:t>8</w:t>
      </w:r>
      <w:r>
        <w:t>. The calculations can be found as follows:</w:t>
      </w:r>
    </w:p>
    <w:p w:rsidR="009B4694" w:rsidRDefault="005C1530" w:rsidP="00397DA5">
      <w:pPr>
        <w:keepNext/>
      </w:pPr>
      <w:r>
        <w:rPr>
          <w:noProof/>
          <w:lang w:val="en-US"/>
        </w:rPr>
        <w:drawing>
          <wp:inline distT="0" distB="0" distL="0" distR="0" wp14:anchorId="0E597EB1" wp14:editId="50617017">
            <wp:extent cx="5943600" cy="1079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079500"/>
                    </a:xfrm>
                    <a:prstGeom prst="rect">
                      <a:avLst/>
                    </a:prstGeom>
                  </pic:spPr>
                </pic:pic>
              </a:graphicData>
            </a:graphic>
          </wp:inline>
        </w:drawing>
      </w:r>
    </w:p>
    <w:p w:rsidR="00397DA5" w:rsidRDefault="00397DA5" w:rsidP="00397DA5">
      <w:pPr>
        <w:pStyle w:val="Caption"/>
      </w:pPr>
      <w:r>
        <w:t xml:space="preserve">Table </w:t>
      </w:r>
      <w:fldSimple w:instr=" SEQ Table \* ARABIC ">
        <w:r w:rsidR="00CF2300">
          <w:rPr>
            <w:noProof/>
          </w:rPr>
          <w:t>3</w:t>
        </w:r>
      </w:fldSimple>
      <w:r>
        <w:t xml:space="preserve"> kW Forecast</w:t>
      </w:r>
    </w:p>
    <w:p w:rsidR="00397DA5" w:rsidRDefault="00397DA5" w:rsidP="00397DA5">
      <w:r>
        <w:t>The following table summarizes 2015-2020 CDM Adjusted Load Forecast kW. Details for this calculation can be found at the end of in Schedule 6 of this report.</w:t>
      </w:r>
    </w:p>
    <w:tbl>
      <w:tblPr>
        <w:tblW w:w="6696" w:type="dxa"/>
        <w:tblCellMar>
          <w:top w:w="15" w:type="dxa"/>
          <w:bottom w:w="15" w:type="dxa"/>
        </w:tblCellMar>
        <w:tblLook w:val="04A0" w:firstRow="1" w:lastRow="0" w:firstColumn="1" w:lastColumn="0" w:noHBand="0" w:noVBand="1"/>
      </w:tblPr>
      <w:tblGrid>
        <w:gridCol w:w="2760"/>
        <w:gridCol w:w="1420"/>
        <w:gridCol w:w="1316"/>
        <w:gridCol w:w="1200"/>
      </w:tblGrid>
      <w:tr w:rsidR="009B4694" w:rsidRPr="009B4694" w:rsidTr="000A1705">
        <w:trPr>
          <w:trHeight w:val="330"/>
        </w:trPr>
        <w:tc>
          <w:tcPr>
            <w:tcW w:w="2760"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eastAsia="Times New Roman" w:cs="Arial"/>
                <w:b/>
                <w:bCs/>
                <w:szCs w:val="24"/>
                <w:lang w:eastAsia="en-CA"/>
              </w:rPr>
            </w:pPr>
            <w:bookmarkStart w:id="9" w:name="_Hlk498348981"/>
            <w:r w:rsidRPr="009B4694">
              <w:rPr>
                <w:rFonts w:eastAsia="Times New Roman" w:cs="Arial"/>
                <w:b/>
                <w:bCs/>
                <w:szCs w:val="24"/>
                <w:lang w:eastAsia="en-CA"/>
              </w:rPr>
              <w:t>CDM Adjusted</w:t>
            </w:r>
          </w:p>
        </w:tc>
        <w:tc>
          <w:tcPr>
            <w:tcW w:w="1420"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eastAsia="Times New Roman" w:cs="Arial"/>
                <w:b/>
                <w:bCs/>
                <w:szCs w:val="24"/>
                <w:lang w:eastAsia="en-CA"/>
              </w:rPr>
            </w:pPr>
          </w:p>
        </w:tc>
        <w:tc>
          <w:tcPr>
            <w:tcW w:w="1316"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ascii="Times New Roman" w:eastAsia="Times New Roman" w:hAnsi="Times New Roman" w:cs="Times New Roman"/>
                <w:sz w:val="20"/>
                <w:szCs w:val="20"/>
                <w:lang w:eastAsia="en-CA"/>
              </w:rPr>
            </w:pPr>
          </w:p>
        </w:tc>
        <w:tc>
          <w:tcPr>
            <w:tcW w:w="1200" w:type="dxa"/>
            <w:tcBorders>
              <w:top w:val="nil"/>
              <w:left w:val="nil"/>
              <w:bottom w:val="nil"/>
              <w:right w:val="nil"/>
            </w:tcBorders>
            <w:shd w:val="clear" w:color="000000" w:fill="FFFFFF"/>
            <w:noWrap/>
            <w:vAlign w:val="bottom"/>
            <w:hideMark/>
          </w:tcPr>
          <w:p w:rsidR="009B4694" w:rsidRPr="009B4694" w:rsidRDefault="009B4694" w:rsidP="009B4694">
            <w:pPr>
              <w:spacing w:before="0" w:after="0" w:line="240" w:lineRule="auto"/>
              <w:jc w:val="left"/>
              <w:rPr>
                <w:rFonts w:ascii="Times New Roman" w:eastAsia="Times New Roman" w:hAnsi="Times New Roman" w:cs="Times New Roman"/>
                <w:sz w:val="20"/>
                <w:szCs w:val="20"/>
                <w:lang w:eastAsia="en-CA"/>
              </w:rPr>
            </w:pPr>
          </w:p>
        </w:tc>
      </w:tr>
      <w:tr w:rsidR="009B4694" w:rsidRPr="009B4694" w:rsidTr="000A1705">
        <w:trPr>
          <w:trHeight w:val="795"/>
        </w:trPr>
        <w:tc>
          <w:tcPr>
            <w:tcW w:w="2760" w:type="dxa"/>
            <w:tcBorders>
              <w:top w:val="single" w:sz="8" w:space="0" w:color="auto"/>
              <w:left w:val="single" w:sz="8" w:space="0" w:color="auto"/>
              <w:bottom w:val="single" w:sz="4" w:space="0" w:color="auto"/>
              <w:right w:val="nil"/>
            </w:tcBorders>
            <w:shd w:val="clear" w:color="000000" w:fill="DAEEF3"/>
            <w:noWrap/>
            <w:vAlign w:val="bottom"/>
            <w:hideMark/>
          </w:tcPr>
          <w:p w:rsidR="009B4694" w:rsidRPr="009B4694" w:rsidRDefault="009B4694" w:rsidP="009B4694">
            <w:pPr>
              <w:spacing w:before="0" w:after="0" w:line="240" w:lineRule="auto"/>
              <w:jc w:val="left"/>
              <w:rPr>
                <w:rFonts w:eastAsia="Times New Roman" w:cs="Arial"/>
                <w:b/>
                <w:bCs/>
                <w:sz w:val="20"/>
                <w:szCs w:val="20"/>
                <w:lang w:eastAsia="en-CA"/>
              </w:rPr>
            </w:pPr>
            <w:r w:rsidRPr="009B4694">
              <w:rPr>
                <w:rFonts w:eastAsia="Times New Roman" w:cs="Arial"/>
                <w:b/>
                <w:bCs/>
                <w:sz w:val="20"/>
                <w:szCs w:val="20"/>
                <w:lang w:eastAsia="en-CA"/>
              </w:rPr>
              <w:t>kW</w:t>
            </w:r>
          </w:p>
        </w:tc>
        <w:tc>
          <w:tcPr>
            <w:tcW w:w="1420" w:type="dxa"/>
            <w:tcBorders>
              <w:top w:val="single" w:sz="8" w:space="0" w:color="auto"/>
              <w:left w:val="nil"/>
              <w:bottom w:val="single" w:sz="4" w:space="0" w:color="auto"/>
              <w:right w:val="nil"/>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2016 Weather Normal Forecast</w:t>
            </w:r>
          </w:p>
        </w:tc>
        <w:tc>
          <w:tcPr>
            <w:tcW w:w="1316" w:type="dxa"/>
            <w:tcBorders>
              <w:top w:val="single" w:sz="8" w:space="0" w:color="auto"/>
              <w:left w:val="nil"/>
              <w:bottom w:val="single" w:sz="4" w:space="0" w:color="auto"/>
              <w:right w:val="nil"/>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CDM Adjustment</w:t>
            </w:r>
          </w:p>
        </w:tc>
        <w:tc>
          <w:tcPr>
            <w:tcW w:w="1200" w:type="dxa"/>
            <w:tcBorders>
              <w:top w:val="single" w:sz="8" w:space="0" w:color="auto"/>
              <w:left w:val="nil"/>
              <w:bottom w:val="single" w:sz="4" w:space="0" w:color="auto"/>
              <w:right w:val="single" w:sz="8" w:space="0" w:color="auto"/>
            </w:tcBorders>
            <w:shd w:val="clear" w:color="000000" w:fill="DAEEF3"/>
            <w:vAlign w:val="center"/>
            <w:hideMark/>
          </w:tcPr>
          <w:p w:rsidR="009B4694" w:rsidRPr="009B4694" w:rsidRDefault="009B4694" w:rsidP="009B4694">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2016 CDM Adjusted Forecast</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GS &gt; 50</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268,822</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6,770</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262,052</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Intermediate</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165,382</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4,446</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160,936</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Large User</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172,130</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3,930</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168,201</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Embedded Distributor</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34,856</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0</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34,856</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Street Light</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5,449</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0</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5,449</w:t>
            </w:r>
          </w:p>
        </w:tc>
      </w:tr>
      <w:tr w:rsidR="000A1705" w:rsidRPr="009B4694" w:rsidTr="000A1705">
        <w:trPr>
          <w:trHeight w:val="270"/>
        </w:trPr>
        <w:tc>
          <w:tcPr>
            <w:tcW w:w="2760" w:type="dxa"/>
            <w:tcBorders>
              <w:top w:val="nil"/>
              <w:left w:val="single" w:sz="8" w:space="0" w:color="auto"/>
              <w:bottom w:val="nil"/>
              <w:right w:val="single" w:sz="4" w:space="0" w:color="auto"/>
            </w:tcBorders>
            <w:shd w:val="clear" w:color="000000" w:fill="FFFFFF"/>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Sentinel Light</w:t>
            </w:r>
          </w:p>
        </w:tc>
        <w:tc>
          <w:tcPr>
            <w:tcW w:w="1420"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574</w:t>
            </w:r>
          </w:p>
        </w:tc>
        <w:tc>
          <w:tcPr>
            <w:tcW w:w="1316" w:type="dxa"/>
            <w:tcBorders>
              <w:top w:val="nil"/>
              <w:left w:val="nil"/>
              <w:bottom w:val="nil"/>
              <w:right w:val="nil"/>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0</w:t>
            </w:r>
          </w:p>
        </w:tc>
        <w:tc>
          <w:tcPr>
            <w:tcW w:w="1200" w:type="dxa"/>
            <w:tcBorders>
              <w:top w:val="nil"/>
              <w:left w:val="nil"/>
              <w:bottom w:val="nil"/>
              <w:right w:val="single" w:sz="8" w:space="0" w:color="auto"/>
            </w:tcBorders>
            <w:shd w:val="clear" w:color="000000" w:fill="FFFFFF"/>
            <w:noWrap/>
            <w:vAlign w:val="bottom"/>
            <w:hideMark/>
          </w:tcPr>
          <w:p w:rsidR="000A1705" w:rsidRPr="000A1705" w:rsidRDefault="000A1705" w:rsidP="000A1705">
            <w:pPr>
              <w:spacing w:before="0" w:after="0" w:line="240" w:lineRule="auto"/>
              <w:jc w:val="right"/>
              <w:rPr>
                <w:rFonts w:eastAsia="Times New Roman" w:cs="Arial"/>
                <w:sz w:val="20"/>
                <w:szCs w:val="20"/>
                <w:lang w:eastAsia="en-CA"/>
              </w:rPr>
            </w:pPr>
            <w:r w:rsidRPr="000A1705">
              <w:rPr>
                <w:rFonts w:eastAsia="Times New Roman" w:cs="Arial"/>
                <w:sz w:val="20"/>
                <w:szCs w:val="20"/>
                <w:lang w:eastAsia="en-CA"/>
              </w:rPr>
              <w:t>574</w:t>
            </w:r>
          </w:p>
        </w:tc>
      </w:tr>
      <w:tr w:rsidR="000A1705" w:rsidRPr="009B4694" w:rsidTr="000A1705">
        <w:trPr>
          <w:trHeight w:val="255"/>
        </w:trPr>
        <w:tc>
          <w:tcPr>
            <w:tcW w:w="2760" w:type="dxa"/>
            <w:tcBorders>
              <w:top w:val="nil"/>
              <w:left w:val="single" w:sz="8" w:space="0" w:color="auto"/>
              <w:bottom w:val="single" w:sz="8" w:space="0" w:color="auto"/>
              <w:right w:val="single" w:sz="4" w:space="0" w:color="auto"/>
            </w:tcBorders>
            <w:shd w:val="clear" w:color="000000" w:fill="DAEEF3"/>
            <w:noWrap/>
            <w:vAlign w:val="bottom"/>
            <w:hideMark/>
          </w:tcPr>
          <w:p w:rsidR="000A1705" w:rsidRPr="009B4694" w:rsidRDefault="000A1705" w:rsidP="000A1705">
            <w:pPr>
              <w:spacing w:before="0" w:after="0" w:line="240" w:lineRule="auto"/>
              <w:jc w:val="center"/>
              <w:rPr>
                <w:rFonts w:eastAsia="Times New Roman" w:cs="Arial"/>
                <w:b/>
                <w:bCs/>
                <w:sz w:val="20"/>
                <w:szCs w:val="20"/>
                <w:lang w:eastAsia="en-CA"/>
              </w:rPr>
            </w:pPr>
            <w:r w:rsidRPr="009B4694">
              <w:rPr>
                <w:rFonts w:eastAsia="Times New Roman" w:cs="Arial"/>
                <w:b/>
                <w:bCs/>
                <w:sz w:val="20"/>
                <w:szCs w:val="20"/>
                <w:lang w:eastAsia="en-CA"/>
              </w:rPr>
              <w:t>Total</w:t>
            </w:r>
          </w:p>
        </w:tc>
        <w:tc>
          <w:tcPr>
            <w:tcW w:w="1420" w:type="dxa"/>
            <w:tcBorders>
              <w:top w:val="nil"/>
              <w:left w:val="nil"/>
              <w:bottom w:val="single" w:sz="8" w:space="0" w:color="auto"/>
              <w:right w:val="nil"/>
            </w:tcBorders>
            <w:shd w:val="clear" w:color="000000" w:fill="DAEEF3"/>
            <w:noWrap/>
            <w:vAlign w:val="bottom"/>
            <w:hideMark/>
          </w:tcPr>
          <w:p w:rsidR="000A1705" w:rsidRPr="000A1705" w:rsidRDefault="000A1705" w:rsidP="000A1705">
            <w:pPr>
              <w:spacing w:before="0" w:after="0" w:line="240" w:lineRule="auto"/>
              <w:jc w:val="right"/>
              <w:rPr>
                <w:rFonts w:eastAsia="Times New Roman" w:cs="Arial"/>
                <w:b/>
                <w:bCs/>
                <w:sz w:val="20"/>
                <w:szCs w:val="20"/>
                <w:lang w:eastAsia="en-CA"/>
              </w:rPr>
            </w:pPr>
            <w:r w:rsidRPr="000A1705">
              <w:rPr>
                <w:rFonts w:eastAsia="Times New Roman" w:cs="Arial"/>
                <w:b/>
                <w:bCs/>
                <w:sz w:val="20"/>
                <w:szCs w:val="20"/>
                <w:lang w:eastAsia="en-CA"/>
              </w:rPr>
              <w:t>647,213</w:t>
            </w:r>
          </w:p>
        </w:tc>
        <w:tc>
          <w:tcPr>
            <w:tcW w:w="1316" w:type="dxa"/>
            <w:tcBorders>
              <w:top w:val="nil"/>
              <w:left w:val="nil"/>
              <w:bottom w:val="single" w:sz="8" w:space="0" w:color="auto"/>
              <w:right w:val="nil"/>
            </w:tcBorders>
            <w:shd w:val="clear" w:color="000000" w:fill="DAEEF3"/>
            <w:noWrap/>
            <w:vAlign w:val="bottom"/>
            <w:hideMark/>
          </w:tcPr>
          <w:p w:rsidR="000A1705" w:rsidRPr="000A1705" w:rsidRDefault="000A1705" w:rsidP="000A1705">
            <w:pPr>
              <w:spacing w:before="0" w:after="0" w:line="240" w:lineRule="auto"/>
              <w:jc w:val="right"/>
              <w:rPr>
                <w:rFonts w:eastAsia="Times New Roman" w:cs="Arial"/>
                <w:b/>
                <w:bCs/>
                <w:sz w:val="20"/>
                <w:szCs w:val="20"/>
                <w:lang w:eastAsia="en-CA"/>
              </w:rPr>
            </w:pPr>
            <w:r w:rsidRPr="000A1705">
              <w:rPr>
                <w:rFonts w:eastAsia="Times New Roman" w:cs="Arial"/>
                <w:b/>
                <w:bCs/>
                <w:sz w:val="20"/>
                <w:szCs w:val="20"/>
                <w:lang w:eastAsia="en-CA"/>
              </w:rPr>
              <w:t>15,146</w:t>
            </w:r>
          </w:p>
        </w:tc>
        <w:tc>
          <w:tcPr>
            <w:tcW w:w="1200" w:type="dxa"/>
            <w:tcBorders>
              <w:top w:val="nil"/>
              <w:left w:val="nil"/>
              <w:bottom w:val="single" w:sz="8" w:space="0" w:color="auto"/>
              <w:right w:val="single" w:sz="8" w:space="0" w:color="auto"/>
            </w:tcBorders>
            <w:shd w:val="clear" w:color="000000" w:fill="DAEEF3"/>
            <w:noWrap/>
            <w:vAlign w:val="bottom"/>
            <w:hideMark/>
          </w:tcPr>
          <w:p w:rsidR="000A1705" w:rsidRPr="000A1705" w:rsidRDefault="000A1705" w:rsidP="000A1705">
            <w:pPr>
              <w:spacing w:before="0" w:after="0" w:line="240" w:lineRule="auto"/>
              <w:jc w:val="right"/>
              <w:rPr>
                <w:rFonts w:eastAsia="Times New Roman" w:cs="Arial"/>
                <w:b/>
                <w:bCs/>
                <w:sz w:val="20"/>
                <w:szCs w:val="20"/>
                <w:lang w:eastAsia="en-CA"/>
              </w:rPr>
            </w:pPr>
            <w:r w:rsidRPr="000A1705">
              <w:rPr>
                <w:rFonts w:eastAsia="Times New Roman" w:cs="Arial"/>
                <w:b/>
                <w:bCs/>
                <w:sz w:val="20"/>
                <w:szCs w:val="20"/>
                <w:lang w:eastAsia="en-CA"/>
              </w:rPr>
              <w:t>632,068</w:t>
            </w:r>
          </w:p>
        </w:tc>
      </w:tr>
    </w:tbl>
    <w:bookmarkEnd w:id="9"/>
    <w:p w:rsidR="00397DA5" w:rsidRDefault="00397DA5" w:rsidP="00397DA5">
      <w:pPr>
        <w:pStyle w:val="Caption"/>
      </w:pPr>
      <w:r>
        <w:t xml:space="preserve">Table </w:t>
      </w:r>
      <w:fldSimple w:instr=" SEQ Table \* ARABIC ">
        <w:r w:rsidR="00CF2300">
          <w:rPr>
            <w:noProof/>
          </w:rPr>
          <w:t>4</w:t>
        </w:r>
      </w:fldSimple>
      <w:r>
        <w:t xml:space="preserve"> CDM Adjusted kW Forecast</w:t>
      </w:r>
    </w:p>
    <w:p w:rsidR="00397DA5" w:rsidRDefault="00397DA5" w:rsidP="00397DA5">
      <w:r>
        <w:t>The following table summarizes the historic and foreca</w:t>
      </w:r>
      <w:r w:rsidR="009B4694">
        <w:t>st customer/connections for 2012-2018</w:t>
      </w:r>
      <w:r>
        <w:t>:</w:t>
      </w:r>
    </w:p>
    <w:p w:rsidR="00164C46" w:rsidRDefault="009B4694" w:rsidP="00397DA5">
      <w:r w:rsidRPr="009B4694">
        <w:rPr>
          <w:noProof/>
          <w:lang w:val="en-US"/>
        </w:rPr>
        <w:drawing>
          <wp:inline distT="0" distB="0" distL="0" distR="0">
            <wp:extent cx="5943600" cy="1597932"/>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597932"/>
                    </a:xfrm>
                    <a:prstGeom prst="rect">
                      <a:avLst/>
                    </a:prstGeom>
                    <a:noFill/>
                    <a:ln>
                      <a:noFill/>
                    </a:ln>
                  </pic:spPr>
                </pic:pic>
              </a:graphicData>
            </a:graphic>
          </wp:inline>
        </w:drawing>
      </w:r>
    </w:p>
    <w:p w:rsidR="00397DA5" w:rsidRDefault="00397DA5" w:rsidP="00397DA5">
      <w:pPr>
        <w:pStyle w:val="Caption"/>
      </w:pPr>
      <w:r>
        <w:t xml:space="preserve">Table </w:t>
      </w:r>
      <w:fldSimple w:instr=" SEQ Table \* ARABIC ">
        <w:r w:rsidR="00CF2300">
          <w:rPr>
            <w:noProof/>
          </w:rPr>
          <w:t>5</w:t>
        </w:r>
      </w:fldSimple>
      <w:r>
        <w:t xml:space="preserve"> Customer / Connection Forecast for 2009-2020</w:t>
      </w:r>
    </w:p>
    <w:p w:rsidR="00397DA5" w:rsidRDefault="00397DA5" w:rsidP="00397DA5">
      <w:pPr>
        <w:rPr>
          <w:b/>
          <w:bCs/>
          <w:color w:val="4F81BD" w:themeColor="accent1"/>
          <w:sz w:val="18"/>
          <w:szCs w:val="18"/>
        </w:rPr>
      </w:pPr>
      <w:r>
        <w:br w:type="page"/>
      </w:r>
    </w:p>
    <w:p w:rsidR="00397DA5" w:rsidRDefault="00397DA5" w:rsidP="00397DA5">
      <w:pPr>
        <w:pStyle w:val="Heading1"/>
        <w:tabs>
          <w:tab w:val="num" w:pos="432"/>
        </w:tabs>
        <w:spacing w:before="480" w:after="240" w:line="240" w:lineRule="auto"/>
        <w:ind w:left="432" w:hanging="432"/>
      </w:pPr>
      <w:bookmarkStart w:id="10" w:name="_Toc458178853"/>
      <w:bookmarkStart w:id="11" w:name="_Toc484704235"/>
      <w:r>
        <w:lastRenderedPageBreak/>
        <w:t>Class Specific kWh Regression</w:t>
      </w:r>
      <w:bookmarkEnd w:id="10"/>
      <w:bookmarkEnd w:id="11"/>
    </w:p>
    <w:p w:rsidR="00397DA5" w:rsidRDefault="00397DA5" w:rsidP="00397DA5">
      <w:pPr>
        <w:pStyle w:val="Heading2"/>
        <w:tabs>
          <w:tab w:val="clear" w:pos="1002"/>
          <w:tab w:val="num" w:pos="576"/>
        </w:tabs>
        <w:spacing w:before="480" w:after="240" w:line="240" w:lineRule="auto"/>
        <w:ind w:left="576" w:hanging="576"/>
      </w:pPr>
      <w:bookmarkStart w:id="12" w:name="_Toc458178854"/>
      <w:bookmarkStart w:id="13" w:name="_Toc484704236"/>
      <w:r>
        <w:t>Residential</w:t>
      </w:r>
      <w:bookmarkEnd w:id="12"/>
      <w:bookmarkEnd w:id="13"/>
    </w:p>
    <w:p w:rsidR="00397DA5" w:rsidRDefault="00397DA5" w:rsidP="00397DA5">
      <w:r>
        <w:t xml:space="preserve">For the Residential Class kWh consumption the equation was estimated using </w:t>
      </w:r>
      <w:r w:rsidR="00164C46">
        <w:t>120</w:t>
      </w:r>
      <w:r>
        <w:t xml:space="preserve"> observations from 200</w:t>
      </w:r>
      <w:r w:rsidR="00164C46">
        <w:t>7:01-2016</w:t>
      </w:r>
      <w:r>
        <w:t>:12.</w:t>
      </w:r>
    </w:p>
    <w:p w:rsidR="00397DA5" w:rsidRDefault="00397DA5" w:rsidP="00397DA5">
      <w:r>
        <w:t xml:space="preserve">Heating and Cooling Degree days were used, as measured at the </w:t>
      </w:r>
      <w:r w:rsidR="009B4694">
        <w:t>London</w:t>
      </w:r>
      <w:r>
        <w:t xml:space="preserve"> Airport weather station as described in the introduction. A Trend variable was us</w:t>
      </w:r>
      <w:r w:rsidR="00164C46">
        <w:t>ed, indicating 1 in January 2007</w:t>
      </w:r>
      <w:r>
        <w:t>, and increment</w:t>
      </w:r>
      <w:r w:rsidR="00164C46">
        <w:t>ing once each month, reaching 120</w:t>
      </w:r>
      <w:r>
        <w:t xml:space="preserve"> in the last month of the regression, December 2015. Finally, binary indicator variables for the </w:t>
      </w:r>
      <w:r w:rsidR="009B4694">
        <w:t xml:space="preserve">Shoulder </w:t>
      </w:r>
      <w:r>
        <w:t>months of March, April, and May, September, October, and November, as well as for the months of February and July were used.</w:t>
      </w:r>
    </w:p>
    <w:p w:rsidR="00397DA5" w:rsidRDefault="00397DA5" w:rsidP="00397DA5">
      <w:r>
        <w:t>Several other variables were examined, and found to not show a statistically significant relationship to energy usage. Those included an economic indicator of full time employment, the number of days in the month, and a count of customer connections.</w:t>
      </w:r>
    </w:p>
    <w:p w:rsidR="00397DA5" w:rsidRDefault="00397DA5" w:rsidP="00397DA5">
      <w:pPr>
        <w:keepNext/>
      </w:pPr>
      <w:r>
        <w:t>The following table outlines the resulting regression model:</w:t>
      </w:r>
    </w:p>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Model 11: OLS, using observations 2007:01-2016:12 (T = 120)</w:t>
      </w:r>
    </w:p>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Dependent variable: Residential_no_CDM</w:t>
      </w:r>
    </w:p>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bl>
      <w:tblPr>
        <w:tblW w:w="0" w:type="auto"/>
        <w:jc w:val="center"/>
        <w:tblLayout w:type="fixed"/>
        <w:tblCellMar>
          <w:left w:w="30" w:type="dxa"/>
          <w:right w:w="30" w:type="dxa"/>
        </w:tblCellMar>
        <w:tblLook w:val="0000" w:firstRow="0" w:lastRow="0" w:firstColumn="0" w:lastColumn="0" w:noHBand="0" w:noVBand="0"/>
      </w:tblPr>
      <w:tblGrid>
        <w:gridCol w:w="1930"/>
        <w:gridCol w:w="1614"/>
        <w:gridCol w:w="1400"/>
        <w:gridCol w:w="1400"/>
        <w:gridCol w:w="1400"/>
        <w:gridCol w:w="500"/>
      </w:tblGrid>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i/>
                <w:iCs/>
                <w:szCs w:val="24"/>
              </w:rPr>
              <w:t xml:space="preserve"> </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i/>
                <w:iCs/>
                <w:szCs w:val="24"/>
              </w:rPr>
              <w:t>Coefficient</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i/>
                <w:iCs/>
                <w:szCs w:val="24"/>
              </w:rPr>
              <w:t>Std. Error</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i/>
                <w:iCs/>
                <w:szCs w:val="24"/>
              </w:rPr>
              <w:t>t-ratio</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i/>
                <w:iCs/>
                <w:szCs w:val="24"/>
              </w:rPr>
              <w:t>p-value</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const</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1.03976e+07</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229284</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45.3480</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London_HDD</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5573.62</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326.222</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17.0854</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London_CDD</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27524.7</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2309.55</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11.9178</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Trend</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−4275.06</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1274.81</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−3.3535</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0.0011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Shoulder</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−1.41996e+06</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139198</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−10.2010</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Feb</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−473349</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184502</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−2.5656</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0.0116</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June</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−773165</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189478</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−4.0805</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r w:rsidR="00164C46" w:rsidRPr="00530A54" w:rsidTr="00164C46">
        <w:trPr>
          <w:trHeight w:val="262"/>
          <w:jc w:val="center"/>
        </w:trPr>
        <w:tc>
          <w:tcPr>
            <w:tcW w:w="19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Sept</w:t>
            </w:r>
          </w:p>
        </w:tc>
        <w:tc>
          <w:tcPr>
            <w:tcW w:w="1614"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772942</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175758</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4.3978</w:t>
            </w:r>
          </w:p>
        </w:tc>
        <w:tc>
          <w:tcPr>
            <w:tcW w:w="1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r w:rsidRPr="00530A54">
              <w:rPr>
                <w:rFonts w:ascii="Times New Roman" w:hAnsi="Times New Roman" w:cs="Times New Roman"/>
                <w:szCs w:val="24"/>
              </w:rPr>
              <w:t>&lt;0.0001</w:t>
            </w:r>
          </w:p>
        </w:tc>
        <w:tc>
          <w:tcPr>
            <w:tcW w:w="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w:t>
            </w:r>
          </w:p>
        </w:tc>
      </w:tr>
    </w:tbl>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Mean dependent var</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11823416</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S.D. dependent var</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1558243</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Sum squared resid</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2.61e+13</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S.E. of regression</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482936.8</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R-squared</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0.909597</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Adjusted R-squared</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0.903947</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F(7, 112)</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160.9859</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P-value(F)</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2.13e-55</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Log-likelihood</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−1736.650</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Akaike criterion</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3489.300</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Schwarz criterion</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3511.600</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Hannan-Quinn</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3498.356</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Rho</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0.184466</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sidRPr="00530A54">
              <w:rPr>
                <w:rFonts w:ascii="Times New Roman" w:hAnsi="Times New Roman" w:cs="Times New Roman"/>
                <w:szCs w:val="24"/>
              </w:rPr>
              <w:t>Durbin-Watson</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sidRPr="00530A54">
              <w:rPr>
                <w:rFonts w:ascii="Times New Roman" w:hAnsi="Times New Roman" w:cs="Times New Roman"/>
                <w:szCs w:val="24"/>
              </w:rPr>
              <w:t xml:space="preserve"> 1.611728</w:t>
            </w:r>
          </w:p>
        </w:tc>
      </w:tr>
      <w:tr w:rsidR="00164C46" w:rsidRPr="00530A54" w:rsidTr="00C657EC">
        <w:trPr>
          <w:trHeight w:val="262"/>
          <w:jc w:val="center"/>
        </w:trPr>
        <w:tc>
          <w:tcPr>
            <w:tcW w:w="253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r>
              <w:rPr>
                <w:rFonts w:ascii="Times New Roman" w:hAnsi="Times New Roman" w:cs="Times New Roman"/>
                <w:szCs w:val="24"/>
              </w:rPr>
              <w:t>Theil’s U</w:t>
            </w: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r>
              <w:rPr>
                <w:rFonts w:ascii="Times New Roman" w:hAnsi="Times New Roman" w:cs="Times New Roman"/>
                <w:szCs w:val="24"/>
              </w:rPr>
              <w:t>0.30271</w:t>
            </w:r>
          </w:p>
        </w:tc>
        <w:tc>
          <w:tcPr>
            <w:tcW w:w="4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center"/>
              <w:rPr>
                <w:rFonts w:ascii="Times New Roman" w:hAnsi="Times New Roman" w:cs="Times New Roman"/>
                <w:szCs w:val="24"/>
              </w:rPr>
            </w:pPr>
          </w:p>
        </w:tc>
        <w:tc>
          <w:tcPr>
            <w:tcW w:w="25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rPr>
                <w:rFonts w:ascii="Times New Roman" w:hAnsi="Times New Roman" w:cs="Times New Roman"/>
                <w:szCs w:val="24"/>
              </w:rPr>
            </w:pPr>
          </w:p>
        </w:tc>
        <w:tc>
          <w:tcPr>
            <w:tcW w:w="1300" w:type="dxa"/>
            <w:tcBorders>
              <w:top w:val="nil"/>
              <w:left w:val="nil"/>
              <w:bottom w:val="nil"/>
              <w:right w:val="nil"/>
            </w:tcBorders>
          </w:tcPr>
          <w:p w:rsidR="00164C46" w:rsidRPr="00530A54" w:rsidRDefault="00164C46" w:rsidP="00164C46">
            <w:pPr>
              <w:autoSpaceDE w:val="0"/>
              <w:autoSpaceDN w:val="0"/>
              <w:adjustRightInd w:val="0"/>
              <w:spacing w:before="0" w:after="0" w:line="240" w:lineRule="auto"/>
              <w:jc w:val="right"/>
              <w:rPr>
                <w:rFonts w:ascii="Times New Roman" w:hAnsi="Times New Roman" w:cs="Times New Roman"/>
                <w:szCs w:val="24"/>
              </w:rPr>
            </w:pPr>
          </w:p>
        </w:tc>
      </w:tr>
    </w:tbl>
    <w:p w:rsidR="00397DA5" w:rsidRDefault="00397DA5" w:rsidP="00397DA5">
      <w:pPr>
        <w:pStyle w:val="Caption"/>
      </w:pPr>
      <w:r>
        <w:t xml:space="preserve">Table </w:t>
      </w:r>
      <w:fldSimple w:instr=" SEQ Table \* ARABIC ">
        <w:r w:rsidR="00CF2300">
          <w:rPr>
            <w:noProof/>
          </w:rPr>
          <w:t>6</w:t>
        </w:r>
      </w:fldSimple>
      <w:r>
        <w:t xml:space="preserve"> Residential Regression Model</w:t>
      </w:r>
    </w:p>
    <w:p w:rsidR="00397DA5" w:rsidRDefault="00397DA5" w:rsidP="00397DA5">
      <w:pPr>
        <w:keepNext/>
      </w:pPr>
      <w:r>
        <w:lastRenderedPageBreak/>
        <w:t xml:space="preserve">Using the above model </w:t>
      </w:r>
      <w:r w:rsidR="00164C46">
        <w:t>coefficients,</w:t>
      </w:r>
      <w:r>
        <w:t xml:space="preserve"> we derive the following:</w:t>
      </w:r>
    </w:p>
    <w:p w:rsidR="00164C46" w:rsidRDefault="00164C46" w:rsidP="00397DA5">
      <w:pPr>
        <w:keepNext/>
      </w:pPr>
      <w:r>
        <w:rPr>
          <w:noProof/>
          <w:lang w:val="en-US"/>
        </w:rPr>
        <w:drawing>
          <wp:inline distT="0" distB="0" distL="0" distR="0" wp14:anchorId="45525F16" wp14:editId="75071D29">
            <wp:extent cx="5777866" cy="3558540"/>
            <wp:effectExtent l="0" t="0" r="13335" b="3810"/>
            <wp:docPr id="22" name="Chart 2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7DA5" w:rsidRDefault="00397DA5" w:rsidP="00397DA5">
      <w:pPr>
        <w:pStyle w:val="Caption"/>
      </w:pPr>
      <w:r>
        <w:t xml:space="preserve">Figure </w:t>
      </w:r>
      <w:fldSimple w:instr=" SEQ Figure \* ARABIC ">
        <w:r w:rsidR="00CF2300">
          <w:rPr>
            <w:noProof/>
          </w:rPr>
          <w:t>1</w:t>
        </w:r>
      </w:fldSimple>
      <w:r>
        <w:t xml:space="preserve"> Residential Predicted</w:t>
      </w:r>
      <w:r>
        <w:rPr>
          <w:noProof/>
        </w:rPr>
        <w:t xml:space="preserve"> vs Actual observations</w:t>
      </w:r>
    </w:p>
    <w:p w:rsidR="00397DA5" w:rsidRDefault="00397DA5" w:rsidP="00397DA5">
      <w:r>
        <w:t>Annual estimates using actual weather are compared to actual values in the table below. Mean absolute percentage error (MAPE) for annu</w:t>
      </w:r>
      <w:r w:rsidR="00D448A8">
        <w:t>al estimates for the period is 0.8</w:t>
      </w:r>
      <w:r>
        <w:t>%. Annual errors are calculated as the model is used to derive annual forecasts. However, in proceedings Elenchus has been involved in, intervenors and Board Staff have requested MAPE calculated on a monthly basis and this has been provided as well. The MAPE calculated monthly over the period is 3.0%.</w:t>
      </w:r>
    </w:p>
    <w:tbl>
      <w:tblPr>
        <w:tblW w:w="5812" w:type="dxa"/>
        <w:tblInd w:w="108" w:type="dxa"/>
        <w:tblLook w:val="04A0" w:firstRow="1" w:lastRow="0" w:firstColumn="1" w:lastColumn="0" w:noHBand="0" w:noVBand="1"/>
      </w:tblPr>
      <w:tblGrid>
        <w:gridCol w:w="1465"/>
        <w:gridCol w:w="1654"/>
        <w:gridCol w:w="1559"/>
        <w:gridCol w:w="1134"/>
      </w:tblGrid>
      <w:tr w:rsidR="00397DA5" w:rsidRPr="009509F1" w:rsidTr="00D616EA">
        <w:trPr>
          <w:trHeight w:val="264"/>
        </w:trPr>
        <w:tc>
          <w:tcPr>
            <w:tcW w:w="1465"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ascii="Times New Roman" w:eastAsia="Times New Roman" w:hAnsi="Times New Roman" w:cs="Times New Roman"/>
                <w:szCs w:val="24"/>
                <w:lang w:eastAsia="en-CA"/>
              </w:rPr>
            </w:pPr>
          </w:p>
        </w:tc>
        <w:tc>
          <w:tcPr>
            <w:tcW w:w="3213" w:type="dxa"/>
            <w:gridSpan w:val="2"/>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jc w:val="center"/>
              <w:rPr>
                <w:rFonts w:eastAsia="Times New Roman" w:cs="Arial"/>
                <w:sz w:val="20"/>
                <w:szCs w:val="20"/>
                <w:lang w:eastAsia="en-CA"/>
              </w:rPr>
            </w:pPr>
            <w:r w:rsidRPr="009509F1">
              <w:rPr>
                <w:rFonts w:eastAsia="Times New Roman" w:cs="Arial"/>
                <w:sz w:val="20"/>
                <w:szCs w:val="20"/>
                <w:lang w:eastAsia="en-CA"/>
              </w:rPr>
              <w:t>Residential kWh</w:t>
            </w:r>
          </w:p>
        </w:tc>
        <w:tc>
          <w:tcPr>
            <w:tcW w:w="113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jc w:val="center"/>
              <w:rPr>
                <w:rFonts w:eastAsia="Times New Roman" w:cs="Arial"/>
                <w:sz w:val="20"/>
                <w:szCs w:val="20"/>
                <w:lang w:eastAsia="en-CA"/>
              </w:rPr>
            </w:pPr>
            <w:r w:rsidRPr="009509F1">
              <w:rPr>
                <w:rFonts w:eastAsia="Times New Roman" w:cs="Arial"/>
                <w:sz w:val="20"/>
                <w:szCs w:val="20"/>
                <w:lang w:eastAsia="en-CA"/>
              </w:rPr>
              <w:t>Absolute</w:t>
            </w:r>
          </w:p>
        </w:tc>
      </w:tr>
      <w:tr w:rsidR="00397DA5" w:rsidRPr="009509F1" w:rsidTr="00D616EA">
        <w:trPr>
          <w:trHeight w:val="264"/>
        </w:trPr>
        <w:tc>
          <w:tcPr>
            <w:tcW w:w="1465"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eastAsia="Times New Roman" w:cs="Arial"/>
                <w:sz w:val="20"/>
                <w:szCs w:val="20"/>
                <w:lang w:eastAsia="en-CA"/>
              </w:rPr>
            </w:pPr>
            <w:r w:rsidRPr="009509F1">
              <w:rPr>
                <w:rFonts w:eastAsia="Times New Roman" w:cs="Arial"/>
                <w:sz w:val="20"/>
                <w:szCs w:val="20"/>
                <w:lang w:eastAsia="en-CA"/>
              </w:rPr>
              <w:t>Year</w:t>
            </w:r>
          </w:p>
        </w:tc>
        <w:tc>
          <w:tcPr>
            <w:tcW w:w="165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eastAsia="Times New Roman" w:cs="Arial"/>
                <w:sz w:val="20"/>
                <w:szCs w:val="20"/>
                <w:lang w:eastAsia="en-CA"/>
              </w:rPr>
            </w:pPr>
            <w:r w:rsidRPr="009509F1">
              <w:rPr>
                <w:rFonts w:eastAsia="Times New Roman" w:cs="Arial"/>
                <w:sz w:val="20"/>
                <w:szCs w:val="20"/>
                <w:lang w:eastAsia="en-CA"/>
              </w:rPr>
              <w:t>Actual</w:t>
            </w:r>
          </w:p>
        </w:tc>
        <w:tc>
          <w:tcPr>
            <w:tcW w:w="1559"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eastAsia="Times New Roman" w:cs="Arial"/>
                <w:sz w:val="20"/>
                <w:szCs w:val="20"/>
                <w:lang w:eastAsia="en-CA"/>
              </w:rPr>
            </w:pPr>
            <w:r w:rsidRPr="009509F1">
              <w:rPr>
                <w:rFonts w:eastAsia="Times New Roman" w:cs="Arial"/>
                <w:sz w:val="20"/>
                <w:szCs w:val="20"/>
                <w:lang w:eastAsia="en-CA"/>
              </w:rPr>
              <w:t>Predicted</w:t>
            </w:r>
          </w:p>
        </w:tc>
        <w:tc>
          <w:tcPr>
            <w:tcW w:w="113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jc w:val="center"/>
              <w:rPr>
                <w:rFonts w:eastAsia="Times New Roman" w:cs="Arial"/>
                <w:sz w:val="20"/>
                <w:szCs w:val="20"/>
                <w:lang w:eastAsia="en-CA"/>
              </w:rPr>
            </w:pPr>
            <w:r w:rsidRPr="009509F1">
              <w:rPr>
                <w:rFonts w:eastAsia="Times New Roman" w:cs="Arial"/>
                <w:sz w:val="20"/>
                <w:szCs w:val="20"/>
                <w:lang w:eastAsia="en-CA"/>
              </w:rPr>
              <w:t>Error (%)</w:t>
            </w:r>
          </w:p>
        </w:tc>
      </w:tr>
      <w:tr w:rsidR="00D448A8" w:rsidRPr="009509F1" w:rsidTr="00D616EA">
        <w:trPr>
          <w:trHeight w:val="264"/>
        </w:trPr>
        <w:tc>
          <w:tcPr>
            <w:tcW w:w="1465" w:type="dxa"/>
            <w:tcBorders>
              <w:top w:val="nil"/>
              <w:left w:val="nil"/>
              <w:bottom w:val="nil"/>
              <w:right w:val="nil"/>
            </w:tcBorders>
            <w:shd w:val="clear" w:color="auto" w:fill="auto"/>
            <w:noWrap/>
            <w:vAlign w:val="bottom"/>
          </w:tcPr>
          <w:p w:rsidR="00D448A8" w:rsidRPr="009509F1" w:rsidRDefault="00D448A8" w:rsidP="00D448A8">
            <w:pPr>
              <w:keepNext/>
              <w:spacing w:after="0" w:line="240" w:lineRule="auto"/>
              <w:jc w:val="right"/>
              <w:rPr>
                <w:rFonts w:eastAsia="Times New Roman" w:cs="Arial"/>
                <w:sz w:val="20"/>
                <w:szCs w:val="20"/>
                <w:lang w:eastAsia="en-CA"/>
              </w:rPr>
            </w:pPr>
            <w:r>
              <w:rPr>
                <w:rFonts w:eastAsia="Times New Roman" w:cs="Arial"/>
                <w:sz w:val="20"/>
                <w:szCs w:val="20"/>
                <w:lang w:eastAsia="en-CA"/>
              </w:rPr>
              <w:t>2007</w:t>
            </w:r>
          </w:p>
        </w:tc>
        <w:tc>
          <w:tcPr>
            <w:tcW w:w="1654"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147,994,308</w:t>
            </w:r>
          </w:p>
        </w:tc>
        <w:tc>
          <w:tcPr>
            <w:tcW w:w="1559"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145,309,049</w:t>
            </w:r>
          </w:p>
        </w:tc>
        <w:tc>
          <w:tcPr>
            <w:tcW w:w="1134"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1.8%</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2008</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141,699,699</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143,485,711</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1.3%</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2009</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140,171,354</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140,402,646</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0.2%</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2010</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145,078,569</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144,144,650</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0.6%</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2011</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141,624,537</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143,039,944</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1.0%</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2012</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139,135,378</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141,451,855</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1.7%</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2013</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141,721,481</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141,429,434</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0.2%</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2014</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140,644,151</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140,085,258</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0.4%</w:t>
            </w:r>
          </w:p>
        </w:tc>
      </w:tr>
      <w:tr w:rsidR="00D448A8" w:rsidRPr="009509F1" w:rsidTr="00D616EA">
        <w:trPr>
          <w:trHeight w:val="264"/>
        </w:trPr>
        <w:tc>
          <w:tcPr>
            <w:tcW w:w="1465" w:type="dxa"/>
            <w:tcBorders>
              <w:top w:val="nil"/>
              <w:left w:val="nil"/>
              <w:bottom w:val="nil"/>
              <w:right w:val="nil"/>
            </w:tcBorders>
            <w:shd w:val="clear" w:color="auto" w:fill="auto"/>
            <w:noWrap/>
            <w:vAlign w:val="bottom"/>
            <w:hideMark/>
          </w:tcPr>
          <w:p w:rsidR="00D448A8" w:rsidRPr="009509F1" w:rsidRDefault="00D448A8" w:rsidP="00D448A8">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2015</w:t>
            </w:r>
          </w:p>
        </w:tc>
        <w:tc>
          <w:tcPr>
            <w:tcW w:w="165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139,502,198</w:t>
            </w:r>
          </w:p>
        </w:tc>
        <w:tc>
          <w:tcPr>
            <w:tcW w:w="1559"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139,363,325</w:t>
            </w:r>
          </w:p>
        </w:tc>
        <w:tc>
          <w:tcPr>
            <w:tcW w:w="1134" w:type="dxa"/>
            <w:tcBorders>
              <w:top w:val="nil"/>
              <w:left w:val="nil"/>
              <w:bottom w:val="nil"/>
              <w:right w:val="nil"/>
            </w:tcBorders>
            <w:shd w:val="clear" w:color="auto" w:fill="auto"/>
            <w:noWrap/>
            <w:vAlign w:val="bottom"/>
            <w:hideMark/>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0.1%</w:t>
            </w:r>
          </w:p>
        </w:tc>
      </w:tr>
      <w:tr w:rsidR="00D448A8" w:rsidRPr="009509F1" w:rsidTr="00D616EA">
        <w:trPr>
          <w:trHeight w:val="264"/>
        </w:trPr>
        <w:tc>
          <w:tcPr>
            <w:tcW w:w="1465" w:type="dxa"/>
            <w:tcBorders>
              <w:top w:val="nil"/>
              <w:left w:val="nil"/>
              <w:bottom w:val="nil"/>
              <w:right w:val="nil"/>
            </w:tcBorders>
            <w:shd w:val="clear" w:color="auto" w:fill="auto"/>
            <w:noWrap/>
            <w:vAlign w:val="bottom"/>
          </w:tcPr>
          <w:p w:rsidR="00D448A8" w:rsidRPr="009509F1" w:rsidRDefault="00D448A8" w:rsidP="00D448A8">
            <w:pPr>
              <w:keepNext/>
              <w:spacing w:after="0" w:line="240" w:lineRule="auto"/>
              <w:jc w:val="right"/>
              <w:rPr>
                <w:rFonts w:eastAsia="Times New Roman" w:cs="Arial"/>
                <w:sz w:val="20"/>
                <w:szCs w:val="20"/>
                <w:lang w:eastAsia="en-CA"/>
              </w:rPr>
            </w:pPr>
            <w:r>
              <w:rPr>
                <w:rFonts w:eastAsia="Times New Roman" w:cs="Arial"/>
                <w:sz w:val="20"/>
                <w:szCs w:val="20"/>
                <w:lang w:eastAsia="en-CA"/>
              </w:rPr>
              <w:t>2016</w:t>
            </w:r>
          </w:p>
        </w:tc>
        <w:tc>
          <w:tcPr>
            <w:tcW w:w="1654"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141,238,267</w:t>
            </w:r>
          </w:p>
        </w:tc>
        <w:tc>
          <w:tcPr>
            <w:tcW w:w="1559"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140,098,078</w:t>
            </w:r>
          </w:p>
        </w:tc>
        <w:tc>
          <w:tcPr>
            <w:tcW w:w="1134" w:type="dxa"/>
            <w:tcBorders>
              <w:top w:val="nil"/>
              <w:left w:val="nil"/>
              <w:bottom w:val="nil"/>
              <w:right w:val="nil"/>
            </w:tcBorders>
            <w:shd w:val="clear" w:color="auto" w:fill="auto"/>
            <w:noWrap/>
            <w:vAlign w:val="bottom"/>
          </w:tcPr>
          <w:p w:rsidR="00D448A8" w:rsidRPr="00D448A8" w:rsidRDefault="00D448A8" w:rsidP="00D448A8">
            <w:pPr>
              <w:keepNext/>
              <w:spacing w:after="0" w:line="240" w:lineRule="auto"/>
              <w:jc w:val="right"/>
              <w:rPr>
                <w:rFonts w:eastAsia="Times New Roman" w:cs="Arial"/>
                <w:sz w:val="20"/>
                <w:szCs w:val="20"/>
                <w:lang w:eastAsia="en-CA"/>
              </w:rPr>
            </w:pPr>
            <w:r w:rsidRPr="00D448A8">
              <w:rPr>
                <w:rFonts w:eastAsia="Times New Roman" w:cs="Arial"/>
                <w:sz w:val="20"/>
                <w:szCs w:val="20"/>
                <w:lang w:eastAsia="en-CA"/>
              </w:rPr>
              <w:t>0.8%</w:t>
            </w:r>
          </w:p>
        </w:tc>
      </w:tr>
      <w:tr w:rsidR="00397DA5" w:rsidRPr="009509F1" w:rsidTr="00D616EA">
        <w:trPr>
          <w:trHeight w:val="264"/>
        </w:trPr>
        <w:tc>
          <w:tcPr>
            <w:tcW w:w="1465"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jc w:val="right"/>
              <w:rPr>
                <w:rFonts w:eastAsia="Times New Roman" w:cs="Arial"/>
                <w:sz w:val="20"/>
                <w:szCs w:val="20"/>
                <w:lang w:eastAsia="en-CA"/>
              </w:rPr>
            </w:pPr>
          </w:p>
        </w:tc>
        <w:tc>
          <w:tcPr>
            <w:tcW w:w="165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ascii="Times New Roman" w:eastAsia="Times New Roman" w:hAnsi="Times New Roman" w:cs="Times New Roman"/>
                <w:sz w:val="20"/>
                <w:szCs w:val="20"/>
                <w:lang w:eastAsia="en-CA"/>
              </w:rPr>
            </w:pPr>
          </w:p>
        </w:tc>
        <w:tc>
          <w:tcPr>
            <w:tcW w:w="1559"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ascii="Times New Roman" w:eastAsia="Times New Roman" w:hAnsi="Times New Roman" w:cs="Times New Roman"/>
                <w:sz w:val="20"/>
                <w:szCs w:val="20"/>
                <w:lang w:eastAsia="en-CA"/>
              </w:rPr>
            </w:pPr>
          </w:p>
        </w:tc>
        <w:tc>
          <w:tcPr>
            <w:tcW w:w="113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ascii="Times New Roman" w:eastAsia="Times New Roman" w:hAnsi="Times New Roman" w:cs="Times New Roman"/>
                <w:sz w:val="20"/>
                <w:szCs w:val="20"/>
                <w:lang w:eastAsia="en-CA"/>
              </w:rPr>
            </w:pPr>
          </w:p>
        </w:tc>
      </w:tr>
      <w:tr w:rsidR="00397DA5" w:rsidRPr="009509F1" w:rsidTr="00D616EA">
        <w:trPr>
          <w:trHeight w:val="264"/>
        </w:trPr>
        <w:tc>
          <w:tcPr>
            <w:tcW w:w="4678" w:type="dxa"/>
            <w:gridSpan w:val="3"/>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eastAsia="Times New Roman" w:cs="Arial"/>
                <w:sz w:val="20"/>
                <w:szCs w:val="20"/>
                <w:lang w:eastAsia="en-CA"/>
              </w:rPr>
            </w:pPr>
            <w:r w:rsidRPr="009509F1">
              <w:rPr>
                <w:rFonts w:eastAsia="Times New Roman" w:cs="Arial"/>
                <w:sz w:val="20"/>
                <w:szCs w:val="20"/>
                <w:lang w:eastAsia="en-CA"/>
              </w:rPr>
              <w:t>Mean Absolute Percentage of Error (Annual)</w:t>
            </w:r>
          </w:p>
        </w:tc>
        <w:tc>
          <w:tcPr>
            <w:tcW w:w="1134" w:type="dxa"/>
            <w:tcBorders>
              <w:top w:val="nil"/>
              <w:left w:val="nil"/>
              <w:bottom w:val="nil"/>
              <w:right w:val="nil"/>
            </w:tcBorders>
            <w:shd w:val="clear" w:color="auto" w:fill="auto"/>
            <w:noWrap/>
            <w:vAlign w:val="bottom"/>
            <w:hideMark/>
          </w:tcPr>
          <w:p w:rsidR="00397DA5" w:rsidRPr="009509F1" w:rsidRDefault="00D448A8" w:rsidP="005414EA">
            <w:pPr>
              <w:keepNext/>
              <w:spacing w:after="0" w:line="240" w:lineRule="auto"/>
              <w:jc w:val="right"/>
              <w:rPr>
                <w:rFonts w:eastAsia="Times New Roman" w:cs="Arial"/>
                <w:sz w:val="20"/>
                <w:szCs w:val="20"/>
                <w:lang w:eastAsia="en-CA"/>
              </w:rPr>
            </w:pPr>
            <w:r>
              <w:rPr>
                <w:rFonts w:eastAsia="Times New Roman" w:cs="Arial"/>
                <w:sz w:val="20"/>
                <w:szCs w:val="20"/>
                <w:lang w:eastAsia="en-CA"/>
              </w:rPr>
              <w:t>0.8</w:t>
            </w:r>
            <w:r w:rsidR="00397DA5" w:rsidRPr="009509F1">
              <w:rPr>
                <w:rFonts w:eastAsia="Times New Roman" w:cs="Arial"/>
                <w:sz w:val="20"/>
                <w:szCs w:val="20"/>
                <w:lang w:eastAsia="en-CA"/>
              </w:rPr>
              <w:t>%</w:t>
            </w:r>
          </w:p>
        </w:tc>
      </w:tr>
      <w:tr w:rsidR="00397DA5" w:rsidRPr="009509F1" w:rsidTr="00D616EA">
        <w:trPr>
          <w:trHeight w:val="264"/>
        </w:trPr>
        <w:tc>
          <w:tcPr>
            <w:tcW w:w="4678" w:type="dxa"/>
            <w:gridSpan w:val="3"/>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rPr>
                <w:rFonts w:eastAsia="Times New Roman" w:cs="Arial"/>
                <w:sz w:val="20"/>
                <w:szCs w:val="20"/>
                <w:lang w:eastAsia="en-CA"/>
              </w:rPr>
            </w:pPr>
            <w:r w:rsidRPr="009509F1">
              <w:rPr>
                <w:rFonts w:eastAsia="Times New Roman" w:cs="Arial"/>
                <w:sz w:val="20"/>
                <w:szCs w:val="20"/>
                <w:lang w:eastAsia="en-CA"/>
              </w:rPr>
              <w:t>Mean Absolute Percentage of Error (Monthly)</w:t>
            </w:r>
          </w:p>
        </w:tc>
        <w:tc>
          <w:tcPr>
            <w:tcW w:w="1134" w:type="dxa"/>
            <w:tcBorders>
              <w:top w:val="nil"/>
              <w:left w:val="nil"/>
              <w:bottom w:val="nil"/>
              <w:right w:val="nil"/>
            </w:tcBorders>
            <w:shd w:val="clear" w:color="auto" w:fill="auto"/>
            <w:noWrap/>
            <w:vAlign w:val="bottom"/>
            <w:hideMark/>
          </w:tcPr>
          <w:p w:rsidR="00397DA5" w:rsidRPr="009509F1" w:rsidRDefault="00397DA5" w:rsidP="005414EA">
            <w:pPr>
              <w:keepNext/>
              <w:spacing w:after="0" w:line="240" w:lineRule="auto"/>
              <w:jc w:val="right"/>
              <w:rPr>
                <w:rFonts w:eastAsia="Times New Roman" w:cs="Arial"/>
                <w:sz w:val="20"/>
                <w:szCs w:val="20"/>
                <w:lang w:eastAsia="en-CA"/>
              </w:rPr>
            </w:pPr>
            <w:r w:rsidRPr="009509F1">
              <w:rPr>
                <w:rFonts w:eastAsia="Times New Roman" w:cs="Arial"/>
                <w:sz w:val="20"/>
                <w:szCs w:val="20"/>
                <w:lang w:eastAsia="en-CA"/>
              </w:rPr>
              <w:t>3.0%</w:t>
            </w:r>
          </w:p>
        </w:tc>
      </w:tr>
    </w:tbl>
    <w:p w:rsidR="00397DA5" w:rsidRDefault="00397DA5" w:rsidP="00397DA5">
      <w:pPr>
        <w:pStyle w:val="Caption"/>
      </w:pPr>
      <w:r>
        <w:t xml:space="preserve">Table </w:t>
      </w:r>
      <w:fldSimple w:instr=" SEQ Table \* ARABIC ">
        <w:r w:rsidR="00CF2300">
          <w:rPr>
            <w:noProof/>
          </w:rPr>
          <w:t>7</w:t>
        </w:r>
      </w:fldSimple>
      <w:r>
        <w:t xml:space="preserve"> Residential model error</w:t>
      </w:r>
    </w:p>
    <w:p w:rsidR="00397DA5" w:rsidRDefault="00397DA5" w:rsidP="00397DA5">
      <w:pPr>
        <w:pStyle w:val="Heading2"/>
        <w:tabs>
          <w:tab w:val="clear" w:pos="1002"/>
          <w:tab w:val="num" w:pos="576"/>
        </w:tabs>
        <w:spacing w:before="480" w:after="240" w:line="240" w:lineRule="auto"/>
        <w:ind w:left="576" w:hanging="576"/>
      </w:pPr>
      <w:bookmarkStart w:id="14" w:name="_Toc458178855"/>
      <w:bookmarkStart w:id="15" w:name="_Toc484704237"/>
      <w:r>
        <w:t>GS &lt; 50</w:t>
      </w:r>
      <w:bookmarkEnd w:id="14"/>
      <w:bookmarkEnd w:id="15"/>
    </w:p>
    <w:p w:rsidR="00397DA5" w:rsidRDefault="00397DA5" w:rsidP="00397DA5">
      <w:pPr>
        <w:keepNext/>
      </w:pPr>
      <w:r>
        <w:t xml:space="preserve">For the GS &lt; 50 class, the regression </w:t>
      </w:r>
      <w:r w:rsidRPr="00D71C7D">
        <w:t xml:space="preserve">equation was estimated using </w:t>
      </w:r>
      <w:r w:rsidR="005414EA">
        <w:t>120 observations from 2007:01-2016</w:t>
      </w:r>
      <w:r w:rsidRPr="00D71C7D">
        <w:t>:</w:t>
      </w:r>
      <w:r>
        <w:t>12.</w:t>
      </w:r>
    </w:p>
    <w:p w:rsidR="00397DA5" w:rsidRDefault="00397DA5" w:rsidP="00397DA5">
      <w:r>
        <w:t xml:space="preserve">Heating degree days and cooling degree days were used, as measured at the </w:t>
      </w:r>
      <w:r w:rsidR="009B4694">
        <w:t>London</w:t>
      </w:r>
      <w:r>
        <w:t xml:space="preserve"> Airport weather station as</w:t>
      </w:r>
      <w:r w:rsidR="005414EA">
        <w:t xml:space="preserve"> described in the introduction.</w:t>
      </w:r>
    </w:p>
    <w:p w:rsidR="00397DA5" w:rsidRDefault="005414EA" w:rsidP="00397DA5">
      <w:r>
        <w:t>A count of customers, and a trend variable indicating 1 in January 2007, increasing to 120 in December 2016 were used.  As a measure of economic activity, the number of full time employees, “London_FTE” was included.  B</w:t>
      </w:r>
      <w:r w:rsidR="00397DA5">
        <w:t>inary variable</w:t>
      </w:r>
      <w:r>
        <w:t>s</w:t>
      </w:r>
      <w:r w:rsidR="00397DA5">
        <w:t xml:space="preserve"> representing </w:t>
      </w:r>
      <w:r>
        <w:t>the months of March, June, July, August, and September were used.</w:t>
      </w:r>
    </w:p>
    <w:p w:rsidR="00397DA5" w:rsidRDefault="005414EA" w:rsidP="00397DA5">
      <w:r>
        <w:t>O</w:t>
      </w:r>
      <w:r w:rsidR="00397DA5">
        <w:t xml:space="preserve">ther variables were examined, and found to not show a statistically significant relationship to energy usage. Those included an </w:t>
      </w:r>
      <w:r>
        <w:t xml:space="preserve">indicator of </w:t>
      </w:r>
      <w:r w:rsidR="00397DA5">
        <w:t>days in the month,</w:t>
      </w:r>
      <w:r>
        <w:t xml:space="preserve"> and spring and fall dummy variables</w:t>
      </w:r>
      <w:r w:rsidR="00397DA5">
        <w:t>.</w:t>
      </w:r>
    </w:p>
    <w:p w:rsidR="00397DA5" w:rsidRDefault="00397DA5" w:rsidP="00397DA5">
      <w:pPr>
        <w:keepNext/>
      </w:pPr>
      <w:r>
        <w:lastRenderedPageBreak/>
        <w:t>The following table outlines the resulting regression model:</w:t>
      </w:r>
    </w:p>
    <w:tbl>
      <w:tblPr>
        <w:tblW w:w="8188" w:type="dxa"/>
        <w:tblCellMar>
          <w:top w:w="15" w:type="dxa"/>
          <w:bottom w:w="15" w:type="dxa"/>
        </w:tblCellMar>
        <w:tblLook w:val="04A0" w:firstRow="1" w:lastRow="0" w:firstColumn="1" w:lastColumn="0" w:noHBand="0" w:noVBand="1"/>
      </w:tblPr>
      <w:tblGrid>
        <w:gridCol w:w="1943"/>
        <w:gridCol w:w="1459"/>
        <w:gridCol w:w="1901"/>
        <w:gridCol w:w="1501"/>
        <w:gridCol w:w="1384"/>
      </w:tblGrid>
      <w:tr w:rsidR="005414EA" w:rsidRPr="005414EA" w:rsidTr="005414EA">
        <w:trPr>
          <w:trHeight w:val="270"/>
        </w:trPr>
        <w:tc>
          <w:tcPr>
            <w:tcW w:w="6804" w:type="dxa"/>
            <w:gridSpan w:val="4"/>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Model 50: OLS, using observations 2007:01-2016:12 (T = 120)</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r w:rsidR="005414EA" w:rsidRPr="005414EA" w:rsidTr="005414EA">
        <w:trPr>
          <w:trHeight w:val="270"/>
        </w:trPr>
        <w:tc>
          <w:tcPr>
            <w:tcW w:w="5303" w:type="dxa"/>
            <w:gridSpan w:val="3"/>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Dependent variable: GS_lt_50_no_CDM</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coefficient</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std. error</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t-ratio</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p-value</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const</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-11631489.55</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3030819.386</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-3.837737612</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0.000208592</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GS_lt_50_Cust</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6551.127986</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1741.140986</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3.762548834</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2.73E-04</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London_HDD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2094.073158</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109.077515</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19.19802774</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9.33E-37</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London_CDD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5924.857551</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1108.897466</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5.343016584</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5.06E-07</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London_FTE</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10421.48982</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3094.139807</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3.368137988</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1.05E-03</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Trend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-4822.694077</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1876.272497</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-2.570359095</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1.15E-02</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Mar</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-156104.0665</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68013.96157</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-2.295176797</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0.023637321</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June</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359272.7117</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93117.03515</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3.858291999</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0.000193754</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July</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411098.3059</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125921.8156</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3.264710756</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0.001464529</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Aug</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494220.9231</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110691.9098</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4.46E+00</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1.96E-05</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Sept</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249265.1315</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80695.8435</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3.09E+00</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0.002548735</w:t>
            </w: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Mean dependent var</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4190028.628</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S.D. dependent var</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442281.5561</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Sum squared resid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4.2434E+12</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S.E. of regression</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197307.5945</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R-squared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0.817707214</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Adjusted R-squared</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0.800983105</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F(10, 109)</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48.89391855</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P-value(F)</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1.03E-35</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Log-likelihood</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-1627.606294</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Akaike criterion</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3277.212589</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Schwarz criterion</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3307.874998</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Hannan-Quinn</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3289.664735</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rho</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0.086702585</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Durbin-Watson</w:t>
            </w: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1.819920886</w:t>
            </w: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70"/>
        </w:trPr>
        <w:tc>
          <w:tcPr>
            <w:tcW w:w="1943"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Theil's U</w:t>
            </w:r>
          </w:p>
        </w:tc>
        <w:tc>
          <w:tcPr>
            <w:tcW w:w="1459"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0.44297</w:t>
            </w:r>
          </w:p>
        </w:tc>
        <w:tc>
          <w:tcPr>
            <w:tcW w:w="1901"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c>
          <w:tcPr>
            <w:tcW w:w="1501"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c>
          <w:tcPr>
            <w:tcW w:w="1384" w:type="dxa"/>
            <w:tcBorders>
              <w:top w:val="nil"/>
              <w:left w:val="nil"/>
              <w:bottom w:val="nil"/>
              <w:right w:val="nil"/>
            </w:tcBorders>
            <w:noWrap/>
            <w:vAlign w:val="bottom"/>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bl>
    <w:p w:rsidR="00397DA5" w:rsidRDefault="00397DA5" w:rsidP="00397DA5">
      <w:pPr>
        <w:pStyle w:val="Caption"/>
      </w:pPr>
      <w:r>
        <w:t xml:space="preserve">Table </w:t>
      </w:r>
      <w:fldSimple w:instr=" SEQ Table \* ARABIC ">
        <w:r w:rsidR="00CF2300">
          <w:rPr>
            <w:noProof/>
          </w:rPr>
          <w:t>8</w:t>
        </w:r>
      </w:fldSimple>
      <w:r>
        <w:t xml:space="preserve"> GS &lt; 50 Regression Model</w:t>
      </w:r>
    </w:p>
    <w:p w:rsidR="00397DA5" w:rsidRDefault="00397DA5" w:rsidP="00397DA5">
      <w:r>
        <w:t>Using the above model coefficients we derive the following:</w:t>
      </w:r>
    </w:p>
    <w:p w:rsidR="005414EA" w:rsidRDefault="005414EA" w:rsidP="00397DA5">
      <w:r>
        <w:rPr>
          <w:noProof/>
          <w:lang w:val="en-US"/>
        </w:rPr>
        <w:lastRenderedPageBreak/>
        <w:drawing>
          <wp:inline distT="0" distB="0" distL="0" distR="0" wp14:anchorId="3CABA4DB" wp14:editId="77912D5F">
            <wp:extent cx="5394960" cy="3099435"/>
            <wp:effectExtent l="0" t="0" r="15240" b="5715"/>
            <wp:docPr id="24" name="Chart 2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97DA5" w:rsidRDefault="00397DA5" w:rsidP="00397DA5">
      <w:pPr>
        <w:pStyle w:val="Caption"/>
      </w:pPr>
      <w:r>
        <w:t xml:space="preserve">Figure </w:t>
      </w:r>
      <w:fldSimple w:instr=" SEQ Figure \* ARABIC ">
        <w:r w:rsidR="00CF2300">
          <w:rPr>
            <w:noProof/>
          </w:rPr>
          <w:t>2</w:t>
        </w:r>
      </w:fldSimple>
      <w:r>
        <w:rPr>
          <w:noProof/>
        </w:rPr>
        <w:t xml:space="preserve"> GS &lt; 50 Predicted vs Actual observations</w:t>
      </w:r>
    </w:p>
    <w:p w:rsidR="00397DA5" w:rsidRDefault="00397DA5" w:rsidP="00397DA5">
      <w:r>
        <w:t xml:space="preserve">Annual estimates using actual weather are compared to actual values in the table below. Mean absolute percentage error (MAPE) for annual estimates for the period is </w:t>
      </w:r>
      <w:r w:rsidR="005414EA">
        <w:t>0.8</w:t>
      </w:r>
      <w:r>
        <w:t>%. Annual errors are calculated as the model is used to derive annual forecasts. However, in recent proceedings Elenchus has been involved in, intervenors and Board Staff have requested MAPE calculated on a monthly basis and this has been provided as well. The MAPE calcula</w:t>
      </w:r>
      <w:r w:rsidR="005414EA">
        <w:t>ted monthly over the period is 3</w:t>
      </w:r>
      <w:r>
        <w:t>.3%.</w:t>
      </w:r>
    </w:p>
    <w:tbl>
      <w:tblPr>
        <w:tblW w:w="5220" w:type="dxa"/>
        <w:tblCellMar>
          <w:top w:w="15" w:type="dxa"/>
          <w:bottom w:w="15" w:type="dxa"/>
        </w:tblCellMar>
        <w:tblLook w:val="04A0" w:firstRow="1" w:lastRow="0" w:firstColumn="1" w:lastColumn="0" w:noHBand="0" w:noVBand="1"/>
      </w:tblPr>
      <w:tblGrid>
        <w:gridCol w:w="1300"/>
        <w:gridCol w:w="1630"/>
        <w:gridCol w:w="1217"/>
        <w:gridCol w:w="1300"/>
      </w:tblGrid>
      <w:tr w:rsidR="005414EA" w:rsidRPr="005414EA" w:rsidTr="005414EA">
        <w:trPr>
          <w:trHeight w:val="270"/>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4"/>
                <w:lang w:eastAsia="en-CA"/>
              </w:rPr>
            </w:pPr>
          </w:p>
        </w:tc>
        <w:tc>
          <w:tcPr>
            <w:tcW w:w="2620" w:type="dxa"/>
            <w:gridSpan w:val="2"/>
            <w:tcBorders>
              <w:top w:val="nil"/>
              <w:left w:val="nil"/>
              <w:bottom w:val="nil"/>
              <w:right w:val="nil"/>
            </w:tcBorders>
            <w:noWrap/>
            <w:vAlign w:val="bottom"/>
            <w:hideMark/>
          </w:tcPr>
          <w:p w:rsidR="005414EA" w:rsidRPr="005414EA" w:rsidRDefault="005414EA" w:rsidP="005414EA">
            <w:pPr>
              <w:spacing w:before="0" w:after="0" w:line="240" w:lineRule="auto"/>
              <w:jc w:val="center"/>
              <w:rPr>
                <w:rFonts w:eastAsia="Times New Roman" w:cs="Arial"/>
                <w:sz w:val="20"/>
                <w:szCs w:val="20"/>
                <w:lang w:eastAsia="en-CA"/>
              </w:rPr>
            </w:pPr>
            <w:r w:rsidRPr="005414EA">
              <w:rPr>
                <w:rFonts w:eastAsia="Times New Roman" w:cs="Arial"/>
                <w:sz w:val="20"/>
                <w:szCs w:val="20"/>
                <w:lang w:eastAsia="en-CA"/>
              </w:rPr>
              <w:t>GS&lt;50 kWh</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Absolute</w:t>
            </w:r>
          </w:p>
        </w:tc>
      </w:tr>
      <w:tr w:rsidR="005414EA" w:rsidRPr="005414EA" w:rsidTr="005414EA">
        <w:trPr>
          <w:trHeight w:val="270"/>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CDM Added Back</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Predicted</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Error (%)</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2007</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51,997,633</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51,179,679</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1.6%</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2008</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48,943,216</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50,195,637</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2.6%</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2009</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48,039,983</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48,018,945</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0.0%</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2010</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49,616,194</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49,050,622</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1.1%</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2011</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49,273,917</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49,953,305</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1.4%</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2012</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48,699,091</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48,462,747</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0.5%</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2013</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49,904,173</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49,758,085</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0.3%</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2014</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50,588,552</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50,348,351</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0.5%</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2015</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53,413,626</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53,374,866</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0.1%</w:t>
            </w:r>
          </w:p>
        </w:tc>
      </w:tr>
      <w:tr w:rsidR="005414EA" w:rsidRPr="005414EA" w:rsidTr="005414EA">
        <w:trPr>
          <w:trHeight w:val="285"/>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2016</w:t>
            </w: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52,327,039</w:t>
            </w: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52,461,199</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r w:rsidRPr="005414EA">
              <w:rPr>
                <w:rFonts w:eastAsia="Times New Roman" w:cs="Arial"/>
                <w:color w:val="000000"/>
                <w:sz w:val="22"/>
                <w:lang w:eastAsia="en-CA"/>
              </w:rPr>
              <w:t>0.3%</w:t>
            </w:r>
          </w:p>
        </w:tc>
      </w:tr>
      <w:tr w:rsidR="005414EA" w:rsidRPr="005414EA" w:rsidTr="005414EA">
        <w:trPr>
          <w:trHeight w:val="270"/>
        </w:trPr>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color w:val="000000"/>
                <w:sz w:val="22"/>
                <w:lang w:eastAsia="en-CA"/>
              </w:rPr>
            </w:pPr>
          </w:p>
        </w:tc>
        <w:tc>
          <w:tcPr>
            <w:tcW w:w="1630" w:type="dxa"/>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0"/>
                <w:lang w:eastAsia="en-CA"/>
              </w:rPr>
            </w:pPr>
          </w:p>
        </w:tc>
        <w:tc>
          <w:tcPr>
            <w:tcW w:w="990" w:type="dxa"/>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0"/>
                <w:lang w:eastAsia="en-CA"/>
              </w:rPr>
            </w:pP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0"/>
                <w:lang w:eastAsia="en-CA"/>
              </w:rPr>
            </w:pPr>
          </w:p>
        </w:tc>
      </w:tr>
      <w:tr w:rsidR="005414EA" w:rsidRPr="005414EA" w:rsidTr="005414EA">
        <w:trPr>
          <w:trHeight w:val="270"/>
        </w:trPr>
        <w:tc>
          <w:tcPr>
            <w:tcW w:w="3920" w:type="dxa"/>
            <w:gridSpan w:val="3"/>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Mean Absolute Percentage Error (Annual)</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0.8%</w:t>
            </w:r>
          </w:p>
        </w:tc>
      </w:tr>
      <w:tr w:rsidR="005414EA" w:rsidRPr="005414EA" w:rsidTr="005414EA">
        <w:trPr>
          <w:trHeight w:val="270"/>
        </w:trPr>
        <w:tc>
          <w:tcPr>
            <w:tcW w:w="3920" w:type="dxa"/>
            <w:gridSpan w:val="3"/>
            <w:tcBorders>
              <w:top w:val="nil"/>
              <w:left w:val="nil"/>
              <w:bottom w:val="nil"/>
              <w:right w:val="nil"/>
            </w:tcBorders>
            <w:noWrap/>
            <w:vAlign w:val="bottom"/>
            <w:hideMark/>
          </w:tcPr>
          <w:p w:rsidR="005414EA" w:rsidRPr="005414EA" w:rsidRDefault="005414EA" w:rsidP="005414EA">
            <w:pPr>
              <w:spacing w:before="0" w:after="0" w:line="240" w:lineRule="auto"/>
              <w:jc w:val="left"/>
              <w:rPr>
                <w:rFonts w:eastAsia="Times New Roman" w:cs="Arial"/>
                <w:sz w:val="20"/>
                <w:szCs w:val="20"/>
                <w:lang w:eastAsia="en-CA"/>
              </w:rPr>
            </w:pPr>
            <w:r w:rsidRPr="005414EA">
              <w:rPr>
                <w:rFonts w:eastAsia="Times New Roman" w:cs="Arial"/>
                <w:sz w:val="20"/>
                <w:szCs w:val="20"/>
                <w:lang w:eastAsia="en-CA"/>
              </w:rPr>
              <w:t>Mean Absolute Percentage Error (Monthly)</w:t>
            </w:r>
          </w:p>
        </w:tc>
        <w:tc>
          <w:tcPr>
            <w:tcW w:w="1300" w:type="dxa"/>
            <w:tcBorders>
              <w:top w:val="nil"/>
              <w:left w:val="nil"/>
              <w:bottom w:val="nil"/>
              <w:right w:val="nil"/>
            </w:tcBorders>
            <w:noWrap/>
            <w:vAlign w:val="bottom"/>
            <w:hideMark/>
          </w:tcPr>
          <w:p w:rsidR="005414EA" w:rsidRPr="005414EA" w:rsidRDefault="005414EA" w:rsidP="005414EA">
            <w:pPr>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3.3%</w:t>
            </w:r>
          </w:p>
        </w:tc>
      </w:tr>
    </w:tbl>
    <w:p w:rsidR="00397DA5" w:rsidRDefault="00397DA5" w:rsidP="00397DA5">
      <w:pPr>
        <w:pStyle w:val="Caption"/>
      </w:pPr>
      <w:r>
        <w:t xml:space="preserve">Table </w:t>
      </w:r>
      <w:fldSimple w:instr=" SEQ Table \* ARABIC ">
        <w:r w:rsidR="00CF2300">
          <w:rPr>
            <w:noProof/>
          </w:rPr>
          <w:t>9</w:t>
        </w:r>
      </w:fldSimple>
      <w:r>
        <w:t xml:space="preserve"> GS &lt; 50 model error</w:t>
      </w:r>
    </w:p>
    <w:p w:rsidR="00397DA5" w:rsidRPr="007A17D0" w:rsidRDefault="00397DA5" w:rsidP="00397DA5">
      <w:pPr>
        <w:pStyle w:val="Heading1"/>
        <w:tabs>
          <w:tab w:val="num" w:pos="432"/>
        </w:tabs>
        <w:spacing w:before="480" w:after="240" w:line="240" w:lineRule="auto"/>
        <w:ind w:left="432" w:hanging="432"/>
      </w:pPr>
      <w:bookmarkStart w:id="16" w:name="_Toc458178856"/>
      <w:bookmarkStart w:id="17" w:name="_Toc484704238"/>
      <w:r w:rsidRPr="007A17D0">
        <w:lastRenderedPageBreak/>
        <w:t>Weather Normalization and Economic Forecast</w:t>
      </w:r>
      <w:bookmarkEnd w:id="16"/>
      <w:bookmarkEnd w:id="17"/>
    </w:p>
    <w:p w:rsidR="00397DA5" w:rsidRDefault="00397DA5" w:rsidP="00397DA5">
      <w:r>
        <w:t>It is not possible to accurately forecast weather for months or years in advance. Therefore, one can only base future weather expectations on what has happened in the past. Individual years may experience unusual spells of weather (unusually cold winter, unusually warm summer, etc.). However, over time, these unusual spells “average” out. While there may be trends over several years (e.g., warmer winters for example), using several years of data rather than one particular year filters out the extremes of any particular year. While there are several different approaches to determining an appropriate weather normal, Erie Thames has adopted the most recent 10 year monthly degree day average as the definition of weather normal, which to our knowledge, is consistent with many LDCs load forecast filings for cost-of-service rebasing applications.</w:t>
      </w:r>
    </w:p>
    <w:p w:rsidR="00397DA5" w:rsidRDefault="00397DA5" w:rsidP="00397DA5">
      <w:r>
        <w:t xml:space="preserve">The table below displays the most recent 10 year average of heating degree days and cooling degree days as reported by Environment Canada for </w:t>
      </w:r>
      <w:r w:rsidR="009B4694">
        <w:t>London</w:t>
      </w:r>
      <w:r>
        <w:t xml:space="preserve"> Airport, which is used as the weather station for Erie Thames</w:t>
      </w:r>
    </w:p>
    <w:tbl>
      <w:tblPr>
        <w:tblW w:w="5484" w:type="dxa"/>
        <w:tblInd w:w="108" w:type="dxa"/>
        <w:tblLook w:val="04A0" w:firstRow="1" w:lastRow="0" w:firstColumn="1" w:lastColumn="0" w:noHBand="0" w:noVBand="1"/>
      </w:tblPr>
      <w:tblGrid>
        <w:gridCol w:w="1689"/>
        <w:gridCol w:w="1195"/>
        <w:gridCol w:w="1300"/>
        <w:gridCol w:w="1300"/>
      </w:tblGrid>
      <w:tr w:rsidR="00397DA5" w:rsidRPr="00D62664" w:rsidTr="00D448A8">
        <w:trPr>
          <w:trHeight w:val="276"/>
        </w:trPr>
        <w:tc>
          <w:tcPr>
            <w:tcW w:w="2884" w:type="dxa"/>
            <w:gridSpan w:val="2"/>
            <w:tcBorders>
              <w:top w:val="nil"/>
              <w:left w:val="nil"/>
              <w:bottom w:val="nil"/>
              <w:right w:val="nil"/>
            </w:tcBorders>
            <w:shd w:val="clear" w:color="auto" w:fill="auto"/>
            <w:noWrap/>
            <w:vAlign w:val="bottom"/>
            <w:hideMark/>
          </w:tcPr>
          <w:p w:rsidR="00397DA5" w:rsidRPr="00D62664" w:rsidRDefault="00397DA5" w:rsidP="00D616EA">
            <w:pPr>
              <w:spacing w:after="0" w:line="240" w:lineRule="auto"/>
              <w:rPr>
                <w:rFonts w:eastAsia="Times New Roman" w:cs="Arial"/>
                <w:b/>
                <w:bCs/>
                <w:lang w:eastAsia="en-CA"/>
              </w:rPr>
            </w:pPr>
            <w:r w:rsidRPr="00D62664">
              <w:rPr>
                <w:rFonts w:eastAsia="Times New Roman" w:cs="Arial"/>
                <w:b/>
                <w:bCs/>
                <w:lang w:eastAsia="en-CA"/>
              </w:rPr>
              <w:t>10 Year Average</w:t>
            </w:r>
          </w:p>
        </w:tc>
        <w:tc>
          <w:tcPr>
            <w:tcW w:w="1300"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rPr>
                <w:rFonts w:eastAsia="Times New Roman" w:cs="Arial"/>
                <w:b/>
                <w:bCs/>
                <w:lang w:eastAsia="en-CA"/>
              </w:rPr>
            </w:pPr>
          </w:p>
        </w:tc>
        <w:tc>
          <w:tcPr>
            <w:tcW w:w="1300"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rPr>
                <w:rFonts w:ascii="Times New Roman" w:eastAsia="Times New Roman" w:hAnsi="Times New Roman" w:cs="Times New Roman"/>
                <w:sz w:val="20"/>
                <w:szCs w:val="20"/>
                <w:lang w:eastAsia="en-CA"/>
              </w:rPr>
            </w:pPr>
          </w:p>
        </w:tc>
      </w:tr>
      <w:tr w:rsidR="00397DA5" w:rsidRPr="00D62664" w:rsidTr="00D448A8">
        <w:trPr>
          <w:trHeight w:val="264"/>
        </w:trPr>
        <w:tc>
          <w:tcPr>
            <w:tcW w:w="1689"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rPr>
                <w:rFonts w:ascii="Times New Roman" w:eastAsia="Times New Roman" w:hAnsi="Times New Roman" w:cs="Times New Roman"/>
                <w:sz w:val="20"/>
                <w:szCs w:val="20"/>
                <w:lang w:eastAsia="en-CA"/>
              </w:rPr>
            </w:pPr>
          </w:p>
        </w:tc>
        <w:tc>
          <w:tcPr>
            <w:tcW w:w="1195"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rPr>
                <w:rFonts w:ascii="Times New Roman" w:eastAsia="Times New Roman" w:hAnsi="Times New Roman" w:cs="Times New Roman"/>
                <w:sz w:val="20"/>
                <w:szCs w:val="20"/>
                <w:lang w:eastAsia="en-CA"/>
              </w:rPr>
            </w:pPr>
          </w:p>
        </w:tc>
        <w:tc>
          <w:tcPr>
            <w:tcW w:w="1300"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jc w:val="center"/>
              <w:rPr>
                <w:rFonts w:eastAsia="Times New Roman" w:cs="Arial"/>
                <w:sz w:val="20"/>
                <w:szCs w:val="20"/>
                <w:lang w:eastAsia="en-CA"/>
              </w:rPr>
            </w:pPr>
            <w:r w:rsidRPr="00D62664">
              <w:rPr>
                <w:rFonts w:eastAsia="Times New Roman" w:cs="Arial"/>
                <w:sz w:val="20"/>
                <w:szCs w:val="20"/>
                <w:lang w:eastAsia="en-CA"/>
              </w:rPr>
              <w:t>HDD</w:t>
            </w:r>
          </w:p>
        </w:tc>
        <w:tc>
          <w:tcPr>
            <w:tcW w:w="1300" w:type="dxa"/>
            <w:tcBorders>
              <w:top w:val="nil"/>
              <w:left w:val="nil"/>
              <w:bottom w:val="nil"/>
              <w:right w:val="nil"/>
            </w:tcBorders>
            <w:shd w:val="clear" w:color="auto" w:fill="auto"/>
            <w:noWrap/>
            <w:vAlign w:val="bottom"/>
            <w:hideMark/>
          </w:tcPr>
          <w:p w:rsidR="00397DA5" w:rsidRPr="00D62664" w:rsidRDefault="00397DA5" w:rsidP="00D616EA">
            <w:pPr>
              <w:spacing w:after="0" w:line="240" w:lineRule="auto"/>
              <w:jc w:val="center"/>
              <w:rPr>
                <w:rFonts w:eastAsia="Times New Roman" w:cs="Arial"/>
                <w:sz w:val="20"/>
                <w:szCs w:val="20"/>
                <w:lang w:eastAsia="en-CA"/>
              </w:rPr>
            </w:pPr>
            <w:r w:rsidRPr="00D62664">
              <w:rPr>
                <w:rFonts w:eastAsia="Times New Roman" w:cs="Arial"/>
                <w:sz w:val="20"/>
                <w:szCs w:val="20"/>
                <w:lang w:eastAsia="en-CA"/>
              </w:rPr>
              <w:t>CDD</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January</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729.55</w:t>
            </w:r>
          </w:p>
        </w:tc>
        <w:tc>
          <w:tcPr>
            <w:tcW w:w="1300" w:type="dxa"/>
            <w:tcBorders>
              <w:top w:val="nil"/>
              <w:left w:val="nil"/>
              <w:bottom w:val="nil"/>
              <w:right w:val="nil"/>
            </w:tcBorders>
            <w:shd w:val="clear" w:color="auto" w:fill="auto"/>
            <w:noWrap/>
            <w:vAlign w:val="bottom"/>
            <w:hideMark/>
          </w:tcPr>
          <w:p w:rsidR="00D448A8" w:rsidRPr="00D448A8" w:rsidRDefault="00D448A8" w:rsidP="00C64F29">
            <w:pPr>
              <w:spacing w:after="0" w:line="240" w:lineRule="auto"/>
              <w:rPr>
                <w:rFonts w:eastAsia="Times New Roman" w:cs="Arial"/>
                <w:sz w:val="20"/>
                <w:szCs w:val="20"/>
                <w:lang w:eastAsia="en-CA"/>
              </w:rPr>
            </w:pPr>
            <w:r w:rsidRPr="00D448A8">
              <w:rPr>
                <w:rFonts w:eastAsia="Times New Roman" w:cs="Arial"/>
                <w:sz w:val="20"/>
                <w:szCs w:val="20"/>
                <w:lang w:eastAsia="en-CA"/>
              </w:rPr>
              <w:t>0</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February</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678.56</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0</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March</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544.77</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0.22</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April</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328.11</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0.32</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May</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134.48</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20.89</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June</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30.43</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56.13</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July</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7.85</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99.98</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August</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10.43</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80.19</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September</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70.58</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29.43</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October</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241.15</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2.87</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November</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421.52</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0</w:t>
            </w:r>
          </w:p>
        </w:tc>
      </w:tr>
      <w:tr w:rsidR="00D448A8" w:rsidRPr="00D62664" w:rsidTr="00D448A8">
        <w:trPr>
          <w:trHeight w:val="264"/>
        </w:trPr>
        <w:tc>
          <w:tcPr>
            <w:tcW w:w="1689"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D448A8" w:rsidRPr="00D62664" w:rsidRDefault="00D448A8" w:rsidP="00D448A8">
            <w:pPr>
              <w:spacing w:after="0" w:line="240" w:lineRule="auto"/>
              <w:rPr>
                <w:rFonts w:eastAsia="Times New Roman" w:cs="Arial"/>
                <w:sz w:val="20"/>
                <w:szCs w:val="20"/>
                <w:lang w:eastAsia="en-CA"/>
              </w:rPr>
            </w:pPr>
            <w:r w:rsidRPr="00D62664">
              <w:rPr>
                <w:rFonts w:eastAsia="Times New Roman" w:cs="Arial"/>
                <w:sz w:val="20"/>
                <w:szCs w:val="20"/>
                <w:lang w:eastAsia="en-CA"/>
              </w:rPr>
              <w:t>December</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610.56</w:t>
            </w:r>
          </w:p>
        </w:tc>
        <w:tc>
          <w:tcPr>
            <w:tcW w:w="1300" w:type="dxa"/>
            <w:tcBorders>
              <w:top w:val="nil"/>
              <w:left w:val="nil"/>
              <w:bottom w:val="nil"/>
              <w:right w:val="nil"/>
            </w:tcBorders>
            <w:shd w:val="clear" w:color="auto" w:fill="auto"/>
            <w:noWrap/>
            <w:vAlign w:val="bottom"/>
            <w:hideMark/>
          </w:tcPr>
          <w:p w:rsidR="00D448A8" w:rsidRPr="00D448A8" w:rsidRDefault="00D448A8" w:rsidP="00D448A8">
            <w:pPr>
              <w:spacing w:after="0" w:line="240" w:lineRule="auto"/>
              <w:rPr>
                <w:rFonts w:eastAsia="Times New Roman" w:cs="Arial"/>
                <w:sz w:val="20"/>
                <w:szCs w:val="20"/>
                <w:lang w:eastAsia="en-CA"/>
              </w:rPr>
            </w:pPr>
            <w:r w:rsidRPr="00D448A8">
              <w:rPr>
                <w:rFonts w:eastAsia="Times New Roman" w:cs="Arial"/>
                <w:sz w:val="20"/>
                <w:szCs w:val="20"/>
                <w:lang w:eastAsia="en-CA"/>
              </w:rPr>
              <w:t>0</w:t>
            </w:r>
          </w:p>
        </w:tc>
      </w:tr>
    </w:tbl>
    <w:p w:rsidR="00397DA5" w:rsidRDefault="00397DA5" w:rsidP="00397DA5">
      <w:pPr>
        <w:pStyle w:val="Caption"/>
      </w:pPr>
      <w:r>
        <w:t xml:space="preserve">Table </w:t>
      </w:r>
      <w:fldSimple w:instr=" SEQ Table \* ARABIC ">
        <w:r w:rsidR="00CF2300">
          <w:rPr>
            <w:noProof/>
          </w:rPr>
          <w:t>10</w:t>
        </w:r>
      </w:fldSimple>
      <w:r>
        <w:t xml:space="preserve"> 10 Year Average HDD and CDD</w:t>
      </w:r>
    </w:p>
    <w:p w:rsidR="00397DA5" w:rsidRDefault="00397DA5" w:rsidP="00397DA5">
      <w:r>
        <w:t>As part of the minimum filing requirements the OEB has requested monthly degree days calculated using a trend based on 20 years. This is shown in the table below.</w:t>
      </w:r>
    </w:p>
    <w:tbl>
      <w:tblPr>
        <w:tblW w:w="5472" w:type="dxa"/>
        <w:tblInd w:w="108" w:type="dxa"/>
        <w:tblLook w:val="04A0" w:firstRow="1" w:lastRow="0" w:firstColumn="1" w:lastColumn="0" w:noHBand="0" w:noVBand="1"/>
      </w:tblPr>
      <w:tblGrid>
        <w:gridCol w:w="2420"/>
        <w:gridCol w:w="1195"/>
        <w:gridCol w:w="960"/>
        <w:gridCol w:w="897"/>
      </w:tblGrid>
      <w:tr w:rsidR="00DC0492" w:rsidRPr="00D62664" w:rsidTr="00DC0492">
        <w:trPr>
          <w:trHeight w:val="276"/>
        </w:trPr>
        <w:tc>
          <w:tcPr>
            <w:tcW w:w="5472" w:type="dxa"/>
            <w:gridSpan w:val="4"/>
            <w:tcBorders>
              <w:top w:val="nil"/>
              <w:left w:val="nil"/>
              <w:bottom w:val="nil"/>
              <w:right w:val="nil"/>
            </w:tcBorders>
            <w:shd w:val="clear" w:color="auto" w:fill="auto"/>
            <w:noWrap/>
            <w:vAlign w:val="bottom"/>
            <w:hideMark/>
          </w:tcPr>
          <w:p w:rsidR="00DC0492" w:rsidRPr="00D62664" w:rsidRDefault="00DC0492" w:rsidP="00D616EA">
            <w:pPr>
              <w:keepNext/>
              <w:spacing w:after="0" w:line="240" w:lineRule="auto"/>
              <w:rPr>
                <w:rFonts w:ascii="Times New Roman" w:eastAsia="Times New Roman" w:hAnsi="Times New Roman" w:cs="Times New Roman"/>
                <w:sz w:val="20"/>
                <w:szCs w:val="20"/>
                <w:lang w:eastAsia="en-CA"/>
              </w:rPr>
            </w:pPr>
            <w:r w:rsidRPr="00D62664">
              <w:rPr>
                <w:rFonts w:eastAsia="Times New Roman" w:cs="Arial"/>
                <w:b/>
                <w:bCs/>
                <w:lang w:eastAsia="en-CA"/>
              </w:rPr>
              <w:lastRenderedPageBreak/>
              <w:t>20 Year Trend (2017)</w:t>
            </w:r>
          </w:p>
        </w:tc>
      </w:tr>
      <w:tr w:rsidR="00397DA5" w:rsidRPr="00D62664" w:rsidTr="00DC0492">
        <w:trPr>
          <w:trHeight w:val="264"/>
        </w:trPr>
        <w:tc>
          <w:tcPr>
            <w:tcW w:w="2420" w:type="dxa"/>
            <w:tcBorders>
              <w:top w:val="nil"/>
              <w:left w:val="nil"/>
              <w:bottom w:val="nil"/>
              <w:right w:val="nil"/>
            </w:tcBorders>
            <w:shd w:val="clear" w:color="auto" w:fill="auto"/>
            <w:noWrap/>
            <w:vAlign w:val="bottom"/>
            <w:hideMark/>
          </w:tcPr>
          <w:p w:rsidR="00397DA5" w:rsidRPr="00D62664" w:rsidRDefault="00397DA5" w:rsidP="00D616EA">
            <w:pPr>
              <w:keepNext/>
              <w:spacing w:after="0" w:line="240" w:lineRule="auto"/>
              <w:rPr>
                <w:rFonts w:ascii="Times New Roman" w:eastAsia="Times New Roman" w:hAnsi="Times New Roman" w:cs="Times New Roman"/>
                <w:sz w:val="20"/>
                <w:szCs w:val="20"/>
                <w:lang w:eastAsia="en-CA"/>
              </w:rPr>
            </w:pPr>
          </w:p>
        </w:tc>
        <w:tc>
          <w:tcPr>
            <w:tcW w:w="1195" w:type="dxa"/>
            <w:tcBorders>
              <w:top w:val="nil"/>
              <w:left w:val="nil"/>
              <w:bottom w:val="nil"/>
              <w:right w:val="nil"/>
            </w:tcBorders>
            <w:shd w:val="clear" w:color="auto" w:fill="auto"/>
            <w:noWrap/>
            <w:vAlign w:val="bottom"/>
            <w:hideMark/>
          </w:tcPr>
          <w:p w:rsidR="00397DA5" w:rsidRPr="00D62664" w:rsidRDefault="00397DA5" w:rsidP="00D616EA">
            <w:pPr>
              <w:keepNext/>
              <w:spacing w:after="0" w:line="240" w:lineRule="auto"/>
              <w:rPr>
                <w:rFonts w:ascii="Times New Roman" w:eastAsia="Times New Roman" w:hAnsi="Times New Roman" w:cs="Times New Roman"/>
                <w:sz w:val="20"/>
                <w:szCs w:val="20"/>
                <w:lang w:eastAsia="en-CA"/>
              </w:rPr>
            </w:pPr>
          </w:p>
        </w:tc>
        <w:tc>
          <w:tcPr>
            <w:tcW w:w="960" w:type="dxa"/>
            <w:tcBorders>
              <w:top w:val="nil"/>
              <w:left w:val="nil"/>
              <w:bottom w:val="nil"/>
              <w:right w:val="nil"/>
            </w:tcBorders>
            <w:shd w:val="clear" w:color="auto" w:fill="auto"/>
            <w:noWrap/>
            <w:vAlign w:val="bottom"/>
            <w:hideMark/>
          </w:tcPr>
          <w:p w:rsidR="00397DA5" w:rsidRPr="00D62664" w:rsidRDefault="00397DA5" w:rsidP="00D616EA">
            <w:pPr>
              <w:keepNext/>
              <w:spacing w:after="0" w:line="240" w:lineRule="auto"/>
              <w:rPr>
                <w:rFonts w:eastAsia="Times New Roman" w:cs="Arial"/>
                <w:sz w:val="20"/>
                <w:szCs w:val="20"/>
                <w:lang w:eastAsia="en-CA"/>
              </w:rPr>
            </w:pPr>
            <w:r w:rsidRPr="00D62664">
              <w:rPr>
                <w:rFonts w:eastAsia="Times New Roman" w:cs="Arial"/>
                <w:sz w:val="20"/>
                <w:szCs w:val="20"/>
                <w:lang w:eastAsia="en-CA"/>
              </w:rPr>
              <w:t>HDD</w:t>
            </w:r>
          </w:p>
        </w:tc>
        <w:tc>
          <w:tcPr>
            <w:tcW w:w="897" w:type="dxa"/>
            <w:tcBorders>
              <w:top w:val="nil"/>
              <w:left w:val="nil"/>
              <w:bottom w:val="nil"/>
              <w:right w:val="nil"/>
            </w:tcBorders>
            <w:shd w:val="clear" w:color="auto" w:fill="auto"/>
            <w:noWrap/>
            <w:vAlign w:val="bottom"/>
            <w:hideMark/>
          </w:tcPr>
          <w:p w:rsidR="00397DA5" w:rsidRPr="00D62664" w:rsidRDefault="00397DA5" w:rsidP="00D616EA">
            <w:pPr>
              <w:keepNext/>
              <w:spacing w:after="0" w:line="240" w:lineRule="auto"/>
              <w:rPr>
                <w:rFonts w:eastAsia="Times New Roman" w:cs="Arial"/>
                <w:sz w:val="20"/>
                <w:szCs w:val="20"/>
                <w:lang w:eastAsia="en-CA"/>
              </w:rPr>
            </w:pPr>
            <w:r w:rsidRPr="00D62664">
              <w:rPr>
                <w:rFonts w:eastAsia="Times New Roman" w:cs="Arial"/>
                <w:sz w:val="20"/>
                <w:szCs w:val="20"/>
                <w:lang w:eastAsia="en-CA"/>
              </w:rPr>
              <w:t>CDD</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January</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772.15</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February</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759.75</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March</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589.76</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April</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365.67</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May</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144.32</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18.13</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June</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33.89</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25.73</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July</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10.32</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72.81</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August</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13.41</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57.87</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September</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84.14</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15.26</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October</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266.86</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November</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441.74</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r w:rsidR="002E7D21" w:rsidRPr="00D62664" w:rsidTr="00DC0492">
        <w:trPr>
          <w:trHeight w:val="264"/>
        </w:trPr>
        <w:tc>
          <w:tcPr>
            <w:tcW w:w="2420"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Pr>
                <w:rFonts w:eastAsia="Times New Roman" w:cs="Arial"/>
                <w:sz w:val="20"/>
                <w:szCs w:val="20"/>
                <w:lang w:eastAsia="en-CA"/>
              </w:rPr>
              <w:t>London</w:t>
            </w:r>
            <w:r w:rsidRPr="00D62664">
              <w:rPr>
                <w:rFonts w:eastAsia="Times New Roman" w:cs="Arial"/>
                <w:sz w:val="20"/>
                <w:szCs w:val="20"/>
                <w:lang w:eastAsia="en-CA"/>
              </w:rPr>
              <w:t xml:space="preserve"> Airport</w:t>
            </w:r>
          </w:p>
        </w:tc>
        <w:tc>
          <w:tcPr>
            <w:tcW w:w="1195" w:type="dxa"/>
            <w:tcBorders>
              <w:top w:val="nil"/>
              <w:left w:val="nil"/>
              <w:bottom w:val="nil"/>
              <w:right w:val="nil"/>
            </w:tcBorders>
            <w:shd w:val="clear" w:color="auto" w:fill="auto"/>
            <w:noWrap/>
            <w:vAlign w:val="bottom"/>
            <w:hideMark/>
          </w:tcPr>
          <w:p w:rsidR="002E7D21" w:rsidRPr="00D62664" w:rsidRDefault="002E7D21" w:rsidP="002E7D21">
            <w:pPr>
              <w:keepNext/>
              <w:spacing w:after="0" w:line="240" w:lineRule="auto"/>
              <w:rPr>
                <w:rFonts w:eastAsia="Times New Roman" w:cs="Arial"/>
                <w:sz w:val="20"/>
                <w:szCs w:val="20"/>
                <w:lang w:eastAsia="en-CA"/>
              </w:rPr>
            </w:pPr>
            <w:r w:rsidRPr="00D62664">
              <w:rPr>
                <w:rFonts w:eastAsia="Times New Roman" w:cs="Arial"/>
                <w:sz w:val="20"/>
                <w:szCs w:val="20"/>
                <w:lang w:eastAsia="en-CA"/>
              </w:rPr>
              <w:t>December</w:t>
            </w:r>
          </w:p>
        </w:tc>
        <w:tc>
          <w:tcPr>
            <w:tcW w:w="960"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618.50</w:t>
            </w:r>
          </w:p>
        </w:tc>
        <w:tc>
          <w:tcPr>
            <w:tcW w:w="897" w:type="dxa"/>
            <w:tcBorders>
              <w:top w:val="nil"/>
              <w:left w:val="nil"/>
              <w:bottom w:val="nil"/>
              <w:right w:val="nil"/>
            </w:tcBorders>
            <w:shd w:val="clear" w:color="auto" w:fill="auto"/>
            <w:noWrap/>
            <w:vAlign w:val="bottom"/>
            <w:hideMark/>
          </w:tcPr>
          <w:p w:rsidR="002E7D21" w:rsidRPr="002E7D21" w:rsidRDefault="002E7D21" w:rsidP="002E7D21">
            <w:pPr>
              <w:keepNext/>
              <w:spacing w:after="0" w:line="240" w:lineRule="auto"/>
              <w:rPr>
                <w:rFonts w:eastAsia="Times New Roman" w:cs="Arial"/>
                <w:sz w:val="20"/>
                <w:szCs w:val="20"/>
                <w:lang w:eastAsia="en-CA"/>
              </w:rPr>
            </w:pPr>
            <w:r w:rsidRPr="002E7D21">
              <w:rPr>
                <w:rFonts w:eastAsia="Times New Roman" w:cs="Arial"/>
                <w:sz w:val="20"/>
                <w:szCs w:val="20"/>
                <w:lang w:eastAsia="en-CA"/>
              </w:rPr>
              <w:t>0.00</w:t>
            </w:r>
          </w:p>
        </w:tc>
      </w:tr>
    </w:tbl>
    <w:p w:rsidR="00397DA5" w:rsidRDefault="00397DA5" w:rsidP="00397DA5">
      <w:pPr>
        <w:pStyle w:val="Caption"/>
      </w:pPr>
      <w:r>
        <w:t xml:space="preserve">Table </w:t>
      </w:r>
      <w:fldSimple w:instr=" SEQ Table \* ARABIC ">
        <w:r w:rsidR="00CF2300">
          <w:rPr>
            <w:noProof/>
          </w:rPr>
          <w:t>11</w:t>
        </w:r>
      </w:fldSimple>
      <w:r>
        <w:t xml:space="preserve"> 20 Year Trend HDD and CDD</w:t>
      </w:r>
    </w:p>
    <w:p w:rsidR="00397DA5" w:rsidRDefault="00397DA5" w:rsidP="00397DA5">
      <w:pPr>
        <w:rPr>
          <w:rFonts w:eastAsia="Times New Roman" w:cs="Arial"/>
          <w:b/>
          <w:bCs/>
          <w:smallCaps/>
          <w:color w:val="006AAF"/>
          <w:kern w:val="32"/>
          <w:sz w:val="36"/>
          <w:u w:val="single"/>
        </w:rPr>
      </w:pPr>
      <w:r>
        <w:br w:type="page"/>
      </w:r>
    </w:p>
    <w:p w:rsidR="00397DA5" w:rsidRDefault="00397DA5" w:rsidP="00397DA5">
      <w:pPr>
        <w:pStyle w:val="Heading1"/>
        <w:tabs>
          <w:tab w:val="num" w:pos="432"/>
        </w:tabs>
        <w:spacing w:before="480" w:after="240" w:line="240" w:lineRule="auto"/>
        <w:ind w:left="432" w:hanging="432"/>
      </w:pPr>
      <w:bookmarkStart w:id="18" w:name="_Toc458178857"/>
      <w:bookmarkStart w:id="19" w:name="_Toc484704239"/>
      <w:r>
        <w:lastRenderedPageBreak/>
        <w:t>Class Specific Normalized Forecasts</w:t>
      </w:r>
      <w:bookmarkEnd w:id="18"/>
      <w:bookmarkEnd w:id="19"/>
    </w:p>
    <w:p w:rsidR="00397DA5" w:rsidRDefault="00397DA5" w:rsidP="00397DA5">
      <w:pPr>
        <w:pStyle w:val="Heading2"/>
        <w:tabs>
          <w:tab w:val="clear" w:pos="1002"/>
          <w:tab w:val="num" w:pos="576"/>
        </w:tabs>
        <w:spacing w:before="480" w:after="240" w:line="240" w:lineRule="auto"/>
        <w:ind w:left="576" w:hanging="576"/>
      </w:pPr>
      <w:bookmarkStart w:id="20" w:name="_Toc458178858"/>
      <w:bookmarkStart w:id="21" w:name="_Toc484704240"/>
      <w:r>
        <w:t>Residential</w:t>
      </w:r>
      <w:bookmarkEnd w:id="20"/>
      <w:bookmarkEnd w:id="21"/>
    </w:p>
    <w:p w:rsidR="00397DA5" w:rsidRDefault="00397DA5" w:rsidP="00397DA5">
      <w:r>
        <w:t>Incorporating the forecast economic variables, 10-yr weather normal heating and cooling degree days, and calendar variables, the following weather corrected consumption and forecast values are calculated:</w:t>
      </w:r>
    </w:p>
    <w:p w:rsidR="005414EA" w:rsidRDefault="005414EA" w:rsidP="00397DA5">
      <w:r w:rsidRPr="005414EA">
        <w:rPr>
          <w:noProof/>
          <w:lang w:val="en-US"/>
        </w:rPr>
        <w:drawing>
          <wp:inline distT="0" distB="0" distL="0" distR="0">
            <wp:extent cx="5943600" cy="201880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018805"/>
                    </a:xfrm>
                    <a:prstGeom prst="rect">
                      <a:avLst/>
                    </a:prstGeom>
                    <a:noFill/>
                    <a:ln>
                      <a:noFill/>
                    </a:ln>
                  </pic:spPr>
                </pic:pic>
              </a:graphicData>
            </a:graphic>
          </wp:inline>
        </w:drawing>
      </w:r>
    </w:p>
    <w:p w:rsidR="00397DA5" w:rsidRDefault="00397DA5" w:rsidP="00397DA5">
      <w:pPr>
        <w:pStyle w:val="Caption"/>
      </w:pPr>
      <w:r>
        <w:t xml:space="preserve">Table </w:t>
      </w:r>
      <w:fldSimple w:instr=" SEQ Table \* ARABIC ">
        <w:r w:rsidR="00CF2300">
          <w:rPr>
            <w:noProof/>
          </w:rPr>
          <w:t>12</w:t>
        </w:r>
      </w:fldSimple>
      <w:r>
        <w:t xml:space="preserve"> Actual vs Normalized Residential kWh</w:t>
      </w:r>
    </w:p>
    <w:p w:rsidR="00397DA5" w:rsidRDefault="005414EA" w:rsidP="00397DA5">
      <w:r>
        <w:rPr>
          <w:noProof/>
          <w:lang w:val="en-US"/>
        </w:rPr>
        <w:drawing>
          <wp:inline distT="0" distB="0" distL="0" distR="0" wp14:anchorId="16F457C1" wp14:editId="5F34AA32">
            <wp:extent cx="5943600" cy="2196465"/>
            <wp:effectExtent l="0" t="0" r="0" b="13335"/>
            <wp:docPr id="27" name="Chart 27">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97DA5" w:rsidRDefault="00397DA5" w:rsidP="00397DA5">
      <w:pPr>
        <w:pStyle w:val="Caption"/>
      </w:pPr>
      <w:r>
        <w:t xml:space="preserve">Figure </w:t>
      </w:r>
      <w:fldSimple w:instr=" SEQ Figure \* ARABIC ">
        <w:r w:rsidR="00CF2300">
          <w:rPr>
            <w:noProof/>
          </w:rPr>
          <w:t>3</w:t>
        </w:r>
      </w:fldSimple>
      <w:r>
        <w:t xml:space="preserve"> Actual vs Normalized Residential kWh</w:t>
      </w:r>
    </w:p>
    <w:p w:rsidR="00397DA5" w:rsidRDefault="00397DA5" w:rsidP="00397DA5">
      <w:r>
        <w:t>While Residential customer counts are not a component of the regression model, they are forecasted for the purpose of rate setting. The Geometric mean of the annual growth from 200</w:t>
      </w:r>
      <w:r w:rsidR="00463276">
        <w:t>7</w:t>
      </w:r>
      <w:r>
        <w:t xml:space="preserve"> to 201</w:t>
      </w:r>
      <w:r w:rsidR="00463276">
        <w:t>6</w:t>
      </w:r>
      <w:r>
        <w:t xml:space="preserve"> was used to forecast the growth rate from 201</w:t>
      </w:r>
      <w:r w:rsidR="00463276">
        <w:t>7</w:t>
      </w:r>
      <w:r>
        <w:t xml:space="preserve"> to 201</w:t>
      </w:r>
      <w:r w:rsidR="00463276">
        <w:t>8</w:t>
      </w:r>
      <w:r>
        <w:t xml:space="preserve">. </w:t>
      </w:r>
    </w:p>
    <w:tbl>
      <w:tblPr>
        <w:tblW w:w="2680" w:type="dxa"/>
        <w:tblCellMar>
          <w:top w:w="15" w:type="dxa"/>
          <w:bottom w:w="15" w:type="dxa"/>
        </w:tblCellMar>
        <w:tblLook w:val="04A0" w:firstRow="1" w:lastRow="0" w:firstColumn="1" w:lastColumn="0" w:noHBand="0" w:noVBand="1"/>
      </w:tblPr>
      <w:tblGrid>
        <w:gridCol w:w="661"/>
        <w:gridCol w:w="1183"/>
        <w:gridCol w:w="1080"/>
      </w:tblGrid>
      <w:tr w:rsidR="005414EA" w:rsidRPr="005414EA" w:rsidTr="005414EA">
        <w:trPr>
          <w:trHeight w:val="270"/>
        </w:trPr>
        <w:tc>
          <w:tcPr>
            <w:tcW w:w="1600" w:type="dxa"/>
            <w:gridSpan w:val="2"/>
            <w:tcBorders>
              <w:top w:val="nil"/>
              <w:left w:val="nil"/>
              <w:bottom w:val="nil"/>
              <w:right w:val="nil"/>
            </w:tcBorders>
            <w:noWrap/>
            <w:vAlign w:val="bottom"/>
            <w:hideMark/>
          </w:tcPr>
          <w:p w:rsidR="005414EA" w:rsidRPr="005414EA" w:rsidRDefault="005414EA" w:rsidP="005414EA">
            <w:pPr>
              <w:keepNext/>
              <w:spacing w:before="0" w:after="0" w:line="240" w:lineRule="auto"/>
              <w:jc w:val="center"/>
              <w:rPr>
                <w:rFonts w:eastAsia="Times New Roman" w:cs="Arial"/>
                <w:sz w:val="20"/>
                <w:szCs w:val="20"/>
                <w:lang w:eastAsia="en-CA"/>
              </w:rPr>
            </w:pPr>
            <w:r w:rsidRPr="005414EA">
              <w:rPr>
                <w:rFonts w:eastAsia="Times New Roman" w:cs="Arial"/>
                <w:sz w:val="20"/>
                <w:szCs w:val="20"/>
                <w:lang w:eastAsia="en-CA"/>
              </w:rPr>
              <w:lastRenderedPageBreak/>
              <w:t>Residential</w:t>
            </w:r>
          </w:p>
        </w:tc>
        <w:tc>
          <w:tcPr>
            <w:tcW w:w="1080" w:type="dxa"/>
            <w:vMerge w:val="restart"/>
            <w:tcBorders>
              <w:top w:val="nil"/>
              <w:left w:val="nil"/>
              <w:bottom w:val="nil"/>
              <w:right w:val="nil"/>
            </w:tcBorders>
            <w:vAlign w:val="bottom"/>
            <w:hideMark/>
          </w:tcPr>
          <w:p w:rsidR="005414EA" w:rsidRPr="005414EA" w:rsidRDefault="005414EA" w:rsidP="005414EA">
            <w:pPr>
              <w:keepNext/>
              <w:spacing w:before="0" w:after="0" w:line="240" w:lineRule="auto"/>
              <w:jc w:val="center"/>
              <w:rPr>
                <w:rFonts w:eastAsia="Times New Roman" w:cs="Arial"/>
                <w:sz w:val="20"/>
                <w:szCs w:val="20"/>
                <w:lang w:eastAsia="en-CA"/>
              </w:rPr>
            </w:pPr>
            <w:r w:rsidRPr="005414EA">
              <w:rPr>
                <w:rFonts w:eastAsia="Times New Roman" w:cs="Arial"/>
                <w:sz w:val="20"/>
                <w:szCs w:val="20"/>
                <w:lang w:eastAsia="en-CA"/>
              </w:rPr>
              <w:t>Percent of Prior Year</w:t>
            </w:r>
          </w:p>
        </w:tc>
      </w:tr>
      <w:tr w:rsidR="005414EA" w:rsidRPr="005414EA" w:rsidTr="005414EA">
        <w:trPr>
          <w:trHeight w:val="270"/>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Year</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Customers</w:t>
            </w:r>
          </w:p>
        </w:tc>
        <w:tc>
          <w:tcPr>
            <w:tcW w:w="1080" w:type="dxa"/>
            <w:vMerge/>
            <w:tcBorders>
              <w:top w:val="nil"/>
              <w:left w:val="nil"/>
              <w:bottom w:val="nil"/>
              <w:right w:val="nil"/>
            </w:tcBorders>
            <w:vAlign w:val="center"/>
            <w:hideMark/>
          </w:tcPr>
          <w:p w:rsidR="005414EA" w:rsidRPr="005414EA" w:rsidRDefault="005414EA" w:rsidP="005414EA">
            <w:pPr>
              <w:keepNext/>
              <w:spacing w:before="0" w:after="0" w:line="240" w:lineRule="auto"/>
              <w:jc w:val="left"/>
              <w:rPr>
                <w:rFonts w:eastAsia="Times New Roman" w:cs="Arial"/>
                <w:sz w:val="20"/>
                <w:szCs w:val="20"/>
                <w:lang w:eastAsia="en-CA"/>
              </w:rPr>
            </w:pP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2007</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15,716</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2008</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15,819</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100.66%</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2009</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15,888</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100.44%</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2010</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15,992</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100.65%</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2011</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16,123</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100.82%</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2012</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16,236</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100.70%</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2013</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16,383</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100.90%</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2014</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16,516</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100.81%</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2015</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16,667</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100.92%</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2016</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sz w:val="20"/>
                <w:szCs w:val="20"/>
                <w:lang w:eastAsia="en-CA"/>
              </w:rPr>
            </w:pPr>
            <w:r w:rsidRPr="005414EA">
              <w:rPr>
                <w:rFonts w:eastAsia="Times New Roman" w:cs="Arial"/>
                <w:sz w:val="20"/>
                <w:szCs w:val="20"/>
                <w:lang w:eastAsia="en-CA"/>
              </w:rPr>
              <w:t>16,855</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ascii="Calibri" w:eastAsia="Times New Roman" w:hAnsi="Calibri" w:cs="Calibri"/>
                <w:color w:val="000000"/>
                <w:sz w:val="22"/>
                <w:lang w:eastAsia="en-CA"/>
              </w:rPr>
            </w:pPr>
            <w:r w:rsidRPr="005414EA">
              <w:rPr>
                <w:rFonts w:ascii="Calibri" w:eastAsia="Times New Roman" w:hAnsi="Calibri" w:cs="Calibri"/>
                <w:color w:val="000000"/>
                <w:sz w:val="22"/>
                <w:lang w:eastAsia="en-CA"/>
              </w:rPr>
              <w:t>101.13%</w:t>
            </w:r>
          </w:p>
        </w:tc>
      </w:tr>
      <w:tr w:rsidR="005414EA" w:rsidRPr="005414EA" w:rsidTr="005414EA">
        <w:trPr>
          <w:trHeight w:val="270"/>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2017</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16,987</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100.78%</w:t>
            </w:r>
          </w:p>
        </w:tc>
      </w:tr>
      <w:tr w:rsidR="005414EA" w:rsidRPr="005414EA" w:rsidTr="005414EA">
        <w:trPr>
          <w:trHeight w:val="285"/>
        </w:trPr>
        <w:tc>
          <w:tcPr>
            <w:tcW w:w="516"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2018</w:t>
            </w:r>
          </w:p>
        </w:tc>
        <w:tc>
          <w:tcPr>
            <w:tcW w:w="1084"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17,119</w:t>
            </w:r>
          </w:p>
        </w:tc>
        <w:tc>
          <w:tcPr>
            <w:tcW w:w="1080" w:type="dxa"/>
            <w:tcBorders>
              <w:top w:val="nil"/>
              <w:left w:val="nil"/>
              <w:bottom w:val="nil"/>
              <w:right w:val="nil"/>
            </w:tcBorders>
            <w:noWrap/>
            <w:vAlign w:val="bottom"/>
            <w:hideMark/>
          </w:tcPr>
          <w:p w:rsidR="005414EA" w:rsidRPr="005414EA" w:rsidRDefault="005414EA" w:rsidP="005414EA">
            <w:pPr>
              <w:keepNext/>
              <w:spacing w:before="0" w:after="0" w:line="240" w:lineRule="auto"/>
              <w:jc w:val="right"/>
              <w:rPr>
                <w:rFonts w:eastAsia="Times New Roman" w:cs="Arial"/>
                <w:color w:val="FF0000"/>
                <w:sz w:val="20"/>
                <w:szCs w:val="20"/>
                <w:lang w:eastAsia="en-CA"/>
              </w:rPr>
            </w:pPr>
            <w:r w:rsidRPr="005414EA">
              <w:rPr>
                <w:rFonts w:eastAsia="Times New Roman" w:cs="Arial"/>
                <w:color w:val="FF0000"/>
                <w:sz w:val="20"/>
                <w:szCs w:val="20"/>
                <w:lang w:eastAsia="en-CA"/>
              </w:rPr>
              <w:t>100.78%</w:t>
            </w:r>
          </w:p>
        </w:tc>
      </w:tr>
    </w:tbl>
    <w:p w:rsidR="00397DA5" w:rsidRPr="009079DF" w:rsidRDefault="00397DA5" w:rsidP="00397DA5">
      <w:pPr>
        <w:pStyle w:val="Caption"/>
      </w:pPr>
      <w:r>
        <w:t xml:space="preserve">Table </w:t>
      </w:r>
      <w:fldSimple w:instr=" SEQ Table \* ARABIC ">
        <w:r w:rsidR="00CF2300">
          <w:rPr>
            <w:noProof/>
          </w:rPr>
          <w:t>13</w:t>
        </w:r>
      </w:fldSimple>
      <w:r>
        <w:rPr>
          <w:noProof/>
        </w:rPr>
        <w:t xml:space="preserve"> Forecasted Residential Customer Count</w:t>
      </w:r>
    </w:p>
    <w:p w:rsidR="00397DA5" w:rsidRDefault="00397DA5" w:rsidP="00397DA5">
      <w:pPr>
        <w:pStyle w:val="Heading2"/>
        <w:tabs>
          <w:tab w:val="clear" w:pos="1002"/>
          <w:tab w:val="num" w:pos="576"/>
        </w:tabs>
        <w:spacing w:before="480" w:after="240" w:line="240" w:lineRule="auto"/>
        <w:ind w:left="576" w:hanging="576"/>
      </w:pPr>
      <w:bookmarkStart w:id="22" w:name="_Toc458178859"/>
      <w:bookmarkStart w:id="23" w:name="_Toc484704241"/>
      <w:r>
        <w:t>GS &lt; 50</w:t>
      </w:r>
      <w:bookmarkEnd w:id="22"/>
      <w:bookmarkEnd w:id="23"/>
    </w:p>
    <w:p w:rsidR="005414EA" w:rsidRPr="005414EA" w:rsidRDefault="005414EA" w:rsidP="005414EA">
      <w:r w:rsidRPr="005414EA">
        <w:rPr>
          <w:noProof/>
          <w:lang w:val="en-US"/>
        </w:rPr>
        <w:drawing>
          <wp:inline distT="0" distB="0" distL="0" distR="0">
            <wp:extent cx="5943600" cy="1943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943100"/>
                    </a:xfrm>
                    <a:prstGeom prst="rect">
                      <a:avLst/>
                    </a:prstGeom>
                    <a:noFill/>
                    <a:ln>
                      <a:noFill/>
                    </a:ln>
                  </pic:spPr>
                </pic:pic>
              </a:graphicData>
            </a:graphic>
          </wp:inline>
        </w:drawing>
      </w:r>
    </w:p>
    <w:p w:rsidR="00397DA5" w:rsidRDefault="00397DA5" w:rsidP="00397DA5">
      <w:pPr>
        <w:pStyle w:val="Caption"/>
      </w:pPr>
      <w:r>
        <w:t xml:space="preserve">Table </w:t>
      </w:r>
      <w:fldSimple w:instr=" SEQ Table \* ARABIC ">
        <w:r w:rsidR="00CF2300">
          <w:rPr>
            <w:noProof/>
          </w:rPr>
          <w:t>14</w:t>
        </w:r>
      </w:fldSimple>
      <w:r>
        <w:t xml:space="preserve"> Actual vs Normalized GS &lt; 50 kWh</w:t>
      </w:r>
    </w:p>
    <w:p w:rsidR="00397DA5" w:rsidRDefault="005414EA" w:rsidP="005414EA">
      <w:pPr>
        <w:keepNext/>
      </w:pPr>
      <w:r>
        <w:rPr>
          <w:noProof/>
          <w:lang w:val="en-US"/>
        </w:rPr>
        <w:lastRenderedPageBreak/>
        <w:drawing>
          <wp:inline distT="0" distB="0" distL="0" distR="0" wp14:anchorId="20F4D452" wp14:editId="6D3D979E">
            <wp:extent cx="5943600" cy="2196465"/>
            <wp:effectExtent l="0" t="0" r="0" b="13335"/>
            <wp:docPr id="29" name="Chart 29">
              <a:extLst xmlns:a="http://schemas.openxmlformats.org/drawingml/2006/main">
                <a:ext uri="{FF2B5EF4-FFF2-40B4-BE49-F238E27FC236}">
                  <a16:creationId xmlns:a16="http://schemas.microsoft.com/office/drawing/2014/main" id="{35DFE2F5-728C-436F-934E-A0E8EA496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97DA5" w:rsidRDefault="00397DA5" w:rsidP="00397DA5">
      <w:pPr>
        <w:pStyle w:val="Caption"/>
      </w:pPr>
      <w:r>
        <w:t xml:space="preserve">Figure </w:t>
      </w:r>
      <w:fldSimple w:instr=" SEQ Figure \* ARABIC ">
        <w:r w:rsidR="00CF2300">
          <w:rPr>
            <w:noProof/>
          </w:rPr>
          <w:t>4</w:t>
        </w:r>
      </w:fldSimple>
      <w:r>
        <w:t xml:space="preserve"> </w:t>
      </w:r>
      <w:r w:rsidRPr="00FD2E33">
        <w:t xml:space="preserve">Actual vs Normalized </w:t>
      </w:r>
      <w:r>
        <w:t xml:space="preserve">GS &lt; 50 </w:t>
      </w:r>
      <w:r w:rsidRPr="00FD2E33">
        <w:t>kWh</w:t>
      </w:r>
    </w:p>
    <w:p w:rsidR="00397DA5" w:rsidRDefault="00397DA5" w:rsidP="00397DA5">
      <w:r>
        <w:t xml:space="preserve">GS &lt; 50 customer counts </w:t>
      </w:r>
      <w:r w:rsidR="00463276">
        <w:t xml:space="preserve">forecasted both for the purpose of the </w:t>
      </w:r>
      <w:r>
        <w:t>regression model,</w:t>
      </w:r>
      <w:r w:rsidR="00463276">
        <w:t xml:space="preserve"> and for direct use in</w:t>
      </w:r>
      <w:r>
        <w:t xml:space="preserve"> rate setting. The Geometric mean of the annual growth from 200</w:t>
      </w:r>
      <w:r w:rsidR="00463276">
        <w:t xml:space="preserve">7 </w:t>
      </w:r>
      <w:r>
        <w:t>to 201</w:t>
      </w:r>
      <w:r w:rsidR="00463276">
        <w:t>6</w:t>
      </w:r>
      <w:r>
        <w:t xml:space="preserve"> was used to forecast t</w:t>
      </w:r>
      <w:r w:rsidR="00463276">
        <w:t>he growth rate from 2017 to 2018</w:t>
      </w:r>
      <w:r>
        <w:t xml:space="preserve">. </w:t>
      </w:r>
    </w:p>
    <w:p w:rsidR="00397DA5" w:rsidRDefault="00397DA5" w:rsidP="00397DA5">
      <w:r>
        <w:t>The following table includes the customer Actual / Forecast customer count on this basis:</w:t>
      </w:r>
    </w:p>
    <w:tbl>
      <w:tblPr>
        <w:tblW w:w="2680" w:type="dxa"/>
        <w:tblCellMar>
          <w:top w:w="15" w:type="dxa"/>
          <w:bottom w:w="15" w:type="dxa"/>
        </w:tblCellMar>
        <w:tblLook w:val="04A0" w:firstRow="1" w:lastRow="0" w:firstColumn="1" w:lastColumn="0" w:noHBand="0" w:noVBand="1"/>
      </w:tblPr>
      <w:tblGrid>
        <w:gridCol w:w="661"/>
        <w:gridCol w:w="1183"/>
        <w:gridCol w:w="1080"/>
      </w:tblGrid>
      <w:tr w:rsidR="00463276" w:rsidRPr="00463276" w:rsidTr="00463276">
        <w:trPr>
          <w:trHeight w:val="270"/>
        </w:trPr>
        <w:tc>
          <w:tcPr>
            <w:tcW w:w="1600" w:type="dxa"/>
            <w:gridSpan w:val="2"/>
            <w:tcBorders>
              <w:top w:val="nil"/>
              <w:left w:val="nil"/>
              <w:bottom w:val="nil"/>
              <w:right w:val="nil"/>
            </w:tcBorders>
            <w:noWrap/>
            <w:vAlign w:val="bottom"/>
            <w:hideMark/>
          </w:tcPr>
          <w:p w:rsidR="00463276" w:rsidRPr="00463276" w:rsidRDefault="00463276" w:rsidP="00463276">
            <w:pPr>
              <w:spacing w:before="0" w:after="0" w:line="240" w:lineRule="auto"/>
              <w:jc w:val="center"/>
              <w:rPr>
                <w:rFonts w:eastAsia="Times New Roman" w:cs="Arial"/>
                <w:sz w:val="20"/>
                <w:szCs w:val="20"/>
                <w:lang w:eastAsia="en-CA"/>
              </w:rPr>
            </w:pPr>
            <w:r w:rsidRPr="00463276">
              <w:rPr>
                <w:rFonts w:eastAsia="Times New Roman" w:cs="Arial"/>
                <w:sz w:val="20"/>
                <w:szCs w:val="20"/>
                <w:lang w:eastAsia="en-CA"/>
              </w:rPr>
              <w:t>GS &lt; 50</w:t>
            </w:r>
          </w:p>
        </w:tc>
        <w:tc>
          <w:tcPr>
            <w:tcW w:w="1080" w:type="dxa"/>
            <w:vMerge w:val="restart"/>
            <w:tcBorders>
              <w:top w:val="nil"/>
              <w:left w:val="nil"/>
              <w:bottom w:val="nil"/>
              <w:right w:val="nil"/>
            </w:tcBorders>
            <w:vAlign w:val="bottom"/>
            <w:hideMark/>
          </w:tcPr>
          <w:p w:rsidR="00463276" w:rsidRPr="00463276" w:rsidRDefault="00463276" w:rsidP="00463276">
            <w:pPr>
              <w:spacing w:before="0" w:after="0" w:line="240" w:lineRule="auto"/>
              <w:jc w:val="center"/>
              <w:rPr>
                <w:rFonts w:eastAsia="Times New Roman" w:cs="Arial"/>
                <w:sz w:val="20"/>
                <w:szCs w:val="20"/>
                <w:lang w:eastAsia="en-CA"/>
              </w:rPr>
            </w:pPr>
            <w:r w:rsidRPr="00463276">
              <w:rPr>
                <w:rFonts w:eastAsia="Times New Roman" w:cs="Arial"/>
                <w:sz w:val="20"/>
                <w:szCs w:val="20"/>
                <w:lang w:eastAsia="en-CA"/>
              </w:rPr>
              <w:t>Percent of Prior Year</w:t>
            </w:r>
          </w:p>
        </w:tc>
      </w:tr>
      <w:tr w:rsidR="00463276" w:rsidRPr="00463276" w:rsidTr="00463276">
        <w:trPr>
          <w:trHeight w:val="270"/>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Year</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Customers</w:t>
            </w:r>
          </w:p>
        </w:tc>
        <w:tc>
          <w:tcPr>
            <w:tcW w:w="1080" w:type="dxa"/>
            <w:vMerge/>
            <w:tcBorders>
              <w:top w:val="nil"/>
              <w:left w:val="nil"/>
              <w:bottom w:val="nil"/>
              <w:right w:val="nil"/>
            </w:tcBorders>
            <w:vAlign w:val="center"/>
            <w:hideMark/>
          </w:tcPr>
          <w:p w:rsidR="00463276" w:rsidRPr="00463276" w:rsidRDefault="00463276" w:rsidP="00463276">
            <w:pPr>
              <w:spacing w:before="0" w:after="0" w:line="240" w:lineRule="auto"/>
              <w:jc w:val="left"/>
              <w:rPr>
                <w:rFonts w:eastAsia="Times New Roman" w:cs="Arial"/>
                <w:sz w:val="20"/>
                <w:szCs w:val="20"/>
                <w:lang w:eastAsia="en-CA"/>
              </w:rPr>
            </w:pP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2007</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1,885</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2008</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1,892</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100.35%</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2009</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1,895</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100.19%</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2010</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1,906</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100.56%</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2011</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1,931</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101.29%</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2012</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1,921</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99.51%</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2013</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1,940</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100.99%</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2014</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1,953</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100.67%</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2015</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1,989</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101.86%</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2016</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sz w:val="20"/>
                <w:szCs w:val="20"/>
                <w:lang w:eastAsia="en-CA"/>
              </w:rPr>
            </w:pPr>
            <w:r w:rsidRPr="00463276">
              <w:rPr>
                <w:rFonts w:eastAsia="Times New Roman" w:cs="Arial"/>
                <w:sz w:val="20"/>
                <w:szCs w:val="20"/>
                <w:lang w:eastAsia="en-CA"/>
              </w:rPr>
              <w:t>1,993</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ascii="Calibri" w:eastAsia="Times New Roman" w:hAnsi="Calibri" w:cs="Calibri"/>
                <w:color w:val="000000"/>
                <w:sz w:val="22"/>
                <w:lang w:eastAsia="en-CA"/>
              </w:rPr>
            </w:pPr>
            <w:r w:rsidRPr="00463276">
              <w:rPr>
                <w:rFonts w:ascii="Calibri" w:eastAsia="Times New Roman" w:hAnsi="Calibri" w:cs="Calibri"/>
                <w:color w:val="000000"/>
                <w:sz w:val="22"/>
                <w:lang w:eastAsia="en-CA"/>
              </w:rPr>
              <w:t>100.20%</w:t>
            </w:r>
          </w:p>
        </w:tc>
      </w:tr>
      <w:tr w:rsidR="00463276" w:rsidRPr="00463276" w:rsidTr="00463276">
        <w:trPr>
          <w:trHeight w:val="270"/>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2017</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2,006</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100.62%</w:t>
            </w:r>
          </w:p>
        </w:tc>
      </w:tr>
      <w:tr w:rsidR="00463276" w:rsidRPr="00463276" w:rsidTr="00463276">
        <w:trPr>
          <w:trHeight w:val="285"/>
        </w:trPr>
        <w:tc>
          <w:tcPr>
            <w:tcW w:w="516"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2018</w:t>
            </w:r>
          </w:p>
        </w:tc>
        <w:tc>
          <w:tcPr>
            <w:tcW w:w="1084"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2,018</w:t>
            </w:r>
          </w:p>
        </w:tc>
        <w:tc>
          <w:tcPr>
            <w:tcW w:w="1080" w:type="dxa"/>
            <w:tcBorders>
              <w:top w:val="nil"/>
              <w:left w:val="nil"/>
              <w:bottom w:val="nil"/>
              <w:right w:val="nil"/>
            </w:tcBorders>
            <w:noWrap/>
            <w:vAlign w:val="bottom"/>
            <w:hideMark/>
          </w:tcPr>
          <w:p w:rsidR="00463276" w:rsidRPr="00463276" w:rsidRDefault="00463276" w:rsidP="00463276">
            <w:pPr>
              <w:spacing w:before="0" w:after="0" w:line="240" w:lineRule="auto"/>
              <w:jc w:val="right"/>
              <w:rPr>
                <w:rFonts w:eastAsia="Times New Roman" w:cs="Arial"/>
                <w:color w:val="FF0000"/>
                <w:sz w:val="20"/>
                <w:szCs w:val="20"/>
                <w:lang w:eastAsia="en-CA"/>
              </w:rPr>
            </w:pPr>
            <w:r w:rsidRPr="00463276">
              <w:rPr>
                <w:rFonts w:eastAsia="Times New Roman" w:cs="Arial"/>
                <w:color w:val="FF0000"/>
                <w:sz w:val="20"/>
                <w:szCs w:val="20"/>
                <w:lang w:eastAsia="en-CA"/>
              </w:rPr>
              <w:t>100.62%</w:t>
            </w:r>
          </w:p>
        </w:tc>
      </w:tr>
    </w:tbl>
    <w:p w:rsidR="00397DA5" w:rsidRDefault="00397DA5" w:rsidP="00397DA5">
      <w:pPr>
        <w:pStyle w:val="Caption"/>
      </w:pPr>
      <w:r>
        <w:t xml:space="preserve">Table </w:t>
      </w:r>
      <w:fldSimple w:instr=" SEQ Table \* ARABIC ">
        <w:r w:rsidR="00CF2300">
          <w:rPr>
            <w:noProof/>
          </w:rPr>
          <w:t>15</w:t>
        </w:r>
      </w:fldSimple>
      <w:r>
        <w:t xml:space="preserve"> Forecasted GS &lt; 50 Customer Count*</w:t>
      </w:r>
    </w:p>
    <w:p w:rsidR="00FF4687" w:rsidRDefault="00FF4687" w:rsidP="00FF4687">
      <w:pPr>
        <w:pStyle w:val="Heading2"/>
        <w:tabs>
          <w:tab w:val="clear" w:pos="1002"/>
          <w:tab w:val="num" w:pos="576"/>
        </w:tabs>
        <w:spacing w:before="480" w:after="240" w:line="240" w:lineRule="auto"/>
        <w:ind w:left="576" w:hanging="576"/>
      </w:pPr>
      <w:bookmarkStart w:id="24" w:name="_Toc458178860"/>
      <w:bookmarkStart w:id="25" w:name="_Toc484704242"/>
      <w:bookmarkStart w:id="26" w:name="_Toc458178861"/>
      <w:r>
        <w:t>GS &gt; 50</w:t>
      </w:r>
      <w:bookmarkEnd w:id="24"/>
      <w:bookmarkEnd w:id="25"/>
    </w:p>
    <w:p w:rsidR="00FF4687" w:rsidRDefault="00FF4687" w:rsidP="00FF4687">
      <w:r>
        <w:t>The GS &gt; 50 rate class is not weather sensitive. The historical consumption of the rate class has been adjusted to reflect the reclassification of two larger customers into the intermediate rate class.  Due to changes in the composition of the rate class, usage prior to 2015 is not reflective of the expected load going forward. The GS &gt; 50 forecast was calculated as an average of the 2015-2016 Actual usage.</w:t>
      </w:r>
    </w:p>
    <w:p w:rsidR="00FF4687" w:rsidRPr="00B22C93" w:rsidRDefault="00FF4687" w:rsidP="00FF4687">
      <w:r w:rsidRPr="00FF4687">
        <w:rPr>
          <w:noProof/>
          <w:lang w:val="en-US"/>
        </w:rPr>
        <w:lastRenderedPageBreak/>
        <w:drawing>
          <wp:inline distT="0" distB="0" distL="0" distR="0" wp14:anchorId="5C9918E8" wp14:editId="785D6B66">
            <wp:extent cx="5943600" cy="1799487"/>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799487"/>
                    </a:xfrm>
                    <a:prstGeom prst="rect">
                      <a:avLst/>
                    </a:prstGeom>
                    <a:noFill/>
                    <a:ln>
                      <a:noFill/>
                    </a:ln>
                  </pic:spPr>
                </pic:pic>
              </a:graphicData>
            </a:graphic>
          </wp:inline>
        </w:drawing>
      </w:r>
    </w:p>
    <w:p w:rsidR="00FF4687" w:rsidRDefault="00FF4687" w:rsidP="00FF4687">
      <w:pPr>
        <w:pStyle w:val="Caption"/>
      </w:pPr>
      <w:r>
        <w:t xml:space="preserve">Table </w:t>
      </w:r>
      <w:fldSimple w:instr=" SEQ Table \* ARABIC ">
        <w:r w:rsidR="00CF2300">
          <w:rPr>
            <w:noProof/>
          </w:rPr>
          <w:t>16</w:t>
        </w:r>
      </w:fldSimple>
      <w:r>
        <w:t xml:space="preserve"> Actual vs Forecast GS &gt; 50 kWh</w:t>
      </w:r>
    </w:p>
    <w:p w:rsidR="00FF4687" w:rsidRDefault="00FF4687" w:rsidP="00FF4687">
      <w:r>
        <w:t>GS &gt; 50 customer counts are forecasted for the purpose of rate setting. The Geometric mean of the annual growth from 2007 to 2016 was used to forecast the growth rate from 2017 to 2018.</w:t>
      </w:r>
    </w:p>
    <w:tbl>
      <w:tblPr>
        <w:tblW w:w="2680" w:type="dxa"/>
        <w:tblCellMar>
          <w:top w:w="15" w:type="dxa"/>
          <w:bottom w:w="15" w:type="dxa"/>
        </w:tblCellMar>
        <w:tblLook w:val="04A0" w:firstRow="1" w:lastRow="0" w:firstColumn="1" w:lastColumn="0" w:noHBand="0" w:noVBand="1"/>
      </w:tblPr>
      <w:tblGrid>
        <w:gridCol w:w="661"/>
        <w:gridCol w:w="1183"/>
        <w:gridCol w:w="1080"/>
      </w:tblGrid>
      <w:tr w:rsidR="00FF4687" w:rsidRPr="00FF4687" w:rsidTr="00FF4687">
        <w:trPr>
          <w:trHeight w:val="270"/>
        </w:trPr>
        <w:tc>
          <w:tcPr>
            <w:tcW w:w="1600" w:type="dxa"/>
            <w:gridSpan w:val="2"/>
            <w:tcBorders>
              <w:top w:val="nil"/>
              <w:left w:val="nil"/>
              <w:bottom w:val="nil"/>
              <w:right w:val="nil"/>
            </w:tcBorders>
            <w:noWrap/>
            <w:vAlign w:val="bottom"/>
            <w:hideMark/>
          </w:tcPr>
          <w:p w:rsidR="00FF4687" w:rsidRPr="00FF4687" w:rsidRDefault="00FF4687" w:rsidP="00FF4687">
            <w:pPr>
              <w:spacing w:before="0" w:after="0" w:line="240" w:lineRule="auto"/>
              <w:jc w:val="center"/>
              <w:rPr>
                <w:rFonts w:eastAsia="Times New Roman" w:cs="Arial"/>
                <w:sz w:val="20"/>
                <w:szCs w:val="20"/>
                <w:lang w:eastAsia="en-CA"/>
              </w:rPr>
            </w:pPr>
            <w:r w:rsidRPr="00FF4687">
              <w:rPr>
                <w:rFonts w:eastAsia="Times New Roman" w:cs="Arial"/>
                <w:sz w:val="20"/>
                <w:szCs w:val="20"/>
                <w:lang w:eastAsia="en-CA"/>
              </w:rPr>
              <w:t>GS &gt; 50</w:t>
            </w:r>
          </w:p>
        </w:tc>
        <w:tc>
          <w:tcPr>
            <w:tcW w:w="1080" w:type="dxa"/>
            <w:vMerge w:val="restart"/>
            <w:tcBorders>
              <w:top w:val="nil"/>
              <w:left w:val="nil"/>
              <w:bottom w:val="nil"/>
              <w:right w:val="nil"/>
            </w:tcBorders>
            <w:vAlign w:val="bottom"/>
            <w:hideMark/>
          </w:tcPr>
          <w:p w:rsidR="00FF4687" w:rsidRPr="00FF4687" w:rsidRDefault="00FF4687" w:rsidP="00FF4687">
            <w:pPr>
              <w:spacing w:before="0" w:after="0" w:line="240" w:lineRule="auto"/>
              <w:jc w:val="center"/>
              <w:rPr>
                <w:rFonts w:eastAsia="Times New Roman" w:cs="Arial"/>
                <w:sz w:val="20"/>
                <w:szCs w:val="20"/>
                <w:lang w:eastAsia="en-CA"/>
              </w:rPr>
            </w:pPr>
            <w:r w:rsidRPr="00FF4687">
              <w:rPr>
                <w:rFonts w:eastAsia="Times New Roman" w:cs="Arial"/>
                <w:sz w:val="20"/>
                <w:szCs w:val="20"/>
                <w:lang w:eastAsia="en-CA"/>
              </w:rPr>
              <w:t>Percent of Prior Year</w:t>
            </w:r>
          </w:p>
        </w:tc>
      </w:tr>
      <w:tr w:rsidR="00FF4687" w:rsidRPr="00FF4687" w:rsidTr="00FF4687">
        <w:trPr>
          <w:trHeight w:val="270"/>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Year</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Customers</w:t>
            </w:r>
          </w:p>
        </w:tc>
        <w:tc>
          <w:tcPr>
            <w:tcW w:w="1080" w:type="dxa"/>
            <w:vMerge/>
            <w:tcBorders>
              <w:top w:val="nil"/>
              <w:left w:val="nil"/>
              <w:bottom w:val="nil"/>
              <w:right w:val="nil"/>
            </w:tcBorders>
            <w:vAlign w:val="center"/>
            <w:hideMark/>
          </w:tcPr>
          <w:p w:rsidR="00FF4687" w:rsidRPr="00FF4687" w:rsidRDefault="00FF4687" w:rsidP="00FF4687">
            <w:pPr>
              <w:spacing w:before="0" w:after="0" w:line="240" w:lineRule="auto"/>
              <w:jc w:val="left"/>
              <w:rPr>
                <w:rFonts w:eastAsia="Times New Roman" w:cs="Arial"/>
                <w:sz w:val="20"/>
                <w:szCs w:val="20"/>
                <w:lang w:eastAsia="en-CA"/>
              </w:rPr>
            </w:pP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2007</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180</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2008</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185</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102.73%</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2009</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187</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100.94%</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2010</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185</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98.66%</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2011</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186</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100.72%</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2012</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187</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100.76%</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2013</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185</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98.98%</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2014</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181</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97.44%</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2015</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155</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85.93%</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2016</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158</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101.61%</w:t>
            </w:r>
          </w:p>
        </w:tc>
      </w:tr>
      <w:tr w:rsidR="00FF4687" w:rsidRPr="00FF4687" w:rsidTr="00FF4687">
        <w:trPr>
          <w:trHeight w:val="270"/>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2017</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155</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98.52%</w:t>
            </w:r>
          </w:p>
        </w:tc>
      </w:tr>
      <w:tr w:rsidR="00FF4687" w:rsidRPr="00FF4687" w:rsidTr="00FF4687">
        <w:trPr>
          <w:trHeight w:val="285"/>
        </w:trPr>
        <w:tc>
          <w:tcPr>
            <w:tcW w:w="516"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2018</w:t>
            </w:r>
          </w:p>
        </w:tc>
        <w:tc>
          <w:tcPr>
            <w:tcW w:w="1084"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153</w:t>
            </w:r>
          </w:p>
        </w:tc>
        <w:tc>
          <w:tcPr>
            <w:tcW w:w="1080" w:type="dxa"/>
            <w:tcBorders>
              <w:top w:val="nil"/>
              <w:left w:val="nil"/>
              <w:bottom w:val="nil"/>
              <w:right w:val="nil"/>
            </w:tcBorders>
            <w:noWrap/>
            <w:vAlign w:val="bottom"/>
            <w:hideMark/>
          </w:tcPr>
          <w:p w:rsidR="00FF4687" w:rsidRPr="00FF4687" w:rsidRDefault="00FF4687" w:rsidP="00FF4687">
            <w:pPr>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98.52%</w:t>
            </w:r>
          </w:p>
        </w:tc>
      </w:tr>
    </w:tbl>
    <w:p w:rsidR="00FF4687" w:rsidRDefault="00FF4687" w:rsidP="00FF4687">
      <w:pPr>
        <w:pStyle w:val="Caption"/>
      </w:pPr>
      <w:r>
        <w:t xml:space="preserve">Table </w:t>
      </w:r>
      <w:fldSimple w:instr=" SEQ Table \* ARABIC ">
        <w:r w:rsidR="00CF2300">
          <w:rPr>
            <w:noProof/>
          </w:rPr>
          <w:t>17</w:t>
        </w:r>
      </w:fldSimple>
      <w:r>
        <w:t xml:space="preserve"> Forecasted GS &gt; 50 Customer Count*</w:t>
      </w:r>
    </w:p>
    <w:p w:rsidR="00FF4687" w:rsidRDefault="00FF4687" w:rsidP="00FF4687">
      <w:pPr>
        <w:keepNext/>
      </w:pPr>
      <w:r>
        <w:t xml:space="preserve">In order to normalize and forecast class kW for those classes that bill based on kW (demand) billing determinants, the relationship between billed kW and kWh is used. The </w:t>
      </w:r>
      <w:r w:rsidR="00891725">
        <w:lastRenderedPageBreak/>
        <w:t>average ratio from 200</w:t>
      </w:r>
      <w:r>
        <w:t>7-2016 is used to forecast kW for all future years.  An adjustment is made to reflect the upcoming end of the Load Transfer arrangement with Hydro One.</w:t>
      </w:r>
    </w:p>
    <w:p w:rsidR="00FF4687" w:rsidRDefault="00FF4687" w:rsidP="00FF4687">
      <w:pPr>
        <w:keepNext/>
      </w:pPr>
    </w:p>
    <w:tbl>
      <w:tblPr>
        <w:tblW w:w="6855" w:type="dxa"/>
        <w:tblCellMar>
          <w:top w:w="15" w:type="dxa"/>
          <w:bottom w:w="15" w:type="dxa"/>
        </w:tblCellMar>
        <w:tblLook w:val="04A0" w:firstRow="1" w:lastRow="0" w:firstColumn="1" w:lastColumn="0" w:noHBand="0" w:noVBand="1"/>
      </w:tblPr>
      <w:tblGrid>
        <w:gridCol w:w="661"/>
        <w:gridCol w:w="1497"/>
        <w:gridCol w:w="1384"/>
        <w:gridCol w:w="1405"/>
        <w:gridCol w:w="1280"/>
        <w:gridCol w:w="1000"/>
      </w:tblGrid>
      <w:tr w:rsidR="00FF4687" w:rsidRPr="00FF4687" w:rsidTr="00FF4687">
        <w:trPr>
          <w:trHeight w:val="255"/>
        </w:trPr>
        <w:tc>
          <w:tcPr>
            <w:tcW w:w="4575" w:type="dxa"/>
            <w:gridSpan w:val="4"/>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GS&gt;50</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ascii="Times New Roman" w:eastAsia="Times New Roman" w:hAnsi="Times New Roman" w:cs="Times New Roman"/>
                <w:sz w:val="20"/>
                <w:szCs w:val="20"/>
                <w:lang w:eastAsia="en-CA"/>
              </w:rPr>
            </w:pP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eastAsia="Times New Roman" w:cs="Arial"/>
                <w:sz w:val="20"/>
                <w:szCs w:val="20"/>
                <w:lang w:eastAsia="en-CA"/>
              </w:rPr>
            </w:pPr>
            <w:r w:rsidRPr="00FF4687">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kWh Actual</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Ratio</w:t>
            </w:r>
          </w:p>
        </w:tc>
        <w:tc>
          <w:tcPr>
            <w:tcW w:w="1405" w:type="dxa"/>
            <w:tcBorders>
              <w:top w:val="nil"/>
              <w:left w:val="nil"/>
              <w:bottom w:val="nil"/>
              <w:right w:val="nil"/>
            </w:tcBorders>
            <w:vAlign w:val="bottom"/>
            <w:hideMark/>
          </w:tcPr>
          <w:p w:rsidR="00FF4687" w:rsidRPr="00FF4687" w:rsidRDefault="00FF4687" w:rsidP="00FF4687">
            <w:pPr>
              <w:keepNext/>
              <w:spacing w:before="0" w:after="0" w:line="240" w:lineRule="auto"/>
              <w:jc w:val="left"/>
              <w:rPr>
                <w:rFonts w:eastAsia="Times New Roman" w:cs="Arial"/>
                <w:sz w:val="20"/>
                <w:szCs w:val="20"/>
                <w:lang w:eastAsia="en-CA"/>
              </w:rPr>
            </w:pPr>
            <w:r w:rsidRPr="00FF4687">
              <w:rPr>
                <w:rFonts w:eastAsia="Times New Roman" w:cs="Arial"/>
                <w:sz w:val="20"/>
                <w:szCs w:val="20"/>
                <w:lang w:eastAsia="en-CA"/>
              </w:rPr>
              <w:t>kW Actual</w:t>
            </w:r>
          </w:p>
        </w:tc>
        <w:tc>
          <w:tcPr>
            <w:tcW w:w="1280" w:type="dxa"/>
            <w:tcBorders>
              <w:top w:val="nil"/>
              <w:left w:val="nil"/>
              <w:bottom w:val="nil"/>
              <w:right w:val="nil"/>
            </w:tcBorders>
            <w:vAlign w:val="bottom"/>
            <w:hideMark/>
          </w:tcPr>
          <w:p w:rsidR="00FF4687" w:rsidRPr="00FF4687" w:rsidRDefault="00FF4687" w:rsidP="00FF4687">
            <w:pPr>
              <w:keepNext/>
              <w:spacing w:before="0" w:after="0" w:line="240" w:lineRule="auto"/>
              <w:jc w:val="left"/>
              <w:rPr>
                <w:rFonts w:eastAsia="Times New Roman" w:cs="Arial"/>
                <w:sz w:val="20"/>
                <w:szCs w:val="20"/>
                <w:lang w:eastAsia="en-CA"/>
              </w:rPr>
            </w:pPr>
          </w:p>
        </w:tc>
        <w:tc>
          <w:tcPr>
            <w:tcW w:w="1000" w:type="dxa"/>
            <w:tcBorders>
              <w:top w:val="nil"/>
              <w:left w:val="nil"/>
              <w:bottom w:val="nil"/>
              <w:right w:val="nil"/>
            </w:tcBorders>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A</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B</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2007</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100,838,219</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0.002977035</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300,199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2008</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93,760,619</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0.003045233</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285,523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2009</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93,480,747</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0.003077357</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287,674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2010</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94,650,573</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0.003158418</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298,946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2011</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99,076,966</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0.003144611</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311,559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100,446,053</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0.003184167</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319,837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95,822,768</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0.003128104</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299,744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98,638,138</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0.003099165</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305,696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90,572,661</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0.002292426</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207,631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94,283,345</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sz w:val="20"/>
                <w:szCs w:val="20"/>
                <w:lang w:eastAsia="en-CA"/>
              </w:rPr>
            </w:pPr>
            <w:r w:rsidRPr="00FF4687">
              <w:rPr>
                <w:rFonts w:eastAsia="Times New Roman" w:cs="Arial"/>
                <w:sz w:val="20"/>
                <w:szCs w:val="20"/>
                <w:lang w:eastAsia="en-CA"/>
              </w:rPr>
              <w:t>0.003022989</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 xml:space="preserve"> 285,018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ascii="Calibri" w:eastAsia="Times New Roman" w:hAnsi="Calibri" w:cs="Calibri"/>
                <w:color w:val="000000"/>
                <w:sz w:val="22"/>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85"/>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eastAsia="Times New Roman" w:cs="Arial"/>
                <w:sz w:val="20"/>
                <w:szCs w:val="20"/>
                <w:lang w:eastAsia="en-CA"/>
              </w:rPr>
            </w:pPr>
            <w:r w:rsidRPr="00FF4687">
              <w:rPr>
                <w:rFonts w:eastAsia="Times New Roman" w:cs="Arial"/>
                <w:sz w:val="20"/>
                <w:szCs w:val="20"/>
                <w:lang w:eastAsia="en-CA"/>
              </w:rPr>
              <w:t>kWh Normalized</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kW Normalized</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End of LTLT</w:t>
            </w: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Calibri" w:eastAsia="Times New Roman" w:hAnsi="Calibri" w:cs="Calibri"/>
                <w:color w:val="000000"/>
                <w:sz w:val="22"/>
                <w:lang w:eastAsia="en-CA"/>
              </w:rPr>
            </w:pPr>
            <w:r w:rsidRPr="00FF4687">
              <w:rPr>
                <w:rFonts w:ascii="Calibri" w:eastAsia="Times New Roman" w:hAnsi="Calibri" w:cs="Calibri"/>
                <w:color w:val="000000"/>
                <w:sz w:val="22"/>
                <w:lang w:eastAsia="en-CA"/>
              </w:rPr>
              <w:t>Forecast</w:t>
            </w: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D</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F = D * E</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G</w:t>
            </w: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center"/>
              <w:rPr>
                <w:rFonts w:eastAsia="Times New Roman" w:cs="Arial"/>
                <w:b/>
                <w:bCs/>
                <w:sz w:val="20"/>
                <w:szCs w:val="20"/>
                <w:lang w:eastAsia="en-CA"/>
              </w:rPr>
            </w:pPr>
            <w:r w:rsidRPr="00FF4687">
              <w:rPr>
                <w:rFonts w:eastAsia="Times New Roman" w:cs="Arial"/>
                <w:b/>
                <w:bCs/>
                <w:sz w:val="20"/>
                <w:szCs w:val="20"/>
                <w:lang w:eastAsia="en-CA"/>
              </w:rPr>
              <w:t>H=F+G</w:t>
            </w: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94,283,345</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0.003012951</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 xml:space="preserve"> 284,071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90,450,056</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0.003012951</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 xml:space="preserve"> 272,522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left"/>
              <w:rPr>
                <w:rFonts w:ascii="Times New Roman" w:eastAsia="Times New Roman" w:hAnsi="Times New Roman" w:cs="Times New Roman"/>
                <w:sz w:val="20"/>
                <w:szCs w:val="20"/>
                <w:lang w:eastAsia="en-CA"/>
              </w:rPr>
            </w:pPr>
          </w:p>
        </w:tc>
      </w:tr>
      <w:tr w:rsidR="00FF4687" w:rsidRPr="00FF4687" w:rsidTr="00FF4687">
        <w:trPr>
          <w:trHeight w:val="270"/>
        </w:trPr>
        <w:tc>
          <w:tcPr>
            <w:tcW w:w="47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89,222,069</w:t>
            </w:r>
          </w:p>
        </w:tc>
        <w:tc>
          <w:tcPr>
            <w:tcW w:w="1198"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0.003012951</w:t>
            </w:r>
          </w:p>
        </w:tc>
        <w:tc>
          <w:tcPr>
            <w:tcW w:w="1405"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 xml:space="preserve"> 268,822 </w:t>
            </w:r>
          </w:p>
        </w:tc>
        <w:tc>
          <w:tcPr>
            <w:tcW w:w="128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 xml:space="preserve"> 931 </w:t>
            </w:r>
          </w:p>
        </w:tc>
        <w:tc>
          <w:tcPr>
            <w:tcW w:w="1000" w:type="dxa"/>
            <w:tcBorders>
              <w:top w:val="nil"/>
              <w:left w:val="nil"/>
              <w:bottom w:val="nil"/>
              <w:right w:val="nil"/>
            </w:tcBorders>
            <w:noWrap/>
            <w:vAlign w:val="bottom"/>
            <w:hideMark/>
          </w:tcPr>
          <w:p w:rsidR="00FF4687" w:rsidRPr="00FF4687" w:rsidRDefault="00FF4687" w:rsidP="00FF4687">
            <w:pPr>
              <w:keepNext/>
              <w:spacing w:before="0" w:after="0" w:line="240" w:lineRule="auto"/>
              <w:jc w:val="right"/>
              <w:rPr>
                <w:rFonts w:eastAsia="Times New Roman" w:cs="Arial"/>
                <w:color w:val="FF0000"/>
                <w:sz w:val="20"/>
                <w:szCs w:val="20"/>
                <w:lang w:eastAsia="en-CA"/>
              </w:rPr>
            </w:pPr>
            <w:r w:rsidRPr="00FF4687">
              <w:rPr>
                <w:rFonts w:eastAsia="Times New Roman" w:cs="Arial"/>
                <w:color w:val="FF0000"/>
                <w:sz w:val="20"/>
                <w:szCs w:val="20"/>
                <w:lang w:eastAsia="en-CA"/>
              </w:rPr>
              <w:t xml:space="preserve"> 269,752 </w:t>
            </w:r>
          </w:p>
        </w:tc>
      </w:tr>
    </w:tbl>
    <w:p w:rsidR="00FF4687" w:rsidRPr="00791091" w:rsidRDefault="00FF4687" w:rsidP="00FF4687">
      <w:pPr>
        <w:pStyle w:val="Caption"/>
      </w:pPr>
      <w:r>
        <w:t xml:space="preserve">Table </w:t>
      </w:r>
      <w:fldSimple w:instr=" SEQ Table \* ARABIC ">
        <w:r w:rsidR="00CF2300">
          <w:rPr>
            <w:noProof/>
          </w:rPr>
          <w:t>18</w:t>
        </w:r>
      </w:fldSimple>
      <w:r>
        <w:t xml:space="preserve"> Forecasted GS &gt; 50 kW</w:t>
      </w:r>
    </w:p>
    <w:p w:rsidR="00FF4687" w:rsidRDefault="00FF4687" w:rsidP="00FF4687">
      <w:pPr>
        <w:pStyle w:val="Heading2"/>
        <w:tabs>
          <w:tab w:val="clear" w:pos="1002"/>
          <w:tab w:val="num" w:pos="576"/>
        </w:tabs>
        <w:spacing w:before="480" w:after="240" w:line="240" w:lineRule="auto"/>
        <w:ind w:left="576" w:hanging="576"/>
      </w:pPr>
      <w:bookmarkStart w:id="27" w:name="_Toc484704243"/>
      <w:r>
        <w:t>Intermediate</w:t>
      </w:r>
      <w:bookmarkEnd w:id="27"/>
    </w:p>
    <w:p w:rsidR="00FF4687" w:rsidRDefault="00FF4687" w:rsidP="00FF4687">
      <w:r>
        <w:t>The Intermediate rate class is not weather sensitive.  The historical consumption of the rate class has been adjusted to reflect the reclassification of two larger GS &gt; 50 customers into this class.  The Intermediate forecast was calculated as an average of the 2007-2016 Actual usage.</w:t>
      </w:r>
      <w:r w:rsidR="00891725">
        <w:t xml:space="preserve">  One customer is discontinuing operations.  The historic energy and demand of that customer have been removed from the resulting totals.</w:t>
      </w:r>
    </w:p>
    <w:p w:rsidR="00891725" w:rsidRDefault="00891725" w:rsidP="00891725">
      <w:pPr>
        <w:keepNext/>
      </w:pPr>
      <w:r w:rsidRPr="00891725">
        <w:rPr>
          <w:noProof/>
          <w:lang w:val="en-US"/>
        </w:rPr>
        <w:lastRenderedPageBreak/>
        <w:drawing>
          <wp:inline distT="0" distB="0" distL="0" distR="0">
            <wp:extent cx="5943600" cy="1857375"/>
            <wp:effectExtent l="0" t="0" r="0"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857375"/>
                    </a:xfrm>
                    <a:prstGeom prst="rect">
                      <a:avLst/>
                    </a:prstGeom>
                    <a:noFill/>
                    <a:ln>
                      <a:noFill/>
                    </a:ln>
                  </pic:spPr>
                </pic:pic>
              </a:graphicData>
            </a:graphic>
          </wp:inline>
        </w:drawing>
      </w:r>
    </w:p>
    <w:p w:rsidR="00FF4687" w:rsidRDefault="00FF4687" w:rsidP="00FF4687">
      <w:pPr>
        <w:pStyle w:val="Caption"/>
      </w:pPr>
      <w:r>
        <w:t xml:space="preserve">Table </w:t>
      </w:r>
      <w:fldSimple w:instr=" SEQ Table \* ARABIC ">
        <w:r w:rsidR="00CF2300">
          <w:rPr>
            <w:noProof/>
          </w:rPr>
          <w:t>19</w:t>
        </w:r>
      </w:fldSimple>
      <w:r>
        <w:t xml:space="preserve"> Actual vs Forecast </w:t>
      </w:r>
      <w:r w:rsidR="00891725">
        <w:t>Intermediate</w:t>
      </w:r>
      <w:r>
        <w:t xml:space="preserve"> kWh</w:t>
      </w:r>
    </w:p>
    <w:p w:rsidR="00FF4687" w:rsidRDefault="00891725" w:rsidP="00FF4687">
      <w:r>
        <w:t>Intermediate</w:t>
      </w:r>
      <w:r w:rsidR="00FF4687">
        <w:t xml:space="preserve"> customer counts are forecasted for the purpose of rate setting. </w:t>
      </w:r>
      <w:r>
        <w:t>Erie Thames expects that the remaining 6 customers will persist into 2018</w:t>
      </w:r>
    </w:p>
    <w:tbl>
      <w:tblPr>
        <w:tblW w:w="2680" w:type="dxa"/>
        <w:tblCellMar>
          <w:top w:w="15" w:type="dxa"/>
          <w:bottom w:w="15" w:type="dxa"/>
        </w:tblCellMar>
        <w:tblLook w:val="04A0" w:firstRow="1" w:lastRow="0" w:firstColumn="1" w:lastColumn="0" w:noHBand="0" w:noVBand="1"/>
      </w:tblPr>
      <w:tblGrid>
        <w:gridCol w:w="661"/>
        <w:gridCol w:w="1183"/>
        <w:gridCol w:w="1080"/>
      </w:tblGrid>
      <w:tr w:rsidR="00891725" w:rsidRPr="00891725" w:rsidTr="00891725">
        <w:trPr>
          <w:trHeight w:val="270"/>
        </w:trPr>
        <w:tc>
          <w:tcPr>
            <w:tcW w:w="1600" w:type="dxa"/>
            <w:gridSpan w:val="2"/>
            <w:tcBorders>
              <w:top w:val="nil"/>
              <w:left w:val="nil"/>
              <w:bottom w:val="nil"/>
              <w:right w:val="nil"/>
            </w:tcBorders>
            <w:noWrap/>
            <w:vAlign w:val="bottom"/>
            <w:hideMark/>
          </w:tcPr>
          <w:p w:rsidR="00891725" w:rsidRPr="00891725" w:rsidRDefault="00891725" w:rsidP="00891725">
            <w:pPr>
              <w:spacing w:before="0" w:after="0" w:line="240" w:lineRule="auto"/>
              <w:jc w:val="center"/>
              <w:rPr>
                <w:rFonts w:eastAsia="Times New Roman" w:cs="Arial"/>
                <w:sz w:val="20"/>
                <w:szCs w:val="20"/>
                <w:lang w:eastAsia="en-CA"/>
              </w:rPr>
            </w:pPr>
            <w:r w:rsidRPr="00891725">
              <w:rPr>
                <w:rFonts w:eastAsia="Times New Roman" w:cs="Arial"/>
                <w:sz w:val="20"/>
                <w:szCs w:val="20"/>
                <w:lang w:eastAsia="en-CA"/>
              </w:rPr>
              <w:t>Intermediate</w:t>
            </w:r>
          </w:p>
        </w:tc>
        <w:tc>
          <w:tcPr>
            <w:tcW w:w="1080" w:type="dxa"/>
            <w:vMerge w:val="restart"/>
            <w:tcBorders>
              <w:top w:val="nil"/>
              <w:left w:val="nil"/>
              <w:bottom w:val="nil"/>
              <w:right w:val="nil"/>
            </w:tcBorders>
            <w:vAlign w:val="bottom"/>
            <w:hideMark/>
          </w:tcPr>
          <w:p w:rsidR="00891725" w:rsidRPr="00891725" w:rsidRDefault="00891725" w:rsidP="00891725">
            <w:pPr>
              <w:spacing w:before="0" w:after="0" w:line="240" w:lineRule="auto"/>
              <w:jc w:val="center"/>
              <w:rPr>
                <w:rFonts w:eastAsia="Times New Roman" w:cs="Arial"/>
                <w:sz w:val="20"/>
                <w:szCs w:val="20"/>
                <w:lang w:eastAsia="en-CA"/>
              </w:rPr>
            </w:pPr>
            <w:r w:rsidRPr="00891725">
              <w:rPr>
                <w:rFonts w:eastAsia="Times New Roman" w:cs="Arial"/>
                <w:sz w:val="20"/>
                <w:szCs w:val="20"/>
                <w:lang w:eastAsia="en-CA"/>
              </w:rPr>
              <w:t>Percent of Prior Year</w:t>
            </w:r>
          </w:p>
        </w:tc>
      </w:tr>
      <w:tr w:rsidR="00891725" w:rsidRPr="00891725" w:rsidTr="00891725">
        <w:trPr>
          <w:trHeight w:val="270"/>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Year</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center"/>
              <w:rPr>
                <w:rFonts w:eastAsia="Times New Roman" w:cs="Arial"/>
                <w:sz w:val="20"/>
                <w:szCs w:val="20"/>
                <w:lang w:eastAsia="en-CA"/>
              </w:rPr>
            </w:pPr>
            <w:r w:rsidRPr="00891725">
              <w:rPr>
                <w:rFonts w:eastAsia="Times New Roman" w:cs="Arial"/>
                <w:sz w:val="20"/>
                <w:szCs w:val="20"/>
                <w:lang w:eastAsia="en-CA"/>
              </w:rPr>
              <w:t>Customers</w:t>
            </w:r>
          </w:p>
        </w:tc>
        <w:tc>
          <w:tcPr>
            <w:tcW w:w="1080" w:type="dxa"/>
            <w:vMerge/>
            <w:tcBorders>
              <w:top w:val="nil"/>
              <w:left w:val="nil"/>
              <w:bottom w:val="nil"/>
              <w:right w:val="nil"/>
            </w:tcBorders>
            <w:vAlign w:val="center"/>
            <w:hideMark/>
          </w:tcPr>
          <w:p w:rsidR="00891725" w:rsidRPr="00891725" w:rsidRDefault="00891725" w:rsidP="00891725">
            <w:pPr>
              <w:spacing w:before="0" w:after="0" w:line="240" w:lineRule="auto"/>
              <w:jc w:val="left"/>
              <w:rPr>
                <w:rFonts w:eastAsia="Times New Roman" w:cs="Arial"/>
                <w:sz w:val="20"/>
                <w:szCs w:val="20"/>
                <w:lang w:eastAsia="en-CA"/>
              </w:rPr>
            </w:pP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2007</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2008</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2009</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2010</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2011</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2012</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2013</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2014</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2015</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2016</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100.00%</w:t>
            </w:r>
          </w:p>
        </w:tc>
      </w:tr>
      <w:tr w:rsidR="00891725" w:rsidRPr="00891725" w:rsidTr="00891725">
        <w:trPr>
          <w:trHeight w:val="270"/>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2017</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7</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100.00%</w:t>
            </w:r>
          </w:p>
        </w:tc>
      </w:tr>
      <w:tr w:rsidR="00891725" w:rsidRPr="00891725" w:rsidTr="00891725">
        <w:trPr>
          <w:trHeight w:val="285"/>
        </w:trPr>
        <w:tc>
          <w:tcPr>
            <w:tcW w:w="516"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2018</w:t>
            </w:r>
          </w:p>
        </w:tc>
        <w:tc>
          <w:tcPr>
            <w:tcW w:w="1084"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6</w:t>
            </w:r>
          </w:p>
        </w:tc>
        <w:tc>
          <w:tcPr>
            <w:tcW w:w="1080" w:type="dxa"/>
            <w:tcBorders>
              <w:top w:val="nil"/>
              <w:left w:val="nil"/>
              <w:bottom w:val="nil"/>
              <w:right w:val="nil"/>
            </w:tcBorders>
            <w:noWrap/>
            <w:vAlign w:val="bottom"/>
            <w:hideMark/>
          </w:tcPr>
          <w:p w:rsidR="00891725" w:rsidRPr="00891725" w:rsidRDefault="00891725" w:rsidP="00891725">
            <w:pPr>
              <w:spacing w:before="0" w:after="0" w:line="240" w:lineRule="auto"/>
              <w:jc w:val="right"/>
              <w:rPr>
                <w:rFonts w:ascii="Calibri" w:eastAsia="Times New Roman" w:hAnsi="Calibri" w:cs="Calibri"/>
                <w:color w:val="FF0000"/>
                <w:sz w:val="22"/>
                <w:lang w:eastAsia="en-CA"/>
              </w:rPr>
            </w:pPr>
            <w:r w:rsidRPr="00891725">
              <w:rPr>
                <w:rFonts w:ascii="Calibri" w:eastAsia="Times New Roman" w:hAnsi="Calibri" w:cs="Calibri"/>
                <w:color w:val="FF0000"/>
                <w:sz w:val="22"/>
                <w:lang w:eastAsia="en-CA"/>
              </w:rPr>
              <w:t>85.71%</w:t>
            </w:r>
          </w:p>
        </w:tc>
      </w:tr>
    </w:tbl>
    <w:p w:rsidR="00FF4687" w:rsidRDefault="00FF4687" w:rsidP="00FF4687">
      <w:pPr>
        <w:pStyle w:val="Caption"/>
      </w:pPr>
      <w:r>
        <w:t xml:space="preserve">Table </w:t>
      </w:r>
      <w:fldSimple w:instr=" SEQ Table \* ARABIC ">
        <w:r w:rsidR="00CF2300">
          <w:rPr>
            <w:noProof/>
          </w:rPr>
          <w:t>20</w:t>
        </w:r>
      </w:fldSimple>
      <w:r>
        <w:t xml:space="preserve"> Forecasted </w:t>
      </w:r>
      <w:r w:rsidR="00891725">
        <w:t>Intermediate</w:t>
      </w:r>
      <w:r>
        <w:t xml:space="preserve"> Customer Count*</w:t>
      </w:r>
    </w:p>
    <w:p w:rsidR="00FF4687" w:rsidRDefault="00891725" w:rsidP="00FF4687">
      <w:pPr>
        <w:keepNext/>
      </w:pPr>
      <w:r>
        <w:lastRenderedPageBreak/>
        <w:t>To</w:t>
      </w:r>
      <w:r w:rsidR="00FF4687">
        <w:t xml:space="preserve"> normalize and forecast class kW for those classes that bill based on kW (demand) billing determinants, the relationship between billed kW and kWh is used. The average </w:t>
      </w:r>
      <w:r>
        <w:t>ratio from 2007</w:t>
      </w:r>
      <w:r w:rsidR="00FF4687">
        <w:t>-2016 is used to forecast kW for all fut</w:t>
      </w:r>
      <w:r>
        <w:t>ure years.</w:t>
      </w:r>
    </w:p>
    <w:tbl>
      <w:tblPr>
        <w:tblW w:w="7715" w:type="dxa"/>
        <w:tblCellMar>
          <w:top w:w="15" w:type="dxa"/>
          <w:bottom w:w="15" w:type="dxa"/>
        </w:tblCellMar>
        <w:tblLook w:val="04A0" w:firstRow="1" w:lastRow="0" w:firstColumn="1" w:lastColumn="0" w:noHBand="0" w:noVBand="1"/>
      </w:tblPr>
      <w:tblGrid>
        <w:gridCol w:w="661"/>
        <w:gridCol w:w="1497"/>
        <w:gridCol w:w="1384"/>
        <w:gridCol w:w="1405"/>
        <w:gridCol w:w="1660"/>
        <w:gridCol w:w="1480"/>
      </w:tblGrid>
      <w:tr w:rsidR="00891725" w:rsidRPr="00891725" w:rsidTr="00891725">
        <w:trPr>
          <w:trHeight w:val="255"/>
        </w:trPr>
        <w:tc>
          <w:tcPr>
            <w:tcW w:w="4575" w:type="dxa"/>
            <w:gridSpan w:val="4"/>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Intermediate</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ascii="Times New Roman" w:eastAsia="Times New Roman" w:hAnsi="Times New Roman" w:cs="Times New Roman"/>
                <w:sz w:val="20"/>
                <w:szCs w:val="20"/>
                <w:lang w:eastAsia="en-CA"/>
              </w:rPr>
            </w:pP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eastAsia="Times New Roman" w:cs="Arial"/>
                <w:sz w:val="20"/>
                <w:szCs w:val="20"/>
                <w:lang w:eastAsia="en-CA"/>
              </w:rPr>
            </w:pPr>
            <w:r w:rsidRPr="00891725">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kWh Actual</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Ratio</w:t>
            </w:r>
          </w:p>
        </w:tc>
        <w:tc>
          <w:tcPr>
            <w:tcW w:w="1405" w:type="dxa"/>
            <w:tcBorders>
              <w:top w:val="nil"/>
              <w:left w:val="nil"/>
              <w:bottom w:val="nil"/>
              <w:right w:val="nil"/>
            </w:tcBorders>
            <w:vAlign w:val="bottom"/>
            <w:hideMark/>
          </w:tcPr>
          <w:p w:rsidR="00891725" w:rsidRPr="00891725" w:rsidRDefault="00891725" w:rsidP="00891725">
            <w:pPr>
              <w:keepNext/>
              <w:spacing w:before="0" w:after="0" w:line="240" w:lineRule="auto"/>
              <w:jc w:val="left"/>
              <w:rPr>
                <w:rFonts w:eastAsia="Times New Roman" w:cs="Arial"/>
                <w:sz w:val="20"/>
                <w:szCs w:val="20"/>
                <w:lang w:eastAsia="en-CA"/>
              </w:rPr>
            </w:pPr>
            <w:r w:rsidRPr="00891725">
              <w:rPr>
                <w:rFonts w:eastAsia="Times New Roman" w:cs="Arial"/>
                <w:sz w:val="20"/>
                <w:szCs w:val="20"/>
                <w:lang w:eastAsia="en-CA"/>
              </w:rPr>
              <w:t>kW Actual</w:t>
            </w:r>
          </w:p>
        </w:tc>
        <w:tc>
          <w:tcPr>
            <w:tcW w:w="1660" w:type="dxa"/>
            <w:tcBorders>
              <w:top w:val="nil"/>
              <w:left w:val="nil"/>
              <w:bottom w:val="nil"/>
              <w:right w:val="nil"/>
            </w:tcBorders>
            <w:vAlign w:val="bottom"/>
            <w:hideMark/>
          </w:tcPr>
          <w:p w:rsidR="00891725" w:rsidRPr="00891725" w:rsidRDefault="00891725" w:rsidP="00891725">
            <w:pPr>
              <w:keepNext/>
              <w:spacing w:before="0" w:after="0" w:line="240" w:lineRule="auto"/>
              <w:jc w:val="left"/>
              <w:rPr>
                <w:rFonts w:eastAsia="Times New Roman" w:cs="Arial"/>
                <w:sz w:val="20"/>
                <w:szCs w:val="20"/>
                <w:lang w:eastAsia="en-CA"/>
              </w:rPr>
            </w:pPr>
          </w:p>
        </w:tc>
        <w:tc>
          <w:tcPr>
            <w:tcW w:w="1480" w:type="dxa"/>
            <w:tcBorders>
              <w:top w:val="nil"/>
              <w:left w:val="nil"/>
              <w:bottom w:val="nil"/>
              <w:right w:val="nil"/>
            </w:tcBorders>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A</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B</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ascii="Times New Roman" w:eastAsia="Times New Roman" w:hAnsi="Times New Roman" w:cs="Times New Roman"/>
                <w:sz w:val="20"/>
                <w:szCs w:val="20"/>
                <w:lang w:eastAsia="en-CA"/>
              </w:rPr>
            </w:pP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2007</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108,060,169</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0.002161745</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233,599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233,599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2008</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87,009,755</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0.002226491</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193,726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193,726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2009</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74,111,478</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0.002258834</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167,406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167,406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2010</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95,581,060</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0.002070326</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197,884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197,884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2011</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91,188,812</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0.002029048</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185,026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185,026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90,258,341</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0.002089651</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188,608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188,608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89,583,306</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0.002076987</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186,063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186,063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89,565,188</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0.001939384</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173,701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173,701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85,452,092</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0.002376859</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203,108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203,108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74,711,534</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sz w:val="20"/>
                <w:szCs w:val="20"/>
                <w:lang w:eastAsia="en-CA"/>
              </w:rPr>
            </w:pPr>
            <w:r w:rsidRPr="00891725">
              <w:rPr>
                <w:rFonts w:eastAsia="Times New Roman" w:cs="Arial"/>
                <w:sz w:val="20"/>
                <w:szCs w:val="20"/>
                <w:lang w:eastAsia="en-CA"/>
              </w:rPr>
              <w:t>0.00249451</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 xml:space="preserve"> 186,369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000000"/>
                <w:sz w:val="22"/>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r w:rsidRPr="00891725">
              <w:rPr>
                <w:rFonts w:ascii="Calibri" w:eastAsia="Times New Roman" w:hAnsi="Calibri" w:cs="Calibri"/>
                <w:color w:val="FFFFFF"/>
                <w:sz w:val="22"/>
                <w:lang w:eastAsia="en-CA"/>
              </w:rPr>
              <w:t xml:space="preserve"> 186,369 </w:t>
            </w: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ascii="Calibri" w:eastAsia="Times New Roman" w:hAnsi="Calibri" w:cs="Calibri"/>
                <w:color w:val="FFFFFF"/>
                <w:sz w:val="22"/>
                <w:lang w:eastAsia="en-CA"/>
              </w:rPr>
            </w:pP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r>
      <w:tr w:rsidR="00891725" w:rsidRPr="00891725" w:rsidTr="00891725">
        <w:trPr>
          <w:trHeight w:val="285"/>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eastAsia="Times New Roman" w:cs="Arial"/>
                <w:sz w:val="20"/>
                <w:szCs w:val="20"/>
                <w:lang w:eastAsia="en-CA"/>
              </w:rPr>
            </w:pPr>
            <w:r w:rsidRPr="00891725">
              <w:rPr>
                <w:rFonts w:eastAsia="Times New Roman" w:cs="Arial"/>
                <w:sz w:val="20"/>
                <w:szCs w:val="20"/>
                <w:lang w:eastAsia="en-CA"/>
              </w:rPr>
              <w:t>kWh Normalized</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left"/>
              <w:rPr>
                <w:rFonts w:ascii="Calibri" w:eastAsia="Times New Roman" w:hAnsi="Calibri" w:cs="Calibri"/>
                <w:color w:val="000000"/>
                <w:sz w:val="22"/>
                <w:lang w:eastAsia="en-CA"/>
              </w:rPr>
            </w:pPr>
            <w:r w:rsidRPr="00891725">
              <w:rPr>
                <w:rFonts w:ascii="Calibri" w:eastAsia="Times New Roman" w:hAnsi="Calibri" w:cs="Calibri"/>
                <w:color w:val="000000"/>
                <w:sz w:val="22"/>
                <w:lang w:eastAsia="en-CA"/>
              </w:rPr>
              <w:t>kW Normalized</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sz w:val="20"/>
                <w:szCs w:val="20"/>
                <w:lang w:eastAsia="en-CA"/>
              </w:rPr>
            </w:pPr>
            <w:r w:rsidRPr="00891725">
              <w:rPr>
                <w:rFonts w:eastAsia="Times New Roman" w:cs="Arial"/>
                <w:sz w:val="20"/>
                <w:szCs w:val="20"/>
                <w:lang w:eastAsia="en-CA"/>
              </w:rPr>
              <w:t>Lost Customer</w:t>
            </w: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sz w:val="20"/>
                <w:szCs w:val="20"/>
                <w:lang w:eastAsia="en-CA"/>
              </w:rPr>
            </w:pPr>
            <w:r w:rsidRPr="00891725">
              <w:rPr>
                <w:rFonts w:eastAsia="Times New Roman" w:cs="Arial"/>
                <w:sz w:val="20"/>
                <w:szCs w:val="20"/>
                <w:lang w:eastAsia="en-CA"/>
              </w:rPr>
              <w:t>Net Forecast</w:t>
            </w: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sz w:val="20"/>
                <w:szCs w:val="20"/>
                <w:lang w:eastAsia="en-CA"/>
              </w:rPr>
            </w:pP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D</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r w:rsidRPr="00891725">
              <w:rPr>
                <w:rFonts w:eastAsia="Times New Roman" w:cs="Arial"/>
                <w:b/>
                <w:bCs/>
                <w:sz w:val="20"/>
                <w:szCs w:val="20"/>
                <w:lang w:eastAsia="en-CA"/>
              </w:rPr>
              <w:t>F = D * E</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eastAsia="Times New Roman" w:cs="Arial"/>
                <w:b/>
                <w:bCs/>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center"/>
              <w:rPr>
                <w:rFonts w:ascii="Times New Roman" w:eastAsia="Times New Roman" w:hAnsi="Times New Roman" w:cs="Times New Roman"/>
                <w:sz w:val="20"/>
                <w:szCs w:val="20"/>
                <w:lang w:eastAsia="en-CA"/>
              </w:rPr>
            </w:pP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74,711,534</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0.002172383</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162,302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162,302 </w:t>
            </w: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84,528,325</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0.002172383</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183,628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183,628 </w:t>
            </w:r>
          </w:p>
        </w:tc>
      </w:tr>
      <w:tr w:rsidR="00891725" w:rsidRPr="00891725" w:rsidTr="00891725">
        <w:trPr>
          <w:trHeight w:val="270"/>
        </w:trPr>
        <w:tc>
          <w:tcPr>
            <w:tcW w:w="47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84,728,009</w:t>
            </w:r>
          </w:p>
        </w:tc>
        <w:tc>
          <w:tcPr>
            <w:tcW w:w="1198"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0.002172383</w:t>
            </w:r>
          </w:p>
        </w:tc>
        <w:tc>
          <w:tcPr>
            <w:tcW w:w="1405"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184,062 </w:t>
            </w:r>
          </w:p>
        </w:tc>
        <w:tc>
          <w:tcPr>
            <w:tcW w:w="166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-18,680 </w:t>
            </w:r>
          </w:p>
        </w:tc>
        <w:tc>
          <w:tcPr>
            <w:tcW w:w="1480" w:type="dxa"/>
            <w:tcBorders>
              <w:top w:val="nil"/>
              <w:left w:val="nil"/>
              <w:bottom w:val="nil"/>
              <w:right w:val="nil"/>
            </w:tcBorders>
            <w:noWrap/>
            <w:vAlign w:val="bottom"/>
            <w:hideMark/>
          </w:tcPr>
          <w:p w:rsidR="00891725" w:rsidRPr="00891725" w:rsidRDefault="00891725" w:rsidP="00891725">
            <w:pPr>
              <w:keepNext/>
              <w:spacing w:before="0" w:after="0" w:line="240" w:lineRule="auto"/>
              <w:jc w:val="right"/>
              <w:rPr>
                <w:rFonts w:eastAsia="Times New Roman" w:cs="Arial"/>
                <w:color w:val="FF0000"/>
                <w:sz w:val="20"/>
                <w:szCs w:val="20"/>
                <w:lang w:eastAsia="en-CA"/>
              </w:rPr>
            </w:pPr>
            <w:r w:rsidRPr="00891725">
              <w:rPr>
                <w:rFonts w:eastAsia="Times New Roman" w:cs="Arial"/>
                <w:color w:val="FF0000"/>
                <w:sz w:val="20"/>
                <w:szCs w:val="20"/>
                <w:lang w:eastAsia="en-CA"/>
              </w:rPr>
              <w:t xml:space="preserve"> 165,382 </w:t>
            </w:r>
          </w:p>
        </w:tc>
      </w:tr>
    </w:tbl>
    <w:p w:rsidR="00FF4687" w:rsidRPr="00791091" w:rsidRDefault="00FF4687" w:rsidP="00FF4687">
      <w:pPr>
        <w:pStyle w:val="Caption"/>
      </w:pPr>
      <w:r>
        <w:t xml:space="preserve">Table </w:t>
      </w:r>
      <w:fldSimple w:instr=" SEQ Table \* ARABIC ">
        <w:r w:rsidR="00CF2300">
          <w:rPr>
            <w:noProof/>
          </w:rPr>
          <w:t>21</w:t>
        </w:r>
      </w:fldSimple>
      <w:r>
        <w:t xml:space="preserve"> Forecasted </w:t>
      </w:r>
      <w:r w:rsidR="00891725">
        <w:t>Intermediate</w:t>
      </w:r>
      <w:r>
        <w:t xml:space="preserve"> kW</w:t>
      </w:r>
    </w:p>
    <w:p w:rsidR="00FF4687" w:rsidRDefault="00891725" w:rsidP="00FF4687">
      <w:pPr>
        <w:pStyle w:val="Heading2"/>
        <w:tabs>
          <w:tab w:val="clear" w:pos="1002"/>
          <w:tab w:val="num" w:pos="576"/>
        </w:tabs>
        <w:spacing w:before="480" w:after="240" w:line="240" w:lineRule="auto"/>
        <w:ind w:left="576" w:hanging="576"/>
      </w:pPr>
      <w:bookmarkStart w:id="28" w:name="_Toc484704244"/>
      <w:r>
        <w:t>Large Use</w:t>
      </w:r>
      <w:bookmarkEnd w:id="28"/>
    </w:p>
    <w:p w:rsidR="00FF4687" w:rsidRDefault="00FF4687" w:rsidP="00FF4687">
      <w:r>
        <w:t xml:space="preserve">The </w:t>
      </w:r>
      <w:r w:rsidR="00891725">
        <w:t>Large Use</w:t>
      </w:r>
      <w:r>
        <w:t xml:space="preserve"> rate class is not weather sensitive. Due to changes in the composition of the rate class, usage prior to 2015 is not reflective of the expected load going forward. The GS &gt; 50 forecast was calculated as an average of the 201</w:t>
      </w:r>
      <w:r w:rsidR="00A805A3">
        <w:t>3-2</w:t>
      </w:r>
      <w:r>
        <w:t>016 Actual usage.</w:t>
      </w:r>
    </w:p>
    <w:p w:rsidR="00891725" w:rsidRDefault="00891725" w:rsidP="00FF4687">
      <w:r w:rsidRPr="00891725">
        <w:rPr>
          <w:noProof/>
          <w:lang w:val="en-US"/>
        </w:rPr>
        <w:drawing>
          <wp:inline distT="0" distB="0" distL="0" distR="0">
            <wp:extent cx="4594860" cy="25908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94860" cy="2590800"/>
                    </a:xfrm>
                    <a:prstGeom prst="rect">
                      <a:avLst/>
                    </a:prstGeom>
                    <a:noFill/>
                    <a:ln>
                      <a:noFill/>
                    </a:ln>
                  </pic:spPr>
                </pic:pic>
              </a:graphicData>
            </a:graphic>
          </wp:inline>
        </w:drawing>
      </w:r>
    </w:p>
    <w:p w:rsidR="00FF4687" w:rsidRDefault="00FF4687" w:rsidP="00FF4687">
      <w:pPr>
        <w:pStyle w:val="Caption"/>
      </w:pPr>
      <w:r>
        <w:t xml:space="preserve">Table </w:t>
      </w:r>
      <w:fldSimple w:instr=" SEQ Table \* ARABIC ">
        <w:r w:rsidR="00CF2300">
          <w:rPr>
            <w:noProof/>
          </w:rPr>
          <w:t>22</w:t>
        </w:r>
      </w:fldSimple>
      <w:r>
        <w:t xml:space="preserve"> Actual vs Forecast </w:t>
      </w:r>
      <w:r w:rsidR="00891725">
        <w:t>Large Use</w:t>
      </w:r>
      <w:r>
        <w:t xml:space="preserve"> kWh</w:t>
      </w:r>
    </w:p>
    <w:p w:rsidR="00FF4687" w:rsidRDefault="00A805A3" w:rsidP="00FF4687">
      <w:r>
        <w:t xml:space="preserve">The Large Use rate class has had 1 customer for at least the past 10 years, and is expected to have 1 customer going forward. </w:t>
      </w:r>
    </w:p>
    <w:p w:rsidR="00FF4687" w:rsidRDefault="00FF4687" w:rsidP="00FF4687">
      <w:pPr>
        <w:keepNext/>
      </w:pPr>
      <w:r>
        <w:t>In order to normalize and forecast class kW for those classes that bill based on kW (demand) billing determinants, the relationship between billed kW and kWh is used. The average ratio from 2017-2016 is used to for</w:t>
      </w:r>
      <w:r w:rsidR="00A805A3">
        <w:t>ecast kW for all future years.</w:t>
      </w:r>
    </w:p>
    <w:tbl>
      <w:tblPr>
        <w:tblW w:w="4575" w:type="dxa"/>
        <w:tblCellMar>
          <w:top w:w="15" w:type="dxa"/>
          <w:bottom w:w="15" w:type="dxa"/>
        </w:tblCellMar>
        <w:tblLook w:val="04A0" w:firstRow="1" w:lastRow="0" w:firstColumn="1" w:lastColumn="0" w:noHBand="0" w:noVBand="1"/>
      </w:tblPr>
      <w:tblGrid>
        <w:gridCol w:w="661"/>
        <w:gridCol w:w="1497"/>
        <w:gridCol w:w="1384"/>
        <w:gridCol w:w="1405"/>
      </w:tblGrid>
      <w:tr w:rsidR="00A805A3" w:rsidRPr="00A805A3" w:rsidTr="00A805A3">
        <w:trPr>
          <w:trHeight w:val="255"/>
        </w:trPr>
        <w:tc>
          <w:tcPr>
            <w:tcW w:w="4575" w:type="dxa"/>
            <w:gridSpan w:val="4"/>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Large Use</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eastAsia="Times New Roman" w:cs="Arial"/>
                <w:sz w:val="20"/>
                <w:szCs w:val="20"/>
                <w:lang w:eastAsia="en-CA"/>
              </w:rPr>
            </w:pPr>
            <w:r w:rsidRPr="00A805A3">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kWh Actual</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Ratio</w:t>
            </w:r>
          </w:p>
        </w:tc>
        <w:tc>
          <w:tcPr>
            <w:tcW w:w="1405" w:type="dxa"/>
            <w:tcBorders>
              <w:top w:val="nil"/>
              <w:left w:val="nil"/>
              <w:bottom w:val="nil"/>
              <w:right w:val="nil"/>
            </w:tcBorders>
            <w:vAlign w:val="bottom"/>
            <w:hideMark/>
          </w:tcPr>
          <w:p w:rsidR="00A805A3" w:rsidRPr="00A805A3" w:rsidRDefault="00A805A3" w:rsidP="00A805A3">
            <w:pPr>
              <w:spacing w:before="0" w:after="0" w:line="240" w:lineRule="auto"/>
              <w:jc w:val="left"/>
              <w:rPr>
                <w:rFonts w:eastAsia="Times New Roman" w:cs="Arial"/>
                <w:sz w:val="20"/>
                <w:szCs w:val="20"/>
                <w:lang w:eastAsia="en-CA"/>
              </w:rPr>
            </w:pPr>
            <w:r w:rsidRPr="00A805A3">
              <w:rPr>
                <w:rFonts w:eastAsia="Times New Roman" w:cs="Arial"/>
                <w:sz w:val="20"/>
                <w:szCs w:val="20"/>
                <w:lang w:eastAsia="en-CA"/>
              </w:rPr>
              <w:t>kW Actual</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eastAsia="Times New Roman" w:cs="Arial"/>
                <w:sz w:val="20"/>
                <w:szCs w:val="20"/>
                <w:lang w:eastAsia="en-CA"/>
              </w:rPr>
            </w:pP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A</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B</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2007</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87,269,418</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0.001858888</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162,224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2008</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84,565,114</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0.001904589</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161,062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2009</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107,470,119</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0.001645558</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176,848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2010</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95,770,767</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0.001748532</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167,458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2011</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97,907,919</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0.001629855</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159,576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94,151,553</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0.001703762</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160,412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94,970,953</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0.001720841</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163,430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98,447,967</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0.00181739</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178,918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100,676,055</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0.001682845</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169,422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108,025,611</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sz w:val="20"/>
                <w:szCs w:val="20"/>
                <w:lang w:eastAsia="en-CA"/>
              </w:rPr>
            </w:pPr>
            <w:r w:rsidRPr="00A805A3">
              <w:rPr>
                <w:rFonts w:eastAsia="Times New Roman" w:cs="Arial"/>
                <w:sz w:val="20"/>
                <w:szCs w:val="20"/>
                <w:lang w:eastAsia="en-CA"/>
              </w:rPr>
              <w:t>0.001639737</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 xml:space="preserve"> 177,134 </w:t>
            </w: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Times New Roman" w:eastAsia="Times New Roman" w:hAnsi="Times New Roman" w:cs="Times New Roman"/>
                <w:sz w:val="20"/>
                <w:szCs w:val="20"/>
                <w:lang w:eastAsia="en-CA"/>
              </w:rPr>
            </w:pP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Times New Roman" w:eastAsia="Times New Roman" w:hAnsi="Times New Roman" w:cs="Times New Roman"/>
                <w:sz w:val="20"/>
                <w:szCs w:val="20"/>
                <w:lang w:eastAsia="en-CA"/>
              </w:rPr>
            </w:pPr>
          </w:p>
        </w:tc>
      </w:tr>
      <w:tr w:rsidR="00A805A3" w:rsidRPr="00A805A3" w:rsidTr="00A805A3">
        <w:trPr>
          <w:trHeight w:val="285"/>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eastAsia="Times New Roman" w:cs="Arial"/>
                <w:sz w:val="20"/>
                <w:szCs w:val="20"/>
                <w:lang w:eastAsia="en-CA"/>
              </w:rPr>
            </w:pPr>
            <w:r w:rsidRPr="00A805A3">
              <w:rPr>
                <w:rFonts w:eastAsia="Times New Roman" w:cs="Arial"/>
                <w:sz w:val="20"/>
                <w:szCs w:val="20"/>
                <w:lang w:eastAsia="en-CA"/>
              </w:rPr>
              <w:t>kWh Normalized</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Calibri" w:eastAsia="Times New Roman" w:hAnsi="Calibri" w:cs="Calibri"/>
                <w:color w:val="000000"/>
                <w:sz w:val="22"/>
                <w:lang w:eastAsia="en-CA"/>
              </w:rPr>
            </w:pPr>
            <w:r w:rsidRPr="00A805A3">
              <w:rPr>
                <w:rFonts w:ascii="Calibri" w:eastAsia="Times New Roman" w:hAnsi="Calibri" w:cs="Calibri"/>
                <w:color w:val="000000"/>
                <w:sz w:val="22"/>
                <w:lang w:eastAsia="en-CA"/>
              </w:rPr>
              <w:t>kW Normalized</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D</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center"/>
              <w:rPr>
                <w:rFonts w:eastAsia="Times New Roman" w:cs="Arial"/>
                <w:b/>
                <w:bCs/>
                <w:sz w:val="20"/>
                <w:szCs w:val="20"/>
                <w:lang w:eastAsia="en-CA"/>
              </w:rPr>
            </w:pPr>
            <w:r w:rsidRPr="00A805A3">
              <w:rPr>
                <w:rFonts w:eastAsia="Times New Roman" w:cs="Arial"/>
                <w:b/>
                <w:bCs/>
                <w:sz w:val="20"/>
                <w:szCs w:val="20"/>
                <w:lang w:eastAsia="en-CA"/>
              </w:rPr>
              <w:t>F = D * E</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108,025,611</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0.0017352</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 xml:space="preserve"> 187,446 </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98,980,673</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0.0017352</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 xml:space="preserve"> 171,751 </w:t>
            </w:r>
          </w:p>
        </w:tc>
      </w:tr>
      <w:tr w:rsidR="00A805A3" w:rsidRPr="00A805A3" w:rsidTr="00A805A3">
        <w:trPr>
          <w:trHeight w:val="270"/>
        </w:trPr>
        <w:tc>
          <w:tcPr>
            <w:tcW w:w="47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99,199,239</w:t>
            </w:r>
          </w:p>
        </w:tc>
        <w:tc>
          <w:tcPr>
            <w:tcW w:w="1198"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0.0017352</w:t>
            </w:r>
          </w:p>
        </w:tc>
        <w:tc>
          <w:tcPr>
            <w:tcW w:w="1405" w:type="dxa"/>
            <w:tcBorders>
              <w:top w:val="nil"/>
              <w:left w:val="nil"/>
              <w:bottom w:val="nil"/>
              <w:right w:val="nil"/>
            </w:tcBorders>
            <w:noWrap/>
            <w:vAlign w:val="bottom"/>
            <w:hideMark/>
          </w:tcPr>
          <w:p w:rsidR="00A805A3" w:rsidRPr="00A805A3" w:rsidRDefault="00A805A3" w:rsidP="00A805A3">
            <w:pPr>
              <w:spacing w:before="0" w:after="0" w:line="240" w:lineRule="auto"/>
              <w:jc w:val="right"/>
              <w:rPr>
                <w:rFonts w:eastAsia="Times New Roman" w:cs="Arial"/>
                <w:color w:val="FF0000"/>
                <w:sz w:val="20"/>
                <w:szCs w:val="20"/>
                <w:lang w:eastAsia="en-CA"/>
              </w:rPr>
            </w:pPr>
            <w:r w:rsidRPr="00A805A3">
              <w:rPr>
                <w:rFonts w:eastAsia="Times New Roman" w:cs="Arial"/>
                <w:color w:val="FF0000"/>
                <w:sz w:val="20"/>
                <w:szCs w:val="20"/>
                <w:lang w:eastAsia="en-CA"/>
              </w:rPr>
              <w:t xml:space="preserve"> 172,130 </w:t>
            </w:r>
          </w:p>
        </w:tc>
      </w:tr>
    </w:tbl>
    <w:p w:rsidR="00FF4687" w:rsidRPr="00791091" w:rsidRDefault="00FF4687" w:rsidP="00FF4687">
      <w:pPr>
        <w:pStyle w:val="Caption"/>
      </w:pPr>
      <w:r>
        <w:t xml:space="preserve">Table </w:t>
      </w:r>
      <w:fldSimple w:instr=" SEQ Table \* ARABIC ">
        <w:r w:rsidR="00CF2300">
          <w:rPr>
            <w:noProof/>
          </w:rPr>
          <w:t>23</w:t>
        </w:r>
      </w:fldSimple>
      <w:r>
        <w:t xml:space="preserve"> Forecasted </w:t>
      </w:r>
      <w:r w:rsidR="00820263">
        <w:t>Large Use</w:t>
      </w:r>
      <w:r>
        <w:t xml:space="preserve"> kW</w:t>
      </w:r>
    </w:p>
    <w:p w:rsidR="00FF4687" w:rsidRDefault="00A805A3" w:rsidP="00FF4687">
      <w:pPr>
        <w:pStyle w:val="Heading2"/>
        <w:tabs>
          <w:tab w:val="clear" w:pos="1002"/>
          <w:tab w:val="num" w:pos="576"/>
        </w:tabs>
        <w:spacing w:before="480" w:after="240" w:line="240" w:lineRule="auto"/>
        <w:ind w:left="576" w:hanging="576"/>
      </w:pPr>
      <w:bookmarkStart w:id="29" w:name="_Toc484704245"/>
      <w:r>
        <w:t>Embedded Distributor</w:t>
      </w:r>
      <w:bookmarkEnd w:id="29"/>
    </w:p>
    <w:p w:rsidR="00FF4687" w:rsidRDefault="00FF4687" w:rsidP="00FF4687">
      <w:r>
        <w:t xml:space="preserve">The </w:t>
      </w:r>
      <w:r w:rsidR="00A805A3">
        <w:t>Embedded Distributor</w:t>
      </w:r>
      <w:r>
        <w:t xml:space="preserve"> rate class is not </w:t>
      </w:r>
      <w:r w:rsidR="00A805A3">
        <w:t xml:space="preserve">sufficiently </w:t>
      </w:r>
      <w:r>
        <w:t>weather sensitive</w:t>
      </w:r>
      <w:r w:rsidR="00820263">
        <w:t xml:space="preserve"> for meaningful regression analysis</w:t>
      </w:r>
      <w:r>
        <w:t>. The GS &gt; 50 forecast was calc</w:t>
      </w:r>
      <w:r w:rsidR="00820263">
        <w:t>ulated as an average of the 2013</w:t>
      </w:r>
      <w:r>
        <w:t>-2016 Actual usage.</w:t>
      </w:r>
    </w:p>
    <w:tbl>
      <w:tblPr>
        <w:tblW w:w="4840" w:type="dxa"/>
        <w:tblCellMar>
          <w:top w:w="15" w:type="dxa"/>
          <w:bottom w:w="15" w:type="dxa"/>
        </w:tblCellMar>
        <w:tblLook w:val="04A0" w:firstRow="1" w:lastRow="0" w:firstColumn="1" w:lastColumn="0" w:noHBand="0" w:noVBand="1"/>
      </w:tblPr>
      <w:tblGrid>
        <w:gridCol w:w="1000"/>
        <w:gridCol w:w="1217"/>
        <w:gridCol w:w="1328"/>
        <w:gridCol w:w="1540"/>
      </w:tblGrid>
      <w:tr w:rsidR="00820263" w:rsidRPr="00820263" w:rsidTr="00820263">
        <w:trPr>
          <w:trHeight w:val="25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left"/>
              <w:rPr>
                <w:rFonts w:ascii="Times New Roman" w:eastAsia="Times New Roman" w:hAnsi="Times New Roman" w:cs="Times New Roman"/>
                <w:sz w:val="20"/>
                <w:szCs w:val="24"/>
                <w:lang w:eastAsia="en-CA"/>
              </w:rPr>
            </w:pP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Embedded</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c>
          <w:tcPr>
            <w:tcW w:w="1540" w:type="dxa"/>
            <w:tcBorders>
              <w:top w:val="nil"/>
              <w:left w:val="nil"/>
              <w:bottom w:val="nil"/>
              <w:right w:val="nil"/>
            </w:tcBorders>
            <w:shd w:val="clear" w:color="000000" w:fill="FFFFFF"/>
            <w:vAlign w:val="bottom"/>
            <w:hideMark/>
          </w:tcPr>
          <w:p w:rsidR="00820263" w:rsidRPr="00820263" w:rsidRDefault="00820263" w:rsidP="00820263">
            <w:pPr>
              <w:spacing w:before="0" w:after="0" w:line="240" w:lineRule="auto"/>
              <w:jc w:val="right"/>
              <w:rPr>
                <w:rFonts w:ascii="Times New Roman" w:eastAsia="Times New Roman" w:hAnsi="Times New Roman" w:cs="Times New Roman"/>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Year</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Actual</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Connections</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Normal Forecast</w:t>
            </w: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ascii="Times New Roman" w:eastAsia="Times New Roman" w:hAnsi="Times New Roman" w:cs="Times New Roman"/>
                <w:sz w:val="20"/>
                <w:szCs w:val="20"/>
                <w:lang w:eastAsia="en-CA"/>
              </w:rPr>
            </w:pP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ascii="Times New Roman" w:eastAsia="Times New Roman" w:hAnsi="Times New Roman" w:cs="Times New Roman"/>
                <w:sz w:val="20"/>
                <w:szCs w:val="20"/>
                <w:lang w:eastAsia="en-CA"/>
              </w:rPr>
            </w:pPr>
          </w:p>
        </w:tc>
      </w:tr>
      <w:tr w:rsidR="00820263" w:rsidRPr="00820263" w:rsidTr="00820263">
        <w:trPr>
          <w:trHeight w:val="28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2007</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17,391,305</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8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2008</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15,895,270</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3</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8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2009</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17,281,081</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3</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8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2010</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17,355,209</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3</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85"/>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2011</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17,333,527</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3</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2012</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15,488,407</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3</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2013</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15,613,195</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2014</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16,830,475</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2015</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16,494,364</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2016</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16,248,812</w:t>
            </w: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16,296,711</w:t>
            </w: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2017</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16,296,711</w:t>
            </w:r>
          </w:p>
        </w:tc>
      </w:tr>
      <w:tr w:rsidR="00820263" w:rsidRPr="00820263" w:rsidTr="00820263">
        <w:trPr>
          <w:trHeight w:val="270"/>
        </w:trPr>
        <w:tc>
          <w:tcPr>
            <w:tcW w:w="10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2018</w:t>
            </w:r>
          </w:p>
        </w:tc>
        <w:tc>
          <w:tcPr>
            <w:tcW w:w="11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p>
        </w:tc>
        <w:tc>
          <w:tcPr>
            <w:tcW w:w="120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4</w:t>
            </w:r>
          </w:p>
        </w:tc>
        <w:tc>
          <w:tcPr>
            <w:tcW w:w="1540" w:type="dxa"/>
            <w:tcBorders>
              <w:top w:val="nil"/>
              <w:left w:val="nil"/>
              <w:bottom w:val="nil"/>
              <w:right w:val="nil"/>
            </w:tcBorders>
            <w:shd w:val="clear" w:color="000000" w:fill="FFFFFF"/>
            <w:noWrap/>
            <w:vAlign w:val="bottom"/>
            <w:hideMark/>
          </w:tcPr>
          <w:p w:rsidR="00820263" w:rsidRPr="00820263" w:rsidRDefault="00820263" w:rsidP="00820263">
            <w:pPr>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16,296,711</w:t>
            </w:r>
          </w:p>
        </w:tc>
      </w:tr>
    </w:tbl>
    <w:p w:rsidR="00FF4687" w:rsidRDefault="00FF4687" w:rsidP="00FF4687">
      <w:pPr>
        <w:pStyle w:val="Caption"/>
      </w:pPr>
      <w:r>
        <w:t xml:space="preserve">Table </w:t>
      </w:r>
      <w:fldSimple w:instr=" SEQ Table \* ARABIC ">
        <w:r w:rsidR="00CF2300">
          <w:rPr>
            <w:noProof/>
          </w:rPr>
          <w:t>24</w:t>
        </w:r>
      </w:fldSimple>
      <w:r>
        <w:t xml:space="preserve"> Actual vs Forecast </w:t>
      </w:r>
      <w:r w:rsidR="00820263">
        <w:t>Embedded</w:t>
      </w:r>
      <w:r>
        <w:t xml:space="preserve"> kWh</w:t>
      </w:r>
    </w:p>
    <w:p w:rsidR="00FF4687" w:rsidRDefault="00820263" w:rsidP="00FF4687">
      <w:r>
        <w:t>The Embedded Class is served by 4 connections, and this configuration is expected to remain in 2018.</w:t>
      </w:r>
    </w:p>
    <w:p w:rsidR="00FF4687" w:rsidRDefault="00FF4687" w:rsidP="00FF4687">
      <w:pPr>
        <w:keepNext/>
      </w:pPr>
      <w:r>
        <w:t xml:space="preserve">In order to normalize and forecast class kW for those classes that bill based on kW (demand) billing determinants, the relationship between billed kW and kWh is used. The </w:t>
      </w:r>
      <w:r w:rsidR="00820263">
        <w:t>average ratio from 200</w:t>
      </w:r>
      <w:r>
        <w:t>7-2016 is used to for</w:t>
      </w:r>
      <w:r w:rsidR="00820263">
        <w:t>ecast kW for all future years.</w:t>
      </w:r>
    </w:p>
    <w:tbl>
      <w:tblPr>
        <w:tblW w:w="4575" w:type="dxa"/>
        <w:tblCellMar>
          <w:top w:w="15" w:type="dxa"/>
          <w:bottom w:w="15" w:type="dxa"/>
        </w:tblCellMar>
        <w:tblLook w:val="04A0" w:firstRow="1" w:lastRow="0" w:firstColumn="1" w:lastColumn="0" w:noHBand="0" w:noVBand="1"/>
      </w:tblPr>
      <w:tblGrid>
        <w:gridCol w:w="661"/>
        <w:gridCol w:w="1497"/>
        <w:gridCol w:w="1384"/>
        <w:gridCol w:w="1405"/>
      </w:tblGrid>
      <w:tr w:rsidR="00820263" w:rsidRPr="00820263" w:rsidTr="00820263">
        <w:trPr>
          <w:trHeight w:val="255"/>
        </w:trPr>
        <w:tc>
          <w:tcPr>
            <w:tcW w:w="4575" w:type="dxa"/>
            <w:gridSpan w:val="4"/>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Embedded Distributor</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eastAsia="Times New Roman" w:cs="Arial"/>
                <w:sz w:val="20"/>
                <w:szCs w:val="20"/>
                <w:lang w:eastAsia="en-CA"/>
              </w:rPr>
            </w:pPr>
            <w:r w:rsidRPr="00820263">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kWh Actual</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Ratio</w:t>
            </w:r>
          </w:p>
        </w:tc>
        <w:tc>
          <w:tcPr>
            <w:tcW w:w="1405" w:type="dxa"/>
            <w:tcBorders>
              <w:top w:val="nil"/>
              <w:left w:val="nil"/>
              <w:bottom w:val="nil"/>
              <w:right w:val="nil"/>
            </w:tcBorders>
            <w:vAlign w:val="bottom"/>
            <w:hideMark/>
          </w:tcPr>
          <w:p w:rsidR="00820263" w:rsidRPr="00820263" w:rsidRDefault="00820263" w:rsidP="00820263">
            <w:pPr>
              <w:keepNext/>
              <w:spacing w:before="0" w:after="0" w:line="240" w:lineRule="auto"/>
              <w:jc w:val="left"/>
              <w:rPr>
                <w:rFonts w:eastAsia="Times New Roman" w:cs="Arial"/>
                <w:sz w:val="20"/>
                <w:szCs w:val="20"/>
                <w:lang w:eastAsia="en-CA"/>
              </w:rPr>
            </w:pPr>
            <w:r w:rsidRPr="00820263">
              <w:rPr>
                <w:rFonts w:eastAsia="Times New Roman" w:cs="Arial"/>
                <w:sz w:val="20"/>
                <w:szCs w:val="20"/>
                <w:lang w:eastAsia="en-CA"/>
              </w:rPr>
              <w:t>kW Actual</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eastAsia="Times New Roman" w:cs="Arial"/>
                <w:sz w:val="20"/>
                <w:szCs w:val="20"/>
                <w:lang w:eastAsia="en-CA"/>
              </w:rPr>
            </w:pP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A</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B</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2007</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17,391,305</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0.001642597</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28,567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2008</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15,895,270</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0.002199981</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34,969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2009</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17,281,081</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0.00224659</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38,824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2010</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17,355,209</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0.001991137</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34,557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2011</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17,333,527</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0.002107823</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36,536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15,488,407</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0.002325707</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36,022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15,613,195</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0.002321959</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36,253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16,830,475</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0.002139482</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36,009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16,494,364</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0.002173833</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35,856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16,248,812</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sz w:val="20"/>
                <w:szCs w:val="20"/>
                <w:lang w:eastAsia="en-CA"/>
              </w:rPr>
            </w:pPr>
            <w:r w:rsidRPr="00820263">
              <w:rPr>
                <w:rFonts w:eastAsia="Times New Roman" w:cs="Arial"/>
                <w:sz w:val="20"/>
                <w:szCs w:val="20"/>
                <w:lang w:eastAsia="en-CA"/>
              </w:rPr>
              <w:t>0.002239499</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 xml:space="preserve"> 36,389 </w:t>
            </w: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Times New Roman" w:eastAsia="Times New Roman" w:hAnsi="Times New Roman" w:cs="Times New Roman"/>
                <w:sz w:val="20"/>
                <w:szCs w:val="20"/>
                <w:lang w:eastAsia="en-CA"/>
              </w:rPr>
            </w:pP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Times New Roman" w:eastAsia="Times New Roman" w:hAnsi="Times New Roman" w:cs="Times New Roman"/>
                <w:sz w:val="20"/>
                <w:szCs w:val="20"/>
                <w:lang w:eastAsia="en-CA"/>
              </w:rPr>
            </w:pPr>
          </w:p>
        </w:tc>
      </w:tr>
      <w:tr w:rsidR="00820263" w:rsidRPr="00820263" w:rsidTr="00820263">
        <w:trPr>
          <w:trHeight w:val="285"/>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eastAsia="Times New Roman" w:cs="Arial"/>
                <w:sz w:val="20"/>
                <w:szCs w:val="20"/>
                <w:lang w:eastAsia="en-CA"/>
              </w:rPr>
            </w:pPr>
            <w:r w:rsidRPr="00820263">
              <w:rPr>
                <w:rFonts w:eastAsia="Times New Roman" w:cs="Arial"/>
                <w:sz w:val="20"/>
                <w:szCs w:val="20"/>
                <w:lang w:eastAsia="en-CA"/>
              </w:rPr>
              <w:t>kWh Normalized</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Calibri" w:eastAsia="Times New Roman" w:hAnsi="Calibri" w:cs="Calibri"/>
                <w:color w:val="000000"/>
                <w:sz w:val="22"/>
                <w:lang w:eastAsia="en-CA"/>
              </w:rPr>
            </w:pPr>
            <w:r w:rsidRPr="00820263">
              <w:rPr>
                <w:rFonts w:ascii="Calibri" w:eastAsia="Times New Roman" w:hAnsi="Calibri" w:cs="Calibri"/>
                <w:color w:val="000000"/>
                <w:sz w:val="22"/>
                <w:lang w:eastAsia="en-CA"/>
              </w:rPr>
              <w:t>kW Normalized</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D</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center"/>
              <w:rPr>
                <w:rFonts w:eastAsia="Times New Roman" w:cs="Arial"/>
                <w:b/>
                <w:bCs/>
                <w:sz w:val="20"/>
                <w:szCs w:val="20"/>
                <w:lang w:eastAsia="en-CA"/>
              </w:rPr>
            </w:pPr>
            <w:r w:rsidRPr="00820263">
              <w:rPr>
                <w:rFonts w:eastAsia="Times New Roman" w:cs="Arial"/>
                <w:b/>
                <w:bCs/>
                <w:sz w:val="20"/>
                <w:szCs w:val="20"/>
                <w:lang w:eastAsia="en-CA"/>
              </w:rPr>
              <w:t>F = D * E</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16,296,711</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0.002138861</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 xml:space="preserve"> 34,856 </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16,296,711</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0.002138861</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 xml:space="preserve"> 34,856 </w:t>
            </w:r>
          </w:p>
        </w:tc>
      </w:tr>
      <w:tr w:rsidR="00820263" w:rsidRPr="00820263" w:rsidTr="00820263">
        <w:trPr>
          <w:trHeight w:val="270"/>
        </w:trPr>
        <w:tc>
          <w:tcPr>
            <w:tcW w:w="47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16,296,711</w:t>
            </w:r>
          </w:p>
        </w:tc>
        <w:tc>
          <w:tcPr>
            <w:tcW w:w="1198"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0.002138861</w:t>
            </w:r>
          </w:p>
        </w:tc>
        <w:tc>
          <w:tcPr>
            <w:tcW w:w="1405" w:type="dxa"/>
            <w:tcBorders>
              <w:top w:val="nil"/>
              <w:left w:val="nil"/>
              <w:bottom w:val="nil"/>
              <w:right w:val="nil"/>
            </w:tcBorders>
            <w:noWrap/>
            <w:vAlign w:val="bottom"/>
            <w:hideMark/>
          </w:tcPr>
          <w:p w:rsidR="00820263" w:rsidRPr="00820263" w:rsidRDefault="00820263" w:rsidP="00820263">
            <w:pPr>
              <w:keepNext/>
              <w:spacing w:before="0" w:after="0" w:line="240" w:lineRule="auto"/>
              <w:jc w:val="right"/>
              <w:rPr>
                <w:rFonts w:eastAsia="Times New Roman" w:cs="Arial"/>
                <w:color w:val="FF0000"/>
                <w:sz w:val="20"/>
                <w:szCs w:val="20"/>
                <w:lang w:eastAsia="en-CA"/>
              </w:rPr>
            </w:pPr>
            <w:r w:rsidRPr="00820263">
              <w:rPr>
                <w:rFonts w:eastAsia="Times New Roman" w:cs="Arial"/>
                <w:color w:val="FF0000"/>
                <w:sz w:val="20"/>
                <w:szCs w:val="20"/>
                <w:lang w:eastAsia="en-CA"/>
              </w:rPr>
              <w:t xml:space="preserve"> 34,856 </w:t>
            </w:r>
          </w:p>
        </w:tc>
      </w:tr>
    </w:tbl>
    <w:p w:rsidR="00FF4687" w:rsidRPr="00791091" w:rsidRDefault="00FF4687" w:rsidP="00FF4687">
      <w:pPr>
        <w:pStyle w:val="Caption"/>
      </w:pPr>
      <w:r>
        <w:t xml:space="preserve">Table </w:t>
      </w:r>
      <w:fldSimple w:instr=" SEQ Table \* ARABIC ">
        <w:r w:rsidR="00CF2300">
          <w:rPr>
            <w:noProof/>
          </w:rPr>
          <w:t>25</w:t>
        </w:r>
      </w:fldSimple>
      <w:r>
        <w:t xml:space="preserve"> Forecasted GS &gt; 50 kW</w:t>
      </w:r>
    </w:p>
    <w:p w:rsidR="00397DA5" w:rsidRDefault="00397DA5" w:rsidP="00397DA5">
      <w:pPr>
        <w:pStyle w:val="Heading1"/>
        <w:tabs>
          <w:tab w:val="num" w:pos="432"/>
        </w:tabs>
        <w:spacing w:before="480" w:after="240" w:line="240" w:lineRule="auto"/>
        <w:ind w:left="432" w:hanging="432"/>
      </w:pPr>
      <w:bookmarkStart w:id="30" w:name="_Toc484704246"/>
      <w:r>
        <w:t>Street Light</w:t>
      </w:r>
      <w:r w:rsidR="00820263">
        <w:t>, Sentinel</w:t>
      </w:r>
      <w:r>
        <w:t xml:space="preserve"> and USL Forecast</w:t>
      </w:r>
      <w:bookmarkEnd w:id="26"/>
      <w:bookmarkEnd w:id="30"/>
    </w:p>
    <w:p w:rsidR="00397DA5" w:rsidRDefault="00397DA5" w:rsidP="00397DA5">
      <w:r>
        <w:t>The Street Lighting</w:t>
      </w:r>
      <w:r w:rsidR="00820263">
        <w:t>, Sentinel,</w:t>
      </w:r>
      <w:r>
        <w:t xml:space="preserve"> and Unmetered Scattered Load Classes are non-weather sensitive classes. The tables below summarize the historic annual energy consumption for both classes and the anticipated consumption in the forecast period. </w:t>
      </w:r>
    </w:p>
    <w:p w:rsidR="00397DA5" w:rsidRDefault="00397DA5" w:rsidP="00397DA5">
      <w:r>
        <w:t xml:space="preserve">The </w:t>
      </w:r>
      <w:r w:rsidR="002455C0">
        <w:t xml:space="preserve">Street Light </w:t>
      </w:r>
      <w:r>
        <w:t xml:space="preserve">class has </w:t>
      </w:r>
      <w:r w:rsidR="002455C0">
        <w:t>a significant increase in connection count in December 2015.  The growth rate from 2007-2015 is expected to reflect the norm from 2017-2018.</w:t>
      </w:r>
    </w:p>
    <w:tbl>
      <w:tblPr>
        <w:tblW w:w="3060" w:type="dxa"/>
        <w:tblCellMar>
          <w:top w:w="15" w:type="dxa"/>
          <w:bottom w:w="15" w:type="dxa"/>
        </w:tblCellMar>
        <w:tblLook w:val="04A0" w:firstRow="1" w:lastRow="0" w:firstColumn="1" w:lastColumn="0" w:noHBand="0" w:noVBand="1"/>
      </w:tblPr>
      <w:tblGrid>
        <w:gridCol w:w="1120"/>
        <w:gridCol w:w="928"/>
        <w:gridCol w:w="1086"/>
      </w:tblGrid>
      <w:tr w:rsidR="00F32819" w:rsidRPr="00F32819" w:rsidTr="00F32819">
        <w:trPr>
          <w:trHeight w:val="270"/>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left"/>
              <w:rPr>
                <w:rFonts w:eastAsia="Times New Roman" w:cs="Arial"/>
                <w:sz w:val="20"/>
                <w:szCs w:val="20"/>
                <w:lang w:eastAsia="en-CA"/>
              </w:rPr>
            </w:pPr>
            <w:r w:rsidRPr="00F32819">
              <w:rPr>
                <w:rFonts w:eastAsia="Times New Roman" w:cs="Arial"/>
                <w:sz w:val="20"/>
                <w:szCs w:val="20"/>
                <w:lang w:eastAsia="en-CA"/>
              </w:rPr>
              <w:t>Street Light</w:t>
            </w:r>
          </w:p>
        </w:tc>
        <w:tc>
          <w:tcPr>
            <w:tcW w:w="854" w:type="dxa"/>
            <w:vMerge w:val="restart"/>
            <w:tcBorders>
              <w:top w:val="nil"/>
              <w:left w:val="nil"/>
              <w:bottom w:val="nil"/>
              <w:right w:val="nil"/>
            </w:tcBorders>
            <w:vAlign w:val="bottom"/>
            <w:hideMark/>
          </w:tcPr>
          <w:p w:rsidR="00F32819" w:rsidRPr="00F32819" w:rsidRDefault="00F32819" w:rsidP="002455C0">
            <w:pPr>
              <w:keepNext/>
              <w:spacing w:before="0" w:after="0" w:line="240" w:lineRule="auto"/>
              <w:jc w:val="center"/>
              <w:rPr>
                <w:rFonts w:eastAsia="Times New Roman" w:cs="Arial"/>
                <w:sz w:val="20"/>
                <w:szCs w:val="20"/>
                <w:lang w:eastAsia="en-CA"/>
              </w:rPr>
            </w:pPr>
            <w:r w:rsidRPr="00F32819">
              <w:rPr>
                <w:rFonts w:eastAsia="Times New Roman" w:cs="Arial"/>
                <w:sz w:val="20"/>
                <w:szCs w:val="20"/>
                <w:lang w:eastAsia="en-CA"/>
              </w:rPr>
              <w:t>Lamps / Devices</w:t>
            </w:r>
          </w:p>
        </w:tc>
        <w:tc>
          <w:tcPr>
            <w:tcW w:w="1086" w:type="dxa"/>
            <w:vMerge w:val="restart"/>
            <w:tcBorders>
              <w:top w:val="nil"/>
              <w:left w:val="nil"/>
              <w:bottom w:val="nil"/>
              <w:right w:val="nil"/>
            </w:tcBorders>
            <w:vAlign w:val="bottom"/>
            <w:hideMark/>
          </w:tcPr>
          <w:p w:rsidR="00F32819" w:rsidRPr="00F32819" w:rsidRDefault="00F32819" w:rsidP="002455C0">
            <w:pPr>
              <w:keepNext/>
              <w:spacing w:before="0" w:after="0" w:line="240" w:lineRule="auto"/>
              <w:jc w:val="center"/>
              <w:rPr>
                <w:rFonts w:eastAsia="Times New Roman" w:cs="Arial"/>
                <w:sz w:val="20"/>
                <w:szCs w:val="20"/>
                <w:lang w:eastAsia="en-CA"/>
              </w:rPr>
            </w:pPr>
            <w:r w:rsidRPr="00F32819">
              <w:rPr>
                <w:rFonts w:eastAsia="Times New Roman" w:cs="Arial"/>
                <w:sz w:val="20"/>
                <w:szCs w:val="20"/>
                <w:lang w:eastAsia="en-CA"/>
              </w:rPr>
              <w:t>Percent of Prior Year</w:t>
            </w:r>
          </w:p>
        </w:tc>
      </w:tr>
      <w:tr w:rsidR="00F32819" w:rsidRPr="00F32819" w:rsidTr="00F32819">
        <w:trPr>
          <w:trHeight w:val="270"/>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Year</w:t>
            </w:r>
          </w:p>
        </w:tc>
        <w:tc>
          <w:tcPr>
            <w:tcW w:w="854" w:type="dxa"/>
            <w:vMerge/>
            <w:tcBorders>
              <w:top w:val="nil"/>
              <w:left w:val="nil"/>
              <w:bottom w:val="nil"/>
              <w:right w:val="nil"/>
            </w:tcBorders>
            <w:vAlign w:val="center"/>
            <w:hideMark/>
          </w:tcPr>
          <w:p w:rsidR="00F32819" w:rsidRPr="00F32819" w:rsidRDefault="00F32819" w:rsidP="002455C0">
            <w:pPr>
              <w:keepNext/>
              <w:spacing w:before="0" w:after="0" w:line="240" w:lineRule="auto"/>
              <w:jc w:val="left"/>
              <w:rPr>
                <w:rFonts w:eastAsia="Times New Roman" w:cs="Arial"/>
                <w:sz w:val="20"/>
                <w:szCs w:val="20"/>
                <w:lang w:eastAsia="en-CA"/>
              </w:rPr>
            </w:pPr>
          </w:p>
        </w:tc>
        <w:tc>
          <w:tcPr>
            <w:tcW w:w="1086" w:type="dxa"/>
            <w:vMerge/>
            <w:tcBorders>
              <w:top w:val="nil"/>
              <w:left w:val="nil"/>
              <w:bottom w:val="nil"/>
              <w:right w:val="nil"/>
            </w:tcBorders>
            <w:vAlign w:val="center"/>
            <w:hideMark/>
          </w:tcPr>
          <w:p w:rsidR="00F32819" w:rsidRPr="00F32819" w:rsidRDefault="00F32819" w:rsidP="002455C0">
            <w:pPr>
              <w:keepNext/>
              <w:spacing w:before="0" w:after="0" w:line="240" w:lineRule="auto"/>
              <w:jc w:val="left"/>
              <w:rPr>
                <w:rFonts w:eastAsia="Times New Roman" w:cs="Arial"/>
                <w:sz w:val="20"/>
                <w:szCs w:val="20"/>
                <w:lang w:eastAsia="en-CA"/>
              </w:rPr>
            </w:pP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2007</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4,197</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2008</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4,283</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102.05%</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2009</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4,283</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100.00%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2010</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4,283</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100.00%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2011</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4,283</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100.00%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2012</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4,283</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100.00%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2013</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4,498</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105.02%</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2014</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4,498</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100.00%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2015</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4,617</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102.65%</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2016</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5,927</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ascii="Calibri" w:eastAsia="Times New Roman" w:hAnsi="Calibri" w:cs="Calibri"/>
                <w:color w:val="000000"/>
                <w:sz w:val="22"/>
                <w:lang w:eastAsia="en-CA"/>
              </w:rPr>
            </w:pPr>
            <w:r w:rsidRPr="00F32819">
              <w:rPr>
                <w:rFonts w:ascii="Calibri" w:eastAsia="Times New Roman" w:hAnsi="Calibri" w:cs="Calibri"/>
                <w:color w:val="000000"/>
                <w:sz w:val="22"/>
                <w:lang w:eastAsia="en-CA"/>
              </w:rPr>
              <w:t>128.37%</w:t>
            </w:r>
          </w:p>
        </w:tc>
      </w:tr>
      <w:tr w:rsidR="00F32819" w:rsidRPr="00F32819" w:rsidTr="00F32819">
        <w:trPr>
          <w:trHeight w:val="270"/>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2017</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5,998</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101.20%</w:t>
            </w:r>
          </w:p>
        </w:tc>
      </w:tr>
      <w:tr w:rsidR="00F32819" w:rsidRPr="00F32819" w:rsidTr="00F32819">
        <w:trPr>
          <w:trHeight w:val="285"/>
        </w:trPr>
        <w:tc>
          <w:tcPr>
            <w:tcW w:w="1120"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2018</w:t>
            </w:r>
          </w:p>
        </w:tc>
        <w:tc>
          <w:tcPr>
            <w:tcW w:w="854"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6,070</w:t>
            </w:r>
          </w:p>
        </w:tc>
        <w:tc>
          <w:tcPr>
            <w:tcW w:w="1086" w:type="dxa"/>
            <w:tcBorders>
              <w:top w:val="nil"/>
              <w:left w:val="nil"/>
              <w:bottom w:val="nil"/>
              <w:right w:val="nil"/>
            </w:tcBorders>
            <w:noWrap/>
            <w:vAlign w:val="bottom"/>
            <w:hideMark/>
          </w:tcPr>
          <w:p w:rsidR="00F32819" w:rsidRPr="00F32819" w:rsidRDefault="00F32819" w:rsidP="002455C0">
            <w:pPr>
              <w:keepNext/>
              <w:spacing w:before="0" w:after="0" w:line="240" w:lineRule="auto"/>
              <w:jc w:val="right"/>
              <w:rPr>
                <w:rFonts w:eastAsia="Times New Roman" w:cs="Arial"/>
                <w:color w:val="FF0000"/>
                <w:sz w:val="20"/>
                <w:szCs w:val="20"/>
                <w:lang w:eastAsia="en-CA"/>
              </w:rPr>
            </w:pPr>
            <w:r w:rsidRPr="00F32819">
              <w:rPr>
                <w:rFonts w:eastAsia="Times New Roman" w:cs="Arial"/>
                <w:color w:val="FF0000"/>
                <w:sz w:val="20"/>
                <w:szCs w:val="20"/>
                <w:lang w:eastAsia="en-CA"/>
              </w:rPr>
              <w:t>101.20%</w:t>
            </w:r>
          </w:p>
        </w:tc>
      </w:tr>
    </w:tbl>
    <w:p w:rsidR="00397DA5" w:rsidRDefault="00397DA5" w:rsidP="00397DA5">
      <w:pPr>
        <w:pStyle w:val="Caption"/>
      </w:pPr>
      <w:r>
        <w:t xml:space="preserve">Table </w:t>
      </w:r>
      <w:fldSimple w:instr=" SEQ Table \* ARABIC ">
        <w:r w:rsidR="00CF2300">
          <w:rPr>
            <w:noProof/>
          </w:rPr>
          <w:t>26</w:t>
        </w:r>
      </w:fldSimple>
      <w:r>
        <w:t xml:space="preserve"> Forecasted Street Light lamps (devices)</w:t>
      </w:r>
    </w:p>
    <w:p w:rsidR="00F32819" w:rsidRDefault="00F32819" w:rsidP="00F32819"/>
    <w:tbl>
      <w:tblPr>
        <w:tblW w:w="3134" w:type="dxa"/>
        <w:tblCellMar>
          <w:top w:w="15" w:type="dxa"/>
          <w:bottom w:w="15" w:type="dxa"/>
        </w:tblCellMar>
        <w:tblLook w:val="04A0" w:firstRow="1" w:lastRow="0" w:firstColumn="1" w:lastColumn="0" w:noHBand="0" w:noVBand="1"/>
      </w:tblPr>
      <w:tblGrid>
        <w:gridCol w:w="1120"/>
        <w:gridCol w:w="1328"/>
        <w:gridCol w:w="1086"/>
      </w:tblGrid>
      <w:tr w:rsidR="00F32819" w:rsidRPr="00F32819" w:rsidTr="002E7D21">
        <w:trPr>
          <w:trHeight w:val="270"/>
        </w:trPr>
        <w:tc>
          <w:tcPr>
            <w:tcW w:w="1120" w:type="dxa"/>
            <w:tcBorders>
              <w:top w:val="nil"/>
              <w:left w:val="nil"/>
              <w:bottom w:val="nil"/>
              <w:right w:val="nil"/>
            </w:tcBorders>
            <w:noWrap/>
            <w:vAlign w:val="bottom"/>
            <w:hideMark/>
          </w:tcPr>
          <w:p w:rsidR="00F32819" w:rsidRPr="00F32819" w:rsidRDefault="002E7D21" w:rsidP="00F32819">
            <w:pPr>
              <w:spacing w:before="0" w:after="0" w:line="240" w:lineRule="auto"/>
              <w:jc w:val="left"/>
              <w:rPr>
                <w:rFonts w:eastAsia="Times New Roman" w:cs="Arial"/>
                <w:sz w:val="20"/>
                <w:szCs w:val="20"/>
                <w:lang w:eastAsia="en-CA"/>
              </w:rPr>
            </w:pPr>
            <w:r>
              <w:rPr>
                <w:rFonts w:eastAsia="Times New Roman" w:cs="Arial"/>
                <w:sz w:val="20"/>
                <w:szCs w:val="20"/>
                <w:lang w:eastAsia="en-CA"/>
              </w:rPr>
              <w:t xml:space="preserve">Sentinel </w:t>
            </w:r>
            <w:r w:rsidR="00F32819" w:rsidRPr="00F32819">
              <w:rPr>
                <w:rFonts w:eastAsia="Times New Roman" w:cs="Arial"/>
                <w:sz w:val="20"/>
                <w:szCs w:val="20"/>
                <w:lang w:eastAsia="en-CA"/>
              </w:rPr>
              <w:t>Light</w:t>
            </w:r>
          </w:p>
        </w:tc>
        <w:tc>
          <w:tcPr>
            <w:tcW w:w="928" w:type="dxa"/>
            <w:vMerge w:val="restart"/>
            <w:tcBorders>
              <w:top w:val="nil"/>
              <w:left w:val="nil"/>
              <w:bottom w:val="nil"/>
              <w:right w:val="nil"/>
            </w:tcBorders>
            <w:vAlign w:val="bottom"/>
            <w:hideMark/>
          </w:tcPr>
          <w:p w:rsidR="00F32819" w:rsidRPr="00F32819" w:rsidRDefault="002E7D21" w:rsidP="00F32819">
            <w:pPr>
              <w:spacing w:before="0" w:after="0" w:line="240" w:lineRule="auto"/>
              <w:jc w:val="center"/>
              <w:rPr>
                <w:rFonts w:eastAsia="Times New Roman" w:cs="Arial"/>
                <w:sz w:val="20"/>
                <w:szCs w:val="20"/>
                <w:lang w:eastAsia="en-CA"/>
              </w:rPr>
            </w:pPr>
            <w:r>
              <w:rPr>
                <w:rFonts w:eastAsia="Times New Roman" w:cs="Arial"/>
                <w:sz w:val="20"/>
                <w:szCs w:val="20"/>
                <w:lang w:eastAsia="en-CA"/>
              </w:rPr>
              <w:t>Connections</w:t>
            </w:r>
          </w:p>
        </w:tc>
        <w:tc>
          <w:tcPr>
            <w:tcW w:w="1086" w:type="dxa"/>
            <w:vMerge w:val="restart"/>
            <w:tcBorders>
              <w:top w:val="nil"/>
              <w:left w:val="nil"/>
              <w:bottom w:val="nil"/>
              <w:right w:val="nil"/>
            </w:tcBorders>
            <w:vAlign w:val="bottom"/>
            <w:hideMark/>
          </w:tcPr>
          <w:p w:rsidR="00F32819" w:rsidRPr="00F32819" w:rsidRDefault="00F32819" w:rsidP="00F32819">
            <w:pPr>
              <w:spacing w:before="0" w:after="0" w:line="240" w:lineRule="auto"/>
              <w:jc w:val="center"/>
              <w:rPr>
                <w:rFonts w:eastAsia="Times New Roman" w:cs="Arial"/>
                <w:sz w:val="20"/>
                <w:szCs w:val="20"/>
                <w:lang w:eastAsia="en-CA"/>
              </w:rPr>
            </w:pPr>
            <w:r w:rsidRPr="00F32819">
              <w:rPr>
                <w:rFonts w:eastAsia="Times New Roman" w:cs="Arial"/>
                <w:sz w:val="20"/>
                <w:szCs w:val="20"/>
                <w:lang w:eastAsia="en-CA"/>
              </w:rPr>
              <w:t>Percent of Prior Year</w:t>
            </w:r>
          </w:p>
        </w:tc>
      </w:tr>
      <w:tr w:rsidR="00F32819" w:rsidRPr="00F32819" w:rsidTr="002E7D21">
        <w:trPr>
          <w:trHeight w:val="270"/>
        </w:trPr>
        <w:tc>
          <w:tcPr>
            <w:tcW w:w="1120" w:type="dxa"/>
            <w:tcBorders>
              <w:top w:val="nil"/>
              <w:left w:val="nil"/>
              <w:bottom w:val="nil"/>
              <w:right w:val="nil"/>
            </w:tcBorders>
            <w:noWrap/>
            <w:vAlign w:val="bottom"/>
            <w:hideMark/>
          </w:tcPr>
          <w:p w:rsidR="00F32819" w:rsidRPr="00F32819" w:rsidRDefault="00F32819" w:rsidP="00F32819">
            <w:pPr>
              <w:spacing w:before="0" w:after="0" w:line="240" w:lineRule="auto"/>
              <w:jc w:val="right"/>
              <w:rPr>
                <w:rFonts w:eastAsia="Times New Roman" w:cs="Arial"/>
                <w:sz w:val="20"/>
                <w:szCs w:val="20"/>
                <w:lang w:eastAsia="en-CA"/>
              </w:rPr>
            </w:pPr>
            <w:r w:rsidRPr="00F32819">
              <w:rPr>
                <w:rFonts w:eastAsia="Times New Roman" w:cs="Arial"/>
                <w:sz w:val="20"/>
                <w:szCs w:val="20"/>
                <w:lang w:eastAsia="en-CA"/>
              </w:rPr>
              <w:t>Year</w:t>
            </w:r>
          </w:p>
        </w:tc>
        <w:tc>
          <w:tcPr>
            <w:tcW w:w="928" w:type="dxa"/>
            <w:vMerge/>
            <w:tcBorders>
              <w:top w:val="nil"/>
              <w:left w:val="nil"/>
              <w:bottom w:val="nil"/>
              <w:right w:val="nil"/>
            </w:tcBorders>
            <w:vAlign w:val="center"/>
            <w:hideMark/>
          </w:tcPr>
          <w:p w:rsidR="00F32819" w:rsidRPr="00F32819" w:rsidRDefault="00F32819" w:rsidP="00F32819">
            <w:pPr>
              <w:spacing w:before="0" w:after="0" w:line="240" w:lineRule="auto"/>
              <w:jc w:val="left"/>
              <w:rPr>
                <w:rFonts w:eastAsia="Times New Roman" w:cs="Arial"/>
                <w:sz w:val="20"/>
                <w:szCs w:val="20"/>
                <w:lang w:eastAsia="en-CA"/>
              </w:rPr>
            </w:pPr>
          </w:p>
        </w:tc>
        <w:tc>
          <w:tcPr>
            <w:tcW w:w="1086" w:type="dxa"/>
            <w:vMerge/>
            <w:tcBorders>
              <w:top w:val="nil"/>
              <w:left w:val="nil"/>
              <w:bottom w:val="nil"/>
              <w:right w:val="nil"/>
            </w:tcBorders>
            <w:vAlign w:val="center"/>
            <w:hideMark/>
          </w:tcPr>
          <w:p w:rsidR="00F32819" w:rsidRPr="00F32819" w:rsidRDefault="00F32819" w:rsidP="00F32819">
            <w:pPr>
              <w:spacing w:before="0" w:after="0" w:line="240" w:lineRule="auto"/>
              <w:jc w:val="left"/>
              <w:rPr>
                <w:rFonts w:eastAsia="Times New Roman" w:cs="Arial"/>
                <w:sz w:val="20"/>
                <w:szCs w:val="20"/>
                <w:lang w:eastAsia="en-CA"/>
              </w:rPr>
            </w:pP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2007</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line="240" w:lineRule="auto"/>
              <w:jc w:val="right"/>
              <w:rPr>
                <w:rFonts w:eastAsia="Times New Roman" w:cs="Arial"/>
                <w:sz w:val="20"/>
                <w:szCs w:val="20"/>
                <w:lang w:eastAsia="en-CA"/>
              </w:rPr>
            </w:pP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2008</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2009</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2010</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2011</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2012</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301</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2013</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248</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82.39%</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2014</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248</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2015</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248</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2016</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248</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sz w:val="20"/>
                <w:szCs w:val="20"/>
                <w:lang w:eastAsia="en-CA"/>
              </w:rPr>
            </w:pPr>
            <w:r w:rsidRPr="002E7D21">
              <w:rPr>
                <w:rFonts w:eastAsia="Times New Roman" w:cs="Arial"/>
                <w:sz w:val="20"/>
                <w:szCs w:val="20"/>
                <w:lang w:eastAsia="en-CA"/>
              </w:rPr>
              <w:t>100.00%</w:t>
            </w:r>
          </w:p>
        </w:tc>
      </w:tr>
      <w:tr w:rsidR="002E7D21" w:rsidRPr="00F32819" w:rsidTr="002E7D21">
        <w:trPr>
          <w:trHeight w:val="270"/>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2017</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243</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97.87%</w:t>
            </w:r>
          </w:p>
        </w:tc>
      </w:tr>
      <w:tr w:rsidR="002E7D21" w:rsidRPr="00F32819" w:rsidTr="002E7D21">
        <w:trPr>
          <w:trHeight w:val="285"/>
        </w:trPr>
        <w:tc>
          <w:tcPr>
            <w:tcW w:w="1120"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2018</w:t>
            </w:r>
          </w:p>
        </w:tc>
        <w:tc>
          <w:tcPr>
            <w:tcW w:w="928"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238</w:t>
            </w:r>
          </w:p>
        </w:tc>
        <w:tc>
          <w:tcPr>
            <w:tcW w:w="1086" w:type="dxa"/>
            <w:tcBorders>
              <w:top w:val="nil"/>
              <w:left w:val="nil"/>
              <w:bottom w:val="nil"/>
              <w:right w:val="nil"/>
            </w:tcBorders>
            <w:noWrap/>
            <w:vAlign w:val="bottom"/>
            <w:hideMark/>
          </w:tcPr>
          <w:p w:rsidR="002E7D21" w:rsidRPr="002E7D21" w:rsidRDefault="002E7D21" w:rsidP="002E7D21">
            <w:pPr>
              <w:keepNext/>
              <w:spacing w:before="0" w:after="0" w:line="240" w:lineRule="auto"/>
              <w:jc w:val="right"/>
              <w:rPr>
                <w:rFonts w:eastAsia="Times New Roman" w:cs="Arial"/>
                <w:color w:val="FF0000"/>
                <w:sz w:val="20"/>
                <w:szCs w:val="20"/>
                <w:lang w:eastAsia="en-CA"/>
              </w:rPr>
            </w:pPr>
            <w:r w:rsidRPr="002E7D21">
              <w:rPr>
                <w:rFonts w:eastAsia="Times New Roman" w:cs="Arial"/>
                <w:color w:val="FF0000"/>
                <w:sz w:val="20"/>
                <w:szCs w:val="20"/>
                <w:lang w:eastAsia="en-CA"/>
              </w:rPr>
              <w:t>97.87%</w:t>
            </w:r>
          </w:p>
        </w:tc>
      </w:tr>
    </w:tbl>
    <w:p w:rsidR="00F32819" w:rsidRDefault="00F32819" w:rsidP="00F32819">
      <w:pPr>
        <w:pStyle w:val="Caption"/>
      </w:pPr>
      <w:r>
        <w:t xml:space="preserve">Table </w:t>
      </w:r>
      <w:fldSimple w:instr=" SEQ Table \* ARABIC ">
        <w:r w:rsidR="00CF2300">
          <w:rPr>
            <w:noProof/>
          </w:rPr>
          <w:t>27</w:t>
        </w:r>
      </w:fldSimple>
      <w:r>
        <w:t xml:space="preserve"> Forecasted Sentinel connections</w:t>
      </w:r>
    </w:p>
    <w:p w:rsidR="00F32819" w:rsidRDefault="00F32819" w:rsidP="00F32819"/>
    <w:tbl>
      <w:tblPr>
        <w:tblW w:w="3089" w:type="dxa"/>
        <w:tblCellMar>
          <w:top w:w="15" w:type="dxa"/>
          <w:bottom w:w="15" w:type="dxa"/>
        </w:tblCellMar>
        <w:tblLook w:val="04A0" w:firstRow="1" w:lastRow="0" w:firstColumn="1" w:lastColumn="0" w:noHBand="0" w:noVBand="1"/>
      </w:tblPr>
      <w:tblGrid>
        <w:gridCol w:w="661"/>
        <w:gridCol w:w="1328"/>
        <w:gridCol w:w="1100"/>
      </w:tblGrid>
      <w:tr w:rsidR="002455C0" w:rsidRPr="002455C0" w:rsidTr="002455C0">
        <w:trPr>
          <w:trHeight w:val="270"/>
        </w:trPr>
        <w:tc>
          <w:tcPr>
            <w:tcW w:w="1989" w:type="dxa"/>
            <w:gridSpan w:val="2"/>
            <w:tcBorders>
              <w:top w:val="nil"/>
              <w:left w:val="nil"/>
              <w:bottom w:val="nil"/>
              <w:right w:val="nil"/>
            </w:tcBorders>
            <w:noWrap/>
            <w:vAlign w:val="bottom"/>
            <w:hideMark/>
          </w:tcPr>
          <w:p w:rsidR="002455C0" w:rsidRPr="002455C0" w:rsidRDefault="002455C0" w:rsidP="002455C0">
            <w:pPr>
              <w:keepNext/>
              <w:spacing w:before="0" w:after="0" w:line="240" w:lineRule="auto"/>
              <w:jc w:val="center"/>
              <w:rPr>
                <w:rFonts w:eastAsia="Times New Roman" w:cs="Arial"/>
                <w:sz w:val="20"/>
                <w:szCs w:val="20"/>
                <w:lang w:eastAsia="en-CA"/>
              </w:rPr>
            </w:pPr>
            <w:r w:rsidRPr="002455C0">
              <w:rPr>
                <w:rFonts w:eastAsia="Times New Roman" w:cs="Arial"/>
                <w:sz w:val="20"/>
                <w:szCs w:val="20"/>
                <w:lang w:eastAsia="en-CA"/>
              </w:rPr>
              <w:t>USL</w:t>
            </w:r>
          </w:p>
        </w:tc>
        <w:tc>
          <w:tcPr>
            <w:tcW w:w="1100" w:type="dxa"/>
            <w:vMerge w:val="restart"/>
            <w:tcBorders>
              <w:top w:val="nil"/>
              <w:left w:val="nil"/>
              <w:bottom w:val="nil"/>
              <w:right w:val="nil"/>
            </w:tcBorders>
            <w:vAlign w:val="bottom"/>
            <w:hideMark/>
          </w:tcPr>
          <w:p w:rsidR="002455C0" w:rsidRPr="002455C0" w:rsidRDefault="002455C0" w:rsidP="002455C0">
            <w:pPr>
              <w:keepNext/>
              <w:spacing w:before="0" w:after="0" w:line="240" w:lineRule="auto"/>
              <w:jc w:val="center"/>
              <w:rPr>
                <w:rFonts w:eastAsia="Times New Roman" w:cs="Arial"/>
                <w:sz w:val="20"/>
                <w:szCs w:val="20"/>
                <w:lang w:eastAsia="en-CA"/>
              </w:rPr>
            </w:pPr>
            <w:r w:rsidRPr="002455C0">
              <w:rPr>
                <w:rFonts w:eastAsia="Times New Roman" w:cs="Arial"/>
                <w:sz w:val="20"/>
                <w:szCs w:val="20"/>
                <w:lang w:eastAsia="en-CA"/>
              </w:rPr>
              <w:t>Percent of Prior Year</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Year</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Connections</w:t>
            </w:r>
          </w:p>
        </w:tc>
        <w:tc>
          <w:tcPr>
            <w:tcW w:w="1100" w:type="dxa"/>
            <w:vMerge/>
            <w:tcBorders>
              <w:top w:val="nil"/>
              <w:left w:val="nil"/>
              <w:bottom w:val="nil"/>
              <w:right w:val="nil"/>
            </w:tcBorders>
            <w:vAlign w:val="center"/>
            <w:hideMark/>
          </w:tcPr>
          <w:p w:rsidR="002455C0" w:rsidRPr="002455C0" w:rsidRDefault="002455C0" w:rsidP="002455C0">
            <w:pPr>
              <w:keepNext/>
              <w:spacing w:before="0" w:after="0" w:line="240" w:lineRule="auto"/>
              <w:jc w:val="lef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2007</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113</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2008</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123</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108.81%</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2009</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128</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104.49%</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2010</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127</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99.35%</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2011</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124</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97.71%</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120</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96.31%</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124</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103.34%</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121</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97.78%</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128</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105.58%</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126</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99.02%</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128</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101.30%</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328"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130</w:t>
            </w:r>
          </w:p>
        </w:tc>
        <w:tc>
          <w:tcPr>
            <w:tcW w:w="1100" w:type="dxa"/>
            <w:tcBorders>
              <w:top w:val="nil"/>
              <w:left w:val="nil"/>
              <w:bottom w:val="nil"/>
              <w:right w:val="nil"/>
            </w:tcBorders>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101.30%</w:t>
            </w:r>
          </w:p>
        </w:tc>
      </w:tr>
    </w:tbl>
    <w:p w:rsidR="00397DA5" w:rsidRDefault="00397DA5" w:rsidP="00397DA5">
      <w:pPr>
        <w:pStyle w:val="Caption"/>
      </w:pPr>
      <w:r>
        <w:t xml:space="preserve">Table </w:t>
      </w:r>
      <w:fldSimple w:instr=" SEQ Table \* ARABIC ">
        <w:r w:rsidR="00CF2300">
          <w:rPr>
            <w:noProof/>
          </w:rPr>
          <w:t>28</w:t>
        </w:r>
      </w:fldSimple>
      <w:r>
        <w:t xml:space="preserve"> Forecasted USL connections</w:t>
      </w:r>
    </w:p>
    <w:tbl>
      <w:tblPr>
        <w:tblW w:w="6933" w:type="dxa"/>
        <w:tblCellMar>
          <w:top w:w="15" w:type="dxa"/>
          <w:bottom w:w="15" w:type="dxa"/>
        </w:tblCellMar>
        <w:tblLook w:val="04A0" w:firstRow="1" w:lastRow="0" w:firstColumn="1" w:lastColumn="0" w:noHBand="0" w:noVBand="1"/>
      </w:tblPr>
      <w:tblGrid>
        <w:gridCol w:w="661"/>
        <w:gridCol w:w="1140"/>
        <w:gridCol w:w="1580"/>
        <w:gridCol w:w="2043"/>
        <w:gridCol w:w="1509"/>
      </w:tblGrid>
      <w:tr w:rsidR="002455C0" w:rsidRPr="002455C0" w:rsidTr="002455C0">
        <w:trPr>
          <w:trHeight w:val="25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4"/>
                <w:lang w:eastAsia="en-CA"/>
              </w:rPr>
            </w:pP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Street Light</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509" w:type="dxa"/>
            <w:tcBorders>
              <w:top w:val="nil"/>
              <w:left w:val="nil"/>
              <w:bottom w:val="nil"/>
              <w:right w:val="nil"/>
            </w:tcBorders>
            <w:shd w:val="clear" w:color="000000" w:fill="FFFFFF"/>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Year</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Actual</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Lamps / Devices</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Average per Customer</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Normal Forecast</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r>
      <w:tr w:rsidR="002455C0" w:rsidRPr="002455C0" w:rsidTr="002455C0">
        <w:trPr>
          <w:trHeight w:val="28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2007</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4,143,939</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4,197</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987</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2008</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3,636,366</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4,283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849</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2009</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3,489,623</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4,283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815</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2010</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4,583,498</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4,283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1,070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2011</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3,899,368</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4,283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910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3,484,987</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4,283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814</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2,710,402</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4,498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603</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2,115,842</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4,498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470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2,025,403</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4,617</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439</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1,938,875</w:t>
            </w: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5,927</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327</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1,938,875</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5,998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327</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1,962,132</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14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p>
        </w:tc>
        <w:tc>
          <w:tcPr>
            <w:tcW w:w="158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6,070</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327</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1,985,669</w:t>
            </w:r>
          </w:p>
        </w:tc>
      </w:tr>
    </w:tbl>
    <w:p w:rsidR="00397DA5" w:rsidRDefault="00397DA5" w:rsidP="00397DA5">
      <w:pPr>
        <w:pStyle w:val="Caption"/>
      </w:pPr>
      <w:r>
        <w:t xml:space="preserve">Table </w:t>
      </w:r>
      <w:fldSimple w:instr=" SEQ Table \* ARABIC ">
        <w:r w:rsidR="00CF2300">
          <w:rPr>
            <w:noProof/>
          </w:rPr>
          <w:t>29</w:t>
        </w:r>
      </w:fldSimple>
      <w:r>
        <w:t xml:space="preserve"> Forecasted Street Light kWh</w:t>
      </w:r>
    </w:p>
    <w:p w:rsidR="002455C0" w:rsidRDefault="002455C0" w:rsidP="002455C0"/>
    <w:tbl>
      <w:tblPr>
        <w:tblW w:w="6541" w:type="dxa"/>
        <w:tblCellMar>
          <w:top w:w="15" w:type="dxa"/>
          <w:bottom w:w="15" w:type="dxa"/>
        </w:tblCellMar>
        <w:tblLook w:val="04A0" w:firstRow="1" w:lastRow="0" w:firstColumn="1" w:lastColumn="0" w:noHBand="0" w:noVBand="1"/>
      </w:tblPr>
      <w:tblGrid>
        <w:gridCol w:w="661"/>
        <w:gridCol w:w="1000"/>
        <w:gridCol w:w="1328"/>
        <w:gridCol w:w="2043"/>
        <w:gridCol w:w="1509"/>
      </w:tblGrid>
      <w:tr w:rsidR="002455C0" w:rsidRPr="002455C0" w:rsidTr="002455C0">
        <w:trPr>
          <w:trHeight w:val="255"/>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left"/>
              <w:rPr>
                <w:rFonts w:ascii="Times New Roman" w:eastAsia="Times New Roman" w:hAnsi="Times New Roman" w:cs="Times New Roman"/>
                <w:sz w:val="20"/>
                <w:szCs w:val="24"/>
                <w:lang w:eastAsia="en-CA"/>
              </w:rPr>
            </w:pP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Sentinel</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ascii="Times New Roman" w:eastAsia="Times New Roman" w:hAnsi="Times New Roman" w:cs="Times New Roman"/>
                <w:sz w:val="20"/>
                <w:szCs w:val="20"/>
                <w:lang w:eastAsia="en-CA"/>
              </w:rPr>
            </w:pPr>
          </w:p>
        </w:tc>
        <w:tc>
          <w:tcPr>
            <w:tcW w:w="1509" w:type="dxa"/>
            <w:tcBorders>
              <w:top w:val="nil"/>
              <w:left w:val="nil"/>
              <w:bottom w:val="nil"/>
              <w:right w:val="nil"/>
            </w:tcBorders>
            <w:shd w:val="clear" w:color="000000" w:fill="FFFFFF"/>
            <w:vAlign w:val="bottom"/>
            <w:hideMark/>
          </w:tcPr>
          <w:p w:rsidR="002455C0" w:rsidRPr="002455C0" w:rsidRDefault="002455C0" w:rsidP="002455C0">
            <w:pPr>
              <w:keepNext/>
              <w:spacing w:before="0" w:after="0" w:line="240" w:lineRule="auto"/>
              <w:jc w:val="left"/>
              <w:rPr>
                <w:rFonts w:ascii="Times New Roman" w:eastAsia="Times New Roman" w:hAnsi="Times New Roman" w:cs="Times New Roman"/>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Year</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Actual</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Connections</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Average per Customer</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Normal Forecast</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280,910</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301</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933</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272,742</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1,100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266,366</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1,074</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246,528</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994</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231,256</w:t>
            </w: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932</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231,256</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243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932</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226,333</w:t>
            </w:r>
          </w:p>
        </w:tc>
      </w:tr>
      <w:tr w:rsidR="002455C0" w:rsidRPr="002455C0" w:rsidTr="002455C0">
        <w:trPr>
          <w:trHeight w:val="270"/>
        </w:trPr>
        <w:tc>
          <w:tcPr>
            <w:tcW w:w="661"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p>
        </w:tc>
        <w:tc>
          <w:tcPr>
            <w:tcW w:w="1328"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238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932</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keepNext/>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221,514</w:t>
            </w:r>
          </w:p>
        </w:tc>
      </w:tr>
    </w:tbl>
    <w:p w:rsidR="002455C0" w:rsidRDefault="002455C0" w:rsidP="002455C0">
      <w:pPr>
        <w:pStyle w:val="Caption"/>
      </w:pPr>
      <w:r>
        <w:t xml:space="preserve">Table </w:t>
      </w:r>
      <w:fldSimple w:instr=" SEQ Table \* ARABIC ">
        <w:r w:rsidR="00CF2300">
          <w:rPr>
            <w:noProof/>
          </w:rPr>
          <w:t>30</w:t>
        </w:r>
      </w:fldSimple>
      <w:r>
        <w:t xml:space="preserve"> Forecasted Sentinel kWh</w:t>
      </w:r>
    </w:p>
    <w:p w:rsidR="002455C0" w:rsidRDefault="002455C0" w:rsidP="002455C0"/>
    <w:tbl>
      <w:tblPr>
        <w:tblW w:w="6694" w:type="dxa"/>
        <w:tblCellMar>
          <w:top w:w="15" w:type="dxa"/>
          <w:bottom w:w="15" w:type="dxa"/>
        </w:tblCellMar>
        <w:tblLook w:val="04A0" w:firstRow="1" w:lastRow="0" w:firstColumn="1" w:lastColumn="0" w:noHBand="0" w:noVBand="1"/>
      </w:tblPr>
      <w:tblGrid>
        <w:gridCol w:w="1000"/>
        <w:gridCol w:w="1000"/>
        <w:gridCol w:w="1328"/>
        <w:gridCol w:w="2043"/>
        <w:gridCol w:w="1509"/>
      </w:tblGrid>
      <w:tr w:rsidR="002455C0" w:rsidRPr="002455C0" w:rsidTr="002455C0">
        <w:trPr>
          <w:trHeight w:val="25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4"/>
                <w:lang w:eastAsia="en-CA"/>
              </w:rPr>
            </w:pP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USL</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509" w:type="dxa"/>
            <w:tcBorders>
              <w:top w:val="nil"/>
              <w:left w:val="nil"/>
              <w:bottom w:val="nil"/>
              <w:right w:val="nil"/>
            </w:tcBorders>
            <w:shd w:val="clear" w:color="000000" w:fill="FFFFFF"/>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Year</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Actual</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Connections</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Average per Customer</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Normal Forecast</w:t>
            </w: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ascii="Times New Roman" w:eastAsia="Times New Roman" w:hAnsi="Times New Roman" w:cs="Times New Roman"/>
                <w:sz w:val="20"/>
                <w:szCs w:val="20"/>
                <w:lang w:eastAsia="en-CA"/>
              </w:rPr>
            </w:pPr>
          </w:p>
        </w:tc>
      </w:tr>
      <w:tr w:rsidR="002455C0" w:rsidRPr="002455C0" w:rsidTr="002455C0">
        <w:trPr>
          <w:trHeight w:val="28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2007</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539,336</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113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4,791</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2008</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539,138</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123</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4,401</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2009</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605,366</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4,729</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2010</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565,196</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127</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4,445</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85"/>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2011</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556,906</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124</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4,482</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513,343</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120</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4,290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539,394</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124</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4,362</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535,721</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121</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4,430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537,894</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4,213</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504,437</w:t>
            </w: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126</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3,990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504,437</w:t>
            </w: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128</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3,990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510,974</w:t>
            </w:r>
          </w:p>
        </w:tc>
      </w:tr>
      <w:tr w:rsidR="002455C0" w:rsidRPr="002455C0" w:rsidTr="002455C0">
        <w:trPr>
          <w:trHeight w:val="270"/>
        </w:trPr>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000"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p>
        </w:tc>
        <w:tc>
          <w:tcPr>
            <w:tcW w:w="1142"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130</w:t>
            </w:r>
          </w:p>
        </w:tc>
        <w:tc>
          <w:tcPr>
            <w:tcW w:w="2043"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3,990</w:t>
            </w:r>
          </w:p>
        </w:tc>
        <w:tc>
          <w:tcPr>
            <w:tcW w:w="1509" w:type="dxa"/>
            <w:tcBorders>
              <w:top w:val="nil"/>
              <w:left w:val="nil"/>
              <w:bottom w:val="nil"/>
              <w:right w:val="nil"/>
            </w:tcBorders>
            <w:shd w:val="clear" w:color="000000" w:fill="FFFFFF"/>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517,597</w:t>
            </w:r>
          </w:p>
        </w:tc>
      </w:tr>
    </w:tbl>
    <w:p w:rsidR="00397DA5" w:rsidRDefault="00397DA5" w:rsidP="00397DA5">
      <w:pPr>
        <w:pStyle w:val="Caption"/>
      </w:pPr>
      <w:r>
        <w:t xml:space="preserve">Table </w:t>
      </w:r>
      <w:fldSimple w:instr=" SEQ Table \* ARABIC ">
        <w:r w:rsidR="00CF2300">
          <w:rPr>
            <w:noProof/>
          </w:rPr>
          <w:t>31</w:t>
        </w:r>
      </w:fldSimple>
      <w:r>
        <w:t xml:space="preserve"> Forecasted USL kWh</w:t>
      </w:r>
    </w:p>
    <w:p w:rsidR="002455C0" w:rsidRDefault="002455C0" w:rsidP="002455C0"/>
    <w:tbl>
      <w:tblPr>
        <w:tblW w:w="4947" w:type="dxa"/>
        <w:tblCellMar>
          <w:top w:w="15" w:type="dxa"/>
          <w:bottom w:w="15" w:type="dxa"/>
        </w:tblCellMar>
        <w:tblLook w:val="04A0" w:firstRow="1" w:lastRow="0" w:firstColumn="1" w:lastColumn="0" w:noHBand="0" w:noVBand="1"/>
      </w:tblPr>
      <w:tblGrid>
        <w:gridCol w:w="661"/>
        <w:gridCol w:w="1497"/>
        <w:gridCol w:w="1384"/>
        <w:gridCol w:w="1405"/>
      </w:tblGrid>
      <w:tr w:rsidR="002455C0" w:rsidRPr="002455C0" w:rsidTr="002455C0">
        <w:trPr>
          <w:trHeight w:val="255"/>
        </w:trPr>
        <w:tc>
          <w:tcPr>
            <w:tcW w:w="4947" w:type="dxa"/>
            <w:gridSpan w:val="4"/>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Street Light</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kWh Actual</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Ratio</w:t>
            </w:r>
          </w:p>
        </w:tc>
        <w:tc>
          <w:tcPr>
            <w:tcW w:w="1405" w:type="dxa"/>
            <w:tcBorders>
              <w:top w:val="nil"/>
              <w:left w:val="nil"/>
              <w:bottom w:val="nil"/>
              <w:right w:val="nil"/>
            </w:tcBorders>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kW Actual</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A</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B</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2007</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4,143,939</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0.002722248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11,281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2008</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3,636,366</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0.002895418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10,529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2009</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3,489,623</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0.002699011</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9,419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2010</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4,583,498</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0.002608577</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11,956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2011</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3,899,368</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0.002765679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10,784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3,484,987</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0.002860599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9,969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2,710,402</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0.002773733</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7,518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2,115,842</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0.002788507</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5,900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2,025,403</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0.002747221</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5,564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1,938,875</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0.002696838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5,229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kWh Normalized</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kW Normalized</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D</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F = D * E</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1,938,875</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0.002744188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5,321 </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1,962,132</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0.002744188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5,384 </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1,985,669</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0.002744188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5,449 </w:t>
            </w:r>
          </w:p>
        </w:tc>
      </w:tr>
    </w:tbl>
    <w:p w:rsidR="002455C0" w:rsidRPr="00E57E41" w:rsidRDefault="002455C0" w:rsidP="002455C0">
      <w:pPr>
        <w:pStyle w:val="Caption"/>
      </w:pPr>
      <w:r>
        <w:t xml:space="preserve">Table </w:t>
      </w:r>
      <w:fldSimple w:instr=" SEQ Table \* ARABIC ">
        <w:r w:rsidR="00CF2300">
          <w:rPr>
            <w:noProof/>
          </w:rPr>
          <w:t>32</w:t>
        </w:r>
      </w:fldSimple>
      <w:r>
        <w:t xml:space="preserve"> Forecasted Street Light kW</w:t>
      </w:r>
    </w:p>
    <w:p w:rsidR="002455C0" w:rsidRDefault="002455C0" w:rsidP="002455C0"/>
    <w:tbl>
      <w:tblPr>
        <w:tblW w:w="4947" w:type="dxa"/>
        <w:tblCellMar>
          <w:top w:w="15" w:type="dxa"/>
          <w:bottom w:w="15" w:type="dxa"/>
        </w:tblCellMar>
        <w:tblLook w:val="04A0" w:firstRow="1" w:lastRow="0" w:firstColumn="1" w:lastColumn="0" w:noHBand="0" w:noVBand="1"/>
      </w:tblPr>
      <w:tblGrid>
        <w:gridCol w:w="661"/>
        <w:gridCol w:w="1497"/>
        <w:gridCol w:w="1384"/>
        <w:gridCol w:w="1405"/>
      </w:tblGrid>
      <w:tr w:rsidR="002455C0" w:rsidRPr="002455C0" w:rsidTr="002455C0">
        <w:trPr>
          <w:trHeight w:val="255"/>
        </w:trPr>
        <w:tc>
          <w:tcPr>
            <w:tcW w:w="4947" w:type="dxa"/>
            <w:gridSpan w:val="4"/>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Sentinel</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Year</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kWh Actual</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Ratio</w:t>
            </w:r>
          </w:p>
        </w:tc>
        <w:tc>
          <w:tcPr>
            <w:tcW w:w="1405" w:type="dxa"/>
            <w:tcBorders>
              <w:top w:val="nil"/>
              <w:left w:val="nil"/>
              <w:bottom w:val="nil"/>
              <w:right w:val="nil"/>
            </w:tcBorders>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kW Actual</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A</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C = B / A</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B</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2012</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280,910</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0.002288993</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643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2013</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272,742</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0.002372208</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647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2014</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266,366</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0.002466529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657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2015</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246,528</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0.002648789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653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2016</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231,256</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sz w:val="20"/>
                <w:szCs w:val="20"/>
                <w:lang w:eastAsia="en-CA"/>
              </w:rPr>
            </w:pPr>
            <w:r w:rsidRPr="002455C0">
              <w:rPr>
                <w:rFonts w:eastAsia="Times New Roman" w:cs="Arial"/>
                <w:sz w:val="20"/>
                <w:szCs w:val="20"/>
                <w:lang w:eastAsia="en-CA"/>
              </w:rPr>
              <w:t>0.002659389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 xml:space="preserve"> 615 </w:t>
            </w: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r>
      <w:tr w:rsidR="002455C0" w:rsidRPr="002455C0" w:rsidTr="002455C0">
        <w:trPr>
          <w:trHeight w:val="285"/>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Times New Roman" w:eastAsia="Times New Roman" w:hAnsi="Times New Roman" w:cs="Times New Roman"/>
                <w:sz w:val="20"/>
                <w:szCs w:val="20"/>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r w:rsidRPr="002455C0">
              <w:rPr>
                <w:rFonts w:eastAsia="Times New Roman" w:cs="Arial"/>
                <w:sz w:val="20"/>
                <w:szCs w:val="20"/>
                <w:lang w:eastAsia="en-CA"/>
              </w:rPr>
              <w:t>kWh Normalized</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eastAsia="Times New Roman" w:cs="Arial"/>
                <w:sz w:val="20"/>
                <w:szCs w:val="20"/>
                <w:lang w:eastAsia="en-CA"/>
              </w:rPr>
            </w:pP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Calibri" w:eastAsia="Times New Roman" w:hAnsi="Calibri" w:cs="Calibri"/>
                <w:color w:val="000000"/>
                <w:sz w:val="22"/>
                <w:lang w:eastAsia="en-CA"/>
              </w:rPr>
            </w:pPr>
            <w:r w:rsidRPr="002455C0">
              <w:rPr>
                <w:rFonts w:ascii="Calibri" w:eastAsia="Times New Roman" w:hAnsi="Calibri" w:cs="Calibri"/>
                <w:color w:val="000000"/>
                <w:sz w:val="22"/>
                <w:lang w:eastAsia="en-CA"/>
              </w:rPr>
              <w:t>kW Normalized</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D</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E</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center"/>
              <w:rPr>
                <w:rFonts w:eastAsia="Times New Roman" w:cs="Arial"/>
                <w:b/>
                <w:bCs/>
                <w:sz w:val="20"/>
                <w:szCs w:val="20"/>
                <w:lang w:eastAsia="en-CA"/>
              </w:rPr>
            </w:pPr>
            <w:r w:rsidRPr="002455C0">
              <w:rPr>
                <w:rFonts w:eastAsia="Times New Roman" w:cs="Arial"/>
                <w:b/>
                <w:bCs/>
                <w:sz w:val="20"/>
                <w:szCs w:val="20"/>
                <w:lang w:eastAsia="en-CA"/>
              </w:rPr>
              <w:t>F = D * E</w:t>
            </w:r>
          </w:p>
        </w:tc>
      </w:tr>
      <w:tr w:rsidR="002455C0" w:rsidRPr="002455C0" w:rsidTr="002455C0">
        <w:trPr>
          <w:trHeight w:val="270"/>
        </w:trPr>
        <w:tc>
          <w:tcPr>
            <w:tcW w:w="661" w:type="dxa"/>
            <w:tcBorders>
              <w:top w:val="nil"/>
              <w:left w:val="nil"/>
              <w:bottom w:val="nil"/>
              <w:right w:val="nil"/>
            </w:tcBorders>
            <w:noWrap/>
            <w:vAlign w:val="bottom"/>
          </w:tcPr>
          <w:p w:rsidR="002455C0" w:rsidRPr="002455C0" w:rsidRDefault="002455C0" w:rsidP="002455C0">
            <w:pPr>
              <w:spacing w:before="0" w:after="0" w:line="240" w:lineRule="auto"/>
              <w:jc w:val="left"/>
              <w:rPr>
                <w:rFonts w:ascii="Calibri" w:eastAsia="Times New Roman" w:hAnsi="Calibri" w:cs="Calibri"/>
                <w:color w:val="000000"/>
                <w:sz w:val="22"/>
                <w:lang w:eastAsia="en-CA"/>
              </w:rPr>
            </w:pPr>
          </w:p>
        </w:tc>
        <w:tc>
          <w:tcPr>
            <w:tcW w:w="1497" w:type="dxa"/>
            <w:tcBorders>
              <w:top w:val="nil"/>
              <w:left w:val="nil"/>
              <w:bottom w:val="nil"/>
              <w:right w:val="nil"/>
            </w:tcBorders>
            <w:noWrap/>
            <w:vAlign w:val="bottom"/>
          </w:tcPr>
          <w:p w:rsidR="002455C0" w:rsidRPr="002455C0" w:rsidRDefault="002455C0" w:rsidP="002455C0">
            <w:pPr>
              <w:spacing w:before="0" w:after="0" w:line="240" w:lineRule="auto"/>
              <w:jc w:val="center"/>
              <w:rPr>
                <w:rFonts w:eastAsia="Times New Roman" w:cs="Arial"/>
                <w:b/>
                <w:bCs/>
                <w:sz w:val="20"/>
                <w:szCs w:val="20"/>
                <w:lang w:eastAsia="en-CA"/>
              </w:rPr>
            </w:pPr>
          </w:p>
        </w:tc>
        <w:tc>
          <w:tcPr>
            <w:tcW w:w="1384" w:type="dxa"/>
            <w:tcBorders>
              <w:top w:val="nil"/>
              <w:left w:val="nil"/>
              <w:bottom w:val="nil"/>
              <w:right w:val="nil"/>
            </w:tcBorders>
            <w:noWrap/>
            <w:vAlign w:val="bottom"/>
          </w:tcPr>
          <w:p w:rsidR="002455C0" w:rsidRPr="002455C0" w:rsidRDefault="002455C0" w:rsidP="002455C0">
            <w:pPr>
              <w:spacing w:before="0" w:after="0" w:line="240" w:lineRule="auto"/>
              <w:jc w:val="center"/>
              <w:rPr>
                <w:rFonts w:eastAsia="Times New Roman" w:cs="Arial"/>
                <w:b/>
                <w:bCs/>
                <w:sz w:val="20"/>
                <w:szCs w:val="20"/>
                <w:lang w:eastAsia="en-CA"/>
              </w:rPr>
            </w:pPr>
          </w:p>
        </w:tc>
        <w:tc>
          <w:tcPr>
            <w:tcW w:w="1405" w:type="dxa"/>
            <w:tcBorders>
              <w:top w:val="nil"/>
              <w:left w:val="nil"/>
              <w:bottom w:val="nil"/>
              <w:right w:val="nil"/>
            </w:tcBorders>
            <w:noWrap/>
            <w:vAlign w:val="bottom"/>
          </w:tcPr>
          <w:p w:rsidR="002455C0" w:rsidRPr="002455C0" w:rsidRDefault="002455C0" w:rsidP="002455C0">
            <w:pPr>
              <w:spacing w:before="0" w:after="0" w:line="240" w:lineRule="auto"/>
              <w:jc w:val="center"/>
              <w:rPr>
                <w:rFonts w:eastAsia="Times New Roman" w:cs="Arial"/>
                <w:b/>
                <w:bCs/>
                <w:sz w:val="20"/>
                <w:szCs w:val="20"/>
                <w:lang w:eastAsia="en-CA"/>
              </w:rPr>
            </w:pP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2016</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231,256</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0.002591569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599 </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2017</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226,333</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0.002591569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587 </w:t>
            </w:r>
          </w:p>
        </w:tc>
      </w:tr>
      <w:tr w:rsidR="002455C0" w:rsidRPr="002455C0" w:rsidTr="002455C0">
        <w:trPr>
          <w:trHeight w:val="270"/>
        </w:trPr>
        <w:tc>
          <w:tcPr>
            <w:tcW w:w="661"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2018</w:t>
            </w:r>
          </w:p>
        </w:tc>
        <w:tc>
          <w:tcPr>
            <w:tcW w:w="1497"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221,514</w:t>
            </w:r>
          </w:p>
        </w:tc>
        <w:tc>
          <w:tcPr>
            <w:tcW w:w="1384"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0.002591569</w:t>
            </w:r>
          </w:p>
        </w:tc>
        <w:tc>
          <w:tcPr>
            <w:tcW w:w="1405" w:type="dxa"/>
            <w:tcBorders>
              <w:top w:val="nil"/>
              <w:left w:val="nil"/>
              <w:bottom w:val="nil"/>
              <w:right w:val="nil"/>
            </w:tcBorders>
            <w:noWrap/>
            <w:vAlign w:val="bottom"/>
            <w:hideMark/>
          </w:tcPr>
          <w:p w:rsidR="002455C0" w:rsidRPr="002455C0" w:rsidRDefault="002455C0" w:rsidP="002455C0">
            <w:pPr>
              <w:spacing w:before="0" w:after="0" w:line="240" w:lineRule="auto"/>
              <w:jc w:val="right"/>
              <w:rPr>
                <w:rFonts w:eastAsia="Times New Roman" w:cs="Arial"/>
                <w:color w:val="FF0000"/>
                <w:sz w:val="20"/>
                <w:szCs w:val="20"/>
                <w:lang w:eastAsia="en-CA"/>
              </w:rPr>
            </w:pPr>
            <w:r w:rsidRPr="002455C0">
              <w:rPr>
                <w:rFonts w:eastAsia="Times New Roman" w:cs="Arial"/>
                <w:color w:val="FF0000"/>
                <w:sz w:val="20"/>
                <w:szCs w:val="20"/>
                <w:lang w:eastAsia="en-CA"/>
              </w:rPr>
              <w:t xml:space="preserve"> 574 </w:t>
            </w:r>
          </w:p>
        </w:tc>
      </w:tr>
    </w:tbl>
    <w:p w:rsidR="00397DA5" w:rsidRPr="00E57E41" w:rsidRDefault="00397DA5" w:rsidP="00397DA5">
      <w:pPr>
        <w:pStyle w:val="Caption"/>
      </w:pPr>
      <w:r>
        <w:t xml:space="preserve">Table </w:t>
      </w:r>
      <w:fldSimple w:instr=" SEQ Table \* ARABIC ">
        <w:r w:rsidR="00CF2300">
          <w:rPr>
            <w:noProof/>
          </w:rPr>
          <w:t>33</w:t>
        </w:r>
      </w:fldSimple>
      <w:r>
        <w:t xml:space="preserve"> Forecasted </w:t>
      </w:r>
      <w:r w:rsidR="002455C0">
        <w:t>Sentinel</w:t>
      </w:r>
      <w:r>
        <w:t xml:space="preserve"> kW</w:t>
      </w:r>
    </w:p>
    <w:p w:rsidR="00397DA5" w:rsidRDefault="00397DA5" w:rsidP="00397DA5">
      <w:pPr>
        <w:rPr>
          <w:rFonts w:eastAsia="Times New Roman" w:cs="Arial"/>
          <w:b/>
          <w:bCs/>
          <w:smallCaps/>
          <w:color w:val="006AAF"/>
          <w:kern w:val="32"/>
          <w:sz w:val="36"/>
          <w:u w:val="single"/>
        </w:rPr>
      </w:pPr>
      <w:r>
        <w:br w:type="page"/>
      </w:r>
    </w:p>
    <w:p w:rsidR="00397DA5" w:rsidRDefault="00397DA5" w:rsidP="00397DA5">
      <w:pPr>
        <w:pStyle w:val="Heading1"/>
        <w:tabs>
          <w:tab w:val="num" w:pos="432"/>
        </w:tabs>
        <w:spacing w:before="480" w:after="240" w:line="240" w:lineRule="auto"/>
        <w:ind w:left="432" w:hanging="432"/>
      </w:pPr>
      <w:bookmarkStart w:id="31" w:name="_Toc458178862"/>
      <w:bookmarkStart w:id="32" w:name="_Toc484704247"/>
      <w:r>
        <w:t>CDM Adjustment to Load Forecast</w:t>
      </w:r>
      <w:bookmarkEnd w:id="31"/>
      <w:bookmarkEnd w:id="32"/>
    </w:p>
    <w:p w:rsidR="00397DA5" w:rsidRDefault="00397DA5" w:rsidP="00397DA5">
      <w:r>
        <w:t>The current Chapter 2 OEB Minimum Filing requirements, consistent with the Board’s CDM Guideline EB-2012-0003, expects the distributor to integrate an adjustment into its load forecast that takes into account the six-year (2015-2020) targets for kWh and kW reductions.</w:t>
      </w:r>
    </w:p>
    <w:p w:rsidR="00397DA5" w:rsidRDefault="00397DA5" w:rsidP="00397DA5">
      <w:r>
        <w:t>The filing requirements note that the distributors license condition targets and the LRAMVA balances are based on the IESO targets, which are annualized. It is recognized that the CDM programs in a year are not in effect for the full year, although persistence of previous year’s programs will be. Therefore, the actual impact on the load forecast for the first year of the program should not be the full annualized amount. For this reason, the amount that will be used for the LRAMVA will be related to, but not necessarily equal to, the CDM adjustment for the load forecast.</w:t>
      </w:r>
    </w:p>
    <w:p w:rsidR="00397DA5" w:rsidRDefault="00397DA5" w:rsidP="00397DA5">
      <w:r>
        <w:t xml:space="preserve">The following is the proposed allocation of the CDM kWh load forecast adjustment and final proposed load forecast, based on </w:t>
      </w:r>
      <w:r w:rsidR="007D4324">
        <w:t>a half-year of savings from 2016</w:t>
      </w:r>
      <w:r>
        <w:t xml:space="preserve">, </w:t>
      </w:r>
      <w:r w:rsidR="007D4324">
        <w:t>a full year of savings from 2017</w:t>
      </w:r>
      <w:r>
        <w:t xml:space="preserve">, and </w:t>
      </w:r>
      <w:r w:rsidR="007D4324">
        <w:t>a half year of savings from 2018</w:t>
      </w:r>
      <w:r>
        <w:t>.  The IESO verified savings persisting to 2020, as well as the 2015-2020 Draft Historic Target and Budget Analysis dated July, 2014 informed the Residential and General Service apportionment of the target.  The class volumes were used for the GS &lt; 50 and GS &gt; 50 apportionment of the General Service portion of the target.</w:t>
      </w:r>
    </w:p>
    <w:p w:rsidR="00397DA5" w:rsidRDefault="007D4324" w:rsidP="00397DA5">
      <w:r>
        <w:t>For 2018 LRAMVA Elenchus reasons that the effects of 2015-2017 IESO CDM programs should be included in the LRAMVA calculation.  In particular, full years of 2016-2018 are included.</w:t>
      </w:r>
    </w:p>
    <w:tbl>
      <w:tblPr>
        <w:tblW w:w="8220" w:type="dxa"/>
        <w:tblCellMar>
          <w:top w:w="15" w:type="dxa"/>
          <w:bottom w:w="15" w:type="dxa"/>
        </w:tblCellMar>
        <w:tblLook w:val="04A0" w:firstRow="1" w:lastRow="0" w:firstColumn="1" w:lastColumn="0" w:noHBand="0" w:noVBand="1"/>
      </w:tblPr>
      <w:tblGrid>
        <w:gridCol w:w="1328"/>
        <w:gridCol w:w="2660"/>
        <w:gridCol w:w="1080"/>
        <w:gridCol w:w="1700"/>
        <w:gridCol w:w="1600"/>
      </w:tblGrid>
      <w:tr w:rsidR="007D4324" w:rsidRPr="007D4324" w:rsidTr="007D4324">
        <w:trPr>
          <w:trHeight w:val="105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ascii="Times New Roman" w:eastAsia="Times New Roman" w:hAnsi="Times New Roman" w:cs="Times New Roman"/>
                <w:sz w:val="20"/>
                <w:szCs w:val="24"/>
                <w:lang w:eastAsia="en-CA"/>
              </w:rPr>
            </w:pP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2015 Verified CDM</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Share</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CDM Adjustment</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LRAMVA Target</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Residential</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743,199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14.0%</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1,256,917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1,885,376 </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GS &lt; 50</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675,321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12.7%</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1,142,121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1,713,182 </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GS &gt; 50</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1,328,549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25.0%</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2,246,878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3,370,316 </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Intermediate</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1,223,477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23.0%</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2,069,177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3,103,766 </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Large Use</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1,339,168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25.2%</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2,264,836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3,397,254 </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Total</w:t>
            </w:r>
          </w:p>
        </w:tc>
        <w:tc>
          <w:tcPr>
            <w:tcW w:w="266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5,309,714 </w:t>
            </w:r>
          </w:p>
        </w:tc>
        <w:tc>
          <w:tcPr>
            <w:tcW w:w="108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100.0%</w:t>
            </w:r>
          </w:p>
        </w:tc>
        <w:tc>
          <w:tcPr>
            <w:tcW w:w="17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8,979,929 </w:t>
            </w:r>
          </w:p>
        </w:tc>
        <w:tc>
          <w:tcPr>
            <w:tcW w:w="1600"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13,469,894 </w:t>
            </w:r>
          </w:p>
        </w:tc>
      </w:tr>
    </w:tbl>
    <w:p w:rsidR="00397DA5" w:rsidRDefault="00397DA5" w:rsidP="00397DA5">
      <w:pPr>
        <w:pStyle w:val="Caption"/>
      </w:pPr>
      <w:r w:rsidRPr="00C56D57">
        <w:t xml:space="preserve">Table </w:t>
      </w:r>
      <w:fldSimple w:instr=" SEQ Table \* ARABIC ">
        <w:r w:rsidR="00CF2300">
          <w:rPr>
            <w:noProof/>
          </w:rPr>
          <w:t>34</w:t>
        </w:r>
      </w:fldSimple>
      <w:r w:rsidRPr="00C56D57">
        <w:t xml:space="preserve"> Proposed CDM Adjustment</w:t>
      </w:r>
    </w:p>
    <w:p w:rsidR="00397DA5" w:rsidRDefault="00397DA5" w:rsidP="00397DA5">
      <w:r>
        <w:t>In order to calculate the kW Elenchus proposes using a proportional ratio utilizing the base load forecast kW and kWh.</w:t>
      </w:r>
    </w:p>
    <w:tbl>
      <w:tblPr>
        <w:tblW w:w="7680" w:type="dxa"/>
        <w:tblCellMar>
          <w:top w:w="15" w:type="dxa"/>
          <w:bottom w:w="15" w:type="dxa"/>
        </w:tblCellMar>
        <w:tblLook w:val="04A0" w:firstRow="1" w:lastRow="0" w:firstColumn="1" w:lastColumn="0" w:noHBand="0" w:noVBand="1"/>
      </w:tblPr>
      <w:tblGrid>
        <w:gridCol w:w="1328"/>
        <w:gridCol w:w="1533"/>
        <w:gridCol w:w="1316"/>
        <w:gridCol w:w="1115"/>
        <w:gridCol w:w="1435"/>
        <w:gridCol w:w="1316"/>
      </w:tblGrid>
      <w:tr w:rsidR="007D4324" w:rsidRPr="007D4324" w:rsidTr="007D4324">
        <w:trPr>
          <w:trHeight w:val="53"/>
        </w:trPr>
        <w:tc>
          <w:tcPr>
            <w:tcW w:w="1180" w:type="dxa"/>
            <w:tcBorders>
              <w:top w:val="nil"/>
              <w:left w:val="nil"/>
              <w:bottom w:val="nil"/>
              <w:right w:val="nil"/>
            </w:tcBorders>
            <w:noWrap/>
            <w:vAlign w:val="bottom"/>
            <w:hideMark/>
          </w:tcPr>
          <w:p w:rsidR="007D4324" w:rsidRPr="007D4324" w:rsidRDefault="007D4324" w:rsidP="007D4324">
            <w:pPr>
              <w:keepNext/>
              <w:spacing w:before="0" w:after="0" w:line="240" w:lineRule="auto"/>
              <w:jc w:val="left"/>
              <w:rPr>
                <w:rFonts w:ascii="Times New Roman" w:eastAsia="Times New Roman" w:hAnsi="Times New Roman" w:cs="Times New Roman"/>
                <w:sz w:val="20"/>
                <w:szCs w:val="24"/>
                <w:lang w:eastAsia="en-CA"/>
              </w:rPr>
            </w:pPr>
          </w:p>
        </w:tc>
        <w:tc>
          <w:tcPr>
            <w:tcW w:w="1533" w:type="dxa"/>
            <w:tcBorders>
              <w:top w:val="nil"/>
              <w:left w:val="nil"/>
              <w:bottom w:val="nil"/>
              <w:right w:val="nil"/>
            </w:tcBorders>
            <w:vAlign w:val="bottom"/>
            <w:hideMark/>
          </w:tcPr>
          <w:p w:rsidR="007D4324" w:rsidRPr="007D4324" w:rsidRDefault="007D4324" w:rsidP="007D4324">
            <w:pPr>
              <w:keepNext/>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Weather Normalized 2018 Forecast (kWh)</w:t>
            </w:r>
          </w:p>
        </w:tc>
        <w:tc>
          <w:tcPr>
            <w:tcW w:w="1238" w:type="dxa"/>
            <w:tcBorders>
              <w:top w:val="nil"/>
              <w:left w:val="nil"/>
              <w:bottom w:val="nil"/>
              <w:right w:val="nil"/>
            </w:tcBorders>
            <w:vAlign w:val="bottom"/>
            <w:hideMark/>
          </w:tcPr>
          <w:p w:rsidR="007D4324" w:rsidRPr="007D4324" w:rsidRDefault="007D4324" w:rsidP="007D4324">
            <w:pPr>
              <w:keepNext/>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CDM Adjustment (kWh)</w:t>
            </w:r>
          </w:p>
        </w:tc>
        <w:tc>
          <w:tcPr>
            <w:tcW w:w="1115" w:type="dxa"/>
            <w:tcBorders>
              <w:top w:val="nil"/>
              <w:left w:val="nil"/>
              <w:bottom w:val="nil"/>
              <w:right w:val="nil"/>
            </w:tcBorders>
            <w:vAlign w:val="bottom"/>
            <w:hideMark/>
          </w:tcPr>
          <w:p w:rsidR="007D4324" w:rsidRPr="007D4324" w:rsidRDefault="007D4324" w:rsidP="007D4324">
            <w:pPr>
              <w:keepNext/>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 Savings</w:t>
            </w:r>
          </w:p>
        </w:tc>
        <w:tc>
          <w:tcPr>
            <w:tcW w:w="1435" w:type="dxa"/>
            <w:tcBorders>
              <w:top w:val="nil"/>
              <w:left w:val="nil"/>
              <w:bottom w:val="nil"/>
              <w:right w:val="nil"/>
            </w:tcBorders>
            <w:vAlign w:val="bottom"/>
            <w:hideMark/>
          </w:tcPr>
          <w:p w:rsidR="007D4324" w:rsidRPr="007D4324" w:rsidRDefault="007D4324" w:rsidP="007D4324">
            <w:pPr>
              <w:keepNext/>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Weather Normalized 2018 Forecast (kW)</w:t>
            </w:r>
          </w:p>
        </w:tc>
        <w:tc>
          <w:tcPr>
            <w:tcW w:w="1179" w:type="dxa"/>
            <w:tcBorders>
              <w:top w:val="nil"/>
              <w:left w:val="nil"/>
              <w:bottom w:val="nil"/>
              <w:right w:val="nil"/>
            </w:tcBorders>
            <w:vAlign w:val="bottom"/>
            <w:hideMark/>
          </w:tcPr>
          <w:p w:rsidR="007D4324" w:rsidRPr="007D4324" w:rsidRDefault="007D4324" w:rsidP="007D4324">
            <w:pPr>
              <w:keepNext/>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CDM Adjustment (kW)</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keepNext/>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GS &gt; 50</w:t>
            </w:r>
          </w:p>
        </w:tc>
        <w:tc>
          <w:tcPr>
            <w:tcW w:w="1533"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89,222,069</w:t>
            </w:r>
          </w:p>
        </w:tc>
        <w:tc>
          <w:tcPr>
            <w:tcW w:w="1238"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2,246,878 </w:t>
            </w:r>
          </w:p>
        </w:tc>
        <w:tc>
          <w:tcPr>
            <w:tcW w:w="111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2.5%</w:t>
            </w:r>
          </w:p>
        </w:tc>
        <w:tc>
          <w:tcPr>
            <w:tcW w:w="143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268,822</w:t>
            </w:r>
          </w:p>
        </w:tc>
        <w:tc>
          <w:tcPr>
            <w:tcW w:w="1179"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6,770</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keepNext/>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Intermediate</w:t>
            </w:r>
          </w:p>
        </w:tc>
        <w:tc>
          <w:tcPr>
            <w:tcW w:w="1533"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76,967,386</w:t>
            </w:r>
          </w:p>
        </w:tc>
        <w:tc>
          <w:tcPr>
            <w:tcW w:w="1238"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2,069,177 </w:t>
            </w:r>
          </w:p>
        </w:tc>
        <w:tc>
          <w:tcPr>
            <w:tcW w:w="111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2.7%</w:t>
            </w:r>
          </w:p>
        </w:tc>
        <w:tc>
          <w:tcPr>
            <w:tcW w:w="143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165,382</w:t>
            </w:r>
          </w:p>
        </w:tc>
        <w:tc>
          <w:tcPr>
            <w:tcW w:w="1179"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4,446</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keepNext/>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Large Use</w:t>
            </w:r>
          </w:p>
        </w:tc>
        <w:tc>
          <w:tcPr>
            <w:tcW w:w="1533"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99,199,239</w:t>
            </w:r>
          </w:p>
        </w:tc>
        <w:tc>
          <w:tcPr>
            <w:tcW w:w="1238"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2,264,836 </w:t>
            </w:r>
          </w:p>
        </w:tc>
        <w:tc>
          <w:tcPr>
            <w:tcW w:w="111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2.3%</w:t>
            </w:r>
          </w:p>
        </w:tc>
        <w:tc>
          <w:tcPr>
            <w:tcW w:w="143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172,130</w:t>
            </w:r>
          </w:p>
        </w:tc>
        <w:tc>
          <w:tcPr>
            <w:tcW w:w="1179"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3,930</w:t>
            </w:r>
          </w:p>
        </w:tc>
      </w:tr>
      <w:tr w:rsidR="007D4324" w:rsidRPr="007D4324" w:rsidTr="007D4324">
        <w:trPr>
          <w:trHeight w:val="270"/>
        </w:trPr>
        <w:tc>
          <w:tcPr>
            <w:tcW w:w="1180" w:type="dxa"/>
            <w:tcBorders>
              <w:top w:val="nil"/>
              <w:left w:val="nil"/>
              <w:bottom w:val="nil"/>
              <w:right w:val="nil"/>
            </w:tcBorders>
            <w:noWrap/>
            <w:vAlign w:val="bottom"/>
            <w:hideMark/>
          </w:tcPr>
          <w:p w:rsidR="007D4324" w:rsidRPr="007D4324" w:rsidRDefault="007D4324" w:rsidP="007D4324">
            <w:pPr>
              <w:keepNext/>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Total</w:t>
            </w:r>
          </w:p>
        </w:tc>
        <w:tc>
          <w:tcPr>
            <w:tcW w:w="1533"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265,388,694</w:t>
            </w:r>
          </w:p>
        </w:tc>
        <w:tc>
          <w:tcPr>
            <w:tcW w:w="1238"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6,580,891</w:t>
            </w:r>
          </w:p>
        </w:tc>
        <w:tc>
          <w:tcPr>
            <w:tcW w:w="111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0</w:t>
            </w:r>
          </w:p>
        </w:tc>
        <w:tc>
          <w:tcPr>
            <w:tcW w:w="1435"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606,334</w:t>
            </w:r>
          </w:p>
        </w:tc>
        <w:tc>
          <w:tcPr>
            <w:tcW w:w="1179" w:type="dxa"/>
            <w:tcBorders>
              <w:top w:val="nil"/>
              <w:left w:val="nil"/>
              <w:bottom w:val="nil"/>
              <w:right w:val="nil"/>
            </w:tcBorders>
            <w:noWrap/>
            <w:vAlign w:val="bottom"/>
            <w:hideMark/>
          </w:tcPr>
          <w:p w:rsidR="007D4324" w:rsidRPr="007D4324" w:rsidRDefault="007D4324" w:rsidP="007D4324">
            <w:pPr>
              <w:keepNext/>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15,146</w:t>
            </w:r>
          </w:p>
        </w:tc>
      </w:tr>
    </w:tbl>
    <w:p w:rsidR="00397DA5" w:rsidRDefault="00397DA5" w:rsidP="00397DA5">
      <w:pPr>
        <w:pStyle w:val="Caption"/>
      </w:pPr>
      <w:r>
        <w:t xml:space="preserve">Table </w:t>
      </w:r>
      <w:fldSimple w:instr=" SEQ Table \* ARABIC ">
        <w:r w:rsidR="00CF2300">
          <w:rPr>
            <w:noProof/>
          </w:rPr>
          <w:t>35</w:t>
        </w:r>
      </w:fldSimple>
      <w:r>
        <w:t xml:space="preserve"> Proposed kW CDM adjustment</w:t>
      </w:r>
    </w:p>
    <w:p w:rsidR="00397DA5" w:rsidRDefault="00397DA5" w:rsidP="00397DA5"/>
    <w:tbl>
      <w:tblPr>
        <w:tblW w:w="8043" w:type="dxa"/>
        <w:tblCellMar>
          <w:top w:w="15" w:type="dxa"/>
          <w:bottom w:w="15" w:type="dxa"/>
        </w:tblCellMar>
        <w:tblLook w:val="04A0" w:firstRow="1" w:lastRow="0" w:firstColumn="1" w:lastColumn="0" w:noHBand="0" w:noVBand="1"/>
      </w:tblPr>
      <w:tblGrid>
        <w:gridCol w:w="1328"/>
        <w:gridCol w:w="1533"/>
        <w:gridCol w:w="1316"/>
        <w:gridCol w:w="1115"/>
        <w:gridCol w:w="1435"/>
        <w:gridCol w:w="1316"/>
      </w:tblGrid>
      <w:tr w:rsidR="007D4324" w:rsidRPr="007D4324" w:rsidTr="007D4324">
        <w:trPr>
          <w:trHeight w:val="1050"/>
        </w:trPr>
        <w:tc>
          <w:tcPr>
            <w:tcW w:w="1328"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ascii="Times New Roman" w:eastAsia="Times New Roman" w:hAnsi="Times New Roman" w:cs="Times New Roman"/>
                <w:sz w:val="20"/>
                <w:szCs w:val="24"/>
                <w:lang w:eastAsia="en-CA"/>
              </w:rPr>
            </w:pPr>
          </w:p>
        </w:tc>
        <w:tc>
          <w:tcPr>
            <w:tcW w:w="1533" w:type="dxa"/>
            <w:tcBorders>
              <w:top w:val="nil"/>
              <w:left w:val="nil"/>
              <w:bottom w:val="nil"/>
              <w:right w:val="nil"/>
            </w:tcBorders>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Weather Normalized 2018 Forecast (kWh)</w:t>
            </w:r>
          </w:p>
        </w:tc>
        <w:tc>
          <w:tcPr>
            <w:tcW w:w="1316" w:type="dxa"/>
            <w:tcBorders>
              <w:top w:val="nil"/>
              <w:left w:val="nil"/>
              <w:bottom w:val="nil"/>
              <w:right w:val="nil"/>
            </w:tcBorders>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LRAMVA Adjustment (kWh)</w:t>
            </w:r>
          </w:p>
        </w:tc>
        <w:tc>
          <w:tcPr>
            <w:tcW w:w="1115" w:type="dxa"/>
            <w:tcBorders>
              <w:top w:val="nil"/>
              <w:left w:val="nil"/>
              <w:bottom w:val="nil"/>
              <w:right w:val="nil"/>
            </w:tcBorders>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 Savings</w:t>
            </w:r>
          </w:p>
        </w:tc>
        <w:tc>
          <w:tcPr>
            <w:tcW w:w="1435" w:type="dxa"/>
            <w:tcBorders>
              <w:top w:val="nil"/>
              <w:left w:val="nil"/>
              <w:bottom w:val="nil"/>
              <w:right w:val="nil"/>
            </w:tcBorders>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Weather Normalized 2018 Forecast (kW)</w:t>
            </w:r>
          </w:p>
        </w:tc>
        <w:tc>
          <w:tcPr>
            <w:tcW w:w="1316" w:type="dxa"/>
            <w:tcBorders>
              <w:top w:val="nil"/>
              <w:left w:val="nil"/>
              <w:bottom w:val="nil"/>
              <w:right w:val="nil"/>
            </w:tcBorders>
            <w:vAlign w:val="bottom"/>
            <w:hideMark/>
          </w:tcPr>
          <w:p w:rsidR="007D4324" w:rsidRPr="007D4324" w:rsidRDefault="007D4324" w:rsidP="007D4324">
            <w:pPr>
              <w:spacing w:before="0" w:after="0" w:line="240" w:lineRule="auto"/>
              <w:jc w:val="center"/>
              <w:rPr>
                <w:rFonts w:eastAsia="Times New Roman" w:cs="Arial"/>
                <w:b/>
                <w:bCs/>
                <w:sz w:val="20"/>
                <w:szCs w:val="20"/>
                <w:lang w:eastAsia="en-CA"/>
              </w:rPr>
            </w:pPr>
            <w:r w:rsidRPr="007D4324">
              <w:rPr>
                <w:rFonts w:eastAsia="Times New Roman" w:cs="Arial"/>
                <w:b/>
                <w:bCs/>
                <w:sz w:val="20"/>
                <w:szCs w:val="20"/>
                <w:lang w:eastAsia="en-CA"/>
              </w:rPr>
              <w:t>LRAMVA Adjustment (kW)</w:t>
            </w:r>
          </w:p>
        </w:tc>
      </w:tr>
      <w:tr w:rsidR="007D4324" w:rsidRPr="007D4324" w:rsidTr="007D4324">
        <w:trPr>
          <w:trHeight w:val="270"/>
        </w:trPr>
        <w:tc>
          <w:tcPr>
            <w:tcW w:w="1328"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GS &gt; 50</w:t>
            </w:r>
          </w:p>
        </w:tc>
        <w:tc>
          <w:tcPr>
            <w:tcW w:w="1533"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89,222,069</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3,370,316 </w:t>
            </w:r>
          </w:p>
        </w:tc>
        <w:tc>
          <w:tcPr>
            <w:tcW w:w="111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3.8%</w:t>
            </w:r>
          </w:p>
        </w:tc>
        <w:tc>
          <w:tcPr>
            <w:tcW w:w="143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268,822</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10,155</w:t>
            </w:r>
          </w:p>
        </w:tc>
      </w:tr>
      <w:tr w:rsidR="007D4324" w:rsidRPr="007D4324" w:rsidTr="007D4324">
        <w:trPr>
          <w:trHeight w:val="270"/>
        </w:trPr>
        <w:tc>
          <w:tcPr>
            <w:tcW w:w="1328"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Intermediate</w:t>
            </w:r>
          </w:p>
        </w:tc>
        <w:tc>
          <w:tcPr>
            <w:tcW w:w="1533"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76,967,386</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3,103,766 </w:t>
            </w:r>
          </w:p>
        </w:tc>
        <w:tc>
          <w:tcPr>
            <w:tcW w:w="111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4.0%</w:t>
            </w:r>
          </w:p>
        </w:tc>
        <w:tc>
          <w:tcPr>
            <w:tcW w:w="143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165,382</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6,669</w:t>
            </w:r>
          </w:p>
        </w:tc>
      </w:tr>
      <w:tr w:rsidR="007D4324" w:rsidRPr="007D4324" w:rsidTr="007D4324">
        <w:trPr>
          <w:trHeight w:val="270"/>
        </w:trPr>
        <w:tc>
          <w:tcPr>
            <w:tcW w:w="1328"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Large Use</w:t>
            </w:r>
          </w:p>
        </w:tc>
        <w:tc>
          <w:tcPr>
            <w:tcW w:w="1533"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99,199,239</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 xml:space="preserve"> 3,397,254 </w:t>
            </w:r>
          </w:p>
        </w:tc>
        <w:tc>
          <w:tcPr>
            <w:tcW w:w="111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3.4%</w:t>
            </w:r>
          </w:p>
        </w:tc>
        <w:tc>
          <w:tcPr>
            <w:tcW w:w="143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172,130</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5,895</w:t>
            </w:r>
          </w:p>
        </w:tc>
      </w:tr>
      <w:tr w:rsidR="007D4324" w:rsidRPr="007D4324" w:rsidTr="007D4324">
        <w:trPr>
          <w:trHeight w:val="270"/>
        </w:trPr>
        <w:tc>
          <w:tcPr>
            <w:tcW w:w="1328" w:type="dxa"/>
            <w:tcBorders>
              <w:top w:val="nil"/>
              <w:left w:val="nil"/>
              <w:bottom w:val="nil"/>
              <w:right w:val="nil"/>
            </w:tcBorders>
            <w:noWrap/>
            <w:vAlign w:val="bottom"/>
            <w:hideMark/>
          </w:tcPr>
          <w:p w:rsidR="007D4324" w:rsidRPr="007D4324" w:rsidRDefault="007D4324" w:rsidP="007D4324">
            <w:pPr>
              <w:spacing w:before="0" w:after="0" w:line="240" w:lineRule="auto"/>
              <w:jc w:val="left"/>
              <w:rPr>
                <w:rFonts w:eastAsia="Times New Roman" w:cs="Arial"/>
                <w:sz w:val="20"/>
                <w:szCs w:val="20"/>
                <w:lang w:eastAsia="en-CA"/>
              </w:rPr>
            </w:pPr>
            <w:r w:rsidRPr="007D4324">
              <w:rPr>
                <w:rFonts w:eastAsia="Times New Roman" w:cs="Arial"/>
                <w:sz w:val="20"/>
                <w:szCs w:val="20"/>
                <w:lang w:eastAsia="en-CA"/>
              </w:rPr>
              <w:t>Total</w:t>
            </w:r>
          </w:p>
        </w:tc>
        <w:tc>
          <w:tcPr>
            <w:tcW w:w="1533"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265,388,694</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9,871,336</w:t>
            </w:r>
          </w:p>
        </w:tc>
        <w:tc>
          <w:tcPr>
            <w:tcW w:w="111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0</w:t>
            </w:r>
          </w:p>
        </w:tc>
        <w:tc>
          <w:tcPr>
            <w:tcW w:w="1435"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606,334</w:t>
            </w:r>
          </w:p>
        </w:tc>
        <w:tc>
          <w:tcPr>
            <w:tcW w:w="1316" w:type="dxa"/>
            <w:tcBorders>
              <w:top w:val="nil"/>
              <w:left w:val="nil"/>
              <w:bottom w:val="nil"/>
              <w:right w:val="nil"/>
            </w:tcBorders>
            <w:noWrap/>
            <w:vAlign w:val="bottom"/>
            <w:hideMark/>
          </w:tcPr>
          <w:p w:rsidR="007D4324" w:rsidRPr="007D4324" w:rsidRDefault="007D4324" w:rsidP="007D4324">
            <w:pPr>
              <w:spacing w:before="0" w:after="0" w:line="240" w:lineRule="auto"/>
              <w:jc w:val="right"/>
              <w:rPr>
                <w:rFonts w:eastAsia="Times New Roman" w:cs="Arial"/>
                <w:sz w:val="20"/>
                <w:szCs w:val="20"/>
                <w:lang w:eastAsia="en-CA"/>
              </w:rPr>
            </w:pPr>
            <w:r w:rsidRPr="007D4324">
              <w:rPr>
                <w:rFonts w:eastAsia="Times New Roman" w:cs="Arial"/>
                <w:sz w:val="20"/>
                <w:szCs w:val="20"/>
                <w:lang w:eastAsia="en-CA"/>
              </w:rPr>
              <w:t>22,719</w:t>
            </w:r>
          </w:p>
        </w:tc>
      </w:tr>
    </w:tbl>
    <w:p w:rsidR="00397DA5" w:rsidRPr="009B0544" w:rsidRDefault="00397DA5" w:rsidP="00397DA5">
      <w:pPr>
        <w:keepNext/>
        <w:spacing w:after="0"/>
        <w:rPr>
          <w:sz w:val="18"/>
        </w:rPr>
      </w:pPr>
      <w:r w:rsidRPr="009B0544">
        <w:rPr>
          <w:sz w:val="18"/>
        </w:rPr>
        <w:t>* Note that LRRAMVA kW is the proportional LF kW over LF kWh times kW</w:t>
      </w:r>
      <w:r>
        <w:rPr>
          <w:sz w:val="18"/>
        </w:rPr>
        <w:t>h</w:t>
      </w:r>
      <w:r w:rsidRPr="009B0544">
        <w:rPr>
          <w:sz w:val="18"/>
        </w:rPr>
        <w:t xml:space="preserve"> LRAMVA</w:t>
      </w:r>
    </w:p>
    <w:p w:rsidR="00397DA5" w:rsidRDefault="00397DA5" w:rsidP="00397DA5">
      <w:pPr>
        <w:pStyle w:val="Caption"/>
      </w:pPr>
      <w:r>
        <w:t xml:space="preserve">Table </w:t>
      </w:r>
      <w:fldSimple w:instr=" SEQ Table \* ARABIC ">
        <w:r w:rsidR="00CF2300">
          <w:rPr>
            <w:noProof/>
          </w:rPr>
          <w:t>36</w:t>
        </w:r>
      </w:fldSimple>
      <w:r>
        <w:t xml:space="preserve"> LRAMVA kW threshold by class</w:t>
      </w:r>
    </w:p>
    <w:sectPr w:rsidR="00397DA5" w:rsidSect="00DE2332">
      <w:headerReference w:type="first" r:id="rId3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0A6" w:rsidRDefault="006F20A6" w:rsidP="006448EB">
      <w:pPr>
        <w:spacing w:after="0" w:line="240" w:lineRule="auto"/>
      </w:pPr>
      <w:r>
        <w:separator/>
      </w:r>
    </w:p>
  </w:endnote>
  <w:endnote w:type="continuationSeparator" w:id="0">
    <w:p w:rsidR="006F20A6" w:rsidRDefault="006F20A6" w:rsidP="0064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Pr="00114BB1" w:rsidRDefault="00DC0492" w:rsidP="00D616EA">
    <w:pPr>
      <w:pStyle w:val="Footer"/>
      <w:rPr>
        <w:lang w:val="en-US"/>
      </w:rPr>
    </w:pPr>
    <w:r>
      <w:rPr>
        <w:lang w:val="en-US"/>
      </w:rPr>
      <w:tab/>
    </w: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Pr="00114BB1" w:rsidRDefault="00DC0492" w:rsidP="00D616EA">
    <w:pPr>
      <w:pStyle w:val="Footer"/>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0A6" w:rsidRDefault="006F20A6" w:rsidP="006448EB">
      <w:pPr>
        <w:spacing w:after="0" w:line="240" w:lineRule="auto"/>
      </w:pPr>
      <w:r>
        <w:separator/>
      </w:r>
    </w:p>
  </w:footnote>
  <w:footnote w:type="continuationSeparator" w:id="0">
    <w:p w:rsidR="006F20A6" w:rsidRDefault="006F20A6" w:rsidP="006448EB">
      <w:pPr>
        <w:spacing w:after="0" w:line="240" w:lineRule="auto"/>
      </w:pPr>
      <w:r>
        <w:continuationSeparator/>
      </w:r>
    </w:p>
  </w:footnote>
  <w:footnote w:id="1">
    <w:p w:rsidR="00DC0492" w:rsidRDefault="00DC0492" w:rsidP="00397DA5">
      <w:pPr>
        <w:pStyle w:val="FootnoteText"/>
        <w:rPr>
          <w:lang w:val="en-US"/>
        </w:rPr>
      </w:pPr>
      <w:r>
        <w:rPr>
          <w:rStyle w:val="FootnoteReference"/>
        </w:rPr>
        <w:footnoteRef/>
      </w:r>
      <w:r>
        <w:t xml:space="preserve"> Philip Cross, “Cyclical changes in output and employment,” </w:t>
      </w:r>
      <w:r>
        <w:rPr>
          <w:i/>
        </w:rPr>
        <w:t>Canadian Economic Observer</w:t>
      </w:r>
      <w:r>
        <w:t>, May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Default="00DC0492" w:rsidP="00D616E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Default="00DC0492" w:rsidP="00D616E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Pr="00483644" w:rsidRDefault="00DC0492" w:rsidP="004836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Pr="009A446D" w:rsidRDefault="00DC0492">
    <w:pPr>
      <w:pStyle w:val="Header"/>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92" w:rsidRDefault="00DC0492" w:rsidP="009A446D">
    <w:pPr>
      <w:pStyle w:val="Header"/>
      <w:jc w:val="left"/>
      <w:rPr>
        <w:rStyle w:val="PageNumber"/>
      </w:rPr>
    </w:pPr>
    <w:r>
      <w:rPr>
        <w:noProof/>
        <w:lang w:val="en-US"/>
      </w:rPr>
      <w:drawing>
        <wp:anchor distT="0" distB="0" distL="114300" distR="114300" simplePos="0" relativeHeight="251672576" behindDoc="0" locked="0" layoutInCell="1" allowOverlap="1" wp14:anchorId="46D6DDC0" wp14:editId="3C05D722">
          <wp:simplePos x="0" y="0"/>
          <wp:positionH relativeFrom="column">
            <wp:posOffset>-129540</wp:posOffset>
          </wp:positionH>
          <wp:positionV relativeFrom="paragraph">
            <wp:posOffset>-79375</wp:posOffset>
          </wp:positionV>
          <wp:extent cx="1768475" cy="362585"/>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475" cy="36258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rPr>
        <w:rStyle w:val="PageNumber"/>
      </w:rPr>
      <w:tab/>
      <w:t>Report Title</w:t>
    </w:r>
  </w:p>
  <w:p w:rsidR="00DC0492" w:rsidRPr="009A446D" w:rsidRDefault="00DC0492" w:rsidP="00DE2332">
    <w:pPr>
      <w:pStyle w:val="Header"/>
      <w:jc w:val="right"/>
      <w:rPr>
        <w:b/>
      </w:rPr>
    </w:pPr>
    <w:r>
      <w:rPr>
        <w:rStyle w:val="PageNumber"/>
      </w:rPr>
      <w:tab/>
    </w:r>
    <w:sdt>
      <w:sdtPr>
        <w:rPr>
          <w:rStyle w:val="PageNumber"/>
        </w:rPr>
        <w:id w:val="-689373868"/>
        <w:date w:fullDate="2013-02-20T00:00:00Z">
          <w:dateFormat w:val="dd/MM/yyyy"/>
          <w:lid w:val="en-CA"/>
          <w:storeMappedDataAs w:val="dateTime"/>
          <w:calendar w:val="gregorian"/>
        </w:date>
      </w:sdtPr>
      <w:sdtEndPr>
        <w:rPr>
          <w:rStyle w:val="PageNumber"/>
        </w:rPr>
      </w:sdtEndPr>
      <w:sdtContent>
        <w:r>
          <w:rPr>
            <w:rStyle w:val="PageNumber"/>
          </w:rPr>
          <w:t>20/02/2013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70F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1609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6C0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9E07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A1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6A6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FEB4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6AD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A1491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9E4960"/>
    <w:multiLevelType w:val="hybridMultilevel"/>
    <w:tmpl w:val="283AB2AA"/>
    <w:lvl w:ilvl="0" w:tplc="2848C936">
      <w:start w:val="1"/>
      <w:numFmt w:val="lowerRoman"/>
      <w:lvlText w:val="%1."/>
      <w:lvlJc w:val="right"/>
      <w:pPr>
        <w:tabs>
          <w:tab w:val="num" w:pos="1080"/>
        </w:tabs>
        <w:ind w:left="1080" w:hanging="360"/>
      </w:pPr>
      <w:rPr>
        <w:rFonts w:hint="default"/>
      </w:rPr>
    </w:lvl>
    <w:lvl w:ilvl="1" w:tplc="10090019">
      <w:start w:val="1"/>
      <w:numFmt w:val="lowerLetter"/>
      <w:pStyle w:val="ListChar2"/>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0" w15:restartNumberingAfterBreak="0">
    <w:nsid w:val="0C45689C"/>
    <w:multiLevelType w:val="hybridMultilevel"/>
    <w:tmpl w:val="77FA225E"/>
    <w:lvl w:ilvl="0" w:tplc="9CFA98E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10F81E18"/>
    <w:multiLevelType w:val="hybridMultilevel"/>
    <w:tmpl w:val="7786CD56"/>
    <w:lvl w:ilvl="0" w:tplc="4502E83A">
      <w:start w:val="1"/>
      <w:numFmt w:val="lowerLetter"/>
      <w:pStyle w:val="ListChar"/>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111C0156"/>
    <w:multiLevelType w:val="hybridMultilevel"/>
    <w:tmpl w:val="F998F430"/>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B12D1D"/>
    <w:multiLevelType w:val="hybridMultilevel"/>
    <w:tmpl w:val="8B0CD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E75A6F"/>
    <w:multiLevelType w:val="hybridMultilevel"/>
    <w:tmpl w:val="4F503774"/>
    <w:lvl w:ilvl="0" w:tplc="8822F6F2">
      <w:start w:val="1"/>
      <w:numFmt w:val="bullet"/>
      <w:pStyle w:val="List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F21"/>
    <w:multiLevelType w:val="hybridMultilevel"/>
    <w:tmpl w:val="670CBE02"/>
    <w:lvl w:ilvl="0" w:tplc="2E18DE60">
      <w:start w:val="1"/>
      <w:numFmt w:val="lowerLetter"/>
      <w:pStyle w:val="QuoteList"/>
      <w:lvlText w:val="(%1)"/>
      <w:lvlJc w:val="left"/>
      <w:pPr>
        <w:tabs>
          <w:tab w:val="num" w:pos="1152"/>
        </w:tabs>
        <w:ind w:left="1152" w:hanging="432"/>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54D94B58"/>
    <w:multiLevelType w:val="multilevel"/>
    <w:tmpl w:val="1682F02C"/>
    <w:lvl w:ilvl="0">
      <w:start w:val="1"/>
      <w:numFmt w:val="decimal"/>
      <w:pStyle w:val="NumberedLevel1"/>
      <w:lvlText w:val="%1"/>
      <w:lvlJc w:val="left"/>
      <w:pPr>
        <w:tabs>
          <w:tab w:val="num" w:pos="1242"/>
        </w:tabs>
        <w:ind w:left="1242" w:hanging="432"/>
      </w:pPr>
      <w:rPr>
        <w:rFonts w:hint="default"/>
      </w:rPr>
    </w:lvl>
    <w:lvl w:ilvl="1">
      <w:start w:val="1"/>
      <w:numFmt w:val="decimal"/>
      <w:pStyle w:val="NumberedLevel2"/>
      <w:lvlText w:val="%1.%2"/>
      <w:lvlJc w:val="left"/>
      <w:pPr>
        <w:tabs>
          <w:tab w:val="num" w:pos="1296"/>
        </w:tabs>
        <w:ind w:left="1296" w:hanging="576"/>
      </w:pPr>
      <w:rPr>
        <w:rFonts w:cs="Times New Roman" w:hint="default"/>
        <w:iCs w:val="0"/>
        <w:caps w:val="0"/>
        <w:smallCaps w:val="0"/>
        <w:strike w:val="0"/>
        <w:dstrike w:val="0"/>
        <w:vanish w:val="0"/>
        <w:color w:val="000000"/>
        <w:spacing w:val="0"/>
        <w:kern w:val="0"/>
        <w:position w:val="0"/>
        <w:u w:val="none"/>
        <w:vertAlign w:val="baseline"/>
        <w:em w:val="none"/>
      </w:rPr>
    </w:lvl>
    <w:lvl w:ilvl="2">
      <w:start w:val="1"/>
      <w:numFmt w:val="decimal"/>
      <w:pStyle w:val="NumberedLevel3"/>
      <w:lvlText w:val="%1.%2.%3"/>
      <w:lvlJc w:val="left"/>
      <w:pPr>
        <w:tabs>
          <w:tab w:val="num" w:pos="1440"/>
        </w:tabs>
        <w:ind w:left="1440" w:hanging="720"/>
      </w:pPr>
      <w:rPr>
        <w:rFonts w:hint="default"/>
      </w:rPr>
    </w:lvl>
    <w:lvl w:ilvl="3">
      <w:start w:val="1"/>
      <w:numFmt w:val="decimal"/>
      <w:lvlRestart w:val="0"/>
      <w:pStyle w:val="NumberedLevel4"/>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AAF47D3"/>
    <w:multiLevelType w:val="hybridMultilevel"/>
    <w:tmpl w:val="AB6CFD80"/>
    <w:lvl w:ilvl="0" w:tplc="33583160">
      <w:start w:val="1"/>
      <w:numFmt w:val="decimal"/>
      <w:pStyle w:val="ListNumber"/>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15:restartNumberingAfterBreak="0">
    <w:nsid w:val="5D427913"/>
    <w:multiLevelType w:val="hybridMultilevel"/>
    <w:tmpl w:val="41C6C216"/>
    <w:lvl w:ilvl="0" w:tplc="37C285F0">
      <w:start w:val="1"/>
      <w:numFmt w:val="bullet"/>
      <w:pStyle w:val="ListBullet2"/>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5F4E1F"/>
    <w:multiLevelType w:val="hybridMultilevel"/>
    <w:tmpl w:val="81BC73F4"/>
    <w:lvl w:ilvl="0" w:tplc="8EAA80D4">
      <w:start w:val="1"/>
      <w:numFmt w:val="bullet"/>
      <w:pStyle w:val="Quote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20" w15:restartNumberingAfterBreak="0">
    <w:nsid w:val="6A772721"/>
    <w:multiLevelType w:val="multilevel"/>
    <w:tmpl w:val="80442E9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1002"/>
        </w:tabs>
        <w:ind w:left="1002" w:hanging="576"/>
      </w:pPr>
      <w:rPr>
        <w:rFonts w:hint="default"/>
      </w:rPr>
    </w:lvl>
    <w:lvl w:ilvl="2">
      <w:start w:val="1"/>
      <w:numFmt w:val="decimal"/>
      <w:pStyle w:val="Heading3"/>
      <w:lvlText w:val="%1.%2.%3"/>
      <w:lvlJc w:val="left"/>
      <w:pPr>
        <w:tabs>
          <w:tab w:val="num" w:pos="4548"/>
        </w:tabs>
        <w:ind w:left="4548" w:hanging="720"/>
      </w:pPr>
      <w:rPr>
        <w:rFonts w:hint="default"/>
      </w:rPr>
    </w:lvl>
    <w:lvl w:ilvl="3">
      <w:start w:val="1"/>
      <w:numFmt w:val="decimal"/>
      <w:pStyle w:val="Heading4"/>
      <w:lvlText w:val="%1.%2.%3.%4"/>
      <w:lvlJc w:val="left"/>
      <w:pPr>
        <w:tabs>
          <w:tab w:val="num" w:pos="4692"/>
        </w:tabs>
        <w:ind w:left="4692" w:hanging="864"/>
      </w:pPr>
      <w:rPr>
        <w:rFonts w:hint="default"/>
      </w:rPr>
    </w:lvl>
    <w:lvl w:ilvl="4">
      <w:start w:val="1"/>
      <w:numFmt w:val="decimal"/>
      <w:lvlText w:val="%1.%2.%3.%4.%5"/>
      <w:lvlJc w:val="left"/>
      <w:pPr>
        <w:tabs>
          <w:tab w:val="num" w:pos="4836"/>
        </w:tabs>
        <w:ind w:left="4836" w:hanging="1008"/>
      </w:pPr>
      <w:rPr>
        <w:rFonts w:hint="default"/>
      </w:rPr>
    </w:lvl>
    <w:lvl w:ilvl="5">
      <w:start w:val="1"/>
      <w:numFmt w:val="decimal"/>
      <w:lvlText w:val="%1.%2.%3.%4.%5.%6"/>
      <w:lvlJc w:val="left"/>
      <w:pPr>
        <w:tabs>
          <w:tab w:val="num" w:pos="4980"/>
        </w:tabs>
        <w:ind w:left="4980" w:hanging="1152"/>
      </w:pPr>
      <w:rPr>
        <w:rFonts w:hint="default"/>
      </w:rPr>
    </w:lvl>
    <w:lvl w:ilvl="6">
      <w:start w:val="1"/>
      <w:numFmt w:val="decimal"/>
      <w:lvlText w:val="%1.%2.%3.%4.%5.%6.%7"/>
      <w:lvlJc w:val="left"/>
      <w:pPr>
        <w:tabs>
          <w:tab w:val="num" w:pos="5124"/>
        </w:tabs>
        <w:ind w:left="5124" w:hanging="1296"/>
      </w:pPr>
      <w:rPr>
        <w:rFonts w:hint="default"/>
      </w:rPr>
    </w:lvl>
    <w:lvl w:ilvl="7">
      <w:start w:val="1"/>
      <w:numFmt w:val="decimal"/>
      <w:lvlText w:val="%1.%2.%3.%4.%5.%6.%7.%8"/>
      <w:lvlJc w:val="left"/>
      <w:pPr>
        <w:tabs>
          <w:tab w:val="num" w:pos="5268"/>
        </w:tabs>
        <w:ind w:left="5268" w:hanging="1440"/>
      </w:pPr>
      <w:rPr>
        <w:rFonts w:hint="default"/>
      </w:rPr>
    </w:lvl>
    <w:lvl w:ilvl="8">
      <w:start w:val="1"/>
      <w:numFmt w:val="decimal"/>
      <w:lvlText w:val="%1.%2.%3.%4.%5.%6.%7.%8.%9"/>
      <w:lvlJc w:val="left"/>
      <w:pPr>
        <w:tabs>
          <w:tab w:val="num" w:pos="5412"/>
        </w:tabs>
        <w:ind w:left="5412" w:hanging="1584"/>
      </w:pPr>
      <w:rPr>
        <w:rFonts w:hint="default"/>
      </w:rPr>
    </w:lvl>
  </w:abstractNum>
  <w:abstractNum w:abstractNumId="21" w15:restartNumberingAfterBreak="0">
    <w:nsid w:val="6B5208F1"/>
    <w:multiLevelType w:val="hybridMultilevel"/>
    <w:tmpl w:val="6B3AF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887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4"/>
  </w:num>
  <w:num w:numId="3">
    <w:abstractNumId w:val="18"/>
  </w:num>
  <w:num w:numId="4">
    <w:abstractNumId w:val="6"/>
  </w:num>
  <w:num w:numId="5">
    <w:abstractNumId w:val="11"/>
  </w:num>
  <w:num w:numId="6">
    <w:abstractNumId w:val="9"/>
  </w:num>
  <w:num w:numId="7">
    <w:abstractNumId w:val="16"/>
  </w:num>
  <w:num w:numId="8">
    <w:abstractNumId w:val="19"/>
  </w:num>
  <w:num w:numId="9">
    <w:abstractNumId w:val="15"/>
  </w:num>
  <w:num w:numId="10">
    <w:abstractNumId w:val="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12"/>
  </w:num>
  <w:num w:numId="22">
    <w:abstractNumId w:val="17"/>
  </w:num>
  <w:num w:numId="23">
    <w:abstractNumId w:val="20"/>
  </w:num>
  <w:num w:numId="24">
    <w:abstractNumId w:val="20"/>
  </w:num>
  <w:num w:numId="25">
    <w:abstractNumId w:val="20"/>
  </w:num>
  <w:num w:numId="26">
    <w:abstractNumId w:val="20"/>
  </w:num>
  <w:num w:numId="27">
    <w:abstractNumId w:val="20"/>
  </w:num>
  <w:num w:numId="28">
    <w:abstractNumId w:val="7"/>
  </w:num>
  <w:num w:numId="29">
    <w:abstractNumId w:val="10"/>
  </w:num>
  <w:num w:numId="30">
    <w:abstractNumId w:val="4"/>
  </w:num>
  <w:num w:numId="31">
    <w:abstractNumId w:val="3"/>
  </w:num>
  <w:num w:numId="32">
    <w:abstractNumId w:val="2"/>
  </w:num>
  <w:num w:numId="33">
    <w:abstractNumId w:val="1"/>
  </w:num>
  <w:num w:numId="34">
    <w:abstractNumId w:val="0"/>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16"/>
    <w:rsid w:val="00011779"/>
    <w:rsid w:val="000130DB"/>
    <w:rsid w:val="0003051F"/>
    <w:rsid w:val="000412E3"/>
    <w:rsid w:val="000768F5"/>
    <w:rsid w:val="000A1705"/>
    <w:rsid w:val="000C4770"/>
    <w:rsid w:val="00137142"/>
    <w:rsid w:val="00140A91"/>
    <w:rsid w:val="00162DEC"/>
    <w:rsid w:val="0016450E"/>
    <w:rsid w:val="00164C46"/>
    <w:rsid w:val="00193BD6"/>
    <w:rsid w:val="001C10C6"/>
    <w:rsid w:val="001C182F"/>
    <w:rsid w:val="001F6A9D"/>
    <w:rsid w:val="001F6F8E"/>
    <w:rsid w:val="00213175"/>
    <w:rsid w:val="002151ED"/>
    <w:rsid w:val="002170BB"/>
    <w:rsid w:val="0022600D"/>
    <w:rsid w:val="002455C0"/>
    <w:rsid w:val="00246731"/>
    <w:rsid w:val="002653BB"/>
    <w:rsid w:val="002720A5"/>
    <w:rsid w:val="002875FF"/>
    <w:rsid w:val="00287B37"/>
    <w:rsid w:val="00290185"/>
    <w:rsid w:val="002A3964"/>
    <w:rsid w:val="002B2D4D"/>
    <w:rsid w:val="002C3294"/>
    <w:rsid w:val="002E4DBA"/>
    <w:rsid w:val="002E7D21"/>
    <w:rsid w:val="002F09A0"/>
    <w:rsid w:val="003278CF"/>
    <w:rsid w:val="003678CC"/>
    <w:rsid w:val="0038667F"/>
    <w:rsid w:val="00393F5A"/>
    <w:rsid w:val="00397DA5"/>
    <w:rsid w:val="003A07E1"/>
    <w:rsid w:val="003C7D76"/>
    <w:rsid w:val="003E6D77"/>
    <w:rsid w:val="003F44C7"/>
    <w:rsid w:val="0040422C"/>
    <w:rsid w:val="004173AD"/>
    <w:rsid w:val="00426108"/>
    <w:rsid w:val="00427771"/>
    <w:rsid w:val="00457037"/>
    <w:rsid w:val="00462CA8"/>
    <w:rsid w:val="00463276"/>
    <w:rsid w:val="004721B7"/>
    <w:rsid w:val="00483644"/>
    <w:rsid w:val="00485DDD"/>
    <w:rsid w:val="00496340"/>
    <w:rsid w:val="00496FD4"/>
    <w:rsid w:val="004A06CC"/>
    <w:rsid w:val="004D35DF"/>
    <w:rsid w:val="004D3BEC"/>
    <w:rsid w:val="00500834"/>
    <w:rsid w:val="00501042"/>
    <w:rsid w:val="005414EA"/>
    <w:rsid w:val="00551E1E"/>
    <w:rsid w:val="00560FFB"/>
    <w:rsid w:val="00570BAE"/>
    <w:rsid w:val="00595D9F"/>
    <w:rsid w:val="005A0F20"/>
    <w:rsid w:val="005B0E95"/>
    <w:rsid w:val="005B36CA"/>
    <w:rsid w:val="005C1530"/>
    <w:rsid w:val="005E67D0"/>
    <w:rsid w:val="005F4BB5"/>
    <w:rsid w:val="00641449"/>
    <w:rsid w:val="00643BC7"/>
    <w:rsid w:val="006448EB"/>
    <w:rsid w:val="00667D8C"/>
    <w:rsid w:val="00674E0D"/>
    <w:rsid w:val="00676179"/>
    <w:rsid w:val="00684C79"/>
    <w:rsid w:val="006D0061"/>
    <w:rsid w:val="006E4554"/>
    <w:rsid w:val="006F20A6"/>
    <w:rsid w:val="00704512"/>
    <w:rsid w:val="0072092D"/>
    <w:rsid w:val="0073428E"/>
    <w:rsid w:val="00755FBF"/>
    <w:rsid w:val="00760288"/>
    <w:rsid w:val="00762641"/>
    <w:rsid w:val="00766B10"/>
    <w:rsid w:val="00766D3D"/>
    <w:rsid w:val="007A1ADA"/>
    <w:rsid w:val="007C6910"/>
    <w:rsid w:val="007C7A9F"/>
    <w:rsid w:val="007D4324"/>
    <w:rsid w:val="007E0C9A"/>
    <w:rsid w:val="008026C5"/>
    <w:rsid w:val="00820263"/>
    <w:rsid w:val="00826892"/>
    <w:rsid w:val="008418DE"/>
    <w:rsid w:val="0084356A"/>
    <w:rsid w:val="00843A1A"/>
    <w:rsid w:val="00847AE5"/>
    <w:rsid w:val="00862D16"/>
    <w:rsid w:val="00873D70"/>
    <w:rsid w:val="00891725"/>
    <w:rsid w:val="008A7771"/>
    <w:rsid w:val="008C53AC"/>
    <w:rsid w:val="008E4EF6"/>
    <w:rsid w:val="009233F1"/>
    <w:rsid w:val="009418BB"/>
    <w:rsid w:val="009859E3"/>
    <w:rsid w:val="00993087"/>
    <w:rsid w:val="009A321B"/>
    <w:rsid w:val="009A446D"/>
    <w:rsid w:val="009A72B8"/>
    <w:rsid w:val="009B4694"/>
    <w:rsid w:val="00A0412C"/>
    <w:rsid w:val="00A302AA"/>
    <w:rsid w:val="00A55453"/>
    <w:rsid w:val="00A55A57"/>
    <w:rsid w:val="00A63E8A"/>
    <w:rsid w:val="00A805A3"/>
    <w:rsid w:val="00A8627C"/>
    <w:rsid w:val="00A920E0"/>
    <w:rsid w:val="00AB5FB0"/>
    <w:rsid w:val="00B112A7"/>
    <w:rsid w:val="00B171AB"/>
    <w:rsid w:val="00B34704"/>
    <w:rsid w:val="00B505A4"/>
    <w:rsid w:val="00B564C8"/>
    <w:rsid w:val="00B9772E"/>
    <w:rsid w:val="00BF6BC8"/>
    <w:rsid w:val="00C37231"/>
    <w:rsid w:val="00C41674"/>
    <w:rsid w:val="00C62114"/>
    <w:rsid w:val="00C642C1"/>
    <w:rsid w:val="00C64F29"/>
    <w:rsid w:val="00C657EC"/>
    <w:rsid w:val="00C70BD4"/>
    <w:rsid w:val="00CD25EE"/>
    <w:rsid w:val="00CF2300"/>
    <w:rsid w:val="00D06030"/>
    <w:rsid w:val="00D07B35"/>
    <w:rsid w:val="00D434F6"/>
    <w:rsid w:val="00D448A8"/>
    <w:rsid w:val="00D60729"/>
    <w:rsid w:val="00D616EA"/>
    <w:rsid w:val="00D80468"/>
    <w:rsid w:val="00D82CD4"/>
    <w:rsid w:val="00D86E14"/>
    <w:rsid w:val="00DA42A2"/>
    <w:rsid w:val="00DA6CA4"/>
    <w:rsid w:val="00DC0492"/>
    <w:rsid w:val="00DC1A94"/>
    <w:rsid w:val="00DE2332"/>
    <w:rsid w:val="00DE2689"/>
    <w:rsid w:val="00DE468C"/>
    <w:rsid w:val="00DF0815"/>
    <w:rsid w:val="00DF752C"/>
    <w:rsid w:val="00DF7E34"/>
    <w:rsid w:val="00E04B04"/>
    <w:rsid w:val="00E04FAD"/>
    <w:rsid w:val="00E07F0D"/>
    <w:rsid w:val="00E31989"/>
    <w:rsid w:val="00E37E5F"/>
    <w:rsid w:val="00E50BF2"/>
    <w:rsid w:val="00E67769"/>
    <w:rsid w:val="00E90D9D"/>
    <w:rsid w:val="00EA0FC1"/>
    <w:rsid w:val="00EF7D5B"/>
    <w:rsid w:val="00F259C3"/>
    <w:rsid w:val="00F32819"/>
    <w:rsid w:val="00F801D0"/>
    <w:rsid w:val="00FF46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D18A48C-2877-4F2D-971D-717BAD0F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1F"/>
    <w:pPr>
      <w:spacing w:before="120" w:after="120"/>
      <w:jc w:val="both"/>
    </w:pPr>
    <w:rPr>
      <w:rFonts w:ascii="Arial" w:hAnsi="Arial"/>
      <w:sz w:val="24"/>
    </w:rPr>
  </w:style>
  <w:style w:type="paragraph" w:styleId="Heading1">
    <w:name w:val="heading 1"/>
    <w:next w:val="Normal"/>
    <w:link w:val="Heading1Char"/>
    <w:qFormat/>
    <w:rsid w:val="003278CF"/>
    <w:pPr>
      <w:keepNext/>
      <w:keepLines/>
      <w:numPr>
        <w:numId w:val="1"/>
      </w:numPr>
      <w:spacing w:before="360"/>
      <w:outlineLvl w:val="0"/>
    </w:pPr>
    <w:rPr>
      <w:rFonts w:ascii="Arial" w:eastAsia="Times New Roman" w:hAnsi="Arial" w:cs="Arial"/>
      <w:b/>
      <w:bCs/>
      <w:smallCaps/>
      <w:color w:val="006AAF"/>
      <w:kern w:val="32"/>
      <w:sz w:val="36"/>
      <w:u w:val="single"/>
    </w:rPr>
  </w:style>
  <w:style w:type="paragraph" w:styleId="Heading2">
    <w:name w:val="heading 2"/>
    <w:basedOn w:val="Heading1"/>
    <w:next w:val="Normal"/>
    <w:link w:val="Heading2Char"/>
    <w:qFormat/>
    <w:rsid w:val="007A1ADA"/>
    <w:pPr>
      <w:numPr>
        <w:ilvl w:val="1"/>
      </w:numPr>
      <w:ind w:left="862" w:hanging="578"/>
      <w:outlineLvl w:val="1"/>
    </w:pPr>
    <w:rPr>
      <w:i/>
      <w:sz w:val="28"/>
    </w:rPr>
  </w:style>
  <w:style w:type="paragraph" w:styleId="Heading3">
    <w:name w:val="heading 3"/>
    <w:basedOn w:val="Heading2"/>
    <w:next w:val="Normal"/>
    <w:link w:val="Heading3Char"/>
    <w:qFormat/>
    <w:rsid w:val="007A1ADA"/>
    <w:pPr>
      <w:numPr>
        <w:ilvl w:val="2"/>
        <w:numId w:val="27"/>
      </w:numPr>
      <w:ind w:left="1174"/>
      <w:outlineLvl w:val="2"/>
    </w:pPr>
    <w:rPr>
      <w:bCs w:val="0"/>
      <w:i w:val="0"/>
      <w:kern w:val="20"/>
      <w:sz w:val="24"/>
      <w:u w:val="none"/>
    </w:rPr>
  </w:style>
  <w:style w:type="paragraph" w:styleId="Heading4">
    <w:name w:val="heading 4"/>
    <w:basedOn w:val="Heading3"/>
    <w:next w:val="Normal"/>
    <w:link w:val="Heading4Char"/>
    <w:qFormat/>
    <w:rsid w:val="007A1ADA"/>
    <w:pPr>
      <w:numPr>
        <w:ilvl w:val="3"/>
      </w:numPr>
      <w:ind w:left="1429" w:hanging="862"/>
      <w:outlineLvl w:val="3"/>
    </w:pPr>
    <w:rPr>
      <w:i/>
    </w:rPr>
  </w:style>
  <w:style w:type="paragraph" w:styleId="Heading5">
    <w:name w:val="heading 5"/>
    <w:basedOn w:val="Normal"/>
    <w:next w:val="Normal"/>
    <w:link w:val="Heading5Char"/>
    <w:uiPriority w:val="9"/>
    <w:semiHidden/>
    <w:rsid w:val="00B171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175"/>
    <w:rPr>
      <w:rFonts w:ascii="Tahoma" w:hAnsi="Tahoma" w:cs="Tahoma"/>
      <w:sz w:val="16"/>
      <w:szCs w:val="16"/>
    </w:rPr>
  </w:style>
  <w:style w:type="character" w:customStyle="1" w:styleId="Heading1Char">
    <w:name w:val="Heading 1 Char"/>
    <w:basedOn w:val="DefaultParagraphFont"/>
    <w:link w:val="Heading1"/>
    <w:rsid w:val="003278CF"/>
    <w:rPr>
      <w:rFonts w:ascii="Arial" w:eastAsia="Times New Roman" w:hAnsi="Arial" w:cs="Arial"/>
      <w:b/>
      <w:bCs/>
      <w:smallCaps/>
      <w:color w:val="006AAF"/>
      <w:kern w:val="32"/>
      <w:sz w:val="36"/>
      <w:u w:val="single"/>
    </w:rPr>
  </w:style>
  <w:style w:type="character" w:customStyle="1" w:styleId="Heading2Char">
    <w:name w:val="Heading 2 Char"/>
    <w:basedOn w:val="DefaultParagraphFont"/>
    <w:link w:val="Heading2"/>
    <w:rsid w:val="007A1ADA"/>
    <w:rPr>
      <w:rFonts w:ascii="Arial" w:eastAsia="Times New Roman" w:hAnsi="Arial" w:cs="Arial"/>
      <w:b/>
      <w:bCs/>
      <w:i/>
      <w:smallCaps/>
      <w:color w:val="006AAF"/>
      <w:kern w:val="32"/>
      <w:sz w:val="28"/>
      <w:u w:val="single"/>
    </w:rPr>
  </w:style>
  <w:style w:type="character" w:customStyle="1" w:styleId="Heading3Char">
    <w:name w:val="Heading 3 Char"/>
    <w:basedOn w:val="DefaultParagraphFont"/>
    <w:link w:val="Heading3"/>
    <w:rsid w:val="007A1ADA"/>
    <w:rPr>
      <w:rFonts w:ascii="Arial" w:eastAsia="Times New Roman" w:hAnsi="Arial" w:cs="Arial"/>
      <w:b/>
      <w:smallCaps/>
      <w:color w:val="006AAF"/>
      <w:kern w:val="20"/>
      <w:sz w:val="24"/>
    </w:rPr>
  </w:style>
  <w:style w:type="character" w:customStyle="1" w:styleId="Heading4Char">
    <w:name w:val="Heading 4 Char"/>
    <w:basedOn w:val="DefaultParagraphFont"/>
    <w:link w:val="Heading4"/>
    <w:rsid w:val="007A1ADA"/>
    <w:rPr>
      <w:rFonts w:ascii="Arial" w:eastAsia="Times New Roman" w:hAnsi="Arial" w:cs="Arial"/>
      <w:b/>
      <w:i/>
      <w:smallCaps/>
      <w:color w:val="006AAF"/>
      <w:kern w:val="20"/>
      <w:sz w:val="24"/>
    </w:rPr>
  </w:style>
  <w:style w:type="paragraph" w:styleId="Title">
    <w:name w:val="Title"/>
    <w:aliases w:val="Table Title E"/>
    <w:basedOn w:val="Normal"/>
    <w:next w:val="Normal"/>
    <w:link w:val="TitleChar"/>
    <w:qFormat/>
    <w:rsid w:val="00C37231"/>
    <w:pPr>
      <w:keepNext/>
      <w:keepLines/>
      <w:spacing w:after="360"/>
      <w:ind w:left="284"/>
      <w:contextualSpacing/>
      <w:jc w:val="left"/>
      <w:outlineLvl w:val="0"/>
    </w:pPr>
    <w:rPr>
      <w:rFonts w:eastAsia="Times New Roman" w:cs="Arial"/>
      <w:b/>
      <w:bCs/>
      <w:color w:val="006AAF"/>
      <w:kern w:val="28"/>
      <w:sz w:val="28"/>
      <w:u w:val="single"/>
    </w:rPr>
  </w:style>
  <w:style w:type="character" w:customStyle="1" w:styleId="TitleChar">
    <w:name w:val="Title Char"/>
    <w:aliases w:val="Table Title E Char"/>
    <w:basedOn w:val="DefaultParagraphFont"/>
    <w:link w:val="Title"/>
    <w:rsid w:val="00C37231"/>
    <w:rPr>
      <w:rFonts w:ascii="Arial" w:eastAsia="Times New Roman" w:hAnsi="Arial" w:cs="Arial"/>
      <w:b/>
      <w:bCs/>
      <w:color w:val="006AAF"/>
      <w:kern w:val="28"/>
      <w:sz w:val="28"/>
      <w:u w:val="single"/>
    </w:rPr>
  </w:style>
  <w:style w:type="paragraph" w:styleId="ListBullet">
    <w:name w:val="List Bullet"/>
    <w:basedOn w:val="Normal"/>
    <w:qFormat/>
    <w:rsid w:val="00EF7D5B"/>
    <w:pPr>
      <w:numPr>
        <w:numId w:val="2"/>
      </w:numPr>
      <w:ind w:left="714" w:hanging="357"/>
    </w:pPr>
    <w:rPr>
      <w:rFonts w:eastAsia="Times New Roman" w:cs="Times"/>
      <w:szCs w:val="24"/>
      <w:lang w:val="en-GB"/>
    </w:rPr>
  </w:style>
  <w:style w:type="paragraph" w:styleId="ListBullet2">
    <w:name w:val="List Bullet 2"/>
    <w:basedOn w:val="Normal"/>
    <w:qFormat/>
    <w:rsid w:val="00EF7D5B"/>
    <w:pPr>
      <w:numPr>
        <w:numId w:val="3"/>
      </w:numPr>
      <w:tabs>
        <w:tab w:val="left" w:pos="360"/>
      </w:tabs>
      <w:autoSpaceDE w:val="0"/>
      <w:autoSpaceDN w:val="0"/>
      <w:adjustRightInd w:val="0"/>
      <w:ind w:left="1077" w:hanging="357"/>
    </w:pPr>
    <w:rPr>
      <w:rFonts w:eastAsia="Times New Roman" w:cs="Times New Roman"/>
      <w:lang w:val="en-US"/>
    </w:rPr>
  </w:style>
  <w:style w:type="paragraph" w:styleId="ListBullet3">
    <w:name w:val="List Bullet 3"/>
    <w:basedOn w:val="Normal"/>
    <w:qFormat/>
    <w:rsid w:val="00EF7D5B"/>
    <w:pPr>
      <w:numPr>
        <w:numId w:val="4"/>
      </w:numPr>
      <w:tabs>
        <w:tab w:val="clear" w:pos="1080"/>
        <w:tab w:val="num" w:pos="1418"/>
        <w:tab w:val="left" w:pos="1800"/>
      </w:tabs>
      <w:ind w:left="1417" w:hanging="357"/>
    </w:pPr>
    <w:rPr>
      <w:rFonts w:eastAsia="Times New Roman" w:cs="Times New Roman"/>
    </w:rPr>
  </w:style>
  <w:style w:type="paragraph" w:styleId="FootnoteText">
    <w:name w:val="footnote text"/>
    <w:basedOn w:val="Normal"/>
    <w:link w:val="FootnoteTextChar"/>
    <w:semiHidden/>
    <w:rsid w:val="00843A1A"/>
    <w:pPr>
      <w:spacing w:after="0" w:line="240" w:lineRule="auto"/>
      <w:ind w:left="284" w:hanging="284"/>
    </w:pPr>
    <w:rPr>
      <w:rFonts w:eastAsia="Times New Roman" w:cs="Times New Roman"/>
      <w:kern w:val="18"/>
      <w:sz w:val="20"/>
    </w:rPr>
  </w:style>
  <w:style w:type="character" w:customStyle="1" w:styleId="FootnoteTextChar">
    <w:name w:val="Footnote Text Char"/>
    <w:basedOn w:val="DefaultParagraphFont"/>
    <w:link w:val="FootnoteText"/>
    <w:uiPriority w:val="99"/>
    <w:semiHidden/>
    <w:rsid w:val="00843A1A"/>
    <w:rPr>
      <w:rFonts w:ascii="Arial" w:eastAsia="Times New Roman" w:hAnsi="Arial" w:cs="Times New Roman"/>
      <w:kern w:val="18"/>
      <w:sz w:val="20"/>
    </w:rPr>
  </w:style>
  <w:style w:type="paragraph" w:customStyle="1" w:styleId="TableTitle">
    <w:name w:val="Table Title"/>
    <w:basedOn w:val="Normal"/>
    <w:rsid w:val="00EF7D5B"/>
    <w:pPr>
      <w:keepNext/>
      <w:keepLines/>
      <w:ind w:left="720"/>
      <w:contextualSpacing/>
    </w:pPr>
    <w:rPr>
      <w:rFonts w:eastAsia="Times New Roman" w:cs="Times New Roman"/>
      <w:b/>
      <w:u w:val="single"/>
    </w:rPr>
  </w:style>
  <w:style w:type="paragraph" w:customStyle="1" w:styleId="ListChar">
    <w:name w:val="List Char"/>
    <w:basedOn w:val="Normal"/>
    <w:qFormat/>
    <w:rsid w:val="00EF7D5B"/>
    <w:pPr>
      <w:numPr>
        <w:numId w:val="5"/>
      </w:numPr>
      <w:tabs>
        <w:tab w:val="left" w:pos="720"/>
        <w:tab w:val="left" w:pos="1440"/>
      </w:tabs>
      <w:ind w:left="1077" w:hanging="357"/>
    </w:pPr>
    <w:rPr>
      <w:rFonts w:eastAsia="Times New Roman" w:cs="Times New Roman"/>
    </w:rPr>
  </w:style>
  <w:style w:type="paragraph" w:customStyle="1" w:styleId="TableText">
    <w:name w:val="Table Text"/>
    <w:basedOn w:val="Normal"/>
    <w:qFormat/>
    <w:rsid w:val="00EF7D5B"/>
    <w:pPr>
      <w:keepNext/>
      <w:keepLines/>
    </w:pPr>
    <w:rPr>
      <w:rFonts w:eastAsia="Times New Roman" w:cs="Times New Roman"/>
      <w:lang w:val="en-US"/>
    </w:rPr>
  </w:style>
  <w:style w:type="paragraph" w:customStyle="1" w:styleId="HeadingSub">
    <w:name w:val="Heading Sub"/>
    <w:basedOn w:val="Normal"/>
    <w:next w:val="Normal"/>
    <w:qFormat/>
    <w:rsid w:val="00EF7D5B"/>
    <w:pPr>
      <w:keepNext/>
      <w:keepLines/>
      <w:contextualSpacing/>
    </w:pPr>
    <w:rPr>
      <w:rFonts w:eastAsia="Times New Roman" w:cs="Times New Roman"/>
      <w:b/>
      <w:i/>
      <w:smallCaps/>
      <w:color w:val="006AAF"/>
      <w:spacing w:val="-5"/>
      <w:szCs w:val="20"/>
      <w:u w:val="single"/>
    </w:rPr>
  </w:style>
  <w:style w:type="paragraph" w:customStyle="1" w:styleId="BlockTextBold">
    <w:name w:val="Block Text Bold"/>
    <w:basedOn w:val="Normal"/>
    <w:qFormat/>
    <w:rsid w:val="00EF7D5B"/>
    <w:pPr>
      <w:pBdr>
        <w:top w:val="single" w:sz="4" w:space="1" w:color="auto"/>
        <w:left w:val="single" w:sz="4" w:space="4" w:color="auto"/>
        <w:bottom w:val="single" w:sz="4" w:space="1" w:color="auto"/>
        <w:right w:val="single" w:sz="4" w:space="4" w:color="auto"/>
      </w:pBdr>
      <w:ind w:left="431" w:right="431"/>
    </w:pPr>
    <w:rPr>
      <w:rFonts w:eastAsia="Times New Roman" w:cs="Times New Roman"/>
      <w:b/>
    </w:rPr>
  </w:style>
  <w:style w:type="paragraph" w:styleId="Footer">
    <w:name w:val="footer"/>
    <w:basedOn w:val="Normal"/>
    <w:link w:val="FooterChar"/>
    <w:qFormat/>
    <w:rsid w:val="006448EB"/>
    <w:pPr>
      <w:tabs>
        <w:tab w:val="center" w:pos="4320"/>
        <w:tab w:val="right" w:pos="9360"/>
      </w:tabs>
      <w:spacing w:after="0" w:line="240" w:lineRule="auto"/>
    </w:pPr>
    <w:rPr>
      <w:rFonts w:eastAsia="Times New Roman" w:cs="Arial"/>
      <w:bCs/>
      <w:sz w:val="20"/>
    </w:rPr>
  </w:style>
  <w:style w:type="character" w:customStyle="1" w:styleId="FooterChar">
    <w:name w:val="Footer Char"/>
    <w:basedOn w:val="DefaultParagraphFont"/>
    <w:link w:val="Footer"/>
    <w:rsid w:val="006448EB"/>
    <w:rPr>
      <w:rFonts w:ascii="Arial" w:eastAsia="Times New Roman" w:hAnsi="Arial" w:cs="Arial"/>
      <w:bCs/>
      <w:sz w:val="20"/>
    </w:rPr>
  </w:style>
  <w:style w:type="paragraph" w:styleId="Header">
    <w:name w:val="header"/>
    <w:basedOn w:val="Normal"/>
    <w:link w:val="HeaderChar"/>
    <w:rsid w:val="00EF7D5B"/>
    <w:pPr>
      <w:tabs>
        <w:tab w:val="center" w:pos="4320"/>
        <w:tab w:val="right" w:pos="9360"/>
      </w:tabs>
    </w:pPr>
    <w:rPr>
      <w:rFonts w:eastAsia="Times New Roman" w:cs="Arial"/>
      <w:bCs/>
      <w:sz w:val="20"/>
    </w:rPr>
  </w:style>
  <w:style w:type="character" w:customStyle="1" w:styleId="HeaderChar">
    <w:name w:val="Header Char"/>
    <w:basedOn w:val="DefaultParagraphFont"/>
    <w:link w:val="Header"/>
    <w:rsid w:val="00EF7D5B"/>
    <w:rPr>
      <w:rFonts w:ascii="Arial" w:eastAsia="Times New Roman" w:hAnsi="Arial" w:cs="Arial"/>
      <w:bCs/>
      <w:sz w:val="20"/>
    </w:rPr>
  </w:style>
  <w:style w:type="character" w:styleId="PageNumber">
    <w:name w:val="page number"/>
    <w:basedOn w:val="DefaultParagraphFont"/>
    <w:rsid w:val="006448EB"/>
    <w:rPr>
      <w:rFonts w:ascii="Arial" w:hAnsi="Arial"/>
      <w:sz w:val="20"/>
    </w:rPr>
  </w:style>
  <w:style w:type="paragraph" w:customStyle="1" w:styleId="HeadingSub2">
    <w:name w:val="Heading Sub 2"/>
    <w:basedOn w:val="HeadingSub"/>
    <w:qFormat/>
    <w:rsid w:val="00EF7D5B"/>
    <w:rPr>
      <w:smallCaps w:val="0"/>
      <w:u w:val="none"/>
    </w:rPr>
  </w:style>
  <w:style w:type="paragraph" w:styleId="Quote">
    <w:name w:val="Quote"/>
    <w:basedOn w:val="Normal"/>
    <w:next w:val="Normal"/>
    <w:link w:val="QuoteChar"/>
    <w:qFormat/>
    <w:rsid w:val="002151ED"/>
    <w:pPr>
      <w:ind w:left="431" w:right="431"/>
    </w:pPr>
    <w:rPr>
      <w:rFonts w:eastAsia="Times New Roman" w:cs="Times New Roman"/>
      <w:i/>
      <w:spacing w:val="-5"/>
      <w:szCs w:val="20"/>
    </w:rPr>
  </w:style>
  <w:style w:type="character" w:customStyle="1" w:styleId="QuoteChar">
    <w:name w:val="Quote Char"/>
    <w:basedOn w:val="DefaultParagraphFont"/>
    <w:link w:val="Quote"/>
    <w:rsid w:val="002151ED"/>
    <w:rPr>
      <w:rFonts w:ascii="Arial" w:eastAsia="Times New Roman" w:hAnsi="Arial" w:cs="Times New Roman"/>
      <w:i/>
      <w:spacing w:val="-5"/>
      <w:sz w:val="24"/>
      <w:szCs w:val="20"/>
    </w:rPr>
  </w:style>
  <w:style w:type="paragraph" w:customStyle="1" w:styleId="BlockTextBoldBullet">
    <w:name w:val="Block Text Bold Bullet"/>
    <w:basedOn w:val="Normal"/>
    <w:rsid w:val="00EF7D5B"/>
    <w:pPr>
      <w:tabs>
        <w:tab w:val="left" w:pos="1080"/>
        <w:tab w:val="num" w:pos="1440"/>
      </w:tabs>
      <w:ind w:left="1077" w:right="431" w:hanging="357"/>
      <w:contextualSpacing/>
    </w:pPr>
    <w:rPr>
      <w:b/>
    </w:rPr>
  </w:style>
  <w:style w:type="paragraph" w:customStyle="1" w:styleId="ListChar2">
    <w:name w:val="List Char 2"/>
    <w:basedOn w:val="Normal"/>
    <w:next w:val="Normal"/>
    <w:qFormat/>
    <w:rsid w:val="00EF7D5B"/>
    <w:pPr>
      <w:numPr>
        <w:ilvl w:val="1"/>
        <w:numId w:val="6"/>
      </w:numPr>
      <w:ind w:left="2154" w:hanging="357"/>
    </w:pPr>
  </w:style>
  <w:style w:type="paragraph" w:customStyle="1" w:styleId="NumberedLevel1">
    <w:name w:val="Numbered Level 1"/>
    <w:basedOn w:val="Normal"/>
    <w:qFormat/>
    <w:rsid w:val="00EF7D5B"/>
    <w:pPr>
      <w:numPr>
        <w:numId w:val="7"/>
      </w:numPr>
      <w:ind w:hanging="431"/>
    </w:pPr>
    <w:rPr>
      <w:rFonts w:eastAsia="Times New Roman" w:cs="Times New Roman"/>
    </w:rPr>
  </w:style>
  <w:style w:type="paragraph" w:customStyle="1" w:styleId="NumberedLevel2">
    <w:name w:val="Numbered Level 2"/>
    <w:basedOn w:val="NumberedLevel1"/>
    <w:qFormat/>
    <w:rsid w:val="00EF7D5B"/>
    <w:pPr>
      <w:numPr>
        <w:ilvl w:val="1"/>
      </w:numPr>
      <w:ind w:left="1298" w:hanging="578"/>
    </w:pPr>
  </w:style>
  <w:style w:type="paragraph" w:customStyle="1" w:styleId="NumberedLevel3">
    <w:name w:val="Numbered Level 3"/>
    <w:basedOn w:val="NumberedLevel2"/>
    <w:qFormat/>
    <w:rsid w:val="00EF7D5B"/>
    <w:pPr>
      <w:numPr>
        <w:ilvl w:val="2"/>
      </w:numPr>
    </w:pPr>
  </w:style>
  <w:style w:type="paragraph" w:customStyle="1" w:styleId="NumberedLevel4">
    <w:name w:val="Numbered Level 4"/>
    <w:basedOn w:val="NumberedLevel3"/>
    <w:qFormat/>
    <w:rsid w:val="00EF7D5B"/>
    <w:pPr>
      <w:numPr>
        <w:ilvl w:val="3"/>
      </w:numPr>
      <w:ind w:left="1582" w:hanging="862"/>
    </w:pPr>
  </w:style>
  <w:style w:type="character" w:styleId="FootnoteReference">
    <w:name w:val="footnote reference"/>
    <w:basedOn w:val="DefaultParagraphFont"/>
    <w:semiHidden/>
    <w:rsid w:val="006448EB"/>
    <w:rPr>
      <w:vertAlign w:val="superscript"/>
    </w:rPr>
  </w:style>
  <w:style w:type="paragraph" w:customStyle="1" w:styleId="QuoteBullet">
    <w:name w:val="Quote Bullet"/>
    <w:basedOn w:val="Normal"/>
    <w:qFormat/>
    <w:rsid w:val="00EF7D5B"/>
    <w:pPr>
      <w:numPr>
        <w:numId w:val="8"/>
      </w:numPr>
      <w:ind w:left="1151" w:right="431" w:hanging="357"/>
    </w:pPr>
    <w:rPr>
      <w:i/>
      <w:spacing w:val="-5"/>
    </w:rPr>
  </w:style>
  <w:style w:type="paragraph" w:customStyle="1" w:styleId="QuoteList">
    <w:name w:val="Quote List"/>
    <w:basedOn w:val="Normal"/>
    <w:qFormat/>
    <w:rsid w:val="00EF7D5B"/>
    <w:pPr>
      <w:numPr>
        <w:numId w:val="9"/>
      </w:numPr>
      <w:ind w:left="1151" w:right="431" w:hanging="431"/>
    </w:pPr>
    <w:rPr>
      <w:i/>
      <w:spacing w:val="-5"/>
    </w:rPr>
  </w:style>
  <w:style w:type="paragraph" w:customStyle="1" w:styleId="HeadingSub3">
    <w:name w:val="Heading Sub 3"/>
    <w:basedOn w:val="HeadingSub2"/>
    <w:qFormat/>
    <w:rsid w:val="00EF7D5B"/>
    <w:rPr>
      <w:i w:val="0"/>
      <w:u w:val="single"/>
    </w:rPr>
  </w:style>
  <w:style w:type="paragraph" w:customStyle="1" w:styleId="HeadingSub4">
    <w:name w:val="Heading Sub 4"/>
    <w:basedOn w:val="HeadingSub3"/>
    <w:qFormat/>
    <w:rsid w:val="00EF7D5B"/>
    <w:rPr>
      <w:b w:val="0"/>
      <w:i/>
    </w:rPr>
  </w:style>
  <w:style w:type="paragraph" w:styleId="ListBullet4">
    <w:name w:val="List Bullet 4"/>
    <w:basedOn w:val="Normal"/>
    <w:qFormat/>
    <w:rsid w:val="00EF7D5B"/>
    <w:pPr>
      <w:numPr>
        <w:numId w:val="10"/>
      </w:numPr>
      <w:tabs>
        <w:tab w:val="clear" w:pos="1209"/>
        <w:tab w:val="num" w:pos="2127"/>
      </w:tabs>
      <w:ind w:left="1843" w:hanging="357"/>
      <w:contextualSpacing/>
    </w:pPr>
    <w:rPr>
      <w:rFonts w:eastAsia="Times New Roman" w:cs="Times New Roman"/>
    </w:rPr>
  </w:style>
  <w:style w:type="table" w:styleId="TableGrid">
    <w:name w:val="Table Grid"/>
    <w:basedOn w:val="TableNormal"/>
    <w:uiPriority w:val="59"/>
    <w:rsid w:val="006448E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semiHidden/>
    <w:unhideWhenUsed/>
    <w:rsid w:val="00667D8C"/>
    <w:pPr>
      <w:spacing w:after="100"/>
      <w:ind w:left="1760"/>
    </w:pPr>
  </w:style>
  <w:style w:type="character" w:styleId="PlaceholderText">
    <w:name w:val="Placeholder Text"/>
    <w:basedOn w:val="DefaultParagraphFont"/>
    <w:uiPriority w:val="99"/>
    <w:semiHidden/>
    <w:rsid w:val="002170BB"/>
    <w:rPr>
      <w:color w:val="808080"/>
    </w:rPr>
  </w:style>
  <w:style w:type="character" w:styleId="CommentReference">
    <w:name w:val="annotation reference"/>
    <w:basedOn w:val="DefaultParagraphFont"/>
    <w:uiPriority w:val="99"/>
    <w:semiHidden/>
    <w:unhideWhenUsed/>
    <w:rsid w:val="004D35DF"/>
    <w:rPr>
      <w:sz w:val="16"/>
      <w:szCs w:val="16"/>
    </w:rPr>
  </w:style>
  <w:style w:type="paragraph" w:styleId="CommentText">
    <w:name w:val="annotation text"/>
    <w:basedOn w:val="Normal"/>
    <w:link w:val="CommentTextChar"/>
    <w:uiPriority w:val="99"/>
    <w:semiHidden/>
    <w:unhideWhenUsed/>
    <w:rsid w:val="004D35DF"/>
    <w:pPr>
      <w:spacing w:line="240" w:lineRule="auto"/>
    </w:pPr>
    <w:rPr>
      <w:sz w:val="20"/>
      <w:szCs w:val="20"/>
    </w:rPr>
  </w:style>
  <w:style w:type="character" w:customStyle="1" w:styleId="CommentTextChar">
    <w:name w:val="Comment Text Char"/>
    <w:basedOn w:val="DefaultParagraphFont"/>
    <w:link w:val="CommentText"/>
    <w:uiPriority w:val="99"/>
    <w:semiHidden/>
    <w:rsid w:val="004D35DF"/>
    <w:rPr>
      <w:sz w:val="20"/>
      <w:szCs w:val="20"/>
    </w:rPr>
  </w:style>
  <w:style w:type="paragraph" w:styleId="CommentSubject">
    <w:name w:val="annotation subject"/>
    <w:basedOn w:val="CommentText"/>
    <w:next w:val="CommentText"/>
    <w:link w:val="CommentSubjectChar"/>
    <w:uiPriority w:val="99"/>
    <w:semiHidden/>
    <w:unhideWhenUsed/>
    <w:rsid w:val="004D35DF"/>
    <w:rPr>
      <w:b/>
      <w:bCs/>
    </w:rPr>
  </w:style>
  <w:style w:type="character" w:customStyle="1" w:styleId="CommentSubjectChar">
    <w:name w:val="Comment Subject Char"/>
    <w:basedOn w:val="CommentTextChar"/>
    <w:link w:val="CommentSubject"/>
    <w:uiPriority w:val="99"/>
    <w:semiHidden/>
    <w:rsid w:val="004D35DF"/>
    <w:rPr>
      <w:b/>
      <w:bCs/>
      <w:sz w:val="20"/>
      <w:szCs w:val="20"/>
    </w:rPr>
  </w:style>
  <w:style w:type="paragraph" w:styleId="ListNumber">
    <w:name w:val="List Number"/>
    <w:basedOn w:val="Normal"/>
    <w:qFormat/>
    <w:rsid w:val="00EF7D5B"/>
    <w:pPr>
      <w:numPr>
        <w:numId w:val="22"/>
      </w:numPr>
      <w:ind w:left="357" w:hanging="357"/>
    </w:pPr>
    <w:rPr>
      <w:rFonts w:eastAsia="Times New Roman" w:cs="Arial"/>
      <w:lang w:val="en-US"/>
    </w:rPr>
  </w:style>
  <w:style w:type="character" w:customStyle="1" w:styleId="Heading5Char">
    <w:name w:val="Heading 5 Char"/>
    <w:basedOn w:val="DefaultParagraphFont"/>
    <w:link w:val="Heading5"/>
    <w:uiPriority w:val="9"/>
    <w:semiHidden/>
    <w:rsid w:val="00B171AB"/>
    <w:rPr>
      <w:rFonts w:asciiTheme="majorHAnsi" w:eastAsiaTheme="majorEastAsia" w:hAnsiTheme="majorHAnsi" w:cstheme="majorBidi"/>
      <w:color w:val="243F60" w:themeColor="accent1" w:themeShade="7F"/>
      <w:sz w:val="24"/>
    </w:rPr>
  </w:style>
  <w:style w:type="paragraph" w:styleId="TOC2">
    <w:name w:val="toc 2"/>
    <w:basedOn w:val="Normal"/>
    <w:next w:val="Normal"/>
    <w:autoRedefine/>
    <w:uiPriority w:val="39"/>
    <w:unhideWhenUsed/>
    <w:rsid w:val="002151ED"/>
    <w:pPr>
      <w:spacing w:after="100"/>
      <w:ind w:left="958" w:right="284" w:hanging="720"/>
      <w:jc w:val="left"/>
    </w:pPr>
  </w:style>
  <w:style w:type="paragraph" w:styleId="TOC1">
    <w:name w:val="toc 1"/>
    <w:basedOn w:val="Normal"/>
    <w:next w:val="Normal"/>
    <w:autoRedefine/>
    <w:uiPriority w:val="39"/>
    <w:unhideWhenUsed/>
    <w:qFormat/>
    <w:rsid w:val="00CD25EE"/>
    <w:pPr>
      <w:tabs>
        <w:tab w:val="left" w:pos="284"/>
        <w:tab w:val="left" w:pos="567"/>
        <w:tab w:val="left" w:pos="958"/>
        <w:tab w:val="right" w:leader="dot" w:pos="9350"/>
      </w:tabs>
      <w:spacing w:after="100"/>
    </w:pPr>
  </w:style>
  <w:style w:type="character" w:styleId="Hyperlink">
    <w:name w:val="Hyperlink"/>
    <w:basedOn w:val="DefaultParagraphFont"/>
    <w:uiPriority w:val="99"/>
    <w:unhideWhenUsed/>
    <w:rsid w:val="000768F5"/>
    <w:rPr>
      <w:color w:val="0000FF" w:themeColor="hyperlink"/>
      <w:u w:val="single"/>
    </w:rPr>
  </w:style>
  <w:style w:type="paragraph" w:styleId="TOC3">
    <w:name w:val="toc 3"/>
    <w:basedOn w:val="Normal"/>
    <w:next w:val="Normal"/>
    <w:autoRedefine/>
    <w:uiPriority w:val="39"/>
    <w:unhideWhenUsed/>
    <w:rsid w:val="00496FD4"/>
    <w:pPr>
      <w:spacing w:after="100"/>
      <w:ind w:left="480"/>
    </w:pPr>
  </w:style>
  <w:style w:type="paragraph" w:customStyle="1" w:styleId="TOCHeadingE">
    <w:name w:val="TOC Heading E"/>
    <w:basedOn w:val="TableTitle"/>
    <w:qFormat/>
    <w:rsid w:val="007C6910"/>
    <w:pPr>
      <w:ind w:left="0"/>
      <w:jc w:val="center"/>
    </w:pPr>
    <w:rPr>
      <w:color w:val="0070C0"/>
    </w:rPr>
  </w:style>
  <w:style w:type="paragraph" w:styleId="TOC4">
    <w:name w:val="toc 4"/>
    <w:basedOn w:val="Normal"/>
    <w:next w:val="Normal"/>
    <w:autoRedefine/>
    <w:uiPriority w:val="39"/>
    <w:unhideWhenUsed/>
    <w:rsid w:val="00CD25EE"/>
    <w:pPr>
      <w:spacing w:after="100"/>
      <w:ind w:left="720"/>
    </w:pPr>
  </w:style>
  <w:style w:type="paragraph" w:customStyle="1" w:styleId="CoverPage1">
    <w:name w:val="Cover Page 1"/>
    <w:basedOn w:val="Normal"/>
    <w:qFormat/>
    <w:rsid w:val="009A72B8"/>
    <w:pPr>
      <w:jc w:val="left"/>
    </w:pPr>
    <w:rPr>
      <w:rFonts w:cs="Arial"/>
      <w:b/>
      <w:color w:val="1F487C"/>
      <w:sz w:val="56"/>
      <w:szCs w:val="56"/>
    </w:rPr>
  </w:style>
  <w:style w:type="paragraph" w:customStyle="1" w:styleId="CoverPage2">
    <w:name w:val="Cover Page 2"/>
    <w:basedOn w:val="CoverPage1"/>
    <w:qFormat/>
    <w:rsid w:val="00595D9F"/>
    <w:pPr>
      <w:spacing w:before="0" w:after="0" w:line="240" w:lineRule="auto"/>
    </w:pPr>
    <w:rPr>
      <w:sz w:val="48"/>
      <w:szCs w:val="48"/>
    </w:rPr>
  </w:style>
  <w:style w:type="paragraph" w:customStyle="1" w:styleId="CoverPage3">
    <w:name w:val="Cover Page 3"/>
    <w:basedOn w:val="CoverPage2"/>
    <w:qFormat/>
    <w:rsid w:val="00595D9F"/>
    <w:rPr>
      <w:sz w:val="36"/>
      <w:szCs w:val="36"/>
    </w:rPr>
  </w:style>
  <w:style w:type="paragraph" w:styleId="NoSpacing">
    <w:name w:val="No Spacing"/>
    <w:link w:val="NoSpacingChar"/>
    <w:uiPriority w:val="1"/>
    <w:qFormat/>
    <w:rsid w:val="00397DA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97DA5"/>
    <w:rPr>
      <w:rFonts w:eastAsiaTheme="minorEastAsia"/>
      <w:lang w:val="en-US" w:eastAsia="ja-JP"/>
    </w:rPr>
  </w:style>
  <w:style w:type="paragraph" w:customStyle="1" w:styleId="CoverPage">
    <w:name w:val="Cover Page"/>
    <w:basedOn w:val="Normal"/>
    <w:rsid w:val="00397DA5"/>
    <w:pPr>
      <w:spacing w:before="0" w:after="0" w:line="240" w:lineRule="auto"/>
      <w:jc w:val="center"/>
    </w:pPr>
    <w:rPr>
      <w:rFonts w:eastAsia="Times New Roman" w:cs="Times New Roman"/>
      <w:b/>
      <w:color w:val="006AAF"/>
      <w:sz w:val="40"/>
    </w:rPr>
  </w:style>
  <w:style w:type="paragraph" w:styleId="ListParagraph">
    <w:name w:val="List Paragraph"/>
    <w:basedOn w:val="Normal"/>
    <w:uiPriority w:val="34"/>
    <w:qFormat/>
    <w:rsid w:val="00397DA5"/>
    <w:pPr>
      <w:spacing w:before="0" w:after="0" w:line="360" w:lineRule="auto"/>
      <w:ind w:left="720"/>
      <w:contextualSpacing/>
    </w:pPr>
    <w:rPr>
      <w:rFonts w:eastAsia="Times New Roman" w:cs="Arial"/>
      <w:szCs w:val="26"/>
    </w:rPr>
  </w:style>
  <w:style w:type="paragraph" w:styleId="Caption">
    <w:name w:val="caption"/>
    <w:basedOn w:val="Normal"/>
    <w:next w:val="Normal"/>
    <w:uiPriority w:val="35"/>
    <w:unhideWhenUsed/>
    <w:qFormat/>
    <w:rsid w:val="00397DA5"/>
    <w:pPr>
      <w:spacing w:before="0" w:after="200" w:line="240" w:lineRule="auto"/>
      <w:jc w:val="left"/>
    </w:pPr>
    <w:rPr>
      <w:rFonts w:asciiTheme="minorHAnsi" w:hAnsiTheme="minorHAns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771">
      <w:bodyDiv w:val="1"/>
      <w:marLeft w:val="0"/>
      <w:marRight w:val="0"/>
      <w:marTop w:val="0"/>
      <w:marBottom w:val="0"/>
      <w:divBdr>
        <w:top w:val="none" w:sz="0" w:space="0" w:color="auto"/>
        <w:left w:val="none" w:sz="0" w:space="0" w:color="auto"/>
        <w:bottom w:val="none" w:sz="0" w:space="0" w:color="auto"/>
        <w:right w:val="none" w:sz="0" w:space="0" w:color="auto"/>
      </w:divBdr>
    </w:div>
    <w:div w:id="67240787">
      <w:bodyDiv w:val="1"/>
      <w:marLeft w:val="0"/>
      <w:marRight w:val="0"/>
      <w:marTop w:val="0"/>
      <w:marBottom w:val="0"/>
      <w:divBdr>
        <w:top w:val="none" w:sz="0" w:space="0" w:color="auto"/>
        <w:left w:val="none" w:sz="0" w:space="0" w:color="auto"/>
        <w:bottom w:val="none" w:sz="0" w:space="0" w:color="auto"/>
        <w:right w:val="none" w:sz="0" w:space="0" w:color="auto"/>
      </w:divBdr>
    </w:div>
    <w:div w:id="68504725">
      <w:bodyDiv w:val="1"/>
      <w:marLeft w:val="0"/>
      <w:marRight w:val="0"/>
      <w:marTop w:val="0"/>
      <w:marBottom w:val="0"/>
      <w:divBdr>
        <w:top w:val="none" w:sz="0" w:space="0" w:color="auto"/>
        <w:left w:val="none" w:sz="0" w:space="0" w:color="auto"/>
        <w:bottom w:val="none" w:sz="0" w:space="0" w:color="auto"/>
        <w:right w:val="none" w:sz="0" w:space="0" w:color="auto"/>
      </w:divBdr>
    </w:div>
    <w:div w:id="173419286">
      <w:bodyDiv w:val="1"/>
      <w:marLeft w:val="0"/>
      <w:marRight w:val="0"/>
      <w:marTop w:val="0"/>
      <w:marBottom w:val="0"/>
      <w:divBdr>
        <w:top w:val="none" w:sz="0" w:space="0" w:color="auto"/>
        <w:left w:val="none" w:sz="0" w:space="0" w:color="auto"/>
        <w:bottom w:val="none" w:sz="0" w:space="0" w:color="auto"/>
        <w:right w:val="none" w:sz="0" w:space="0" w:color="auto"/>
      </w:divBdr>
    </w:div>
    <w:div w:id="196814823">
      <w:bodyDiv w:val="1"/>
      <w:marLeft w:val="0"/>
      <w:marRight w:val="0"/>
      <w:marTop w:val="0"/>
      <w:marBottom w:val="0"/>
      <w:divBdr>
        <w:top w:val="none" w:sz="0" w:space="0" w:color="auto"/>
        <w:left w:val="none" w:sz="0" w:space="0" w:color="auto"/>
        <w:bottom w:val="none" w:sz="0" w:space="0" w:color="auto"/>
        <w:right w:val="none" w:sz="0" w:space="0" w:color="auto"/>
      </w:divBdr>
    </w:div>
    <w:div w:id="198206733">
      <w:bodyDiv w:val="1"/>
      <w:marLeft w:val="0"/>
      <w:marRight w:val="0"/>
      <w:marTop w:val="0"/>
      <w:marBottom w:val="0"/>
      <w:divBdr>
        <w:top w:val="none" w:sz="0" w:space="0" w:color="auto"/>
        <w:left w:val="none" w:sz="0" w:space="0" w:color="auto"/>
        <w:bottom w:val="none" w:sz="0" w:space="0" w:color="auto"/>
        <w:right w:val="none" w:sz="0" w:space="0" w:color="auto"/>
      </w:divBdr>
    </w:div>
    <w:div w:id="199444075">
      <w:bodyDiv w:val="1"/>
      <w:marLeft w:val="0"/>
      <w:marRight w:val="0"/>
      <w:marTop w:val="0"/>
      <w:marBottom w:val="0"/>
      <w:divBdr>
        <w:top w:val="none" w:sz="0" w:space="0" w:color="auto"/>
        <w:left w:val="none" w:sz="0" w:space="0" w:color="auto"/>
        <w:bottom w:val="none" w:sz="0" w:space="0" w:color="auto"/>
        <w:right w:val="none" w:sz="0" w:space="0" w:color="auto"/>
      </w:divBdr>
    </w:div>
    <w:div w:id="292716347">
      <w:bodyDiv w:val="1"/>
      <w:marLeft w:val="0"/>
      <w:marRight w:val="0"/>
      <w:marTop w:val="0"/>
      <w:marBottom w:val="0"/>
      <w:divBdr>
        <w:top w:val="none" w:sz="0" w:space="0" w:color="auto"/>
        <w:left w:val="none" w:sz="0" w:space="0" w:color="auto"/>
        <w:bottom w:val="none" w:sz="0" w:space="0" w:color="auto"/>
        <w:right w:val="none" w:sz="0" w:space="0" w:color="auto"/>
      </w:divBdr>
    </w:div>
    <w:div w:id="351806635">
      <w:bodyDiv w:val="1"/>
      <w:marLeft w:val="0"/>
      <w:marRight w:val="0"/>
      <w:marTop w:val="0"/>
      <w:marBottom w:val="0"/>
      <w:divBdr>
        <w:top w:val="none" w:sz="0" w:space="0" w:color="auto"/>
        <w:left w:val="none" w:sz="0" w:space="0" w:color="auto"/>
        <w:bottom w:val="none" w:sz="0" w:space="0" w:color="auto"/>
        <w:right w:val="none" w:sz="0" w:space="0" w:color="auto"/>
      </w:divBdr>
    </w:div>
    <w:div w:id="387075105">
      <w:bodyDiv w:val="1"/>
      <w:marLeft w:val="0"/>
      <w:marRight w:val="0"/>
      <w:marTop w:val="0"/>
      <w:marBottom w:val="0"/>
      <w:divBdr>
        <w:top w:val="none" w:sz="0" w:space="0" w:color="auto"/>
        <w:left w:val="none" w:sz="0" w:space="0" w:color="auto"/>
        <w:bottom w:val="none" w:sz="0" w:space="0" w:color="auto"/>
        <w:right w:val="none" w:sz="0" w:space="0" w:color="auto"/>
      </w:divBdr>
    </w:div>
    <w:div w:id="412439502">
      <w:bodyDiv w:val="1"/>
      <w:marLeft w:val="0"/>
      <w:marRight w:val="0"/>
      <w:marTop w:val="0"/>
      <w:marBottom w:val="0"/>
      <w:divBdr>
        <w:top w:val="none" w:sz="0" w:space="0" w:color="auto"/>
        <w:left w:val="none" w:sz="0" w:space="0" w:color="auto"/>
        <w:bottom w:val="none" w:sz="0" w:space="0" w:color="auto"/>
        <w:right w:val="none" w:sz="0" w:space="0" w:color="auto"/>
      </w:divBdr>
    </w:div>
    <w:div w:id="421878587">
      <w:bodyDiv w:val="1"/>
      <w:marLeft w:val="0"/>
      <w:marRight w:val="0"/>
      <w:marTop w:val="0"/>
      <w:marBottom w:val="0"/>
      <w:divBdr>
        <w:top w:val="none" w:sz="0" w:space="0" w:color="auto"/>
        <w:left w:val="none" w:sz="0" w:space="0" w:color="auto"/>
        <w:bottom w:val="none" w:sz="0" w:space="0" w:color="auto"/>
        <w:right w:val="none" w:sz="0" w:space="0" w:color="auto"/>
      </w:divBdr>
    </w:div>
    <w:div w:id="465584927">
      <w:bodyDiv w:val="1"/>
      <w:marLeft w:val="0"/>
      <w:marRight w:val="0"/>
      <w:marTop w:val="0"/>
      <w:marBottom w:val="0"/>
      <w:divBdr>
        <w:top w:val="none" w:sz="0" w:space="0" w:color="auto"/>
        <w:left w:val="none" w:sz="0" w:space="0" w:color="auto"/>
        <w:bottom w:val="none" w:sz="0" w:space="0" w:color="auto"/>
        <w:right w:val="none" w:sz="0" w:space="0" w:color="auto"/>
      </w:divBdr>
    </w:div>
    <w:div w:id="886601091">
      <w:bodyDiv w:val="1"/>
      <w:marLeft w:val="0"/>
      <w:marRight w:val="0"/>
      <w:marTop w:val="0"/>
      <w:marBottom w:val="0"/>
      <w:divBdr>
        <w:top w:val="none" w:sz="0" w:space="0" w:color="auto"/>
        <w:left w:val="none" w:sz="0" w:space="0" w:color="auto"/>
        <w:bottom w:val="none" w:sz="0" w:space="0" w:color="auto"/>
        <w:right w:val="none" w:sz="0" w:space="0" w:color="auto"/>
      </w:divBdr>
    </w:div>
    <w:div w:id="890575658">
      <w:bodyDiv w:val="1"/>
      <w:marLeft w:val="0"/>
      <w:marRight w:val="0"/>
      <w:marTop w:val="0"/>
      <w:marBottom w:val="0"/>
      <w:divBdr>
        <w:top w:val="none" w:sz="0" w:space="0" w:color="auto"/>
        <w:left w:val="none" w:sz="0" w:space="0" w:color="auto"/>
        <w:bottom w:val="none" w:sz="0" w:space="0" w:color="auto"/>
        <w:right w:val="none" w:sz="0" w:space="0" w:color="auto"/>
      </w:divBdr>
    </w:div>
    <w:div w:id="929118905">
      <w:bodyDiv w:val="1"/>
      <w:marLeft w:val="0"/>
      <w:marRight w:val="0"/>
      <w:marTop w:val="0"/>
      <w:marBottom w:val="0"/>
      <w:divBdr>
        <w:top w:val="none" w:sz="0" w:space="0" w:color="auto"/>
        <w:left w:val="none" w:sz="0" w:space="0" w:color="auto"/>
        <w:bottom w:val="none" w:sz="0" w:space="0" w:color="auto"/>
        <w:right w:val="none" w:sz="0" w:space="0" w:color="auto"/>
      </w:divBdr>
    </w:div>
    <w:div w:id="1084913962">
      <w:bodyDiv w:val="1"/>
      <w:marLeft w:val="0"/>
      <w:marRight w:val="0"/>
      <w:marTop w:val="0"/>
      <w:marBottom w:val="0"/>
      <w:divBdr>
        <w:top w:val="none" w:sz="0" w:space="0" w:color="auto"/>
        <w:left w:val="none" w:sz="0" w:space="0" w:color="auto"/>
        <w:bottom w:val="none" w:sz="0" w:space="0" w:color="auto"/>
        <w:right w:val="none" w:sz="0" w:space="0" w:color="auto"/>
      </w:divBdr>
    </w:div>
    <w:div w:id="1132207832">
      <w:bodyDiv w:val="1"/>
      <w:marLeft w:val="0"/>
      <w:marRight w:val="0"/>
      <w:marTop w:val="0"/>
      <w:marBottom w:val="0"/>
      <w:divBdr>
        <w:top w:val="none" w:sz="0" w:space="0" w:color="auto"/>
        <w:left w:val="none" w:sz="0" w:space="0" w:color="auto"/>
        <w:bottom w:val="none" w:sz="0" w:space="0" w:color="auto"/>
        <w:right w:val="none" w:sz="0" w:space="0" w:color="auto"/>
      </w:divBdr>
    </w:div>
    <w:div w:id="1241791949">
      <w:bodyDiv w:val="1"/>
      <w:marLeft w:val="0"/>
      <w:marRight w:val="0"/>
      <w:marTop w:val="0"/>
      <w:marBottom w:val="0"/>
      <w:divBdr>
        <w:top w:val="none" w:sz="0" w:space="0" w:color="auto"/>
        <w:left w:val="none" w:sz="0" w:space="0" w:color="auto"/>
        <w:bottom w:val="none" w:sz="0" w:space="0" w:color="auto"/>
        <w:right w:val="none" w:sz="0" w:space="0" w:color="auto"/>
      </w:divBdr>
    </w:div>
    <w:div w:id="1275017409">
      <w:bodyDiv w:val="1"/>
      <w:marLeft w:val="0"/>
      <w:marRight w:val="0"/>
      <w:marTop w:val="0"/>
      <w:marBottom w:val="0"/>
      <w:divBdr>
        <w:top w:val="none" w:sz="0" w:space="0" w:color="auto"/>
        <w:left w:val="none" w:sz="0" w:space="0" w:color="auto"/>
        <w:bottom w:val="none" w:sz="0" w:space="0" w:color="auto"/>
        <w:right w:val="none" w:sz="0" w:space="0" w:color="auto"/>
      </w:divBdr>
    </w:div>
    <w:div w:id="1325158207">
      <w:bodyDiv w:val="1"/>
      <w:marLeft w:val="0"/>
      <w:marRight w:val="0"/>
      <w:marTop w:val="0"/>
      <w:marBottom w:val="0"/>
      <w:divBdr>
        <w:top w:val="none" w:sz="0" w:space="0" w:color="auto"/>
        <w:left w:val="none" w:sz="0" w:space="0" w:color="auto"/>
        <w:bottom w:val="none" w:sz="0" w:space="0" w:color="auto"/>
        <w:right w:val="none" w:sz="0" w:space="0" w:color="auto"/>
      </w:divBdr>
    </w:div>
    <w:div w:id="1327703936">
      <w:bodyDiv w:val="1"/>
      <w:marLeft w:val="0"/>
      <w:marRight w:val="0"/>
      <w:marTop w:val="0"/>
      <w:marBottom w:val="0"/>
      <w:divBdr>
        <w:top w:val="none" w:sz="0" w:space="0" w:color="auto"/>
        <w:left w:val="none" w:sz="0" w:space="0" w:color="auto"/>
        <w:bottom w:val="none" w:sz="0" w:space="0" w:color="auto"/>
        <w:right w:val="none" w:sz="0" w:space="0" w:color="auto"/>
      </w:divBdr>
    </w:div>
    <w:div w:id="1401445856">
      <w:bodyDiv w:val="1"/>
      <w:marLeft w:val="0"/>
      <w:marRight w:val="0"/>
      <w:marTop w:val="0"/>
      <w:marBottom w:val="0"/>
      <w:divBdr>
        <w:top w:val="none" w:sz="0" w:space="0" w:color="auto"/>
        <w:left w:val="none" w:sz="0" w:space="0" w:color="auto"/>
        <w:bottom w:val="none" w:sz="0" w:space="0" w:color="auto"/>
        <w:right w:val="none" w:sz="0" w:space="0" w:color="auto"/>
      </w:divBdr>
    </w:div>
    <w:div w:id="1440175395">
      <w:bodyDiv w:val="1"/>
      <w:marLeft w:val="0"/>
      <w:marRight w:val="0"/>
      <w:marTop w:val="0"/>
      <w:marBottom w:val="0"/>
      <w:divBdr>
        <w:top w:val="none" w:sz="0" w:space="0" w:color="auto"/>
        <w:left w:val="none" w:sz="0" w:space="0" w:color="auto"/>
        <w:bottom w:val="none" w:sz="0" w:space="0" w:color="auto"/>
        <w:right w:val="none" w:sz="0" w:space="0" w:color="auto"/>
      </w:divBdr>
    </w:div>
    <w:div w:id="1441797191">
      <w:bodyDiv w:val="1"/>
      <w:marLeft w:val="0"/>
      <w:marRight w:val="0"/>
      <w:marTop w:val="0"/>
      <w:marBottom w:val="0"/>
      <w:divBdr>
        <w:top w:val="none" w:sz="0" w:space="0" w:color="auto"/>
        <w:left w:val="none" w:sz="0" w:space="0" w:color="auto"/>
        <w:bottom w:val="none" w:sz="0" w:space="0" w:color="auto"/>
        <w:right w:val="none" w:sz="0" w:space="0" w:color="auto"/>
      </w:divBdr>
    </w:div>
    <w:div w:id="1444348659">
      <w:bodyDiv w:val="1"/>
      <w:marLeft w:val="0"/>
      <w:marRight w:val="0"/>
      <w:marTop w:val="0"/>
      <w:marBottom w:val="0"/>
      <w:divBdr>
        <w:top w:val="none" w:sz="0" w:space="0" w:color="auto"/>
        <w:left w:val="none" w:sz="0" w:space="0" w:color="auto"/>
        <w:bottom w:val="none" w:sz="0" w:space="0" w:color="auto"/>
        <w:right w:val="none" w:sz="0" w:space="0" w:color="auto"/>
      </w:divBdr>
    </w:div>
    <w:div w:id="1480686264">
      <w:bodyDiv w:val="1"/>
      <w:marLeft w:val="0"/>
      <w:marRight w:val="0"/>
      <w:marTop w:val="0"/>
      <w:marBottom w:val="0"/>
      <w:divBdr>
        <w:top w:val="none" w:sz="0" w:space="0" w:color="auto"/>
        <w:left w:val="none" w:sz="0" w:space="0" w:color="auto"/>
        <w:bottom w:val="none" w:sz="0" w:space="0" w:color="auto"/>
        <w:right w:val="none" w:sz="0" w:space="0" w:color="auto"/>
      </w:divBdr>
    </w:div>
    <w:div w:id="1517231844">
      <w:bodyDiv w:val="1"/>
      <w:marLeft w:val="0"/>
      <w:marRight w:val="0"/>
      <w:marTop w:val="0"/>
      <w:marBottom w:val="0"/>
      <w:divBdr>
        <w:top w:val="none" w:sz="0" w:space="0" w:color="auto"/>
        <w:left w:val="none" w:sz="0" w:space="0" w:color="auto"/>
        <w:bottom w:val="none" w:sz="0" w:space="0" w:color="auto"/>
        <w:right w:val="none" w:sz="0" w:space="0" w:color="auto"/>
      </w:divBdr>
    </w:div>
    <w:div w:id="1521159337">
      <w:bodyDiv w:val="1"/>
      <w:marLeft w:val="0"/>
      <w:marRight w:val="0"/>
      <w:marTop w:val="0"/>
      <w:marBottom w:val="0"/>
      <w:divBdr>
        <w:top w:val="none" w:sz="0" w:space="0" w:color="auto"/>
        <w:left w:val="none" w:sz="0" w:space="0" w:color="auto"/>
        <w:bottom w:val="none" w:sz="0" w:space="0" w:color="auto"/>
        <w:right w:val="none" w:sz="0" w:space="0" w:color="auto"/>
      </w:divBdr>
    </w:div>
    <w:div w:id="1530877185">
      <w:bodyDiv w:val="1"/>
      <w:marLeft w:val="0"/>
      <w:marRight w:val="0"/>
      <w:marTop w:val="0"/>
      <w:marBottom w:val="0"/>
      <w:divBdr>
        <w:top w:val="none" w:sz="0" w:space="0" w:color="auto"/>
        <w:left w:val="none" w:sz="0" w:space="0" w:color="auto"/>
        <w:bottom w:val="none" w:sz="0" w:space="0" w:color="auto"/>
        <w:right w:val="none" w:sz="0" w:space="0" w:color="auto"/>
      </w:divBdr>
    </w:div>
    <w:div w:id="1554585115">
      <w:bodyDiv w:val="1"/>
      <w:marLeft w:val="0"/>
      <w:marRight w:val="0"/>
      <w:marTop w:val="0"/>
      <w:marBottom w:val="0"/>
      <w:divBdr>
        <w:top w:val="none" w:sz="0" w:space="0" w:color="auto"/>
        <w:left w:val="none" w:sz="0" w:space="0" w:color="auto"/>
        <w:bottom w:val="none" w:sz="0" w:space="0" w:color="auto"/>
        <w:right w:val="none" w:sz="0" w:space="0" w:color="auto"/>
      </w:divBdr>
    </w:div>
    <w:div w:id="1721786018">
      <w:bodyDiv w:val="1"/>
      <w:marLeft w:val="0"/>
      <w:marRight w:val="0"/>
      <w:marTop w:val="0"/>
      <w:marBottom w:val="0"/>
      <w:divBdr>
        <w:top w:val="none" w:sz="0" w:space="0" w:color="auto"/>
        <w:left w:val="none" w:sz="0" w:space="0" w:color="auto"/>
        <w:bottom w:val="none" w:sz="0" w:space="0" w:color="auto"/>
        <w:right w:val="none" w:sz="0" w:space="0" w:color="auto"/>
      </w:divBdr>
    </w:div>
    <w:div w:id="1749959400">
      <w:bodyDiv w:val="1"/>
      <w:marLeft w:val="0"/>
      <w:marRight w:val="0"/>
      <w:marTop w:val="0"/>
      <w:marBottom w:val="0"/>
      <w:divBdr>
        <w:top w:val="none" w:sz="0" w:space="0" w:color="auto"/>
        <w:left w:val="none" w:sz="0" w:space="0" w:color="auto"/>
        <w:bottom w:val="none" w:sz="0" w:space="0" w:color="auto"/>
        <w:right w:val="none" w:sz="0" w:space="0" w:color="auto"/>
      </w:divBdr>
    </w:div>
    <w:div w:id="1769693046">
      <w:bodyDiv w:val="1"/>
      <w:marLeft w:val="0"/>
      <w:marRight w:val="0"/>
      <w:marTop w:val="0"/>
      <w:marBottom w:val="0"/>
      <w:divBdr>
        <w:top w:val="none" w:sz="0" w:space="0" w:color="auto"/>
        <w:left w:val="none" w:sz="0" w:space="0" w:color="auto"/>
        <w:bottom w:val="none" w:sz="0" w:space="0" w:color="auto"/>
        <w:right w:val="none" w:sz="0" w:space="0" w:color="auto"/>
      </w:divBdr>
    </w:div>
    <w:div w:id="1836801397">
      <w:bodyDiv w:val="1"/>
      <w:marLeft w:val="0"/>
      <w:marRight w:val="0"/>
      <w:marTop w:val="0"/>
      <w:marBottom w:val="0"/>
      <w:divBdr>
        <w:top w:val="none" w:sz="0" w:space="0" w:color="auto"/>
        <w:left w:val="none" w:sz="0" w:space="0" w:color="auto"/>
        <w:bottom w:val="none" w:sz="0" w:space="0" w:color="auto"/>
        <w:right w:val="none" w:sz="0" w:space="0" w:color="auto"/>
      </w:divBdr>
    </w:div>
    <w:div w:id="1844708990">
      <w:bodyDiv w:val="1"/>
      <w:marLeft w:val="0"/>
      <w:marRight w:val="0"/>
      <w:marTop w:val="0"/>
      <w:marBottom w:val="0"/>
      <w:divBdr>
        <w:top w:val="none" w:sz="0" w:space="0" w:color="auto"/>
        <w:left w:val="none" w:sz="0" w:space="0" w:color="auto"/>
        <w:bottom w:val="none" w:sz="0" w:space="0" w:color="auto"/>
        <w:right w:val="none" w:sz="0" w:space="0" w:color="auto"/>
      </w:divBdr>
    </w:div>
    <w:div w:id="1903444669">
      <w:bodyDiv w:val="1"/>
      <w:marLeft w:val="0"/>
      <w:marRight w:val="0"/>
      <w:marTop w:val="0"/>
      <w:marBottom w:val="0"/>
      <w:divBdr>
        <w:top w:val="none" w:sz="0" w:space="0" w:color="auto"/>
        <w:left w:val="none" w:sz="0" w:space="0" w:color="auto"/>
        <w:bottom w:val="none" w:sz="0" w:space="0" w:color="auto"/>
        <w:right w:val="none" w:sz="0" w:space="0" w:color="auto"/>
      </w:divBdr>
    </w:div>
    <w:div w:id="2043942994">
      <w:bodyDiv w:val="1"/>
      <w:marLeft w:val="0"/>
      <w:marRight w:val="0"/>
      <w:marTop w:val="0"/>
      <w:marBottom w:val="0"/>
      <w:divBdr>
        <w:top w:val="none" w:sz="0" w:space="0" w:color="auto"/>
        <w:left w:val="none" w:sz="0" w:space="0" w:color="auto"/>
        <w:bottom w:val="none" w:sz="0" w:space="0" w:color="auto"/>
        <w:right w:val="none" w:sz="0" w:space="0" w:color="auto"/>
      </w:divBdr>
    </w:div>
    <w:div w:id="20566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image" Target="media/image10.emf"/><Relationship Id="rId10" Type="http://schemas.openxmlformats.org/officeDocument/2006/relationships/hyperlink" Target="http://www.elenchus.c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image" Target="media/image9.emf"/><Relationship Id="rId30"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1%20TEMPLATES\2017%20templates\Elenchus%20Report%202017.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ra-fs\RegulatorySolutions\Erie%20Thames\Load%20Forecast\Erie%20Thames%202018%20Load%20Foreca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a-fs\RegulatorySolutions\Erie%20Thames\Load%20Forecast\Erie%20Thames%202018%20Load%20Forecast%20JUne%2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a-fs\RegulatorySolutions\Erie%20Thames\Load%20Forecast\Erie%20Thames%202018%20Load%20Forecast%20JUne%2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a-fs\RegulatorySolutions\Erie%20Thames\Load%20Forecast\Erie%20Thames%202018%20Load%20Forecast%20JUne%2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'Res Predicted Monthly'!$C$1</c:f>
              <c:strCache>
                <c:ptCount val="1"/>
                <c:pt idx="0">
                  <c:v> Residential_no_CDM </c:v>
                </c:pt>
              </c:strCache>
            </c:strRef>
          </c:tx>
          <c:spPr>
            <a:ln w="28575" cap="rnd">
              <a:solidFill>
                <a:schemeClr val="accent1"/>
              </a:solidFill>
              <a:round/>
            </a:ln>
            <a:effectLst/>
          </c:spPr>
          <c:marker>
            <c:symbol val="none"/>
          </c:marker>
          <c:cat>
            <c:numRef>
              <c:f>'Res Predicted Monthly'!$A$2:$A$121</c:f>
              <c:numCache>
                <c:formatCode>m/d/yyyy</c:formatCode>
                <c:ptCount val="120"/>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numCache>
            </c:numRef>
          </c:cat>
          <c:val>
            <c:numRef>
              <c:f>'Res Predicted Monthly'!$C$2:$C$121</c:f>
              <c:numCache>
                <c:formatCode>_(* #,##0_);_(* \(#,##0\);_(* "-"??_);_(@_)</c:formatCode>
                <c:ptCount val="120"/>
                <c:pt idx="0">
                  <c:v>14581608.920969907</c:v>
                </c:pt>
                <c:pt idx="1">
                  <c:v>14900347.320969908</c:v>
                </c:pt>
                <c:pt idx="2">
                  <c:v>13266443.320969906</c:v>
                </c:pt>
                <c:pt idx="3">
                  <c:v>11367902.320969908</c:v>
                </c:pt>
                <c:pt idx="4">
                  <c:v>10571719.320969908</c:v>
                </c:pt>
                <c:pt idx="5">
                  <c:v>12208403.320969908</c:v>
                </c:pt>
                <c:pt idx="6">
                  <c:v>12684446.320969908</c:v>
                </c:pt>
                <c:pt idx="7">
                  <c:v>12052546.320969908</c:v>
                </c:pt>
                <c:pt idx="8">
                  <c:v>10146484.320969908</c:v>
                </c:pt>
                <c:pt idx="9">
                  <c:v>10490269.320969908</c:v>
                </c:pt>
                <c:pt idx="10">
                  <c:v>11374243.320969908</c:v>
                </c:pt>
                <c:pt idx="11">
                  <c:v>14349894.320969908</c:v>
                </c:pt>
                <c:pt idx="12">
                  <c:v>13687822.136470912</c:v>
                </c:pt>
                <c:pt idx="13">
                  <c:v>13785723.616470911</c:v>
                </c:pt>
                <c:pt idx="14">
                  <c:v>12643963.896470912</c:v>
                </c:pt>
                <c:pt idx="15">
                  <c:v>10212184.296470912</c:v>
                </c:pt>
                <c:pt idx="16">
                  <c:v>10279757.096470911</c:v>
                </c:pt>
                <c:pt idx="17">
                  <c:v>10871040.896470912</c:v>
                </c:pt>
                <c:pt idx="18">
                  <c:v>12420189.896470912</c:v>
                </c:pt>
                <c:pt idx="19">
                  <c:v>12069420.896470912</c:v>
                </c:pt>
                <c:pt idx="20">
                  <c:v>9822708.8964709118</c:v>
                </c:pt>
                <c:pt idx="21">
                  <c:v>10052323.896470912</c:v>
                </c:pt>
                <c:pt idx="22">
                  <c:v>11103226.896470912</c:v>
                </c:pt>
                <c:pt idx="23">
                  <c:v>14751336.896470912</c:v>
                </c:pt>
                <c:pt idx="24">
                  <c:v>14994049.254319351</c:v>
                </c:pt>
                <c:pt idx="25">
                  <c:v>13874031.254319351</c:v>
                </c:pt>
                <c:pt idx="26">
                  <c:v>11835174.254319351</c:v>
                </c:pt>
                <c:pt idx="27">
                  <c:v>11370094.254319351</c:v>
                </c:pt>
                <c:pt idx="28">
                  <c:v>9112702.0543193519</c:v>
                </c:pt>
                <c:pt idx="29">
                  <c:v>10026613.45431935</c:v>
                </c:pt>
                <c:pt idx="30">
                  <c:v>11170286.254319351</c:v>
                </c:pt>
                <c:pt idx="31">
                  <c:v>11765460.254319351</c:v>
                </c:pt>
                <c:pt idx="32">
                  <c:v>10472733.254319351</c:v>
                </c:pt>
                <c:pt idx="33">
                  <c:v>10701899.254319351</c:v>
                </c:pt>
                <c:pt idx="34">
                  <c:v>10944291.254319351</c:v>
                </c:pt>
                <c:pt idx="35">
                  <c:v>13904019.45431935</c:v>
                </c:pt>
                <c:pt idx="36">
                  <c:v>14717052.807938807</c:v>
                </c:pt>
                <c:pt idx="37">
                  <c:v>14375081.807938807</c:v>
                </c:pt>
                <c:pt idx="38">
                  <c:v>10713254.807938807</c:v>
                </c:pt>
                <c:pt idx="39">
                  <c:v>10191264.807938807</c:v>
                </c:pt>
                <c:pt idx="40">
                  <c:v>10178147.807938807</c:v>
                </c:pt>
                <c:pt idx="41">
                  <c:v>12149657.807938807</c:v>
                </c:pt>
                <c:pt idx="42">
                  <c:v>13218725.807938807</c:v>
                </c:pt>
                <c:pt idx="43">
                  <c:v>13112190.807938807</c:v>
                </c:pt>
                <c:pt idx="44">
                  <c:v>10595662.807938807</c:v>
                </c:pt>
                <c:pt idx="45">
                  <c:v>9940945.007938806</c:v>
                </c:pt>
                <c:pt idx="46">
                  <c:v>11403864.607938807</c:v>
                </c:pt>
                <c:pt idx="47">
                  <c:v>14482720.807938807</c:v>
                </c:pt>
                <c:pt idx="48">
                  <c:v>14730818.468051754</c:v>
                </c:pt>
                <c:pt idx="49">
                  <c:v>12474857.468051754</c:v>
                </c:pt>
                <c:pt idx="50">
                  <c:v>11284297.468051754</c:v>
                </c:pt>
                <c:pt idx="51">
                  <c:v>11134118.468051754</c:v>
                </c:pt>
                <c:pt idx="52">
                  <c:v>10309537.648051754</c:v>
                </c:pt>
                <c:pt idx="53">
                  <c:v>10923118.348051753</c:v>
                </c:pt>
                <c:pt idx="54">
                  <c:v>13973996.748051755</c:v>
                </c:pt>
                <c:pt idx="55">
                  <c:v>13088259.428051755</c:v>
                </c:pt>
                <c:pt idx="56">
                  <c:v>10428037.298051752</c:v>
                </c:pt>
                <c:pt idx="57">
                  <c:v>9961883.1680517532</c:v>
                </c:pt>
                <c:pt idx="58">
                  <c:v>10558824.248051753</c:v>
                </c:pt>
                <c:pt idx="59">
                  <c:v>12756788.608051755</c:v>
                </c:pt>
                <c:pt idx="60">
                  <c:v>13701990.338784929</c:v>
                </c:pt>
                <c:pt idx="61">
                  <c:v>12419248.918784933</c:v>
                </c:pt>
                <c:pt idx="62">
                  <c:v>10625784.518784931</c:v>
                </c:pt>
                <c:pt idx="63">
                  <c:v>9308329.4287849367</c:v>
                </c:pt>
                <c:pt idx="64">
                  <c:v>10160706.668784929</c:v>
                </c:pt>
                <c:pt idx="65">
                  <c:v>11226621.57878493</c:v>
                </c:pt>
                <c:pt idx="66">
                  <c:v>14521070.218784928</c:v>
                </c:pt>
                <c:pt idx="67">
                  <c:v>12646001.058784934</c:v>
                </c:pt>
                <c:pt idx="68">
                  <c:v>10714417.028784934</c:v>
                </c:pt>
                <c:pt idx="69">
                  <c:v>9933433.2287849337</c:v>
                </c:pt>
                <c:pt idx="70">
                  <c:v>11155987.468784932</c:v>
                </c:pt>
                <c:pt idx="71">
                  <c:v>12721788.438784931</c:v>
                </c:pt>
                <c:pt idx="72">
                  <c:v>13766519.236842874</c:v>
                </c:pt>
                <c:pt idx="73">
                  <c:v>13037264.436842877</c:v>
                </c:pt>
                <c:pt idx="74">
                  <c:v>11968675.47684288</c:v>
                </c:pt>
                <c:pt idx="75">
                  <c:v>10955923.596842881</c:v>
                </c:pt>
                <c:pt idx="76">
                  <c:v>9805347.5568428785</c:v>
                </c:pt>
                <c:pt idx="77">
                  <c:v>10790040.57684288</c:v>
                </c:pt>
                <c:pt idx="78">
                  <c:v>13306627.046842881</c:v>
                </c:pt>
                <c:pt idx="79">
                  <c:v>11765359.706842881</c:v>
                </c:pt>
                <c:pt idx="80">
                  <c:v>10845549.38684288</c:v>
                </c:pt>
                <c:pt idx="81">
                  <c:v>10013800.05684288</c:v>
                </c:pt>
                <c:pt idx="82">
                  <c:v>11605954.256842878</c:v>
                </c:pt>
                <c:pt idx="83">
                  <c:v>13860420.196842877</c:v>
                </c:pt>
                <c:pt idx="84">
                  <c:v>14722169.100343866</c:v>
                </c:pt>
                <c:pt idx="85">
                  <c:v>13790924.590343861</c:v>
                </c:pt>
                <c:pt idx="86">
                  <c:v>12528889.650343863</c:v>
                </c:pt>
                <c:pt idx="87">
                  <c:v>10816440.440343862</c:v>
                </c:pt>
                <c:pt idx="88">
                  <c:v>9703088.1603438631</c:v>
                </c:pt>
                <c:pt idx="89">
                  <c:v>10912677.660343865</c:v>
                </c:pt>
                <c:pt idx="90">
                  <c:v>11600834.720343864</c:v>
                </c:pt>
                <c:pt idx="91">
                  <c:v>11466154.010343865</c:v>
                </c:pt>
                <c:pt idx="92">
                  <c:v>10578662.600343861</c:v>
                </c:pt>
                <c:pt idx="93">
                  <c:v>9927126.3503438644</c:v>
                </c:pt>
                <c:pt idx="94">
                  <c:v>11544026.020343866</c:v>
                </c:pt>
                <c:pt idx="95">
                  <c:v>13053158.70034386</c:v>
                </c:pt>
                <c:pt idx="96">
                  <c:v>14179956.538303483</c:v>
                </c:pt>
                <c:pt idx="97">
                  <c:v>13790999.848303484</c:v>
                </c:pt>
                <c:pt idx="98">
                  <c:v>12167181.358303482</c:v>
                </c:pt>
                <c:pt idx="99">
                  <c:v>10541757.03830348</c:v>
                </c:pt>
                <c:pt idx="100">
                  <c:v>9816749.928303482</c:v>
                </c:pt>
                <c:pt idx="101">
                  <c:v>10526013.478303481</c:v>
                </c:pt>
                <c:pt idx="102">
                  <c:v>12091575.198303482</c:v>
                </c:pt>
                <c:pt idx="103">
                  <c:v>12608290.718303479</c:v>
                </c:pt>
                <c:pt idx="104">
                  <c:v>11472336.978303481</c:v>
                </c:pt>
                <c:pt idx="105">
                  <c:v>9760874.6783034839</c:v>
                </c:pt>
                <c:pt idx="106">
                  <c:v>10610626.948303482</c:v>
                </c:pt>
                <c:pt idx="107">
                  <c:v>11935835.708303479</c:v>
                </c:pt>
                <c:pt idx="108">
                  <c:v>13040485.289731631</c:v>
                </c:pt>
                <c:pt idx="109">
                  <c:v>12219959.469731636</c:v>
                </c:pt>
                <c:pt idx="110">
                  <c:v>11209716.929731634</c:v>
                </c:pt>
                <c:pt idx="111">
                  <c:v>10535031.609731635</c:v>
                </c:pt>
                <c:pt idx="112">
                  <c:v>9802426.5897316337</c:v>
                </c:pt>
                <c:pt idx="113">
                  <c:v>11190418.029731637</c:v>
                </c:pt>
                <c:pt idx="114">
                  <c:v>13653579.789731635</c:v>
                </c:pt>
                <c:pt idx="115">
                  <c:v>14761841.349731633</c:v>
                </c:pt>
                <c:pt idx="116">
                  <c:v>11769949.059731634</c:v>
                </c:pt>
                <c:pt idx="117">
                  <c:v>9824702.8897316344</c:v>
                </c:pt>
                <c:pt idx="118">
                  <c:v>10371409.499731634</c:v>
                </c:pt>
                <c:pt idx="119">
                  <c:v>12858747.429731634</c:v>
                </c:pt>
              </c:numCache>
            </c:numRef>
          </c:val>
          <c:smooth val="0"/>
          <c:extLst>
            <c:ext xmlns:c16="http://schemas.microsoft.com/office/drawing/2014/chart" uri="{C3380CC4-5D6E-409C-BE32-E72D297353CC}">
              <c16:uniqueId val="{00000000-D80E-43F8-AAEA-3335B2198F3E}"/>
            </c:ext>
          </c:extLst>
        </c:ser>
        <c:ser>
          <c:idx val="1"/>
          <c:order val="1"/>
          <c:tx>
            <c:strRef>
              <c:f>'Res Predicted Monthly'!$T$1</c:f>
              <c:strCache>
                <c:ptCount val="1"/>
                <c:pt idx="0">
                  <c:v>Predicted kWh</c:v>
                </c:pt>
              </c:strCache>
            </c:strRef>
          </c:tx>
          <c:spPr>
            <a:ln w="28575" cap="rnd">
              <a:solidFill>
                <a:schemeClr val="accent2"/>
              </a:solidFill>
              <a:round/>
            </a:ln>
            <a:effectLst/>
          </c:spPr>
          <c:marker>
            <c:symbol val="none"/>
          </c:marker>
          <c:cat>
            <c:numRef>
              <c:f>'Res Predicted Monthly'!$A$2:$A$121</c:f>
              <c:numCache>
                <c:formatCode>m/d/yyyy</c:formatCode>
                <c:ptCount val="120"/>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numCache>
            </c:numRef>
          </c:cat>
          <c:val>
            <c:numRef>
              <c:f>'Res Predicted Monthly'!$T$2:$T$121</c:f>
              <c:numCache>
                <c:formatCode>_(* #,##0_);_(* \(#,##0\);_(* "-"??_);_(@_)</c:formatCode>
                <c:ptCount val="120"/>
                <c:pt idx="0">
                  <c:v>14047351.074815331</c:v>
                </c:pt>
                <c:pt idx="1">
                  <c:v>14144366.481897559</c:v>
                </c:pt>
                <c:pt idx="2">
                  <c:v>11902074.182306565</c:v>
                </c:pt>
                <c:pt idx="3">
                  <c:v>11028872.512789087</c:v>
                </c:pt>
                <c:pt idx="4">
                  <c:v>10316198.567390133</c:v>
                </c:pt>
                <c:pt idx="5">
                  <c:v>11660288.384170804</c:v>
                </c:pt>
                <c:pt idx="6">
                  <c:v>12401386.386483636</c:v>
                </c:pt>
                <c:pt idx="7">
                  <c:v>12879907.671563691</c:v>
                </c:pt>
                <c:pt idx="8">
                  <c:v>11015424.392813189</c:v>
                </c:pt>
                <c:pt idx="9">
                  <c:v>10362118.758892234</c:v>
                </c:pt>
                <c:pt idx="10">
                  <c:v>11542931.958068123</c:v>
                </c:pt>
                <c:pt idx="11">
                  <c:v>14008128.507652167</c:v>
                </c:pt>
                <c:pt idx="12">
                  <c:v>13903528.376606556</c:v>
                </c:pt>
                <c:pt idx="13">
                  <c:v>13724092.468908474</c:v>
                </c:pt>
                <c:pt idx="14">
                  <c:v>12409807.103005409</c:v>
                </c:pt>
                <c:pt idx="15">
                  <c:v>10386211.252627937</c:v>
                </c:pt>
                <c:pt idx="16">
                  <c:v>10126500.814580146</c:v>
                </c:pt>
                <c:pt idx="17">
                  <c:v>11509410.229245795</c:v>
                </c:pt>
                <c:pt idx="18">
                  <c:v>13008524.774191465</c:v>
                </c:pt>
                <c:pt idx="19">
                  <c:v>11845487.803761158</c:v>
                </c:pt>
                <c:pt idx="20">
                  <c:v>10565821.732022792</c:v>
                </c:pt>
                <c:pt idx="21">
                  <c:v>10482065.721565632</c:v>
                </c:pt>
                <c:pt idx="22">
                  <c:v>11489401.826380333</c:v>
                </c:pt>
                <c:pt idx="23">
                  <c:v>14034858.435094144</c:v>
                </c:pt>
                <c:pt idx="24">
                  <c:v>15026031.055778546</c:v>
                </c:pt>
                <c:pt idx="25">
                  <c:v>13228017.288963497</c:v>
                </c:pt>
                <c:pt idx="26">
                  <c:v>11834586.586974137</c:v>
                </c:pt>
                <c:pt idx="27">
                  <c:v>10657081.330803802</c:v>
                </c:pt>
                <c:pt idx="28">
                  <c:v>9813454.1631516665</c:v>
                </c:pt>
                <c:pt idx="29">
                  <c:v>10750281.977074536</c:v>
                </c:pt>
                <c:pt idx="30">
                  <c:v>11186849.371917816</c:v>
                </c:pt>
                <c:pt idx="31">
                  <c:v>12339553.217768779</c:v>
                </c:pt>
                <c:pt idx="32">
                  <c:v>10443952.815334303</c:v>
                </c:pt>
                <c:pt idx="33">
                  <c:v>10511025.095094549</c:v>
                </c:pt>
                <c:pt idx="34">
                  <c:v>10816085.682523787</c:v>
                </c:pt>
                <c:pt idx="35">
                  <c:v>13795726.916668769</c:v>
                </c:pt>
                <c:pt idx="36">
                  <c:v>14325404.19735701</c:v>
                </c:pt>
                <c:pt idx="37">
                  <c:v>13292090.438361684</c:v>
                </c:pt>
                <c:pt idx="38">
                  <c:v>11320118.476811923</c:v>
                </c:pt>
                <c:pt idx="39">
                  <c:v>10124204.486210171</c:v>
                </c:pt>
                <c:pt idx="40">
                  <c:v>10437902.366461616</c:v>
                </c:pt>
                <c:pt idx="41">
                  <c:v>11159052.541257538</c:v>
                </c:pt>
                <c:pt idx="42">
                  <c:v>13814897.698586579</c:v>
                </c:pt>
                <c:pt idx="43">
                  <c:v>13592654.775919547</c:v>
                </c:pt>
                <c:pt idx="44">
                  <c:v>10711433.748274192</c:v>
                </c:pt>
                <c:pt idx="45">
                  <c:v>10115832.350583516</c:v>
                </c:pt>
                <c:pt idx="46">
                  <c:v>11081923.702789864</c:v>
                </c:pt>
                <c:pt idx="47">
                  <c:v>14169135.710629603</c:v>
                </c:pt>
                <c:pt idx="48">
                  <c:v>14640290.03153572</c:v>
                </c:pt>
                <c:pt idx="49">
                  <c:v>13488258.268410949</c:v>
                </c:pt>
                <c:pt idx="50">
                  <c:v>12101515.904682402</c:v>
                </c:pt>
                <c:pt idx="51">
                  <c:v>10596823.631039742</c:v>
                </c:pt>
                <c:pt idx="52">
                  <c:v>9934460.2223427072</c:v>
                </c:pt>
                <c:pt idx="53">
                  <c:v>10634010.662644641</c:v>
                </c:pt>
                <c:pt idx="54">
                  <c:v>14591154.283088807</c:v>
                </c:pt>
                <c:pt idx="55">
                  <c:v>12448315.860480897</c:v>
                </c:pt>
                <c:pt idx="56">
                  <c:v>10705826.072563419</c:v>
                </c:pt>
                <c:pt idx="57">
                  <c:v>10037220.950417673</c:v>
                </c:pt>
                <c:pt idx="58">
                  <c:v>10664436.49740945</c:v>
                </c:pt>
                <c:pt idx="59">
                  <c:v>13197631.152645104</c:v>
                </c:pt>
                <c:pt idx="60">
                  <c:v>13730652.60246375</c:v>
                </c:pt>
                <c:pt idx="61">
                  <c:v>12741370.403685451</c:v>
                </c:pt>
                <c:pt idx="62">
                  <c:v>10614253.793920092</c:v>
                </c:pt>
                <c:pt idx="63">
                  <c:v>10568932.129351741</c:v>
                </c:pt>
                <c:pt idx="64">
                  <c:v>9970197.5900954679</c:v>
                </c:pt>
                <c:pt idx="65">
                  <c:v>11748186.667707836</c:v>
                </c:pt>
                <c:pt idx="66">
                  <c:v>14542606.063883213</c:v>
                </c:pt>
                <c:pt idx="67">
                  <c:v>12341297.559705837</c:v>
                </c:pt>
                <c:pt idx="68">
                  <c:v>10794312.203170592</c:v>
                </c:pt>
                <c:pt idx="69">
                  <c:v>10093808.011539405</c:v>
                </c:pt>
                <c:pt idx="70">
                  <c:v>11229577.654846948</c:v>
                </c:pt>
                <c:pt idx="71">
                  <c:v>13076660.27682744</c:v>
                </c:pt>
                <c:pt idx="72">
                  <c:v>13749579.468601447</c:v>
                </c:pt>
                <c:pt idx="73">
                  <c:v>13269725.700688472</c:v>
                </c:pt>
                <c:pt idx="74">
                  <c:v>11900261.544133695</c:v>
                </c:pt>
                <c:pt idx="75">
                  <c:v>10671463.22374961</c:v>
                </c:pt>
                <c:pt idx="76">
                  <c:v>10072686.441172834</c:v>
                </c:pt>
                <c:pt idx="77">
                  <c:v>11083421.48599172</c:v>
                </c:pt>
                <c:pt idx="78">
                  <c:v>13094090.588001315</c:v>
                </c:pt>
                <c:pt idx="79">
                  <c:v>11740782.122057026</c:v>
                </c:pt>
                <c:pt idx="80">
                  <c:v>10648843.85950294</c:v>
                </c:pt>
                <c:pt idx="81">
                  <c:v>9961594.7837538961</c:v>
                </c:pt>
                <c:pt idx="82">
                  <c:v>11365550.440548886</c:v>
                </c:pt>
                <c:pt idx="83">
                  <c:v>13871434.381219549</c:v>
                </c:pt>
                <c:pt idx="84">
                  <c:v>14551041.911254367</c:v>
                </c:pt>
                <c:pt idx="85">
                  <c:v>13625298.9259538</c:v>
                </c:pt>
                <c:pt idx="86">
                  <c:v>12486582.439397104</c:v>
                </c:pt>
                <c:pt idx="87">
                  <c:v>10573344.170323061</c:v>
                </c:pt>
                <c:pt idx="88">
                  <c:v>9727165.1179860383</c:v>
                </c:pt>
                <c:pt idx="89">
                  <c:v>11328467.860423507</c:v>
                </c:pt>
                <c:pt idx="90">
                  <c:v>11438540.527632898</c:v>
                </c:pt>
                <c:pt idx="91">
                  <c:v>11554893.214902988</c:v>
                </c:pt>
                <c:pt idx="92">
                  <c:v>10317845.544309592</c:v>
                </c:pt>
                <c:pt idx="93">
                  <c:v>9952989.0838319324</c:v>
                </c:pt>
                <c:pt idx="94">
                  <c:v>11378903.691469237</c:v>
                </c:pt>
                <c:pt idx="95">
                  <c:v>13150185.146493837</c:v>
                </c:pt>
                <c:pt idx="96">
                  <c:v>14513675.263696881</c:v>
                </c:pt>
                <c:pt idx="97">
                  <c:v>14362107.432085522</c:v>
                </c:pt>
                <c:pt idx="98">
                  <c:v>12122044.578581467</c:v>
                </c:pt>
                <c:pt idx="99">
                  <c:v>10426177.302983876</c:v>
                </c:pt>
                <c:pt idx="100">
                  <c:v>10089991.648892904</c:v>
                </c:pt>
                <c:pt idx="101">
                  <c:v>10190629.772964418</c:v>
                </c:pt>
                <c:pt idx="102">
                  <c:v>12099132.743214583</c:v>
                </c:pt>
                <c:pt idx="103">
                  <c:v>11726507.966104547</c:v>
                </c:pt>
                <c:pt idx="104">
                  <c:v>10986349.014157835</c:v>
                </c:pt>
                <c:pt idx="105">
                  <c:v>9945162.5969263706</c:v>
                </c:pt>
                <c:pt idx="106">
                  <c:v>10469823.623918999</c:v>
                </c:pt>
                <c:pt idx="107">
                  <c:v>12431722.719376799</c:v>
                </c:pt>
                <c:pt idx="108">
                  <c:v>13799114.367231982</c:v>
                </c:pt>
                <c:pt idx="109">
                  <c:v>12793111.322801648</c:v>
                </c:pt>
                <c:pt idx="110">
                  <c:v>11071952.046032405</c:v>
                </c:pt>
                <c:pt idx="111">
                  <c:v>10639065.978685174</c:v>
                </c:pt>
                <c:pt idx="112">
                  <c:v>10010500.744855475</c:v>
                </c:pt>
                <c:pt idx="113">
                  <c:v>10760855.570276259</c:v>
                </c:pt>
                <c:pt idx="114">
                  <c:v>13147360.480538942</c:v>
                </c:pt>
                <c:pt idx="115">
                  <c:v>13509060.430334484</c:v>
                </c:pt>
                <c:pt idx="116">
                  <c:v>10656732.249608191</c:v>
                </c:pt>
                <c:pt idx="117">
                  <c:v>9808918.3757421449</c:v>
                </c:pt>
                <c:pt idx="118">
                  <c:v>10452521.991143953</c:v>
                </c:pt>
                <c:pt idx="119">
                  <c:v>13448884.07094097</c:v>
                </c:pt>
              </c:numCache>
            </c:numRef>
          </c:val>
          <c:smooth val="0"/>
          <c:extLst>
            <c:ext xmlns:c16="http://schemas.microsoft.com/office/drawing/2014/chart" uri="{C3380CC4-5D6E-409C-BE32-E72D297353CC}">
              <c16:uniqueId val="{00000001-D80E-43F8-AAEA-3335B2198F3E}"/>
            </c:ext>
          </c:extLst>
        </c:ser>
        <c:dLbls>
          <c:showLegendKey val="0"/>
          <c:showVal val="0"/>
          <c:showCatName val="0"/>
          <c:showSerName val="0"/>
          <c:showPercent val="0"/>
          <c:showBubbleSize val="0"/>
        </c:dLbls>
        <c:smooth val="0"/>
        <c:axId val="96123520"/>
        <c:axId val="109318528"/>
      </c:lineChart>
      <c:dateAx>
        <c:axId val="9612352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18528"/>
        <c:crosses val="autoZero"/>
        <c:auto val="1"/>
        <c:lblOffset val="100"/>
        <c:baseTimeUnit val="months"/>
      </c:dateAx>
      <c:valAx>
        <c:axId val="109318528"/>
        <c:scaling>
          <c:orientation val="minMax"/>
          <c:min val="8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23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'GS &lt; 50 Predicted Monthly'!$C$1</c:f>
              <c:strCache>
                <c:ptCount val="1"/>
                <c:pt idx="0">
                  <c:v>GS &lt; 50 no CDM</c:v>
                </c:pt>
              </c:strCache>
            </c:strRef>
          </c:tx>
          <c:spPr>
            <a:ln w="28575" cap="rnd">
              <a:solidFill>
                <a:schemeClr val="accent1"/>
              </a:solidFill>
              <a:round/>
            </a:ln>
            <a:effectLst/>
          </c:spPr>
          <c:marker>
            <c:symbol val="none"/>
          </c:marker>
          <c:cat>
            <c:numRef>
              <c:f>'GS &lt; 50 Predicted Monthly'!$A$2:$A$121</c:f>
              <c:numCache>
                <c:formatCode>m/d/yyyy</c:formatCode>
                <c:ptCount val="120"/>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numCache>
            </c:numRef>
          </c:cat>
          <c:val>
            <c:numRef>
              <c:f>'GS &lt; 50 Predicted Monthly'!$C$2:$C$121</c:f>
              <c:numCache>
                <c:formatCode>_(* #,##0_);_(* \(#,##0\);_(* "-"??_);_(@_)</c:formatCode>
                <c:ptCount val="120"/>
                <c:pt idx="0">
                  <c:v>4555426.1663073525</c:v>
                </c:pt>
                <c:pt idx="1">
                  <c:v>5124464.936307352</c:v>
                </c:pt>
                <c:pt idx="2">
                  <c:v>4404053.8463073522</c:v>
                </c:pt>
                <c:pt idx="3">
                  <c:v>4345291.2863073517</c:v>
                </c:pt>
                <c:pt idx="4">
                  <c:v>4011075.5863073524</c:v>
                </c:pt>
                <c:pt idx="5">
                  <c:v>4301202.6363073522</c:v>
                </c:pt>
                <c:pt idx="6">
                  <c:v>4466238.0763073526</c:v>
                </c:pt>
                <c:pt idx="7">
                  <c:v>3950116.396307352</c:v>
                </c:pt>
                <c:pt idx="8">
                  <c:v>3891422.0463073519</c:v>
                </c:pt>
                <c:pt idx="9">
                  <c:v>4074204.686307352</c:v>
                </c:pt>
                <c:pt idx="10">
                  <c:v>4098618.8263073522</c:v>
                </c:pt>
                <c:pt idx="11">
                  <c:v>4775518.7463073526</c:v>
                </c:pt>
                <c:pt idx="12">
                  <c:v>4386861.0687550269</c:v>
                </c:pt>
                <c:pt idx="13">
                  <c:v>4617150.7987550274</c:v>
                </c:pt>
                <c:pt idx="14">
                  <c:v>4413735.7587550273</c:v>
                </c:pt>
                <c:pt idx="15">
                  <c:v>3748649.4987550275</c:v>
                </c:pt>
                <c:pt idx="16">
                  <c:v>3704971.2387550273</c:v>
                </c:pt>
                <c:pt idx="17">
                  <c:v>3809792.7987550274</c:v>
                </c:pt>
                <c:pt idx="18">
                  <c:v>4272219.4787550271</c:v>
                </c:pt>
                <c:pt idx="19">
                  <c:v>4005871.1387550272</c:v>
                </c:pt>
                <c:pt idx="20">
                  <c:v>3874520.7987550274</c:v>
                </c:pt>
                <c:pt idx="21">
                  <c:v>3746732.2887550276</c:v>
                </c:pt>
                <c:pt idx="22">
                  <c:v>3849751.9087550272</c:v>
                </c:pt>
                <c:pt idx="23">
                  <c:v>4512959.3087550271</c:v>
                </c:pt>
                <c:pt idx="24">
                  <c:v>5264694.9760665651</c:v>
                </c:pt>
                <c:pt idx="25">
                  <c:v>4426769.6760665653</c:v>
                </c:pt>
                <c:pt idx="26">
                  <c:v>4207822.776066565</c:v>
                </c:pt>
                <c:pt idx="27">
                  <c:v>3915902.4660665658</c:v>
                </c:pt>
                <c:pt idx="28">
                  <c:v>3342046.7360665654</c:v>
                </c:pt>
                <c:pt idx="29">
                  <c:v>3660108.3960665655</c:v>
                </c:pt>
                <c:pt idx="30">
                  <c:v>3970794.0060665654</c:v>
                </c:pt>
                <c:pt idx="31">
                  <c:v>3932148.8460665657</c:v>
                </c:pt>
                <c:pt idx="32">
                  <c:v>3515083.4260665658</c:v>
                </c:pt>
                <c:pt idx="33">
                  <c:v>3471825.2960665659</c:v>
                </c:pt>
                <c:pt idx="34">
                  <c:v>3874484.0160665656</c:v>
                </c:pt>
                <c:pt idx="35">
                  <c:v>4458302.6360665653</c:v>
                </c:pt>
                <c:pt idx="36">
                  <c:v>4697417.7583896602</c:v>
                </c:pt>
                <c:pt idx="37">
                  <c:v>5008535.2283896599</c:v>
                </c:pt>
                <c:pt idx="38">
                  <c:v>3573684.2883896604</c:v>
                </c:pt>
                <c:pt idx="39">
                  <c:v>3590208.1283896603</c:v>
                </c:pt>
                <c:pt idx="40">
                  <c:v>3758722.0083896602</c:v>
                </c:pt>
                <c:pt idx="41">
                  <c:v>4289252.2583896602</c:v>
                </c:pt>
                <c:pt idx="42">
                  <c:v>4318847.6783896601</c:v>
                </c:pt>
                <c:pt idx="43">
                  <c:v>4290762.7483896604</c:v>
                </c:pt>
                <c:pt idx="44">
                  <c:v>3747124.80838966</c:v>
                </c:pt>
                <c:pt idx="45">
                  <c:v>3640387.3983896598</c:v>
                </c:pt>
                <c:pt idx="46">
                  <c:v>4031309.6883896599</c:v>
                </c:pt>
                <c:pt idx="47">
                  <c:v>4669941.6283896593</c:v>
                </c:pt>
                <c:pt idx="48">
                  <c:v>4809030.1832338059</c:v>
                </c:pt>
                <c:pt idx="49">
                  <c:v>4234672.8132338058</c:v>
                </c:pt>
                <c:pt idx="50">
                  <c:v>3764883.7032338064</c:v>
                </c:pt>
                <c:pt idx="51">
                  <c:v>3866987.783233806</c:v>
                </c:pt>
                <c:pt idx="52">
                  <c:v>3707027.2532338062</c:v>
                </c:pt>
                <c:pt idx="53">
                  <c:v>3972068.7832338065</c:v>
                </c:pt>
                <c:pt idx="54">
                  <c:v>4809554.1532338057</c:v>
                </c:pt>
                <c:pt idx="55">
                  <c:v>4444966.2332338057</c:v>
                </c:pt>
                <c:pt idx="56">
                  <c:v>3611046.4432338062</c:v>
                </c:pt>
                <c:pt idx="57">
                  <c:v>3816942.1932338057</c:v>
                </c:pt>
                <c:pt idx="58">
                  <c:v>3883653.5132338046</c:v>
                </c:pt>
                <c:pt idx="59">
                  <c:v>4353083.513233806</c:v>
                </c:pt>
                <c:pt idx="60">
                  <c:v>4638394.9308336442</c:v>
                </c:pt>
                <c:pt idx="61">
                  <c:v>4352407.1808336461</c:v>
                </c:pt>
                <c:pt idx="62">
                  <c:v>3741681.2008336443</c:v>
                </c:pt>
                <c:pt idx="63">
                  <c:v>3577054.1308336454</c:v>
                </c:pt>
                <c:pt idx="64">
                  <c:v>3254036.6208336442</c:v>
                </c:pt>
                <c:pt idx="65">
                  <c:v>3829766.4308336447</c:v>
                </c:pt>
                <c:pt idx="66">
                  <c:v>4522721.5908336444</c:v>
                </c:pt>
                <c:pt idx="67">
                  <c:v>4924951.2508336436</c:v>
                </c:pt>
                <c:pt idx="68">
                  <c:v>3928254.3308336441</c:v>
                </c:pt>
                <c:pt idx="69">
                  <c:v>3893427.8108336441</c:v>
                </c:pt>
                <c:pt idx="70">
                  <c:v>3872779.730833645</c:v>
                </c:pt>
                <c:pt idx="71">
                  <c:v>4163615.9308336452</c:v>
                </c:pt>
                <c:pt idx="72">
                  <c:v>4507141.993155485</c:v>
                </c:pt>
                <c:pt idx="73">
                  <c:v>4563104.243155485</c:v>
                </c:pt>
                <c:pt idx="74">
                  <c:v>4317258.9131554849</c:v>
                </c:pt>
                <c:pt idx="75">
                  <c:v>3826343.7831554846</c:v>
                </c:pt>
                <c:pt idx="76">
                  <c:v>3732528.8031554851</c:v>
                </c:pt>
                <c:pt idx="77">
                  <c:v>3967515.2831554841</c:v>
                </c:pt>
                <c:pt idx="78">
                  <c:v>4325652.2331554843</c:v>
                </c:pt>
                <c:pt idx="79">
                  <c:v>4153807.2631554855</c:v>
                </c:pt>
                <c:pt idx="80">
                  <c:v>3880420.7331554852</c:v>
                </c:pt>
                <c:pt idx="81">
                  <c:v>3774399.9831554843</c:v>
                </c:pt>
                <c:pt idx="82">
                  <c:v>4293209.7931554848</c:v>
                </c:pt>
                <c:pt idx="83">
                  <c:v>4562789.5931554846</c:v>
                </c:pt>
                <c:pt idx="84">
                  <c:v>4988179.3298104154</c:v>
                </c:pt>
                <c:pt idx="85">
                  <c:v>4723861.1798104169</c:v>
                </c:pt>
                <c:pt idx="86">
                  <c:v>4365203.259810416</c:v>
                </c:pt>
                <c:pt idx="87">
                  <c:v>3766948.7898104163</c:v>
                </c:pt>
                <c:pt idx="88">
                  <c:v>3605187.7998104161</c:v>
                </c:pt>
                <c:pt idx="89">
                  <c:v>4050140.0598104163</c:v>
                </c:pt>
                <c:pt idx="90">
                  <c:v>4025113.5898104161</c:v>
                </c:pt>
                <c:pt idx="91">
                  <c:v>4111661.1698104162</c:v>
                </c:pt>
                <c:pt idx="92">
                  <c:v>3802027.1498104166</c:v>
                </c:pt>
                <c:pt idx="93">
                  <c:v>3630926.8998104162</c:v>
                </c:pt>
                <c:pt idx="94">
                  <c:v>4650784.2098104162</c:v>
                </c:pt>
                <c:pt idx="95">
                  <c:v>4868518.3998104166</c:v>
                </c:pt>
                <c:pt idx="96">
                  <c:v>5465130.4209689619</c:v>
                </c:pt>
                <c:pt idx="97">
                  <c:v>5405912.3309689611</c:v>
                </c:pt>
                <c:pt idx="98">
                  <c:v>4793328.1509689605</c:v>
                </c:pt>
                <c:pt idx="99">
                  <c:v>4101859.4109689612</c:v>
                </c:pt>
                <c:pt idx="100">
                  <c:v>3978662.8709689612</c:v>
                </c:pt>
                <c:pt idx="101">
                  <c:v>4185557.2209689599</c:v>
                </c:pt>
                <c:pt idx="102">
                  <c:v>4473730.5609689616</c:v>
                </c:pt>
                <c:pt idx="103">
                  <c:v>4421161.4409689596</c:v>
                </c:pt>
                <c:pt idx="104">
                  <c:v>4253621.5309689604</c:v>
                </c:pt>
                <c:pt idx="105">
                  <c:v>3879620.3309689611</c:v>
                </c:pt>
                <c:pt idx="106">
                  <c:v>4136697.7409689603</c:v>
                </c:pt>
                <c:pt idx="107">
                  <c:v>4318344.0709689613</c:v>
                </c:pt>
                <c:pt idx="108">
                  <c:v>4894771.8785027564</c:v>
                </c:pt>
                <c:pt idx="109">
                  <c:v>4646896.0885027554</c:v>
                </c:pt>
                <c:pt idx="110">
                  <c:v>4418409.4385027569</c:v>
                </c:pt>
                <c:pt idx="111">
                  <c:v>4147091.7185027557</c:v>
                </c:pt>
                <c:pt idx="112">
                  <c:v>3955061.3485027552</c:v>
                </c:pt>
                <c:pt idx="113">
                  <c:v>4241251.1185027547</c:v>
                </c:pt>
                <c:pt idx="114">
                  <c:v>3983217.9485027557</c:v>
                </c:pt>
                <c:pt idx="115">
                  <c:v>4839668.9985027555</c:v>
                </c:pt>
                <c:pt idx="116">
                  <c:v>4164554.3685027556</c:v>
                </c:pt>
                <c:pt idx="117">
                  <c:v>4075335.7485027555</c:v>
                </c:pt>
                <c:pt idx="118">
                  <c:v>4106267.4685027553</c:v>
                </c:pt>
                <c:pt idx="119">
                  <c:v>4854512.8585027559</c:v>
                </c:pt>
              </c:numCache>
            </c:numRef>
          </c:val>
          <c:smooth val="0"/>
          <c:extLst>
            <c:ext xmlns:c16="http://schemas.microsoft.com/office/drawing/2014/chart" uri="{C3380CC4-5D6E-409C-BE32-E72D297353CC}">
              <c16:uniqueId val="{00000000-32C3-4B24-82BB-E484DE792EE5}"/>
            </c:ext>
          </c:extLst>
        </c:ser>
        <c:ser>
          <c:idx val="1"/>
          <c:order val="1"/>
          <c:tx>
            <c:strRef>
              <c:f>'GS &lt; 50 Predicted Monthly'!$Z$1</c:f>
              <c:strCache>
                <c:ptCount val="1"/>
                <c:pt idx="0">
                  <c:v>Predicted kWh</c:v>
                </c:pt>
              </c:strCache>
            </c:strRef>
          </c:tx>
          <c:spPr>
            <a:ln w="28575" cap="rnd">
              <a:solidFill>
                <a:schemeClr val="accent2"/>
              </a:solidFill>
              <a:round/>
            </a:ln>
            <a:effectLst/>
          </c:spPr>
          <c:marker>
            <c:symbol val="none"/>
          </c:marker>
          <c:cat>
            <c:numRef>
              <c:f>'GS &lt; 50 Predicted Monthly'!$A$2:$A$121</c:f>
              <c:numCache>
                <c:formatCode>m/d/yyyy</c:formatCode>
                <c:ptCount val="120"/>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numCache>
            </c:numRef>
          </c:cat>
          <c:val>
            <c:numRef>
              <c:f>'GS &lt; 50 Predicted Monthly'!$Z$2:$Z$121</c:f>
              <c:numCache>
                <c:formatCode>_(* #,##0_);_(* \(#,##0\);_(* "-"??_);_(@_)</c:formatCode>
                <c:ptCount val="120"/>
                <c:pt idx="0">
                  <c:v>4686638.8881332837</c:v>
                </c:pt>
                <c:pt idx="1">
                  <c:v>4896971.2217770526</c:v>
                </c:pt>
                <c:pt idx="2">
                  <c:v>4232387.2628969103</c:v>
                </c:pt>
                <c:pt idx="3">
                  <c:v>4060181.6301412955</c:v>
                </c:pt>
                <c:pt idx="4">
                  <c:v>3684782.307106737</c:v>
                </c:pt>
                <c:pt idx="5">
                  <c:v>4100034.1149274195</c:v>
                </c:pt>
                <c:pt idx="6">
                  <c:v>4225251.2430703221</c:v>
                </c:pt>
                <c:pt idx="7">
                  <c:v>4444428.4365088399</c:v>
                </c:pt>
                <c:pt idx="8">
                  <c:v>4009334.4822051036</c:v>
                </c:pt>
                <c:pt idx="9">
                  <c:v>3831349.3096241141</c:v>
                </c:pt>
                <c:pt idx="10">
                  <c:v>4323706.3586599519</c:v>
                </c:pt>
                <c:pt idx="11">
                  <c:v>4684613.9369495437</c:v>
                </c:pt>
                <c:pt idx="12">
                  <c:v>4606219.1798212733</c:v>
                </c:pt>
                <c:pt idx="13">
                  <c:v>4695712.8670074828</c:v>
                </c:pt>
                <c:pt idx="14">
                  <c:v>4394382.1747250231</c:v>
                </c:pt>
                <c:pt idx="15">
                  <c:v>3765243.1599533935</c:v>
                </c:pt>
                <c:pt idx="16">
                  <c:v>3672148.3730520401</c:v>
                </c:pt>
                <c:pt idx="17">
                  <c:v>4064115.9953884715</c:v>
                </c:pt>
                <c:pt idx="18">
                  <c:v>4282635.2845197348</c:v>
                </c:pt>
                <c:pt idx="19">
                  <c:v>4141943.9390868712</c:v>
                </c:pt>
                <c:pt idx="20">
                  <c:v>3790269.5303002088</c:v>
                </c:pt>
                <c:pt idx="21">
                  <c:v>3900169.6468255026</c:v>
                </c:pt>
                <c:pt idx="22">
                  <c:v>4243560.2933103954</c:v>
                </c:pt>
                <c:pt idx="23">
                  <c:v>4639236.8018085249</c:v>
                </c:pt>
                <c:pt idx="24">
                  <c:v>5003057.3821677687</c:v>
                </c:pt>
                <c:pt idx="25">
                  <c:v>4464631.3935406515</c:v>
                </c:pt>
                <c:pt idx="26">
                  <c:v>4101258.2439562138</c:v>
                </c:pt>
                <c:pt idx="27">
                  <c:v>3767686.3183894204</c:v>
                </c:pt>
                <c:pt idx="28">
                  <c:v>3445568.2254522312</c:v>
                </c:pt>
                <c:pt idx="29">
                  <c:v>3791468.411792594</c:v>
                </c:pt>
                <c:pt idx="30">
                  <c:v>3744424.8844804284</c:v>
                </c:pt>
                <c:pt idx="31">
                  <c:v>4054082.6505982517</c:v>
                </c:pt>
                <c:pt idx="32">
                  <c:v>3567451.8576652762</c:v>
                </c:pt>
                <c:pt idx="33">
                  <c:v>3717171.7729943939</c:v>
                </c:pt>
                <c:pt idx="34">
                  <c:v>3869213.9495129799</c:v>
                </c:pt>
                <c:pt idx="35">
                  <c:v>4492930.2280379664</c:v>
                </c:pt>
                <c:pt idx="36">
                  <c:v>4673087.5077817542</c:v>
                </c:pt>
                <c:pt idx="37">
                  <c:v>4434474.1442516046</c:v>
                </c:pt>
                <c:pt idx="38">
                  <c:v>3878003.8615307063</c:v>
                </c:pt>
                <c:pt idx="39">
                  <c:v>3675519.9291483518</c:v>
                </c:pt>
                <c:pt idx="40">
                  <c:v>3652702.5121940104</c:v>
                </c:pt>
                <c:pt idx="41">
                  <c:v>3968146.6470415154</c:v>
                </c:pt>
                <c:pt idx="42">
                  <c:v>4387514.4127904484</c:v>
                </c:pt>
                <c:pt idx="43">
                  <c:v>4398111.8910821714</c:v>
                </c:pt>
                <c:pt idx="44">
                  <c:v>3707777.4518130836</c:v>
                </c:pt>
                <c:pt idx="45">
                  <c:v>3615856.2621985348</c:v>
                </c:pt>
                <c:pt idx="46">
                  <c:v>3986033.1947916667</c:v>
                </c:pt>
                <c:pt idx="47">
                  <c:v>4673393.9376467476</c:v>
                </c:pt>
                <c:pt idx="48">
                  <c:v>4848834.3011300322</c:v>
                </c:pt>
                <c:pt idx="49">
                  <c:v>4567403.2432036567</c:v>
                </c:pt>
                <c:pt idx="50">
                  <c:v>4252099.302544903</c:v>
                </c:pt>
                <c:pt idx="51">
                  <c:v>3849779.4364583883</c:v>
                </c:pt>
                <c:pt idx="52">
                  <c:v>3553613.9794277633</c:v>
                </c:pt>
                <c:pt idx="53">
                  <c:v>3873134.2627503797</c:v>
                </c:pt>
                <c:pt idx="54">
                  <c:v>4590619.600414102</c:v>
                </c:pt>
                <c:pt idx="55">
                  <c:v>4299104.2166755591</c:v>
                </c:pt>
                <c:pt idx="56">
                  <c:v>3863254.2543715877</c:v>
                </c:pt>
                <c:pt idx="57">
                  <c:v>3794876.4337004786</c:v>
                </c:pt>
                <c:pt idx="58">
                  <c:v>4014658.9939509379</c:v>
                </c:pt>
                <c:pt idx="59">
                  <c:v>4445926.6710151974</c:v>
                </c:pt>
                <c:pt idx="60">
                  <c:v>4630466.8416012004</c:v>
                </c:pt>
                <c:pt idx="61">
                  <c:v>4447405.1898433128</c:v>
                </c:pt>
                <c:pt idx="62">
                  <c:v>3567880.6518765222</c:v>
                </c:pt>
                <c:pt idx="63">
                  <c:v>3746952.8078372944</c:v>
                </c:pt>
                <c:pt idx="64">
                  <c:v>3454699.8786878772</c:v>
                </c:pt>
                <c:pt idx="65">
                  <c:v>4060057.0470184879</c:v>
                </c:pt>
                <c:pt idx="66">
                  <c:v>4518293.9686708618</c:v>
                </c:pt>
                <c:pt idx="67">
                  <c:v>4176947.8344930061</c:v>
                </c:pt>
                <c:pt idx="68">
                  <c:v>3810483.2949908492</c:v>
                </c:pt>
                <c:pt idx="69">
                  <c:v>3679303.4547663941</c:v>
                </c:pt>
                <c:pt idx="70">
                  <c:v>4106051.3646943998</c:v>
                </c:pt>
                <c:pt idx="71">
                  <c:v>4264204.6353363032</c:v>
                </c:pt>
                <c:pt idx="72">
                  <c:v>4558031.1087172227</c:v>
                </c:pt>
                <c:pt idx="73">
                  <c:v>4540759.6998604499</c:v>
                </c:pt>
                <c:pt idx="74">
                  <c:v>4242519.6631979719</c:v>
                </c:pt>
                <c:pt idx="75">
                  <c:v>3917802.6938826805</c:v>
                </c:pt>
                <c:pt idx="76">
                  <c:v>3605360.980324734</c:v>
                </c:pt>
                <c:pt idx="77">
                  <c:v>4024755.316171417</c:v>
                </c:pt>
                <c:pt idx="78">
                  <c:v>4322944.1732130172</c:v>
                </c:pt>
                <c:pt idx="79">
                  <c:v>4124832.2925281497</c:v>
                </c:pt>
                <c:pt idx="80">
                  <c:v>3845343.4969394449</c:v>
                </c:pt>
                <c:pt idx="81">
                  <c:v>3709644.757867787</c:v>
                </c:pt>
                <c:pt idx="82">
                  <c:v>4235867.0701128058</c:v>
                </c:pt>
                <c:pt idx="83">
                  <c:v>4630223.5959591269</c:v>
                </c:pt>
                <c:pt idx="84">
                  <c:v>4870732.592879287</c:v>
                </c:pt>
                <c:pt idx="85">
                  <c:v>4694718.2040247517</c:v>
                </c:pt>
                <c:pt idx="86">
                  <c:v>4437613.1343047284</c:v>
                </c:pt>
                <c:pt idx="87">
                  <c:v>3899514.2384219249</c:v>
                </c:pt>
                <c:pt idx="88">
                  <c:v>3582710.0444472628</c:v>
                </c:pt>
                <c:pt idx="89">
                  <c:v>4091040.0681127012</c:v>
                </c:pt>
                <c:pt idx="90">
                  <c:v>4035057.390653423</c:v>
                </c:pt>
                <c:pt idx="91">
                  <c:v>4148396.9761698162</c:v>
                </c:pt>
                <c:pt idx="92">
                  <c:v>3802262.7191868988</c:v>
                </c:pt>
                <c:pt idx="93">
                  <c:v>3767882.3032280202</c:v>
                </c:pt>
                <c:pt idx="94">
                  <c:v>4415789.1065246705</c:v>
                </c:pt>
                <c:pt idx="95">
                  <c:v>4602633.729538817</c:v>
                </c:pt>
                <c:pt idx="96">
                  <c:v>5202815.9121045293</c:v>
                </c:pt>
                <c:pt idx="97">
                  <c:v>5332854.8388627693</c:v>
                </c:pt>
                <c:pt idx="98">
                  <c:v>4660174.8492045244</c:v>
                </c:pt>
                <c:pt idx="99">
                  <c:v>4139131.569581815</c:v>
                </c:pt>
                <c:pt idx="100">
                  <c:v>3872145.2223789743</c:v>
                </c:pt>
                <c:pt idx="101">
                  <c:v>4138011.6856601583</c:v>
                </c:pt>
                <c:pt idx="102">
                  <c:v>4460789.6384656802</c:v>
                </c:pt>
                <c:pt idx="103">
                  <c:v>4530227.7381011173</c:v>
                </c:pt>
                <c:pt idx="104">
                  <c:v>4207238.4656460499</c:v>
                </c:pt>
                <c:pt idx="105">
                  <c:v>4087540.4643964581</c:v>
                </c:pt>
                <c:pt idx="106">
                  <c:v>4267749.9295532331</c:v>
                </c:pt>
                <c:pt idx="107">
                  <c:v>4476185.362749951</c:v>
                </c:pt>
                <c:pt idx="108">
                  <c:v>4963786.7952972744</c:v>
                </c:pt>
                <c:pt idx="109">
                  <c:v>4728139.3473654129</c:v>
                </c:pt>
                <c:pt idx="110">
                  <c:v>4233743.1850186484</c:v>
                </c:pt>
                <c:pt idx="111">
                  <c:v>4202403.4369846424</c:v>
                </c:pt>
                <c:pt idx="112">
                  <c:v>3875151.4088199781</c:v>
                </c:pt>
                <c:pt idx="113">
                  <c:v>4195892.430392988</c:v>
                </c:pt>
                <c:pt idx="114">
                  <c:v>4600559.7129781116</c:v>
                </c:pt>
                <c:pt idx="115">
                  <c:v>4757040.5040123444</c:v>
                </c:pt>
                <c:pt idx="116">
                  <c:v>4064661.0761376233</c:v>
                </c:pt>
                <c:pt idx="117">
                  <c:v>3953587.8104713191</c:v>
                </c:pt>
                <c:pt idx="118">
                  <c:v>4147620.0608278578</c:v>
                </c:pt>
                <c:pt idx="119">
                  <c:v>4738613.3656772375</c:v>
                </c:pt>
              </c:numCache>
            </c:numRef>
          </c:val>
          <c:smooth val="0"/>
          <c:extLst>
            <c:ext xmlns:c16="http://schemas.microsoft.com/office/drawing/2014/chart" uri="{C3380CC4-5D6E-409C-BE32-E72D297353CC}">
              <c16:uniqueId val="{00000001-32C3-4B24-82BB-E484DE792EE5}"/>
            </c:ext>
          </c:extLst>
        </c:ser>
        <c:dLbls>
          <c:showLegendKey val="0"/>
          <c:showVal val="0"/>
          <c:showCatName val="0"/>
          <c:showSerName val="0"/>
          <c:showPercent val="0"/>
          <c:showBubbleSize val="0"/>
        </c:dLbls>
        <c:smooth val="0"/>
        <c:axId val="109340160"/>
        <c:axId val="109341696"/>
      </c:lineChart>
      <c:dateAx>
        <c:axId val="1093401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41696"/>
        <c:crosses val="autoZero"/>
        <c:auto val="1"/>
        <c:lblOffset val="100"/>
        <c:baseTimeUnit val="months"/>
      </c:dateAx>
      <c:valAx>
        <c:axId val="109341696"/>
        <c:scaling>
          <c:orientation val="minMax"/>
          <c:min val="30000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4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'Normalized Annual Summary'!$E$3</c:f>
              <c:strCache>
                <c:ptCount val="1"/>
                <c:pt idx="0">
                  <c:v>Actual No CDM</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Summary'!$E$5:$E$14</c:f>
              <c:numCache>
                <c:formatCode>#,##0</c:formatCode>
                <c:ptCount val="10"/>
                <c:pt idx="0">
                  <c:v>147994308.36280364</c:v>
                </c:pt>
                <c:pt idx="1">
                  <c:v>141699699.05854967</c:v>
                </c:pt>
                <c:pt idx="2">
                  <c:v>140171353.68685922</c:v>
                </c:pt>
                <c:pt idx="3">
                  <c:v>145078568.96353945</c:v>
                </c:pt>
                <c:pt idx="4">
                  <c:v>141624536.63497332</c:v>
                </c:pt>
                <c:pt idx="5">
                  <c:v>139135378.17993307</c:v>
                </c:pt>
                <c:pt idx="6">
                  <c:v>141721480.83015978</c:v>
                </c:pt>
                <c:pt idx="7">
                  <c:v>140644151.35323071</c:v>
                </c:pt>
                <c:pt idx="8">
                  <c:v>139502197.86449617</c:v>
                </c:pt>
                <c:pt idx="9">
                  <c:v>141238267.43431699</c:v>
                </c:pt>
              </c:numCache>
            </c:numRef>
          </c:val>
          <c:smooth val="0"/>
          <c:extLst>
            <c:ext xmlns:c16="http://schemas.microsoft.com/office/drawing/2014/chart" uri="{C3380CC4-5D6E-409C-BE32-E72D297353CC}">
              <c16:uniqueId val="{00000000-89EB-4F74-BF90-BD6D2AD728C5}"/>
            </c:ext>
          </c:extLst>
        </c:ser>
        <c:ser>
          <c:idx val="3"/>
          <c:order val="1"/>
          <c:tx>
            <c:strRef>
              <c:f>'Normalized Annual Summary'!$G$3</c:f>
              <c:strCache>
                <c:ptCount val="1"/>
                <c:pt idx="0">
                  <c:v>Normalized No CDM</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Summary'!$G$5:$G$16</c:f>
              <c:numCache>
                <c:formatCode>#,##0</c:formatCode>
                <c:ptCount val="12"/>
                <c:pt idx="0">
                  <c:v>144651231.8095544</c:v>
                </c:pt>
                <c:pt idx="1">
                  <c:v>144035623.58234417</c:v>
                </c:pt>
                <c:pt idx="2">
                  <c:v>143420015.35513401</c:v>
                </c:pt>
                <c:pt idx="3">
                  <c:v>142804407.12792382</c:v>
                </c:pt>
                <c:pt idx="4">
                  <c:v>142188798.90071356</c:v>
                </c:pt>
                <c:pt idx="5">
                  <c:v>141573190.67350334</c:v>
                </c:pt>
                <c:pt idx="6">
                  <c:v>140957582.44629318</c:v>
                </c:pt>
                <c:pt idx="7">
                  <c:v>140341974.21908292</c:v>
                </c:pt>
                <c:pt idx="8">
                  <c:v>139726365.99187273</c:v>
                </c:pt>
                <c:pt idx="9">
                  <c:v>139110757.7646625</c:v>
                </c:pt>
                <c:pt idx="10">
                  <c:v>138495149.53745231</c:v>
                </c:pt>
                <c:pt idx="11">
                  <c:v>137879541.31024206</c:v>
                </c:pt>
              </c:numCache>
            </c:numRef>
          </c:val>
          <c:smooth val="0"/>
          <c:extLst>
            <c:ext xmlns:c16="http://schemas.microsoft.com/office/drawing/2014/chart" uri="{C3380CC4-5D6E-409C-BE32-E72D297353CC}">
              <c16:uniqueId val="{00000001-89EB-4F74-BF90-BD6D2AD728C5}"/>
            </c:ext>
          </c:extLst>
        </c:ser>
        <c:ser>
          <c:idx val="1"/>
          <c:order val="2"/>
          <c:tx>
            <c:strRef>
              <c:f>'Normalized Annual Summary'!$C$3</c:f>
              <c:strCache>
                <c:ptCount val="1"/>
                <c:pt idx="0">
                  <c:v>Actual</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Summary'!$C$5:$C$14</c:f>
              <c:numCache>
                <c:formatCode>#,##0</c:formatCode>
                <c:ptCount val="10"/>
                <c:pt idx="0">
                  <c:v>147855080.59999999</c:v>
                </c:pt>
                <c:pt idx="1">
                  <c:v>141293620.56</c:v>
                </c:pt>
                <c:pt idx="2">
                  <c:v>139285895.19999999</c:v>
                </c:pt>
                <c:pt idx="3">
                  <c:v>143730192</c:v>
                </c:pt>
                <c:pt idx="4">
                  <c:v>139849071.75</c:v>
                </c:pt>
                <c:pt idx="5">
                  <c:v>136951769.39000002</c:v>
                </c:pt>
                <c:pt idx="6">
                  <c:v>139174379.21000001</c:v>
                </c:pt>
                <c:pt idx="7">
                  <c:v>137614288.20000002</c:v>
                </c:pt>
                <c:pt idx="8">
                  <c:v>135712848.27999997</c:v>
                </c:pt>
                <c:pt idx="9">
                  <c:v>136671067.22</c:v>
                </c:pt>
              </c:numCache>
            </c:numRef>
          </c:val>
          <c:smooth val="0"/>
          <c:extLst>
            <c:ext xmlns:c16="http://schemas.microsoft.com/office/drawing/2014/chart" uri="{C3380CC4-5D6E-409C-BE32-E72D297353CC}">
              <c16:uniqueId val="{00000002-89EB-4F74-BF90-BD6D2AD728C5}"/>
            </c:ext>
          </c:extLst>
        </c:ser>
        <c:ser>
          <c:idx val="2"/>
          <c:order val="3"/>
          <c:tx>
            <c:strRef>
              <c:f>'Normalized Annual Summary'!$J$3</c:f>
              <c:strCache>
                <c:ptCount val="1"/>
                <c:pt idx="0">
                  <c:v>Normalized</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Summary'!$J$5:$J$16</c:f>
              <c:numCache>
                <c:formatCode>#,##0</c:formatCode>
                <c:ptCount val="12"/>
                <c:pt idx="0">
                  <c:v>144512004.04675075</c:v>
                </c:pt>
                <c:pt idx="1">
                  <c:v>143629545.08379447</c:v>
                </c:pt>
                <c:pt idx="2">
                  <c:v>142534556.86827481</c:v>
                </c:pt>
                <c:pt idx="3">
                  <c:v>141456030.16438439</c:v>
                </c:pt>
                <c:pt idx="4">
                  <c:v>140413334.01574025</c:v>
                </c:pt>
                <c:pt idx="5">
                  <c:v>139389581.88357025</c:v>
                </c:pt>
                <c:pt idx="6">
                  <c:v>138410480.82613337</c:v>
                </c:pt>
                <c:pt idx="7">
                  <c:v>137312111.0658522</c:v>
                </c:pt>
                <c:pt idx="8">
                  <c:v>135937016.40737656</c:v>
                </c:pt>
                <c:pt idx="9">
                  <c:v>134543557.55034554</c:v>
                </c:pt>
                <c:pt idx="10">
                  <c:v>133927949.32313533</c:v>
                </c:pt>
                <c:pt idx="11">
                  <c:v>133764095.01592508</c:v>
                </c:pt>
              </c:numCache>
            </c:numRef>
          </c:val>
          <c:smooth val="0"/>
          <c:extLst>
            <c:ext xmlns:c16="http://schemas.microsoft.com/office/drawing/2014/chart" uri="{C3380CC4-5D6E-409C-BE32-E72D297353CC}">
              <c16:uniqueId val="{00000003-89EB-4F74-BF90-BD6D2AD728C5}"/>
            </c:ext>
          </c:extLst>
        </c:ser>
        <c:dLbls>
          <c:showLegendKey val="0"/>
          <c:showVal val="0"/>
          <c:showCatName val="0"/>
          <c:showSerName val="0"/>
          <c:showPercent val="0"/>
          <c:showBubbleSize val="0"/>
        </c:dLbls>
        <c:smooth val="0"/>
        <c:axId val="109373696"/>
        <c:axId val="111222784"/>
      </c:lineChart>
      <c:catAx>
        <c:axId val="109373696"/>
        <c:scaling>
          <c:orientation val="minMax"/>
        </c:scaling>
        <c:delete val="0"/>
        <c:axPos val="b"/>
        <c:numFmt formatCode="General" sourceLinked="1"/>
        <c:majorTickMark val="out"/>
        <c:minorTickMark val="none"/>
        <c:tickLblPos val="nextTo"/>
        <c:crossAx val="111222784"/>
        <c:crosses val="autoZero"/>
        <c:auto val="1"/>
        <c:lblAlgn val="ctr"/>
        <c:lblOffset val="100"/>
        <c:noMultiLvlLbl val="0"/>
      </c:catAx>
      <c:valAx>
        <c:axId val="111222784"/>
        <c:scaling>
          <c:orientation val="minMax"/>
        </c:scaling>
        <c:delete val="0"/>
        <c:axPos val="l"/>
        <c:majorGridlines/>
        <c:numFmt formatCode="#,##0" sourceLinked="1"/>
        <c:majorTickMark val="out"/>
        <c:minorTickMark val="none"/>
        <c:tickLblPos val="nextTo"/>
        <c:crossAx val="1093736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'Normalized Annual Summary'!$O$3</c:f>
              <c:strCache>
                <c:ptCount val="1"/>
                <c:pt idx="0">
                  <c:v>Actual No CDM</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Summary'!$O$5:$O$14</c:f>
              <c:numCache>
                <c:formatCode>#,##0</c:formatCode>
                <c:ptCount val="10"/>
                <c:pt idx="0">
                  <c:v>51997633.235688224</c:v>
                </c:pt>
                <c:pt idx="1">
                  <c:v>48943216.085060328</c:v>
                </c:pt>
                <c:pt idx="2">
                  <c:v>48039983.252798781</c:v>
                </c:pt>
                <c:pt idx="3">
                  <c:v>49616193.620675914</c:v>
                </c:pt>
                <c:pt idx="4">
                  <c:v>49273916.568805665</c:v>
                </c:pt>
                <c:pt idx="5">
                  <c:v>48699091.140003726</c:v>
                </c:pt>
                <c:pt idx="6">
                  <c:v>49904172.617865816</c:v>
                </c:pt>
                <c:pt idx="7">
                  <c:v>50588551.837724999</c:v>
                </c:pt>
                <c:pt idx="8">
                  <c:v>53413626.081627525</c:v>
                </c:pt>
                <c:pt idx="9">
                  <c:v>52327038.982033066</c:v>
                </c:pt>
              </c:numCache>
            </c:numRef>
          </c:val>
          <c:smooth val="0"/>
          <c:extLst>
            <c:ext xmlns:c16="http://schemas.microsoft.com/office/drawing/2014/chart" uri="{C3380CC4-5D6E-409C-BE32-E72D297353CC}">
              <c16:uniqueId val="{00000000-A856-4DE7-806D-D6FCA9B0D182}"/>
            </c:ext>
          </c:extLst>
        </c:ser>
        <c:ser>
          <c:idx val="3"/>
          <c:order val="1"/>
          <c:tx>
            <c:strRef>
              <c:f>'Normalized Annual Summary'!$Q$3</c:f>
              <c:strCache>
                <c:ptCount val="1"/>
                <c:pt idx="0">
                  <c:v>Normalized No CDM</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Summary'!$Q$5:$Q$16</c:f>
              <c:numCache>
                <c:formatCode>#,##0</c:formatCode>
                <c:ptCount val="12"/>
                <c:pt idx="0">
                  <c:v>51021168.377520248</c:v>
                </c:pt>
                <c:pt idx="1">
                  <c:v>50181731.022512361</c:v>
                </c:pt>
                <c:pt idx="2">
                  <c:v>48573914.930004239</c:v>
                </c:pt>
                <c:pt idx="3">
                  <c:v>48890988.096104167</c:v>
                </c:pt>
                <c:pt idx="4">
                  <c:v>49809163.16710294</c:v>
                </c:pt>
                <c:pt idx="5">
                  <c:v>48911868.398443677</c:v>
                </c:pt>
                <c:pt idx="6">
                  <c:v>49530765.8580558</c:v>
                </c:pt>
                <c:pt idx="7">
                  <c:v>50059110.396185711</c:v>
                </c:pt>
                <c:pt idx="8">
                  <c:v>53367596.365513556</c:v>
                </c:pt>
                <c:pt idx="9">
                  <c:v>52457128.729630873</c:v>
                </c:pt>
                <c:pt idx="10">
                  <c:v>52739421.497981928</c:v>
                </c:pt>
                <c:pt idx="11">
                  <c:v>53027802.609303236</c:v>
                </c:pt>
              </c:numCache>
            </c:numRef>
          </c:val>
          <c:smooth val="0"/>
          <c:extLst>
            <c:ext xmlns:c16="http://schemas.microsoft.com/office/drawing/2014/chart" uri="{C3380CC4-5D6E-409C-BE32-E72D297353CC}">
              <c16:uniqueId val="{00000001-A856-4DE7-806D-D6FCA9B0D182}"/>
            </c:ext>
          </c:extLst>
        </c:ser>
        <c:ser>
          <c:idx val="1"/>
          <c:order val="2"/>
          <c:tx>
            <c:strRef>
              <c:f>'Normalized Annual Summary'!$M$3</c:f>
              <c:strCache>
                <c:ptCount val="1"/>
                <c:pt idx="0">
                  <c:v>Actual</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Summary'!$M$5:$M$14</c:f>
              <c:numCache>
                <c:formatCode>#,##0</c:formatCode>
                <c:ptCount val="10"/>
                <c:pt idx="0">
                  <c:v>51948960.079999998</c:v>
                </c:pt>
                <c:pt idx="1">
                  <c:v>48801253.580000006</c:v>
                </c:pt>
                <c:pt idx="2">
                  <c:v>47730432.499999993</c:v>
                </c:pt>
                <c:pt idx="3">
                  <c:v>49127425.479999989</c:v>
                </c:pt>
                <c:pt idx="4">
                  <c:v>48634111.810000002</c:v>
                </c:pt>
                <c:pt idx="5">
                  <c:v>47672678.809999987</c:v>
                </c:pt>
                <c:pt idx="6">
                  <c:v>48218851.180000007</c:v>
                </c:pt>
                <c:pt idx="7">
                  <c:v>48123470.799999997</c:v>
                </c:pt>
                <c:pt idx="8">
                  <c:v>50019956.109999992</c:v>
                </c:pt>
                <c:pt idx="9">
                  <c:v>48503240.200000003</c:v>
                </c:pt>
              </c:numCache>
            </c:numRef>
          </c:val>
          <c:smooth val="0"/>
          <c:extLst>
            <c:ext xmlns:c16="http://schemas.microsoft.com/office/drawing/2014/chart" uri="{C3380CC4-5D6E-409C-BE32-E72D297353CC}">
              <c16:uniqueId val="{00000002-A856-4DE7-806D-D6FCA9B0D182}"/>
            </c:ext>
          </c:extLst>
        </c:ser>
        <c:ser>
          <c:idx val="2"/>
          <c:order val="3"/>
          <c:tx>
            <c:strRef>
              <c:f>'Normalized Annual Summary'!$T$3</c:f>
              <c:strCache>
                <c:ptCount val="1"/>
                <c:pt idx="0">
                  <c:v>Normalized</c:v>
                </c:pt>
              </c:strCache>
            </c:strRef>
          </c:tx>
          <c:marker>
            <c:symbol val="none"/>
          </c:marker>
          <c:cat>
            <c:numRef>
              <c:f>'Normalized Annual Summary'!$B$5:$B$16</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'Normalized Annual Summary'!$T$5:$T$16</c:f>
              <c:numCache>
                <c:formatCode>#,##0</c:formatCode>
                <c:ptCount val="12"/>
                <c:pt idx="0">
                  <c:v>50972495.221832022</c:v>
                </c:pt>
                <c:pt idx="1">
                  <c:v>50039768.517452031</c:v>
                </c:pt>
                <c:pt idx="2">
                  <c:v>48264364.177205451</c:v>
                </c:pt>
                <c:pt idx="3">
                  <c:v>48402219.955428243</c:v>
                </c:pt>
                <c:pt idx="4">
                  <c:v>49169358.408297271</c:v>
                </c:pt>
                <c:pt idx="5">
                  <c:v>47885456.068439938</c:v>
                </c:pt>
                <c:pt idx="6">
                  <c:v>47845444.420189984</c:v>
                </c:pt>
                <c:pt idx="7">
                  <c:v>47594029.358460717</c:v>
                </c:pt>
                <c:pt idx="8">
                  <c:v>49973926.393886022</c:v>
                </c:pt>
                <c:pt idx="9">
                  <c:v>48633329.947597809</c:v>
                </c:pt>
                <c:pt idx="10">
                  <c:v>48915622.715948865</c:v>
                </c:pt>
                <c:pt idx="11">
                  <c:v>49394964.62727017</c:v>
                </c:pt>
              </c:numCache>
            </c:numRef>
          </c:val>
          <c:smooth val="0"/>
          <c:extLst>
            <c:ext xmlns:c16="http://schemas.microsoft.com/office/drawing/2014/chart" uri="{C3380CC4-5D6E-409C-BE32-E72D297353CC}">
              <c16:uniqueId val="{00000003-A856-4DE7-806D-D6FCA9B0D182}"/>
            </c:ext>
          </c:extLst>
        </c:ser>
        <c:dLbls>
          <c:showLegendKey val="0"/>
          <c:showVal val="0"/>
          <c:showCatName val="0"/>
          <c:showSerName val="0"/>
          <c:showPercent val="0"/>
          <c:showBubbleSize val="0"/>
        </c:dLbls>
        <c:smooth val="0"/>
        <c:axId val="111246720"/>
        <c:axId val="111252608"/>
      </c:lineChart>
      <c:catAx>
        <c:axId val="111246720"/>
        <c:scaling>
          <c:orientation val="minMax"/>
        </c:scaling>
        <c:delete val="0"/>
        <c:axPos val="b"/>
        <c:numFmt formatCode="General" sourceLinked="1"/>
        <c:majorTickMark val="out"/>
        <c:minorTickMark val="none"/>
        <c:tickLblPos val="nextTo"/>
        <c:crossAx val="111252608"/>
        <c:crosses val="autoZero"/>
        <c:auto val="1"/>
        <c:lblAlgn val="ctr"/>
        <c:lblOffset val="100"/>
        <c:noMultiLvlLbl val="0"/>
      </c:catAx>
      <c:valAx>
        <c:axId val="111252608"/>
        <c:scaling>
          <c:orientation val="minMax"/>
        </c:scaling>
        <c:delete val="0"/>
        <c:axPos val="l"/>
        <c:majorGridlines/>
        <c:numFmt formatCode="#,##0" sourceLinked="1"/>
        <c:majorTickMark val="out"/>
        <c:minorTickMark val="none"/>
        <c:tickLblPos val="nextTo"/>
        <c:crossAx val="1112467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C06C-7E44-45F3-BEF3-A2747CE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Elenchus Report 2017.dotx</Template>
  <TotalTime>1</TotalTime>
  <Pages>21</Pages>
  <Words>4533</Words>
  <Characters>25843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Frank</dc:creator>
  <cp:lastModifiedBy>Fiona O'Connell</cp:lastModifiedBy>
  <cp:revision>2</cp:revision>
  <cp:lastPrinted>2017-11-13T20:05:00Z</cp:lastPrinted>
  <dcterms:created xsi:type="dcterms:W3CDTF">2018-06-14T19:43:00Z</dcterms:created>
  <dcterms:modified xsi:type="dcterms:W3CDTF">2018-06-14T19:43:00Z</dcterms:modified>
</cp:coreProperties>
</file>