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21A77F" w14:textId="77777777" w:rsidR="00DC0900" w:rsidRPr="00223F9C" w:rsidRDefault="00DC0900" w:rsidP="00DC0900">
      <w:pPr>
        <w:spacing w:after="0" w:line="240" w:lineRule="auto"/>
        <w:jc w:val="center"/>
        <w:rPr>
          <w:rFonts w:ascii="Arial" w:hAnsi="Arial"/>
          <w:b/>
        </w:rPr>
      </w:pPr>
    </w:p>
    <w:p w14:paraId="4A23A5B4" w14:textId="77777777" w:rsidR="00DC0900" w:rsidRPr="00DC0900" w:rsidRDefault="00FE59A9" w:rsidP="00DC0900">
      <w:pPr>
        <w:spacing w:after="0" w:line="240" w:lineRule="auto"/>
        <w:jc w:val="center"/>
        <w:rPr>
          <w:rFonts w:ascii="Arial" w:hAnsi="Arial"/>
          <w:b/>
          <w:sz w:val="24"/>
          <w:szCs w:val="24"/>
        </w:rPr>
      </w:pPr>
      <w:r>
        <w:rPr>
          <w:rFonts w:ascii="Arial" w:hAnsi="Arial"/>
          <w:b/>
          <w:sz w:val="24"/>
          <w:szCs w:val="24"/>
        </w:rPr>
        <w:t xml:space="preserve">Union Gas Limited </w:t>
      </w:r>
    </w:p>
    <w:p w14:paraId="5498B9E3" w14:textId="77777777" w:rsidR="00DC0900" w:rsidRPr="00DC0900" w:rsidRDefault="00DC0900" w:rsidP="00DC0900">
      <w:pPr>
        <w:spacing w:after="0" w:line="240" w:lineRule="auto"/>
        <w:jc w:val="center"/>
        <w:rPr>
          <w:rFonts w:ascii="Arial" w:hAnsi="Arial"/>
          <w:b/>
          <w:sz w:val="24"/>
          <w:szCs w:val="24"/>
        </w:rPr>
      </w:pPr>
    </w:p>
    <w:p w14:paraId="02202EF5" w14:textId="77777777" w:rsidR="00DC0900" w:rsidRPr="00DC0900" w:rsidRDefault="00FE59A9" w:rsidP="00DC0900">
      <w:pPr>
        <w:spacing w:after="0" w:line="240" w:lineRule="auto"/>
        <w:jc w:val="center"/>
        <w:rPr>
          <w:rFonts w:ascii="Arial" w:hAnsi="Arial"/>
          <w:b/>
          <w:sz w:val="24"/>
          <w:szCs w:val="24"/>
        </w:rPr>
      </w:pPr>
      <w:r>
        <w:rPr>
          <w:rFonts w:ascii="Arial" w:hAnsi="Arial"/>
          <w:b/>
          <w:sz w:val="24"/>
          <w:szCs w:val="24"/>
        </w:rPr>
        <w:t xml:space="preserve">2017 </w:t>
      </w:r>
      <w:r w:rsidR="009501EC">
        <w:rPr>
          <w:rFonts w:ascii="Arial" w:hAnsi="Arial"/>
          <w:b/>
          <w:sz w:val="24"/>
          <w:szCs w:val="24"/>
        </w:rPr>
        <w:t>Defe</w:t>
      </w:r>
      <w:r>
        <w:rPr>
          <w:rFonts w:ascii="Arial" w:hAnsi="Arial"/>
          <w:b/>
          <w:sz w:val="24"/>
          <w:szCs w:val="24"/>
        </w:rPr>
        <w:t>rral Account Disposition and Utility Earnings</w:t>
      </w:r>
    </w:p>
    <w:p w14:paraId="27B6194A" w14:textId="77777777" w:rsidR="00DC0900" w:rsidRPr="00DC0900" w:rsidRDefault="00DC0900" w:rsidP="00DC0900">
      <w:pPr>
        <w:spacing w:after="0" w:line="240" w:lineRule="auto"/>
        <w:jc w:val="center"/>
        <w:rPr>
          <w:rFonts w:ascii="Arial" w:hAnsi="Arial"/>
          <w:b/>
          <w:sz w:val="24"/>
          <w:szCs w:val="24"/>
        </w:rPr>
      </w:pPr>
    </w:p>
    <w:p w14:paraId="0FF4ECC7" w14:textId="77777777" w:rsidR="00DC0900" w:rsidRPr="00DC0900" w:rsidRDefault="00DC0900" w:rsidP="00DC0900">
      <w:pPr>
        <w:spacing w:after="0" w:line="240" w:lineRule="auto"/>
        <w:jc w:val="center"/>
        <w:rPr>
          <w:rFonts w:ascii="Arial" w:hAnsi="Arial"/>
          <w:b/>
          <w:sz w:val="24"/>
          <w:szCs w:val="24"/>
        </w:rPr>
      </w:pPr>
      <w:r w:rsidRPr="00DC0900">
        <w:rPr>
          <w:rFonts w:ascii="Arial" w:hAnsi="Arial"/>
          <w:b/>
          <w:sz w:val="24"/>
          <w:szCs w:val="24"/>
        </w:rPr>
        <w:t>EB-</w:t>
      </w:r>
      <w:r w:rsidR="00FE59A9">
        <w:rPr>
          <w:rFonts w:ascii="Arial" w:hAnsi="Arial"/>
          <w:b/>
          <w:sz w:val="24"/>
          <w:szCs w:val="24"/>
        </w:rPr>
        <w:t>2018-0105</w:t>
      </w:r>
    </w:p>
    <w:p w14:paraId="422C3DF3" w14:textId="77777777" w:rsidR="00DC0900" w:rsidRPr="00DC0900" w:rsidRDefault="00DC0900" w:rsidP="00DC0900">
      <w:pPr>
        <w:spacing w:after="0" w:line="240" w:lineRule="auto"/>
        <w:jc w:val="center"/>
        <w:rPr>
          <w:rFonts w:ascii="Arial" w:hAnsi="Arial"/>
          <w:b/>
          <w:sz w:val="24"/>
          <w:szCs w:val="24"/>
        </w:rPr>
      </w:pPr>
    </w:p>
    <w:p w14:paraId="36515AD6" w14:textId="77777777" w:rsidR="00DC0900" w:rsidRDefault="00DC0900" w:rsidP="00DC0900">
      <w:pPr>
        <w:jc w:val="center"/>
        <w:rPr>
          <w:rFonts w:ascii="Arial" w:hAnsi="Arial" w:cs="Arial"/>
          <w:b/>
          <w:sz w:val="24"/>
          <w:szCs w:val="24"/>
        </w:rPr>
      </w:pPr>
      <w:r w:rsidRPr="00DC0900">
        <w:rPr>
          <w:rFonts w:ascii="Arial" w:hAnsi="Arial" w:cs="Arial"/>
          <w:b/>
          <w:sz w:val="24"/>
          <w:szCs w:val="24"/>
        </w:rPr>
        <w:t>OEB STAFF INTERROGATORIES</w:t>
      </w:r>
    </w:p>
    <w:p w14:paraId="6A168920" w14:textId="256EA768" w:rsidR="00DD5FD6" w:rsidRDefault="00197CAD" w:rsidP="00DC0900">
      <w:pPr>
        <w:jc w:val="center"/>
        <w:rPr>
          <w:rFonts w:ascii="Arial" w:hAnsi="Arial" w:cs="Arial"/>
          <w:b/>
          <w:sz w:val="24"/>
          <w:szCs w:val="24"/>
        </w:rPr>
      </w:pPr>
      <w:r w:rsidRPr="00B56CAE">
        <w:rPr>
          <w:rFonts w:ascii="Arial" w:hAnsi="Arial" w:cs="Arial"/>
          <w:b/>
          <w:sz w:val="24"/>
          <w:szCs w:val="24"/>
        </w:rPr>
        <w:t>August</w:t>
      </w:r>
      <w:r w:rsidR="002429A6" w:rsidRPr="00B56CAE">
        <w:rPr>
          <w:rFonts w:ascii="Arial" w:hAnsi="Arial" w:cs="Arial"/>
          <w:b/>
          <w:sz w:val="24"/>
          <w:szCs w:val="24"/>
        </w:rPr>
        <w:t xml:space="preserve"> </w:t>
      </w:r>
      <w:r w:rsidR="00B56CAE" w:rsidRPr="00B56CAE">
        <w:rPr>
          <w:rFonts w:ascii="Arial" w:hAnsi="Arial" w:cs="Arial"/>
          <w:b/>
          <w:sz w:val="24"/>
          <w:szCs w:val="24"/>
        </w:rPr>
        <w:t>8</w:t>
      </w:r>
      <w:r w:rsidR="009501EC" w:rsidRPr="00B56CAE">
        <w:rPr>
          <w:rFonts w:ascii="Arial" w:hAnsi="Arial" w:cs="Arial"/>
          <w:b/>
          <w:sz w:val="24"/>
          <w:szCs w:val="24"/>
        </w:rPr>
        <w:t>, 201</w:t>
      </w:r>
      <w:r w:rsidR="00FE59A9" w:rsidRPr="00B56CAE">
        <w:rPr>
          <w:rFonts w:ascii="Arial" w:hAnsi="Arial" w:cs="Arial"/>
          <w:b/>
          <w:sz w:val="24"/>
          <w:szCs w:val="24"/>
        </w:rPr>
        <w:t>8</w:t>
      </w:r>
      <w:r w:rsidR="002714FA">
        <w:rPr>
          <w:rFonts w:ascii="Arial" w:hAnsi="Arial" w:cs="Arial"/>
          <w:b/>
          <w:sz w:val="24"/>
          <w:szCs w:val="24"/>
        </w:rPr>
        <w:br/>
      </w:r>
    </w:p>
    <w:p w14:paraId="7D97721A" w14:textId="77777777" w:rsidR="00534A51" w:rsidRPr="000F74DE" w:rsidRDefault="00E46BBB" w:rsidP="00396076">
      <w:pPr>
        <w:spacing w:after="0"/>
        <w:rPr>
          <w:rFonts w:ascii="Arial" w:hAnsi="Arial" w:cs="Arial"/>
          <w:b/>
          <w:sz w:val="24"/>
          <w:szCs w:val="24"/>
          <w:u w:val="single"/>
        </w:rPr>
      </w:pPr>
      <w:r>
        <w:rPr>
          <w:rFonts w:ascii="Arial" w:hAnsi="Arial" w:cs="Arial"/>
          <w:b/>
          <w:sz w:val="24"/>
          <w:szCs w:val="24"/>
          <w:u w:val="single"/>
        </w:rPr>
        <w:t>Staff-1</w:t>
      </w:r>
    </w:p>
    <w:p w14:paraId="36015BB6" w14:textId="77777777" w:rsidR="00534A51" w:rsidRPr="000F74DE" w:rsidRDefault="00534A51" w:rsidP="00396076">
      <w:pPr>
        <w:spacing w:after="0"/>
        <w:rPr>
          <w:rFonts w:ascii="Arial" w:hAnsi="Arial" w:cs="Arial"/>
          <w:b/>
          <w:sz w:val="24"/>
          <w:szCs w:val="24"/>
        </w:rPr>
      </w:pPr>
      <w:r w:rsidRPr="000F74DE">
        <w:rPr>
          <w:rFonts w:ascii="Arial" w:hAnsi="Arial" w:cs="Arial"/>
          <w:b/>
          <w:sz w:val="24"/>
          <w:szCs w:val="24"/>
        </w:rPr>
        <w:t>Ref:</w:t>
      </w:r>
      <w:r w:rsidRPr="000F74DE">
        <w:rPr>
          <w:rFonts w:ascii="Arial" w:hAnsi="Arial" w:cs="Arial"/>
          <w:b/>
          <w:sz w:val="24"/>
          <w:szCs w:val="24"/>
        </w:rPr>
        <w:tab/>
        <w:t xml:space="preserve">Deferral and Variance Account Balance Summary </w:t>
      </w:r>
    </w:p>
    <w:p w14:paraId="6D283027" w14:textId="77777777" w:rsidR="00534A51" w:rsidRPr="000F74DE" w:rsidRDefault="00534A51" w:rsidP="00396076">
      <w:pPr>
        <w:spacing w:after="0"/>
        <w:ind w:firstLine="720"/>
        <w:rPr>
          <w:rFonts w:ascii="Arial" w:hAnsi="Arial" w:cs="Arial"/>
          <w:b/>
          <w:sz w:val="24"/>
          <w:szCs w:val="24"/>
        </w:rPr>
      </w:pPr>
      <w:r w:rsidRPr="000F74DE">
        <w:rPr>
          <w:rFonts w:ascii="Arial" w:hAnsi="Arial" w:cs="Arial"/>
          <w:b/>
          <w:sz w:val="24"/>
          <w:szCs w:val="24"/>
        </w:rPr>
        <w:t xml:space="preserve">Exhibit A / Tab </w:t>
      </w:r>
      <w:r w:rsidR="000F74DE" w:rsidRPr="000F74DE">
        <w:rPr>
          <w:rFonts w:ascii="Arial" w:hAnsi="Arial" w:cs="Arial"/>
          <w:b/>
          <w:sz w:val="24"/>
          <w:szCs w:val="24"/>
        </w:rPr>
        <w:t>1</w:t>
      </w:r>
      <w:r w:rsidRPr="000F74DE">
        <w:rPr>
          <w:rFonts w:ascii="Arial" w:hAnsi="Arial" w:cs="Arial"/>
          <w:b/>
          <w:sz w:val="24"/>
          <w:szCs w:val="24"/>
        </w:rPr>
        <w:t xml:space="preserve"> / Appendix A</w:t>
      </w:r>
      <w:r w:rsidR="000F74DE" w:rsidRPr="000F74DE">
        <w:rPr>
          <w:rFonts w:ascii="Arial" w:hAnsi="Arial" w:cs="Arial"/>
          <w:b/>
          <w:sz w:val="24"/>
          <w:szCs w:val="24"/>
        </w:rPr>
        <w:t xml:space="preserve"> / Schedule 1</w:t>
      </w:r>
    </w:p>
    <w:p w14:paraId="39CC3C9B" w14:textId="77777777" w:rsidR="00534A51" w:rsidRPr="000F74DE" w:rsidRDefault="00534A51" w:rsidP="00396076">
      <w:pPr>
        <w:spacing w:after="0"/>
        <w:rPr>
          <w:rFonts w:ascii="Arial" w:hAnsi="Arial" w:cs="Arial"/>
          <w:b/>
          <w:sz w:val="24"/>
          <w:szCs w:val="24"/>
        </w:rPr>
      </w:pPr>
    </w:p>
    <w:p w14:paraId="6B3DEAA3" w14:textId="77777777" w:rsidR="000F74DE" w:rsidRPr="000F74DE" w:rsidRDefault="000F74DE" w:rsidP="00396076">
      <w:pPr>
        <w:autoSpaceDE w:val="0"/>
        <w:autoSpaceDN w:val="0"/>
        <w:adjustRightInd w:val="0"/>
        <w:spacing w:after="0"/>
        <w:rPr>
          <w:rFonts w:ascii="Arial" w:hAnsi="Arial" w:cs="Arial"/>
          <w:color w:val="000000"/>
          <w:sz w:val="24"/>
          <w:szCs w:val="24"/>
          <w:lang w:val="en-US"/>
        </w:rPr>
      </w:pPr>
      <w:r w:rsidRPr="000F74DE">
        <w:rPr>
          <w:rFonts w:ascii="Arial" w:hAnsi="Arial" w:cs="Arial"/>
          <w:color w:val="000000"/>
          <w:sz w:val="24"/>
          <w:szCs w:val="24"/>
          <w:lang w:val="en-US"/>
        </w:rPr>
        <w:t>Prea</w:t>
      </w:r>
      <w:r w:rsidR="009D04C2">
        <w:rPr>
          <w:rFonts w:ascii="Arial" w:hAnsi="Arial" w:cs="Arial"/>
          <w:color w:val="000000"/>
          <w:sz w:val="24"/>
          <w:szCs w:val="24"/>
          <w:lang w:val="en-US"/>
        </w:rPr>
        <w:t>m</w:t>
      </w:r>
      <w:r w:rsidRPr="000F74DE">
        <w:rPr>
          <w:rFonts w:ascii="Arial" w:hAnsi="Arial" w:cs="Arial"/>
          <w:color w:val="000000"/>
          <w:sz w:val="24"/>
          <w:szCs w:val="24"/>
          <w:lang w:val="en-US"/>
        </w:rPr>
        <w:t>ble:</w:t>
      </w:r>
    </w:p>
    <w:p w14:paraId="415F515F" w14:textId="77777777" w:rsidR="000F74DE" w:rsidRPr="000F74DE" w:rsidRDefault="000F74DE" w:rsidP="00396076">
      <w:pPr>
        <w:autoSpaceDE w:val="0"/>
        <w:autoSpaceDN w:val="0"/>
        <w:adjustRightInd w:val="0"/>
        <w:spacing w:after="0"/>
        <w:rPr>
          <w:rFonts w:ascii="Arial" w:hAnsi="Arial" w:cs="Arial"/>
          <w:color w:val="000000"/>
          <w:sz w:val="24"/>
          <w:szCs w:val="24"/>
          <w:lang w:val="en-US"/>
        </w:rPr>
      </w:pPr>
    </w:p>
    <w:p w14:paraId="00C1818F" w14:textId="77777777" w:rsidR="000F74DE" w:rsidRPr="000F74DE" w:rsidRDefault="000F74DE" w:rsidP="00396076">
      <w:pPr>
        <w:autoSpaceDE w:val="0"/>
        <w:autoSpaceDN w:val="0"/>
        <w:adjustRightInd w:val="0"/>
        <w:spacing w:after="0"/>
        <w:rPr>
          <w:rFonts w:ascii="Arial" w:hAnsi="Arial" w:cs="Arial"/>
          <w:color w:val="000000"/>
          <w:sz w:val="24"/>
          <w:szCs w:val="24"/>
          <w:lang w:val="en-US"/>
        </w:rPr>
      </w:pPr>
      <w:r w:rsidRPr="000F74DE">
        <w:rPr>
          <w:rFonts w:ascii="Arial" w:hAnsi="Arial" w:cs="Arial"/>
          <w:color w:val="000000"/>
          <w:sz w:val="24"/>
          <w:szCs w:val="24"/>
          <w:lang w:val="en-US"/>
        </w:rPr>
        <w:t xml:space="preserve">Union requested disposition of gas supply, storage and other deferral accounts. The net balance in the deferral accounts requested for disposition is a $2.2 million debit from ratepayers as at December 31, 2017. </w:t>
      </w:r>
    </w:p>
    <w:p w14:paraId="1A93E879" w14:textId="77777777" w:rsidR="000F74DE" w:rsidRPr="000F74DE" w:rsidRDefault="000F74DE" w:rsidP="00396076">
      <w:pPr>
        <w:autoSpaceDE w:val="0"/>
        <w:autoSpaceDN w:val="0"/>
        <w:adjustRightInd w:val="0"/>
        <w:spacing w:after="0"/>
        <w:rPr>
          <w:rFonts w:ascii="Arial" w:hAnsi="Arial" w:cs="Arial"/>
          <w:color w:val="000000"/>
          <w:sz w:val="24"/>
          <w:szCs w:val="24"/>
          <w:lang w:val="en-US"/>
        </w:rPr>
      </w:pPr>
    </w:p>
    <w:p w14:paraId="374A332A" w14:textId="77777777" w:rsidR="000F74DE" w:rsidRPr="000F74DE" w:rsidRDefault="000F74DE" w:rsidP="00396076">
      <w:pPr>
        <w:autoSpaceDE w:val="0"/>
        <w:autoSpaceDN w:val="0"/>
        <w:adjustRightInd w:val="0"/>
        <w:spacing w:after="0"/>
        <w:rPr>
          <w:rFonts w:ascii="Arial" w:hAnsi="Arial" w:cs="Arial"/>
          <w:color w:val="000000"/>
          <w:sz w:val="24"/>
          <w:szCs w:val="24"/>
          <w:lang w:val="en-US"/>
        </w:rPr>
      </w:pPr>
      <w:r w:rsidRPr="000F74DE">
        <w:rPr>
          <w:rFonts w:ascii="Arial" w:hAnsi="Arial" w:cs="Arial"/>
          <w:color w:val="000000"/>
          <w:sz w:val="24"/>
          <w:szCs w:val="24"/>
          <w:lang w:val="en-US"/>
        </w:rPr>
        <w:t xml:space="preserve">Question(s): </w:t>
      </w:r>
    </w:p>
    <w:p w14:paraId="3499A2FE" w14:textId="77777777" w:rsidR="000F74DE" w:rsidRPr="000F74DE" w:rsidRDefault="000F74DE" w:rsidP="00396076">
      <w:pPr>
        <w:autoSpaceDE w:val="0"/>
        <w:autoSpaceDN w:val="0"/>
        <w:adjustRightInd w:val="0"/>
        <w:spacing w:after="0"/>
        <w:rPr>
          <w:rFonts w:ascii="Arial" w:hAnsi="Arial" w:cs="Arial"/>
          <w:color w:val="000000"/>
          <w:sz w:val="24"/>
          <w:szCs w:val="24"/>
          <w:lang w:val="en-US"/>
        </w:rPr>
      </w:pPr>
    </w:p>
    <w:p w14:paraId="050ECC6F" w14:textId="77777777" w:rsidR="000F74DE" w:rsidRPr="000F74DE" w:rsidRDefault="000F74DE" w:rsidP="00396076">
      <w:pPr>
        <w:pStyle w:val="ListParagraph"/>
        <w:numPr>
          <w:ilvl w:val="0"/>
          <w:numId w:val="25"/>
        </w:numPr>
        <w:autoSpaceDE w:val="0"/>
        <w:autoSpaceDN w:val="0"/>
        <w:adjustRightInd w:val="0"/>
        <w:spacing w:after="0"/>
        <w:rPr>
          <w:rFonts w:ascii="Arial" w:hAnsi="Arial" w:cs="Arial"/>
          <w:color w:val="000000"/>
          <w:sz w:val="24"/>
          <w:szCs w:val="24"/>
          <w:lang w:val="en-US"/>
        </w:rPr>
      </w:pPr>
      <w:r w:rsidRPr="000F74DE">
        <w:rPr>
          <w:rFonts w:ascii="Arial" w:hAnsi="Arial" w:cs="Arial"/>
          <w:color w:val="000000"/>
          <w:sz w:val="24"/>
          <w:szCs w:val="24"/>
          <w:lang w:val="en-US"/>
        </w:rPr>
        <w:t xml:space="preserve">Please provide a statement confirming whether the balances proposed for disposition are consistent with the account balances reported in the applicant’s 2017 RRR filing (2.7.1) and its 2017 audited financial statements. </w:t>
      </w:r>
    </w:p>
    <w:p w14:paraId="23C56FDB" w14:textId="77777777" w:rsidR="000F74DE" w:rsidRPr="000F74DE" w:rsidRDefault="000F74DE" w:rsidP="00396076">
      <w:pPr>
        <w:autoSpaceDE w:val="0"/>
        <w:autoSpaceDN w:val="0"/>
        <w:adjustRightInd w:val="0"/>
        <w:spacing w:after="0"/>
        <w:rPr>
          <w:rFonts w:ascii="Arial" w:hAnsi="Arial" w:cs="Arial"/>
          <w:color w:val="000000"/>
          <w:sz w:val="24"/>
          <w:szCs w:val="24"/>
          <w:lang w:val="en-US"/>
        </w:rPr>
      </w:pPr>
    </w:p>
    <w:p w14:paraId="6860DA81" w14:textId="77777777" w:rsidR="000F74DE" w:rsidRPr="000F74DE" w:rsidRDefault="000F74DE" w:rsidP="00396076">
      <w:pPr>
        <w:pStyle w:val="ListParagraph"/>
        <w:numPr>
          <w:ilvl w:val="0"/>
          <w:numId w:val="25"/>
        </w:numPr>
        <w:autoSpaceDE w:val="0"/>
        <w:autoSpaceDN w:val="0"/>
        <w:adjustRightInd w:val="0"/>
        <w:spacing w:after="0"/>
        <w:rPr>
          <w:rFonts w:ascii="Arial" w:hAnsi="Arial" w:cs="Arial"/>
          <w:color w:val="000000"/>
          <w:sz w:val="24"/>
          <w:szCs w:val="24"/>
          <w:lang w:val="en-US"/>
        </w:rPr>
      </w:pPr>
      <w:r w:rsidRPr="000F74DE">
        <w:rPr>
          <w:rFonts w:ascii="Arial" w:hAnsi="Arial" w:cs="Arial"/>
          <w:color w:val="000000"/>
          <w:sz w:val="24"/>
          <w:szCs w:val="24"/>
          <w:lang w:val="en-US"/>
        </w:rPr>
        <w:t xml:space="preserve">For each account requested for disposition, please provide a continuity schedule for the period commencing from the establishment of the account or from the last approved disposition of the account, whichever is more recent, to the date of the most recent audited actuals. This continuity should show separate itemization of opening balances, new amounts recorded during the period, approved dispositions, other adjustments, interest, and closing balances. </w:t>
      </w:r>
    </w:p>
    <w:p w14:paraId="66AB7EAC" w14:textId="77777777" w:rsidR="000F74DE" w:rsidRPr="000F74DE" w:rsidRDefault="000F74DE" w:rsidP="00396076">
      <w:pPr>
        <w:autoSpaceDE w:val="0"/>
        <w:autoSpaceDN w:val="0"/>
        <w:adjustRightInd w:val="0"/>
        <w:spacing w:after="0"/>
        <w:rPr>
          <w:rFonts w:ascii="Arial" w:hAnsi="Arial" w:cs="Arial"/>
          <w:color w:val="000000"/>
          <w:sz w:val="24"/>
          <w:szCs w:val="24"/>
          <w:lang w:val="en-US"/>
        </w:rPr>
      </w:pPr>
    </w:p>
    <w:p w14:paraId="5C277755" w14:textId="77777777" w:rsidR="000F74DE" w:rsidRPr="000F74DE" w:rsidRDefault="000F74DE" w:rsidP="00396076">
      <w:pPr>
        <w:pStyle w:val="ListParagraph"/>
        <w:numPr>
          <w:ilvl w:val="0"/>
          <w:numId w:val="25"/>
        </w:numPr>
        <w:autoSpaceDE w:val="0"/>
        <w:autoSpaceDN w:val="0"/>
        <w:adjustRightInd w:val="0"/>
        <w:spacing w:after="0"/>
        <w:rPr>
          <w:rFonts w:ascii="Arial" w:hAnsi="Arial" w:cs="Arial"/>
          <w:color w:val="000000"/>
          <w:sz w:val="24"/>
          <w:szCs w:val="24"/>
          <w:lang w:val="en-US"/>
        </w:rPr>
      </w:pPr>
      <w:r w:rsidRPr="000F74DE">
        <w:rPr>
          <w:rFonts w:ascii="Arial" w:hAnsi="Arial" w:cs="Arial"/>
          <w:color w:val="000000"/>
          <w:sz w:val="24"/>
          <w:szCs w:val="24"/>
          <w:lang w:val="en-US"/>
        </w:rPr>
        <w:t xml:space="preserve">Are there any deferral and variance accounts with balances that are not being brought forward for disposition as part of this application and which are not cleared through the Quarterly Rate Adjustment Mechanism proceeding, the Demand Side Management deferral account proceeding, or the Cap-and-Trade compliance plan proceeding?  If so, please provide details including the account name, balances and reasons for not seeking disposition. </w:t>
      </w:r>
    </w:p>
    <w:p w14:paraId="7119D277" w14:textId="77777777" w:rsidR="000F74DE" w:rsidRPr="000F74DE" w:rsidRDefault="000F74DE" w:rsidP="00396076">
      <w:pPr>
        <w:autoSpaceDE w:val="0"/>
        <w:autoSpaceDN w:val="0"/>
        <w:adjustRightInd w:val="0"/>
        <w:spacing w:after="0"/>
        <w:rPr>
          <w:rFonts w:ascii="Arial" w:hAnsi="Arial" w:cs="Arial"/>
          <w:color w:val="000000"/>
          <w:sz w:val="24"/>
          <w:szCs w:val="24"/>
          <w:lang w:val="en-US"/>
        </w:rPr>
      </w:pPr>
    </w:p>
    <w:p w14:paraId="06AC103A" w14:textId="77777777" w:rsidR="000F74DE" w:rsidRDefault="000F74DE" w:rsidP="00396076">
      <w:pPr>
        <w:pStyle w:val="ListParagraph"/>
        <w:numPr>
          <w:ilvl w:val="0"/>
          <w:numId w:val="25"/>
        </w:numPr>
        <w:autoSpaceDE w:val="0"/>
        <w:autoSpaceDN w:val="0"/>
        <w:adjustRightInd w:val="0"/>
        <w:spacing w:after="0"/>
        <w:rPr>
          <w:rFonts w:ascii="Arial" w:hAnsi="Arial" w:cs="Arial"/>
          <w:color w:val="000000"/>
          <w:sz w:val="24"/>
          <w:szCs w:val="24"/>
          <w:lang w:val="en-US"/>
        </w:rPr>
      </w:pPr>
      <w:r w:rsidRPr="000F74DE">
        <w:rPr>
          <w:rFonts w:ascii="Arial" w:hAnsi="Arial" w:cs="Arial"/>
          <w:color w:val="000000"/>
          <w:sz w:val="24"/>
          <w:szCs w:val="24"/>
          <w:lang w:val="en-US"/>
        </w:rPr>
        <w:lastRenderedPageBreak/>
        <w:t xml:space="preserve">Were there any adjustments made to deferral and variance account balances that were previously approved by the OEB on a final basis? If so, please provide an explanation of the nature and amount of any adjustment and include any supporting documentation. </w:t>
      </w:r>
      <w:r>
        <w:rPr>
          <w:rFonts w:ascii="Arial" w:hAnsi="Arial" w:cs="Arial"/>
          <w:color w:val="000000"/>
          <w:sz w:val="24"/>
          <w:szCs w:val="24"/>
          <w:lang w:val="en-US"/>
        </w:rPr>
        <w:br/>
      </w:r>
    </w:p>
    <w:p w14:paraId="11F73141" w14:textId="77777777" w:rsidR="000F74DE" w:rsidRPr="000F74DE" w:rsidRDefault="000F74DE" w:rsidP="00396076">
      <w:pPr>
        <w:spacing w:after="0"/>
        <w:rPr>
          <w:rFonts w:ascii="Arial" w:hAnsi="Arial" w:cs="Arial"/>
          <w:b/>
          <w:sz w:val="24"/>
          <w:szCs w:val="24"/>
          <w:u w:val="single"/>
        </w:rPr>
      </w:pPr>
      <w:r>
        <w:rPr>
          <w:rFonts w:ascii="Arial" w:hAnsi="Arial" w:cs="Arial"/>
          <w:b/>
          <w:sz w:val="24"/>
          <w:szCs w:val="24"/>
          <w:u w:val="single"/>
        </w:rPr>
        <w:t>Staff-</w:t>
      </w:r>
      <w:r w:rsidR="00E46BBB">
        <w:rPr>
          <w:rFonts w:ascii="Arial" w:hAnsi="Arial" w:cs="Arial"/>
          <w:b/>
          <w:sz w:val="24"/>
          <w:szCs w:val="24"/>
          <w:u w:val="single"/>
        </w:rPr>
        <w:t>2</w:t>
      </w:r>
    </w:p>
    <w:p w14:paraId="53293639" w14:textId="77777777" w:rsidR="000F74DE" w:rsidRPr="000F74DE" w:rsidRDefault="000F74DE" w:rsidP="00396076">
      <w:pPr>
        <w:spacing w:after="0"/>
        <w:rPr>
          <w:rFonts w:ascii="Arial" w:hAnsi="Arial" w:cs="Arial"/>
          <w:b/>
          <w:sz w:val="24"/>
          <w:szCs w:val="24"/>
        </w:rPr>
      </w:pPr>
      <w:r w:rsidRPr="000F74DE">
        <w:rPr>
          <w:rFonts w:ascii="Arial" w:hAnsi="Arial" w:cs="Arial"/>
          <w:b/>
          <w:sz w:val="24"/>
          <w:szCs w:val="24"/>
        </w:rPr>
        <w:t>Ref:</w:t>
      </w:r>
      <w:r w:rsidRPr="000F74DE">
        <w:rPr>
          <w:rFonts w:ascii="Arial" w:hAnsi="Arial" w:cs="Arial"/>
          <w:b/>
          <w:sz w:val="24"/>
          <w:szCs w:val="24"/>
        </w:rPr>
        <w:tab/>
      </w:r>
      <w:r w:rsidR="004C4ADB">
        <w:rPr>
          <w:rFonts w:ascii="Arial" w:hAnsi="Arial" w:cs="Arial"/>
          <w:b/>
          <w:sz w:val="24"/>
          <w:szCs w:val="24"/>
        </w:rPr>
        <w:t>Unabsorbed Demand Costs (UDC) Variance Account</w:t>
      </w:r>
      <w:r w:rsidRPr="000F74DE">
        <w:rPr>
          <w:rFonts w:ascii="Arial" w:hAnsi="Arial" w:cs="Arial"/>
          <w:b/>
          <w:sz w:val="24"/>
          <w:szCs w:val="24"/>
        </w:rPr>
        <w:t xml:space="preserve"> </w:t>
      </w:r>
    </w:p>
    <w:p w14:paraId="6F11F79B" w14:textId="77777777" w:rsidR="000F74DE" w:rsidRDefault="000F74DE" w:rsidP="00396076">
      <w:pPr>
        <w:spacing w:after="0"/>
        <w:ind w:firstLine="720"/>
        <w:rPr>
          <w:rFonts w:ascii="Arial" w:hAnsi="Arial" w:cs="Arial"/>
          <w:b/>
          <w:sz w:val="24"/>
          <w:szCs w:val="24"/>
        </w:rPr>
      </w:pPr>
      <w:r w:rsidRPr="000F74DE">
        <w:rPr>
          <w:rFonts w:ascii="Arial" w:hAnsi="Arial" w:cs="Arial"/>
          <w:b/>
          <w:sz w:val="24"/>
          <w:szCs w:val="24"/>
        </w:rPr>
        <w:t xml:space="preserve">Exhibit A / Tab 1 / </w:t>
      </w:r>
      <w:r w:rsidR="004C4ADB">
        <w:rPr>
          <w:rFonts w:ascii="Arial" w:hAnsi="Arial" w:cs="Arial"/>
          <w:b/>
          <w:sz w:val="24"/>
          <w:szCs w:val="24"/>
        </w:rPr>
        <w:t>pp. 2-5</w:t>
      </w:r>
    </w:p>
    <w:p w14:paraId="1F54D96A" w14:textId="77777777" w:rsidR="004C4ADB" w:rsidRDefault="004C4ADB" w:rsidP="00396076">
      <w:pPr>
        <w:spacing w:after="0"/>
        <w:rPr>
          <w:rFonts w:ascii="Arial" w:hAnsi="Arial" w:cs="Arial"/>
          <w:b/>
          <w:sz w:val="24"/>
          <w:szCs w:val="24"/>
        </w:rPr>
      </w:pPr>
    </w:p>
    <w:p w14:paraId="152584C3" w14:textId="77777777" w:rsidR="004C4ADB" w:rsidRDefault="004C4ADB" w:rsidP="00396076">
      <w:pPr>
        <w:spacing w:after="0"/>
        <w:rPr>
          <w:rFonts w:ascii="Arial" w:hAnsi="Arial" w:cs="Arial"/>
          <w:sz w:val="24"/>
          <w:szCs w:val="24"/>
        </w:rPr>
      </w:pPr>
      <w:r>
        <w:rPr>
          <w:rFonts w:ascii="Arial" w:hAnsi="Arial" w:cs="Arial"/>
          <w:sz w:val="24"/>
          <w:szCs w:val="24"/>
        </w:rPr>
        <w:t>Preamble:</w:t>
      </w:r>
    </w:p>
    <w:p w14:paraId="5B62EABB" w14:textId="77777777" w:rsidR="004C4ADB" w:rsidRDefault="004C4ADB" w:rsidP="00396076">
      <w:pPr>
        <w:spacing w:after="0"/>
        <w:rPr>
          <w:rFonts w:ascii="Arial" w:hAnsi="Arial" w:cs="Arial"/>
          <w:sz w:val="24"/>
          <w:szCs w:val="24"/>
        </w:rPr>
      </w:pPr>
    </w:p>
    <w:p w14:paraId="7CD3E31E" w14:textId="3D638386" w:rsidR="004C4ADB" w:rsidRDefault="004C4ADB" w:rsidP="00396076">
      <w:pPr>
        <w:spacing w:after="0"/>
        <w:rPr>
          <w:rFonts w:ascii="Arial" w:hAnsi="Arial" w:cs="Arial"/>
          <w:sz w:val="24"/>
          <w:szCs w:val="24"/>
        </w:rPr>
      </w:pPr>
      <w:r>
        <w:rPr>
          <w:rFonts w:ascii="Arial" w:hAnsi="Arial" w:cs="Arial"/>
          <w:sz w:val="24"/>
          <w:szCs w:val="24"/>
        </w:rPr>
        <w:t xml:space="preserve">Union noted that its 2017 approved rates included planned unutilized pipeline capacity of 9.5 PJ in Union North West, 3.1 PJ in Union North East and 0 PJ in Union South. Union cited schedules from both the Dawn Reference Price proceeding and the 2017 rates proceeding where these volumes can be found. </w:t>
      </w:r>
    </w:p>
    <w:p w14:paraId="67BCF846" w14:textId="77777777" w:rsidR="004C4ADB" w:rsidRDefault="004C4ADB" w:rsidP="00396076">
      <w:pPr>
        <w:spacing w:after="0"/>
        <w:rPr>
          <w:rFonts w:ascii="Arial" w:hAnsi="Arial" w:cs="Arial"/>
          <w:sz w:val="24"/>
          <w:szCs w:val="24"/>
        </w:rPr>
      </w:pPr>
    </w:p>
    <w:p w14:paraId="578D715E" w14:textId="77777777" w:rsidR="004C4ADB" w:rsidRDefault="004C4ADB" w:rsidP="00396076">
      <w:pPr>
        <w:spacing w:after="0"/>
        <w:rPr>
          <w:rFonts w:ascii="Arial" w:hAnsi="Arial" w:cs="Arial"/>
          <w:sz w:val="24"/>
          <w:szCs w:val="24"/>
        </w:rPr>
      </w:pPr>
      <w:r>
        <w:rPr>
          <w:rFonts w:ascii="Arial" w:hAnsi="Arial" w:cs="Arial"/>
          <w:sz w:val="24"/>
          <w:szCs w:val="24"/>
        </w:rPr>
        <w:t>Question(s):</w:t>
      </w:r>
    </w:p>
    <w:p w14:paraId="6842F81D" w14:textId="77777777" w:rsidR="004C4ADB" w:rsidRDefault="004C4ADB" w:rsidP="00396076">
      <w:pPr>
        <w:spacing w:after="0"/>
        <w:rPr>
          <w:rFonts w:ascii="Arial" w:hAnsi="Arial" w:cs="Arial"/>
          <w:sz w:val="24"/>
          <w:szCs w:val="24"/>
        </w:rPr>
      </w:pPr>
    </w:p>
    <w:p w14:paraId="6C356FFC" w14:textId="77777777" w:rsidR="004C4ADB" w:rsidRDefault="004C4ADB" w:rsidP="00396076">
      <w:pPr>
        <w:pStyle w:val="ListParagraph"/>
        <w:numPr>
          <w:ilvl w:val="0"/>
          <w:numId w:val="26"/>
        </w:numPr>
        <w:spacing w:after="0"/>
        <w:rPr>
          <w:rFonts w:ascii="Arial" w:hAnsi="Arial" w:cs="Arial"/>
          <w:sz w:val="24"/>
          <w:szCs w:val="24"/>
        </w:rPr>
      </w:pPr>
      <w:r>
        <w:rPr>
          <w:rFonts w:ascii="Arial" w:hAnsi="Arial" w:cs="Arial"/>
          <w:sz w:val="24"/>
          <w:szCs w:val="24"/>
        </w:rPr>
        <w:t>Can you please advise where, i</w:t>
      </w:r>
      <w:r w:rsidRPr="004C4ADB">
        <w:rPr>
          <w:rFonts w:ascii="Arial" w:hAnsi="Arial" w:cs="Arial"/>
          <w:sz w:val="24"/>
          <w:szCs w:val="24"/>
        </w:rPr>
        <w:t xml:space="preserve">n the cited </w:t>
      </w:r>
      <w:r>
        <w:rPr>
          <w:rFonts w:ascii="Arial" w:hAnsi="Arial" w:cs="Arial"/>
          <w:sz w:val="24"/>
          <w:szCs w:val="24"/>
        </w:rPr>
        <w:t>schedules (footnotes</w:t>
      </w:r>
      <w:r w:rsidR="00E46BBB">
        <w:rPr>
          <w:rFonts w:ascii="Arial" w:hAnsi="Arial" w:cs="Arial"/>
          <w:sz w:val="24"/>
          <w:szCs w:val="24"/>
        </w:rPr>
        <w:t xml:space="preserve"> found at Exhibit A / Tab 1 / p.</w:t>
      </w:r>
      <w:r>
        <w:rPr>
          <w:rFonts w:ascii="Arial" w:hAnsi="Arial" w:cs="Arial"/>
          <w:sz w:val="24"/>
          <w:szCs w:val="24"/>
        </w:rPr>
        <w:t xml:space="preserve"> 2), these volumes can be found or how they can be derived. </w:t>
      </w:r>
    </w:p>
    <w:p w14:paraId="591615A0" w14:textId="77777777" w:rsidR="004C4ADB" w:rsidRDefault="004C4ADB" w:rsidP="00396076">
      <w:pPr>
        <w:pStyle w:val="ListParagraph"/>
        <w:spacing w:after="0"/>
        <w:rPr>
          <w:rFonts w:ascii="Arial" w:hAnsi="Arial" w:cs="Arial"/>
          <w:sz w:val="24"/>
          <w:szCs w:val="24"/>
        </w:rPr>
      </w:pPr>
    </w:p>
    <w:p w14:paraId="3F48775D" w14:textId="77777777" w:rsidR="004C4ADB" w:rsidRDefault="004C4ADB" w:rsidP="00396076">
      <w:pPr>
        <w:pStyle w:val="ListParagraph"/>
        <w:numPr>
          <w:ilvl w:val="0"/>
          <w:numId w:val="26"/>
        </w:numPr>
        <w:spacing w:after="0"/>
        <w:rPr>
          <w:rFonts w:ascii="Arial" w:hAnsi="Arial" w:cs="Arial"/>
          <w:sz w:val="24"/>
          <w:szCs w:val="24"/>
        </w:rPr>
      </w:pPr>
      <w:r>
        <w:rPr>
          <w:rFonts w:ascii="Arial" w:hAnsi="Arial" w:cs="Arial"/>
          <w:sz w:val="24"/>
          <w:szCs w:val="24"/>
        </w:rPr>
        <w:t>Please provide the</w:t>
      </w:r>
      <w:r w:rsidR="00E46BBB">
        <w:rPr>
          <w:rFonts w:ascii="Arial" w:hAnsi="Arial" w:cs="Arial"/>
          <w:sz w:val="24"/>
          <w:szCs w:val="24"/>
        </w:rPr>
        <w:t xml:space="preserve"> detailed calculation</w:t>
      </w:r>
      <w:r>
        <w:rPr>
          <w:rFonts w:ascii="Arial" w:hAnsi="Arial" w:cs="Arial"/>
          <w:sz w:val="24"/>
          <w:szCs w:val="24"/>
        </w:rPr>
        <w:t xml:space="preserve"> for the actual UDC collected in rates amount of $11.9 million. </w:t>
      </w:r>
    </w:p>
    <w:p w14:paraId="49BF7D6E" w14:textId="77777777" w:rsidR="003C0E0B" w:rsidRDefault="003C0E0B" w:rsidP="00396076">
      <w:pPr>
        <w:spacing w:after="0"/>
        <w:rPr>
          <w:rFonts w:ascii="Arial" w:hAnsi="Arial" w:cs="Arial"/>
          <w:b/>
          <w:sz w:val="24"/>
          <w:szCs w:val="24"/>
          <w:u w:val="single"/>
        </w:rPr>
      </w:pPr>
    </w:p>
    <w:p w14:paraId="6428FA4F" w14:textId="38B3187E" w:rsidR="004C4ADB" w:rsidRPr="000F74DE" w:rsidRDefault="00E46BBB" w:rsidP="00396076">
      <w:pPr>
        <w:spacing w:after="0"/>
        <w:rPr>
          <w:rFonts w:ascii="Arial" w:hAnsi="Arial" w:cs="Arial"/>
          <w:b/>
          <w:sz w:val="24"/>
          <w:szCs w:val="24"/>
          <w:u w:val="single"/>
        </w:rPr>
      </w:pPr>
      <w:r>
        <w:rPr>
          <w:rFonts w:ascii="Arial" w:hAnsi="Arial" w:cs="Arial"/>
          <w:b/>
          <w:sz w:val="24"/>
          <w:szCs w:val="24"/>
          <w:u w:val="single"/>
        </w:rPr>
        <w:t>Staff-3</w:t>
      </w:r>
    </w:p>
    <w:p w14:paraId="131782EA" w14:textId="77777777" w:rsidR="004C4ADB" w:rsidRPr="000F74DE" w:rsidRDefault="004C4ADB" w:rsidP="00396076">
      <w:pPr>
        <w:spacing w:after="0"/>
        <w:rPr>
          <w:rFonts w:ascii="Arial" w:hAnsi="Arial" w:cs="Arial"/>
          <w:b/>
          <w:sz w:val="24"/>
          <w:szCs w:val="24"/>
        </w:rPr>
      </w:pPr>
      <w:r w:rsidRPr="000F74DE">
        <w:rPr>
          <w:rFonts w:ascii="Arial" w:hAnsi="Arial" w:cs="Arial"/>
          <w:b/>
          <w:sz w:val="24"/>
          <w:szCs w:val="24"/>
        </w:rPr>
        <w:t>Ref:</w:t>
      </w:r>
      <w:r w:rsidRPr="000F74DE">
        <w:rPr>
          <w:rFonts w:ascii="Arial" w:hAnsi="Arial" w:cs="Arial"/>
          <w:b/>
          <w:sz w:val="24"/>
          <w:szCs w:val="24"/>
        </w:rPr>
        <w:tab/>
      </w:r>
      <w:r w:rsidR="00C3575D">
        <w:rPr>
          <w:rFonts w:ascii="Arial" w:hAnsi="Arial" w:cs="Arial"/>
          <w:b/>
          <w:sz w:val="24"/>
          <w:szCs w:val="24"/>
        </w:rPr>
        <w:t>Upstream Transportation Optimization Variance Account</w:t>
      </w:r>
      <w:r w:rsidRPr="000F74DE">
        <w:rPr>
          <w:rFonts w:ascii="Arial" w:hAnsi="Arial" w:cs="Arial"/>
          <w:b/>
          <w:sz w:val="24"/>
          <w:szCs w:val="24"/>
        </w:rPr>
        <w:t xml:space="preserve"> </w:t>
      </w:r>
    </w:p>
    <w:p w14:paraId="08061929" w14:textId="77777777" w:rsidR="004C4ADB" w:rsidRDefault="004C4ADB" w:rsidP="00396076">
      <w:pPr>
        <w:spacing w:after="0"/>
        <w:ind w:firstLine="720"/>
        <w:rPr>
          <w:rFonts w:ascii="Arial" w:hAnsi="Arial" w:cs="Arial"/>
          <w:b/>
          <w:sz w:val="24"/>
          <w:szCs w:val="24"/>
        </w:rPr>
      </w:pPr>
      <w:r w:rsidRPr="000F74DE">
        <w:rPr>
          <w:rFonts w:ascii="Arial" w:hAnsi="Arial" w:cs="Arial"/>
          <w:b/>
          <w:sz w:val="24"/>
          <w:szCs w:val="24"/>
        </w:rPr>
        <w:t xml:space="preserve">Exhibit A / Tab 1 / </w:t>
      </w:r>
      <w:r w:rsidR="00C3575D">
        <w:rPr>
          <w:rFonts w:ascii="Arial" w:hAnsi="Arial" w:cs="Arial"/>
          <w:b/>
          <w:sz w:val="24"/>
          <w:szCs w:val="24"/>
        </w:rPr>
        <w:t>p. 6</w:t>
      </w:r>
    </w:p>
    <w:p w14:paraId="6CFFFEAD" w14:textId="77777777" w:rsidR="004C4ADB" w:rsidRDefault="004C4ADB" w:rsidP="00396076">
      <w:pPr>
        <w:spacing w:after="0"/>
        <w:rPr>
          <w:rFonts w:ascii="Arial" w:hAnsi="Arial" w:cs="Arial"/>
          <w:b/>
          <w:sz w:val="24"/>
          <w:szCs w:val="24"/>
        </w:rPr>
      </w:pPr>
    </w:p>
    <w:p w14:paraId="33DA294F" w14:textId="77777777" w:rsidR="004C4ADB" w:rsidRDefault="004C4ADB" w:rsidP="00396076">
      <w:pPr>
        <w:spacing w:after="0"/>
        <w:rPr>
          <w:rFonts w:ascii="Arial" w:hAnsi="Arial" w:cs="Arial"/>
          <w:sz w:val="24"/>
          <w:szCs w:val="24"/>
        </w:rPr>
      </w:pPr>
      <w:r>
        <w:rPr>
          <w:rFonts w:ascii="Arial" w:hAnsi="Arial" w:cs="Arial"/>
          <w:sz w:val="24"/>
          <w:szCs w:val="24"/>
        </w:rPr>
        <w:t>Preamble:</w:t>
      </w:r>
    </w:p>
    <w:p w14:paraId="536F9C48" w14:textId="77777777" w:rsidR="004C4ADB" w:rsidRDefault="004C4ADB" w:rsidP="00396076">
      <w:pPr>
        <w:spacing w:after="0"/>
        <w:rPr>
          <w:rFonts w:ascii="Arial" w:hAnsi="Arial" w:cs="Arial"/>
          <w:sz w:val="24"/>
          <w:szCs w:val="24"/>
        </w:rPr>
      </w:pPr>
    </w:p>
    <w:p w14:paraId="7BCB5529" w14:textId="77777777" w:rsidR="004C4ADB" w:rsidRDefault="00C3575D" w:rsidP="00396076">
      <w:pPr>
        <w:spacing w:after="0"/>
        <w:rPr>
          <w:rFonts w:ascii="Arial" w:hAnsi="Arial" w:cs="Arial"/>
          <w:sz w:val="24"/>
          <w:szCs w:val="24"/>
        </w:rPr>
      </w:pPr>
      <w:r>
        <w:rPr>
          <w:rFonts w:ascii="Arial" w:hAnsi="Arial" w:cs="Arial"/>
          <w:sz w:val="24"/>
          <w:szCs w:val="24"/>
        </w:rPr>
        <w:t xml:space="preserve">Union noted that, on an actual basis, it credited $15.57 million in rates in 2017 related to optimization revenues. This is $2.15 million greater than the OEB-approved amount of $13.43 million. </w:t>
      </w:r>
    </w:p>
    <w:p w14:paraId="428F1263" w14:textId="77777777" w:rsidR="004C4ADB" w:rsidRDefault="004C4ADB" w:rsidP="00396076">
      <w:pPr>
        <w:spacing w:after="0"/>
        <w:rPr>
          <w:rFonts w:ascii="Arial" w:hAnsi="Arial" w:cs="Arial"/>
          <w:sz w:val="24"/>
          <w:szCs w:val="24"/>
        </w:rPr>
      </w:pPr>
    </w:p>
    <w:p w14:paraId="05C129A0" w14:textId="77777777" w:rsidR="004C4ADB" w:rsidRDefault="004C4ADB" w:rsidP="00396076">
      <w:pPr>
        <w:spacing w:after="0"/>
        <w:rPr>
          <w:rFonts w:ascii="Arial" w:hAnsi="Arial" w:cs="Arial"/>
          <w:sz w:val="24"/>
          <w:szCs w:val="24"/>
        </w:rPr>
      </w:pPr>
      <w:r>
        <w:rPr>
          <w:rFonts w:ascii="Arial" w:hAnsi="Arial" w:cs="Arial"/>
          <w:sz w:val="24"/>
          <w:szCs w:val="24"/>
        </w:rPr>
        <w:t>Question(s):</w:t>
      </w:r>
    </w:p>
    <w:p w14:paraId="5E668171" w14:textId="77777777" w:rsidR="00C3575D" w:rsidRDefault="00C3575D" w:rsidP="00396076">
      <w:pPr>
        <w:spacing w:after="0"/>
        <w:rPr>
          <w:rFonts w:ascii="Arial" w:hAnsi="Arial" w:cs="Arial"/>
          <w:sz w:val="24"/>
          <w:szCs w:val="24"/>
        </w:rPr>
      </w:pPr>
    </w:p>
    <w:p w14:paraId="1D80AD3C" w14:textId="77777777" w:rsidR="00C3575D" w:rsidRPr="00C3575D" w:rsidRDefault="00C3575D" w:rsidP="00396076">
      <w:pPr>
        <w:pStyle w:val="ListParagraph"/>
        <w:numPr>
          <w:ilvl w:val="0"/>
          <w:numId w:val="27"/>
        </w:numPr>
        <w:spacing w:after="0"/>
        <w:rPr>
          <w:rFonts w:ascii="Arial" w:hAnsi="Arial" w:cs="Arial"/>
          <w:sz w:val="24"/>
          <w:szCs w:val="24"/>
        </w:rPr>
      </w:pPr>
      <w:r>
        <w:rPr>
          <w:rFonts w:ascii="Arial" w:hAnsi="Arial" w:cs="Arial"/>
          <w:sz w:val="24"/>
          <w:szCs w:val="24"/>
        </w:rPr>
        <w:t xml:space="preserve">Please provide the detailed calculation supporting the actual $15.57 million amount credited in rates. </w:t>
      </w:r>
    </w:p>
    <w:p w14:paraId="6C82A0D3" w14:textId="77777777" w:rsidR="004C4ADB" w:rsidRPr="004C4ADB" w:rsidRDefault="004C4ADB" w:rsidP="00396076">
      <w:pPr>
        <w:spacing w:after="0"/>
        <w:ind w:left="360"/>
        <w:rPr>
          <w:rFonts w:ascii="Arial" w:hAnsi="Arial" w:cs="Arial"/>
          <w:sz w:val="24"/>
          <w:szCs w:val="24"/>
        </w:rPr>
      </w:pPr>
    </w:p>
    <w:p w14:paraId="6A60AA2C" w14:textId="77777777" w:rsidR="00C3575D" w:rsidRPr="000F74DE" w:rsidRDefault="00E46BBB" w:rsidP="00396076">
      <w:pPr>
        <w:spacing w:after="0"/>
        <w:rPr>
          <w:rFonts w:ascii="Arial" w:hAnsi="Arial" w:cs="Arial"/>
          <w:b/>
          <w:sz w:val="24"/>
          <w:szCs w:val="24"/>
          <w:u w:val="single"/>
        </w:rPr>
      </w:pPr>
      <w:r>
        <w:rPr>
          <w:rFonts w:ascii="Arial" w:hAnsi="Arial" w:cs="Arial"/>
          <w:b/>
          <w:sz w:val="24"/>
          <w:szCs w:val="24"/>
          <w:u w:val="single"/>
        </w:rPr>
        <w:t>Staff-4</w:t>
      </w:r>
    </w:p>
    <w:p w14:paraId="196D4D01" w14:textId="77777777" w:rsidR="00C3575D" w:rsidRPr="000F74DE" w:rsidRDefault="00C3575D" w:rsidP="00396076">
      <w:pPr>
        <w:spacing w:after="0"/>
        <w:rPr>
          <w:rFonts w:ascii="Arial" w:hAnsi="Arial" w:cs="Arial"/>
          <w:b/>
          <w:sz w:val="24"/>
          <w:szCs w:val="24"/>
        </w:rPr>
      </w:pPr>
      <w:r w:rsidRPr="000F74DE">
        <w:rPr>
          <w:rFonts w:ascii="Arial" w:hAnsi="Arial" w:cs="Arial"/>
          <w:b/>
          <w:sz w:val="24"/>
          <w:szCs w:val="24"/>
        </w:rPr>
        <w:lastRenderedPageBreak/>
        <w:t>Ref:</w:t>
      </w:r>
      <w:r w:rsidRPr="000F74DE">
        <w:rPr>
          <w:rFonts w:ascii="Arial" w:hAnsi="Arial" w:cs="Arial"/>
          <w:b/>
          <w:sz w:val="24"/>
          <w:szCs w:val="24"/>
        </w:rPr>
        <w:tab/>
      </w:r>
      <w:r>
        <w:rPr>
          <w:rFonts w:ascii="Arial" w:hAnsi="Arial" w:cs="Arial"/>
          <w:b/>
          <w:sz w:val="24"/>
          <w:szCs w:val="24"/>
        </w:rPr>
        <w:t>Short-Term Storage and Other Balancing Services Variance Account</w:t>
      </w:r>
    </w:p>
    <w:p w14:paraId="112FCBE0" w14:textId="77777777" w:rsidR="00C3575D" w:rsidRDefault="00C3575D" w:rsidP="00396076">
      <w:pPr>
        <w:spacing w:after="0"/>
        <w:ind w:firstLine="720"/>
        <w:rPr>
          <w:rFonts w:ascii="Arial" w:hAnsi="Arial" w:cs="Arial"/>
          <w:b/>
          <w:sz w:val="24"/>
          <w:szCs w:val="24"/>
        </w:rPr>
      </w:pPr>
      <w:r>
        <w:rPr>
          <w:rFonts w:ascii="Arial" w:hAnsi="Arial" w:cs="Arial"/>
          <w:b/>
          <w:sz w:val="24"/>
          <w:szCs w:val="24"/>
        </w:rPr>
        <w:t xml:space="preserve">Exhibit A / Tab 1 / Appendix A / Schedule 3 </w:t>
      </w:r>
    </w:p>
    <w:p w14:paraId="71ACFFCD" w14:textId="77777777" w:rsidR="00C3575D" w:rsidRDefault="00C3575D" w:rsidP="00396076">
      <w:pPr>
        <w:spacing w:after="0"/>
        <w:ind w:firstLine="720"/>
        <w:rPr>
          <w:rFonts w:ascii="Arial" w:hAnsi="Arial" w:cs="Arial"/>
          <w:b/>
          <w:sz w:val="24"/>
          <w:szCs w:val="24"/>
        </w:rPr>
      </w:pPr>
    </w:p>
    <w:p w14:paraId="14DE5ADB" w14:textId="77777777" w:rsidR="009D04C2" w:rsidRDefault="009D04C2" w:rsidP="00396076">
      <w:pPr>
        <w:spacing w:after="0"/>
        <w:rPr>
          <w:rFonts w:ascii="Arial" w:hAnsi="Arial" w:cs="Arial"/>
          <w:sz w:val="24"/>
          <w:szCs w:val="24"/>
        </w:rPr>
      </w:pPr>
      <w:r>
        <w:rPr>
          <w:rFonts w:ascii="Arial" w:hAnsi="Arial" w:cs="Arial"/>
          <w:sz w:val="24"/>
          <w:szCs w:val="24"/>
        </w:rPr>
        <w:t>Question(s):</w:t>
      </w:r>
    </w:p>
    <w:p w14:paraId="31502EF1" w14:textId="77777777" w:rsidR="009D04C2" w:rsidRDefault="009D04C2" w:rsidP="00396076">
      <w:pPr>
        <w:spacing w:after="0"/>
        <w:rPr>
          <w:rFonts w:ascii="Arial" w:hAnsi="Arial" w:cs="Arial"/>
          <w:b/>
          <w:sz w:val="24"/>
          <w:szCs w:val="24"/>
        </w:rPr>
      </w:pPr>
    </w:p>
    <w:p w14:paraId="6C25B3E8" w14:textId="77777777" w:rsidR="009D04C2" w:rsidRPr="009D04C2" w:rsidRDefault="009D04C2" w:rsidP="00396076">
      <w:pPr>
        <w:pStyle w:val="ListParagraph"/>
        <w:numPr>
          <w:ilvl w:val="0"/>
          <w:numId w:val="29"/>
        </w:numPr>
        <w:spacing w:after="0"/>
        <w:rPr>
          <w:rFonts w:ascii="Arial" w:hAnsi="Arial" w:cs="Arial"/>
          <w:sz w:val="24"/>
          <w:szCs w:val="24"/>
        </w:rPr>
      </w:pPr>
      <w:r>
        <w:rPr>
          <w:rFonts w:ascii="Arial" w:hAnsi="Arial" w:cs="Arial"/>
          <w:sz w:val="24"/>
          <w:szCs w:val="24"/>
        </w:rPr>
        <w:t xml:space="preserve">Please explain the year-over-year reduction from $2.7 million (actual 2016) to $0.7 million (actual 2017) in C1 off-peak storage revenues. </w:t>
      </w:r>
    </w:p>
    <w:p w14:paraId="7D73BBBF" w14:textId="77777777" w:rsidR="004C4ADB" w:rsidRPr="004C4ADB" w:rsidRDefault="004C4ADB" w:rsidP="00396076">
      <w:pPr>
        <w:spacing w:after="0"/>
        <w:rPr>
          <w:rFonts w:ascii="Arial" w:hAnsi="Arial" w:cs="Arial"/>
          <w:sz w:val="24"/>
          <w:szCs w:val="24"/>
        </w:rPr>
      </w:pPr>
    </w:p>
    <w:p w14:paraId="5BF680F3" w14:textId="77777777" w:rsidR="009D04C2" w:rsidRPr="000F74DE" w:rsidRDefault="00E46BBB" w:rsidP="00396076">
      <w:pPr>
        <w:spacing w:after="0"/>
        <w:rPr>
          <w:rFonts w:ascii="Arial" w:hAnsi="Arial" w:cs="Arial"/>
          <w:b/>
          <w:sz w:val="24"/>
          <w:szCs w:val="24"/>
          <w:u w:val="single"/>
        </w:rPr>
      </w:pPr>
      <w:r>
        <w:rPr>
          <w:rFonts w:ascii="Arial" w:hAnsi="Arial" w:cs="Arial"/>
          <w:b/>
          <w:sz w:val="24"/>
          <w:szCs w:val="24"/>
          <w:u w:val="single"/>
        </w:rPr>
        <w:t>Staff-5</w:t>
      </w:r>
    </w:p>
    <w:p w14:paraId="1ABDE024" w14:textId="77777777" w:rsidR="009D04C2" w:rsidRPr="000F74DE" w:rsidRDefault="009D04C2" w:rsidP="00396076">
      <w:pPr>
        <w:spacing w:after="0"/>
        <w:rPr>
          <w:rFonts w:ascii="Arial" w:hAnsi="Arial" w:cs="Arial"/>
          <w:b/>
          <w:sz w:val="24"/>
          <w:szCs w:val="24"/>
        </w:rPr>
      </w:pPr>
      <w:r w:rsidRPr="000F74DE">
        <w:rPr>
          <w:rFonts w:ascii="Arial" w:hAnsi="Arial" w:cs="Arial"/>
          <w:b/>
          <w:sz w:val="24"/>
          <w:szCs w:val="24"/>
        </w:rPr>
        <w:t>Ref:</w:t>
      </w:r>
      <w:r w:rsidRPr="000F74DE">
        <w:rPr>
          <w:rFonts w:ascii="Arial" w:hAnsi="Arial" w:cs="Arial"/>
          <w:b/>
          <w:sz w:val="24"/>
          <w:szCs w:val="24"/>
        </w:rPr>
        <w:tab/>
      </w:r>
      <w:r>
        <w:rPr>
          <w:rFonts w:ascii="Arial" w:hAnsi="Arial" w:cs="Arial"/>
          <w:b/>
          <w:sz w:val="24"/>
          <w:szCs w:val="24"/>
        </w:rPr>
        <w:t>Gas Distribution Access Rule (GDAR) Costs</w:t>
      </w:r>
      <w:r w:rsidR="00151D17">
        <w:rPr>
          <w:rFonts w:ascii="Arial" w:hAnsi="Arial" w:cs="Arial"/>
          <w:b/>
          <w:sz w:val="24"/>
          <w:szCs w:val="24"/>
        </w:rPr>
        <w:t xml:space="preserve"> Deferral Account</w:t>
      </w:r>
    </w:p>
    <w:p w14:paraId="014C9435" w14:textId="77777777" w:rsidR="009D04C2" w:rsidRDefault="009D04C2" w:rsidP="00396076">
      <w:pPr>
        <w:spacing w:after="0"/>
        <w:ind w:firstLine="720"/>
        <w:rPr>
          <w:rFonts w:ascii="Arial" w:hAnsi="Arial" w:cs="Arial"/>
          <w:b/>
          <w:sz w:val="24"/>
          <w:szCs w:val="24"/>
        </w:rPr>
      </w:pPr>
      <w:r>
        <w:rPr>
          <w:rFonts w:ascii="Arial" w:hAnsi="Arial" w:cs="Arial"/>
          <w:b/>
          <w:sz w:val="24"/>
          <w:szCs w:val="24"/>
        </w:rPr>
        <w:t xml:space="preserve">Exhibit A / Tab 1 / pp. 12-14 </w:t>
      </w:r>
    </w:p>
    <w:p w14:paraId="71DE6189" w14:textId="77777777" w:rsidR="004C4ADB" w:rsidRPr="004C4ADB" w:rsidRDefault="004C4ADB" w:rsidP="00396076">
      <w:pPr>
        <w:spacing w:after="0"/>
        <w:rPr>
          <w:rFonts w:ascii="Arial" w:hAnsi="Arial" w:cs="Arial"/>
          <w:sz w:val="24"/>
          <w:szCs w:val="24"/>
        </w:rPr>
      </w:pPr>
    </w:p>
    <w:p w14:paraId="7B50AC05" w14:textId="77777777" w:rsidR="000F74DE" w:rsidRDefault="00461CC1" w:rsidP="00396076">
      <w:pPr>
        <w:autoSpaceDE w:val="0"/>
        <w:autoSpaceDN w:val="0"/>
        <w:adjustRightInd w:val="0"/>
        <w:spacing w:after="0"/>
        <w:rPr>
          <w:rFonts w:ascii="Arial" w:hAnsi="Arial" w:cs="Arial"/>
          <w:color w:val="000000"/>
          <w:sz w:val="24"/>
          <w:szCs w:val="24"/>
          <w:lang w:val="en-US"/>
        </w:rPr>
      </w:pPr>
      <w:r>
        <w:rPr>
          <w:rFonts w:ascii="Arial" w:hAnsi="Arial" w:cs="Arial"/>
          <w:color w:val="000000"/>
          <w:sz w:val="24"/>
          <w:szCs w:val="24"/>
          <w:lang w:val="en-US"/>
        </w:rPr>
        <w:t xml:space="preserve">Preamble: </w:t>
      </w:r>
    </w:p>
    <w:p w14:paraId="60E42CBB" w14:textId="77777777" w:rsidR="00461CC1" w:rsidRDefault="00461CC1" w:rsidP="00396076">
      <w:pPr>
        <w:autoSpaceDE w:val="0"/>
        <w:autoSpaceDN w:val="0"/>
        <w:adjustRightInd w:val="0"/>
        <w:spacing w:after="0"/>
        <w:rPr>
          <w:rFonts w:ascii="Arial" w:hAnsi="Arial" w:cs="Arial"/>
          <w:color w:val="000000"/>
          <w:sz w:val="24"/>
          <w:szCs w:val="24"/>
          <w:lang w:val="en-US"/>
        </w:rPr>
      </w:pPr>
    </w:p>
    <w:p w14:paraId="2C94F7F2" w14:textId="77777777" w:rsidR="00461CC1" w:rsidRDefault="00461CC1" w:rsidP="00396076">
      <w:pPr>
        <w:autoSpaceDE w:val="0"/>
        <w:autoSpaceDN w:val="0"/>
        <w:adjustRightInd w:val="0"/>
        <w:spacing w:after="0"/>
        <w:rPr>
          <w:rFonts w:ascii="Arial" w:hAnsi="Arial" w:cs="Arial"/>
          <w:color w:val="000000"/>
          <w:sz w:val="24"/>
          <w:szCs w:val="24"/>
          <w:lang w:val="en-US"/>
        </w:rPr>
      </w:pPr>
      <w:r>
        <w:rPr>
          <w:rFonts w:ascii="Arial" w:hAnsi="Arial" w:cs="Arial"/>
          <w:color w:val="000000"/>
          <w:sz w:val="24"/>
          <w:szCs w:val="24"/>
          <w:lang w:val="en-US"/>
        </w:rPr>
        <w:t xml:space="preserve">Union noted that 2017 is the </w:t>
      </w:r>
      <w:r w:rsidR="00151D17">
        <w:rPr>
          <w:rFonts w:ascii="Arial" w:hAnsi="Arial" w:cs="Arial"/>
          <w:color w:val="000000"/>
          <w:sz w:val="24"/>
          <w:szCs w:val="24"/>
          <w:lang w:val="en-US"/>
        </w:rPr>
        <w:t xml:space="preserve">final year that the capital costs associated with the three prior </w:t>
      </w:r>
      <w:r w:rsidR="00E46BBB">
        <w:rPr>
          <w:rFonts w:ascii="Arial" w:hAnsi="Arial" w:cs="Arial"/>
          <w:color w:val="000000"/>
          <w:sz w:val="24"/>
          <w:szCs w:val="24"/>
          <w:lang w:val="en-US"/>
        </w:rPr>
        <w:t xml:space="preserve">GDAR-related </w:t>
      </w:r>
      <w:r w:rsidR="00151D17">
        <w:rPr>
          <w:rFonts w:ascii="Arial" w:hAnsi="Arial" w:cs="Arial"/>
          <w:color w:val="000000"/>
          <w:sz w:val="24"/>
          <w:szCs w:val="24"/>
          <w:lang w:val="en-US"/>
        </w:rPr>
        <w:t xml:space="preserve">Notices of Amendments to a Rule are expected to have a revenue requirement impact. </w:t>
      </w:r>
    </w:p>
    <w:p w14:paraId="69F8DBF9" w14:textId="77777777" w:rsidR="00151D17" w:rsidRDefault="00151D17" w:rsidP="00396076">
      <w:pPr>
        <w:autoSpaceDE w:val="0"/>
        <w:autoSpaceDN w:val="0"/>
        <w:adjustRightInd w:val="0"/>
        <w:spacing w:after="0"/>
        <w:rPr>
          <w:rFonts w:ascii="Arial" w:hAnsi="Arial" w:cs="Arial"/>
          <w:color w:val="000000"/>
          <w:sz w:val="24"/>
          <w:szCs w:val="24"/>
          <w:lang w:val="en-US"/>
        </w:rPr>
      </w:pPr>
    </w:p>
    <w:p w14:paraId="0B1BD03A" w14:textId="77777777" w:rsidR="00151D17" w:rsidRDefault="00151D17" w:rsidP="00396076">
      <w:pPr>
        <w:autoSpaceDE w:val="0"/>
        <w:autoSpaceDN w:val="0"/>
        <w:adjustRightInd w:val="0"/>
        <w:spacing w:after="0"/>
        <w:rPr>
          <w:rFonts w:ascii="Arial" w:hAnsi="Arial" w:cs="Arial"/>
          <w:color w:val="000000"/>
          <w:sz w:val="24"/>
          <w:szCs w:val="24"/>
          <w:lang w:val="en-US"/>
        </w:rPr>
      </w:pPr>
      <w:r>
        <w:rPr>
          <w:rFonts w:ascii="Arial" w:hAnsi="Arial" w:cs="Arial"/>
          <w:color w:val="000000"/>
          <w:sz w:val="24"/>
          <w:szCs w:val="24"/>
          <w:lang w:val="en-US"/>
        </w:rPr>
        <w:t>Question(s):</w:t>
      </w:r>
    </w:p>
    <w:p w14:paraId="451002B5" w14:textId="77777777" w:rsidR="00151D17" w:rsidRDefault="00151D17" w:rsidP="00396076">
      <w:pPr>
        <w:autoSpaceDE w:val="0"/>
        <w:autoSpaceDN w:val="0"/>
        <w:adjustRightInd w:val="0"/>
        <w:spacing w:after="0"/>
        <w:rPr>
          <w:rFonts w:ascii="Arial" w:hAnsi="Arial" w:cs="Arial"/>
          <w:color w:val="000000"/>
          <w:sz w:val="24"/>
          <w:szCs w:val="24"/>
          <w:lang w:val="en-US"/>
        </w:rPr>
      </w:pPr>
    </w:p>
    <w:p w14:paraId="1244B817" w14:textId="77777777" w:rsidR="00151D17" w:rsidRDefault="00151D17" w:rsidP="00396076">
      <w:pPr>
        <w:pStyle w:val="ListParagraph"/>
        <w:numPr>
          <w:ilvl w:val="0"/>
          <w:numId w:val="30"/>
        </w:numPr>
        <w:autoSpaceDE w:val="0"/>
        <w:autoSpaceDN w:val="0"/>
        <w:adjustRightInd w:val="0"/>
        <w:spacing w:after="0"/>
        <w:rPr>
          <w:rFonts w:ascii="Arial" w:hAnsi="Arial" w:cs="Arial"/>
          <w:color w:val="000000"/>
          <w:sz w:val="24"/>
          <w:szCs w:val="24"/>
          <w:lang w:val="en-US"/>
        </w:rPr>
      </w:pPr>
      <w:r>
        <w:rPr>
          <w:rFonts w:ascii="Arial" w:hAnsi="Arial" w:cs="Arial"/>
          <w:color w:val="000000"/>
          <w:sz w:val="24"/>
          <w:szCs w:val="24"/>
          <w:lang w:val="en-US"/>
        </w:rPr>
        <w:t xml:space="preserve">Please advise whether it is Union’s intent to seek closure of the GDAR costs account </w:t>
      </w:r>
      <w:r w:rsidR="00B2372A">
        <w:rPr>
          <w:rFonts w:ascii="Arial" w:hAnsi="Arial" w:cs="Arial"/>
          <w:color w:val="000000"/>
          <w:sz w:val="24"/>
          <w:szCs w:val="24"/>
          <w:lang w:val="en-US"/>
        </w:rPr>
        <w:t xml:space="preserve">in a future rate case </w:t>
      </w:r>
      <w:r>
        <w:rPr>
          <w:rFonts w:ascii="Arial" w:hAnsi="Arial" w:cs="Arial"/>
          <w:color w:val="000000"/>
          <w:sz w:val="24"/>
          <w:szCs w:val="24"/>
          <w:lang w:val="en-US"/>
        </w:rPr>
        <w:t xml:space="preserve">or maintain the account to address potential future changes to the GDAR. </w:t>
      </w:r>
    </w:p>
    <w:p w14:paraId="71571821" w14:textId="77777777" w:rsidR="00B2372A" w:rsidRPr="00B2372A" w:rsidRDefault="00B2372A" w:rsidP="00396076">
      <w:pPr>
        <w:autoSpaceDE w:val="0"/>
        <w:autoSpaceDN w:val="0"/>
        <w:adjustRightInd w:val="0"/>
        <w:spacing w:after="0"/>
        <w:rPr>
          <w:rFonts w:ascii="Arial" w:hAnsi="Arial" w:cs="Arial"/>
          <w:color w:val="000000"/>
          <w:sz w:val="24"/>
          <w:szCs w:val="24"/>
          <w:lang w:val="en-US"/>
        </w:rPr>
      </w:pPr>
    </w:p>
    <w:p w14:paraId="354598A9" w14:textId="77777777" w:rsidR="00B2372A" w:rsidRPr="000F74DE" w:rsidRDefault="00E46BBB" w:rsidP="00396076">
      <w:pPr>
        <w:spacing w:after="0"/>
        <w:rPr>
          <w:rFonts w:ascii="Arial" w:hAnsi="Arial" w:cs="Arial"/>
          <w:b/>
          <w:sz w:val="24"/>
          <w:szCs w:val="24"/>
          <w:u w:val="single"/>
        </w:rPr>
      </w:pPr>
      <w:r>
        <w:rPr>
          <w:rFonts w:ascii="Arial" w:hAnsi="Arial" w:cs="Arial"/>
          <w:b/>
          <w:sz w:val="24"/>
          <w:szCs w:val="24"/>
          <w:u w:val="single"/>
        </w:rPr>
        <w:t>Staff-6</w:t>
      </w:r>
    </w:p>
    <w:p w14:paraId="49FE49CF" w14:textId="77777777" w:rsidR="00B2372A" w:rsidRPr="000F74DE" w:rsidRDefault="00B2372A" w:rsidP="00396076">
      <w:pPr>
        <w:spacing w:after="0"/>
        <w:rPr>
          <w:rFonts w:ascii="Arial" w:hAnsi="Arial" w:cs="Arial"/>
          <w:b/>
          <w:sz w:val="24"/>
          <w:szCs w:val="24"/>
        </w:rPr>
      </w:pPr>
      <w:r w:rsidRPr="000F74DE">
        <w:rPr>
          <w:rFonts w:ascii="Arial" w:hAnsi="Arial" w:cs="Arial"/>
          <w:b/>
          <w:sz w:val="24"/>
          <w:szCs w:val="24"/>
        </w:rPr>
        <w:t>Ref:</w:t>
      </w:r>
      <w:r w:rsidRPr="000F74DE">
        <w:rPr>
          <w:rFonts w:ascii="Arial" w:hAnsi="Arial" w:cs="Arial"/>
          <w:b/>
          <w:sz w:val="24"/>
          <w:szCs w:val="24"/>
        </w:rPr>
        <w:tab/>
      </w:r>
      <w:r>
        <w:rPr>
          <w:rFonts w:ascii="Arial" w:hAnsi="Arial" w:cs="Arial"/>
          <w:b/>
          <w:sz w:val="24"/>
          <w:szCs w:val="24"/>
        </w:rPr>
        <w:t xml:space="preserve">Conservation Demand </w:t>
      </w:r>
      <w:r w:rsidR="00DB47E8">
        <w:rPr>
          <w:rFonts w:ascii="Arial" w:hAnsi="Arial" w:cs="Arial"/>
          <w:b/>
          <w:sz w:val="24"/>
          <w:szCs w:val="24"/>
        </w:rPr>
        <w:t>Management</w:t>
      </w:r>
      <w:r>
        <w:rPr>
          <w:rFonts w:ascii="Arial" w:hAnsi="Arial" w:cs="Arial"/>
          <w:b/>
          <w:sz w:val="24"/>
          <w:szCs w:val="24"/>
        </w:rPr>
        <w:t xml:space="preserve"> (CDM) Deferral Account </w:t>
      </w:r>
    </w:p>
    <w:p w14:paraId="3B626FCD" w14:textId="77777777" w:rsidR="00DB47E8" w:rsidRDefault="00B2372A" w:rsidP="00396076">
      <w:pPr>
        <w:spacing w:after="0"/>
        <w:ind w:firstLine="720"/>
        <w:rPr>
          <w:rFonts w:ascii="Arial" w:hAnsi="Arial" w:cs="Arial"/>
          <w:b/>
          <w:sz w:val="24"/>
          <w:szCs w:val="24"/>
        </w:rPr>
      </w:pPr>
      <w:r>
        <w:rPr>
          <w:rFonts w:ascii="Arial" w:hAnsi="Arial" w:cs="Arial"/>
          <w:b/>
          <w:sz w:val="24"/>
          <w:szCs w:val="24"/>
        </w:rPr>
        <w:t>Exhibit A / Tab 1 / pp. 1</w:t>
      </w:r>
      <w:r w:rsidR="00DB47E8">
        <w:rPr>
          <w:rFonts w:ascii="Arial" w:hAnsi="Arial" w:cs="Arial"/>
          <w:b/>
          <w:sz w:val="24"/>
          <w:szCs w:val="24"/>
        </w:rPr>
        <w:t>5</w:t>
      </w:r>
      <w:r>
        <w:rPr>
          <w:rFonts w:ascii="Arial" w:hAnsi="Arial" w:cs="Arial"/>
          <w:b/>
          <w:sz w:val="24"/>
          <w:szCs w:val="24"/>
        </w:rPr>
        <w:t>-1</w:t>
      </w:r>
      <w:r w:rsidR="00DB47E8">
        <w:rPr>
          <w:rFonts w:ascii="Arial" w:hAnsi="Arial" w:cs="Arial"/>
          <w:b/>
          <w:sz w:val="24"/>
          <w:szCs w:val="24"/>
        </w:rPr>
        <w:t>6</w:t>
      </w:r>
    </w:p>
    <w:p w14:paraId="4A67F100" w14:textId="77777777" w:rsidR="00B2372A" w:rsidRDefault="00DB47E8" w:rsidP="00396076">
      <w:pPr>
        <w:spacing w:after="0"/>
        <w:ind w:firstLine="720"/>
        <w:rPr>
          <w:rFonts w:ascii="Arial" w:hAnsi="Arial" w:cs="Arial"/>
          <w:b/>
          <w:sz w:val="24"/>
          <w:szCs w:val="24"/>
        </w:rPr>
      </w:pPr>
      <w:r>
        <w:rPr>
          <w:rFonts w:ascii="Arial" w:hAnsi="Arial" w:cs="Arial"/>
          <w:b/>
          <w:sz w:val="24"/>
          <w:szCs w:val="24"/>
        </w:rPr>
        <w:t xml:space="preserve">EB-2016-0245 / Rate Order / Appendix F / p. 13 </w:t>
      </w:r>
    </w:p>
    <w:p w14:paraId="10956B90" w14:textId="77777777" w:rsidR="00DB47E8" w:rsidRDefault="00DB47E8" w:rsidP="00396076">
      <w:pPr>
        <w:spacing w:after="0"/>
        <w:rPr>
          <w:rFonts w:ascii="Arial" w:hAnsi="Arial" w:cs="Arial"/>
          <w:b/>
          <w:sz w:val="24"/>
          <w:szCs w:val="24"/>
        </w:rPr>
      </w:pPr>
    </w:p>
    <w:p w14:paraId="4F4C2FA1" w14:textId="77777777" w:rsidR="00DB47E8" w:rsidRDefault="00DB47E8" w:rsidP="00396076">
      <w:pPr>
        <w:spacing w:after="0"/>
        <w:rPr>
          <w:rFonts w:ascii="Arial" w:hAnsi="Arial" w:cs="Arial"/>
          <w:sz w:val="24"/>
          <w:szCs w:val="24"/>
        </w:rPr>
      </w:pPr>
      <w:r w:rsidRPr="00DB47E8">
        <w:rPr>
          <w:rFonts w:ascii="Arial" w:hAnsi="Arial" w:cs="Arial"/>
          <w:sz w:val="24"/>
          <w:szCs w:val="24"/>
        </w:rPr>
        <w:t xml:space="preserve">Preamble: </w:t>
      </w:r>
    </w:p>
    <w:p w14:paraId="38CC15CC" w14:textId="77777777" w:rsidR="00DB47E8" w:rsidRDefault="00DB47E8" w:rsidP="00396076">
      <w:pPr>
        <w:spacing w:after="0"/>
        <w:rPr>
          <w:rFonts w:ascii="Arial" w:hAnsi="Arial" w:cs="Arial"/>
          <w:sz w:val="24"/>
          <w:szCs w:val="24"/>
        </w:rPr>
      </w:pPr>
    </w:p>
    <w:p w14:paraId="086CF294" w14:textId="7626600B" w:rsidR="00DB47E8" w:rsidRPr="00DB47E8" w:rsidRDefault="005304DA" w:rsidP="00396076">
      <w:pPr>
        <w:spacing w:after="0"/>
        <w:rPr>
          <w:rFonts w:ascii="Arial" w:hAnsi="Arial" w:cs="Arial"/>
          <w:sz w:val="24"/>
          <w:szCs w:val="24"/>
        </w:rPr>
      </w:pPr>
      <w:r>
        <w:rPr>
          <w:rFonts w:ascii="Arial" w:hAnsi="Arial" w:cs="Arial"/>
          <w:sz w:val="24"/>
          <w:szCs w:val="24"/>
        </w:rPr>
        <w:t xml:space="preserve">Union noted that the balance in the CDM deferral account is a credit to ratepayers of $0.25 million, which reflects </w:t>
      </w:r>
      <w:r w:rsidR="0024117F">
        <w:rPr>
          <w:rFonts w:ascii="Arial" w:hAnsi="Arial" w:cs="Arial"/>
          <w:sz w:val="24"/>
          <w:szCs w:val="24"/>
        </w:rPr>
        <w:t xml:space="preserve">50% of </w:t>
      </w:r>
      <w:r>
        <w:rPr>
          <w:rFonts w:ascii="Arial" w:hAnsi="Arial" w:cs="Arial"/>
          <w:sz w:val="24"/>
          <w:szCs w:val="24"/>
        </w:rPr>
        <w:t xml:space="preserve">the net revenue associated with the “Whole Home Pilot Delivery” program. </w:t>
      </w:r>
    </w:p>
    <w:p w14:paraId="56A2C579" w14:textId="77777777" w:rsidR="00DB47E8" w:rsidRDefault="00DB47E8" w:rsidP="00396076">
      <w:pPr>
        <w:spacing w:after="0"/>
        <w:rPr>
          <w:rFonts w:ascii="Arial" w:hAnsi="Arial" w:cs="Arial"/>
          <w:b/>
          <w:sz w:val="24"/>
          <w:szCs w:val="24"/>
        </w:rPr>
      </w:pPr>
    </w:p>
    <w:p w14:paraId="3D7E8527" w14:textId="77777777" w:rsidR="00DB47E8" w:rsidRDefault="00DB47E8" w:rsidP="00396076">
      <w:pPr>
        <w:autoSpaceDE w:val="0"/>
        <w:autoSpaceDN w:val="0"/>
        <w:adjustRightInd w:val="0"/>
        <w:spacing w:after="0"/>
        <w:rPr>
          <w:rFonts w:ascii="Arial" w:hAnsi="Arial" w:cs="Arial"/>
          <w:color w:val="000000"/>
          <w:sz w:val="24"/>
          <w:szCs w:val="24"/>
          <w:lang w:val="en-US"/>
        </w:rPr>
      </w:pPr>
      <w:r>
        <w:rPr>
          <w:rFonts w:ascii="Arial" w:hAnsi="Arial" w:cs="Arial"/>
          <w:color w:val="000000"/>
          <w:sz w:val="24"/>
          <w:szCs w:val="24"/>
          <w:lang w:val="en-US"/>
        </w:rPr>
        <w:t>Question(s):</w:t>
      </w:r>
    </w:p>
    <w:p w14:paraId="39C70CF9" w14:textId="77777777" w:rsidR="00DB47E8" w:rsidRDefault="00DB47E8" w:rsidP="00396076">
      <w:pPr>
        <w:spacing w:after="0"/>
        <w:rPr>
          <w:rFonts w:ascii="Arial" w:hAnsi="Arial" w:cs="Arial"/>
          <w:sz w:val="24"/>
          <w:szCs w:val="24"/>
        </w:rPr>
      </w:pPr>
    </w:p>
    <w:p w14:paraId="24498433" w14:textId="77777777" w:rsidR="00DB47E8" w:rsidRDefault="00DB47E8" w:rsidP="00396076">
      <w:pPr>
        <w:pStyle w:val="ListParagraph"/>
        <w:numPr>
          <w:ilvl w:val="0"/>
          <w:numId w:val="31"/>
        </w:numPr>
        <w:spacing w:after="0"/>
        <w:rPr>
          <w:rFonts w:ascii="Arial" w:hAnsi="Arial" w:cs="Arial"/>
          <w:sz w:val="24"/>
          <w:szCs w:val="24"/>
        </w:rPr>
      </w:pPr>
      <w:r>
        <w:rPr>
          <w:rFonts w:ascii="Arial" w:hAnsi="Arial" w:cs="Arial"/>
          <w:sz w:val="24"/>
          <w:szCs w:val="24"/>
        </w:rPr>
        <w:t>For each year 2011-201</w:t>
      </w:r>
      <w:r w:rsidR="005304DA">
        <w:rPr>
          <w:rFonts w:ascii="Arial" w:hAnsi="Arial" w:cs="Arial"/>
          <w:sz w:val="24"/>
          <w:szCs w:val="24"/>
        </w:rPr>
        <w:t>7</w:t>
      </w:r>
      <w:r>
        <w:rPr>
          <w:rFonts w:ascii="Arial" w:hAnsi="Arial" w:cs="Arial"/>
          <w:sz w:val="24"/>
          <w:szCs w:val="24"/>
        </w:rPr>
        <w:t xml:space="preserve">, </w:t>
      </w:r>
      <w:r w:rsidR="005304DA">
        <w:rPr>
          <w:rFonts w:ascii="Arial" w:hAnsi="Arial" w:cs="Arial"/>
          <w:sz w:val="24"/>
          <w:szCs w:val="24"/>
        </w:rPr>
        <w:t>please provide</w:t>
      </w:r>
      <w:r>
        <w:rPr>
          <w:rFonts w:ascii="Arial" w:hAnsi="Arial" w:cs="Arial"/>
          <w:sz w:val="24"/>
          <w:szCs w:val="24"/>
        </w:rPr>
        <w:t xml:space="preserve"> </w:t>
      </w:r>
      <w:r w:rsidR="005304DA">
        <w:rPr>
          <w:rFonts w:ascii="Arial" w:hAnsi="Arial" w:cs="Arial"/>
          <w:sz w:val="24"/>
          <w:szCs w:val="24"/>
        </w:rPr>
        <w:t xml:space="preserve">a table showing the balance in the CDM deferral account (including a detailed breakdown of the costs and revenues). </w:t>
      </w:r>
    </w:p>
    <w:p w14:paraId="336166E7" w14:textId="77777777" w:rsidR="00DB47E8" w:rsidRDefault="00DB47E8" w:rsidP="00396076">
      <w:pPr>
        <w:pStyle w:val="ListParagraph"/>
        <w:spacing w:after="0"/>
        <w:rPr>
          <w:rFonts w:ascii="Arial" w:hAnsi="Arial" w:cs="Arial"/>
          <w:sz w:val="24"/>
          <w:szCs w:val="24"/>
        </w:rPr>
      </w:pPr>
    </w:p>
    <w:p w14:paraId="3AB5859C" w14:textId="77777777" w:rsidR="00DB47E8" w:rsidRDefault="005304DA" w:rsidP="00396076">
      <w:pPr>
        <w:pStyle w:val="ListParagraph"/>
        <w:numPr>
          <w:ilvl w:val="0"/>
          <w:numId w:val="31"/>
        </w:numPr>
        <w:spacing w:after="0"/>
        <w:rPr>
          <w:rFonts w:ascii="Arial" w:hAnsi="Arial" w:cs="Arial"/>
          <w:sz w:val="24"/>
          <w:szCs w:val="24"/>
        </w:rPr>
      </w:pPr>
      <w:r>
        <w:rPr>
          <w:rFonts w:ascii="Arial" w:hAnsi="Arial" w:cs="Arial"/>
          <w:sz w:val="24"/>
          <w:szCs w:val="24"/>
        </w:rPr>
        <w:t xml:space="preserve">For previous years (2011-2016), please </w:t>
      </w:r>
      <w:proofErr w:type="gramStart"/>
      <w:r>
        <w:rPr>
          <w:rFonts w:ascii="Arial" w:hAnsi="Arial" w:cs="Arial"/>
          <w:sz w:val="24"/>
          <w:szCs w:val="24"/>
        </w:rPr>
        <w:t>advise</w:t>
      </w:r>
      <w:proofErr w:type="gramEnd"/>
      <w:r>
        <w:rPr>
          <w:rFonts w:ascii="Arial" w:hAnsi="Arial" w:cs="Arial"/>
          <w:sz w:val="24"/>
          <w:szCs w:val="24"/>
        </w:rPr>
        <w:t xml:space="preserve"> whether the balance disposed in the account has been based on the net revenues (revenues minus costs)</w:t>
      </w:r>
      <w:r w:rsidR="00B72870">
        <w:rPr>
          <w:rFonts w:ascii="Arial" w:hAnsi="Arial" w:cs="Arial"/>
          <w:sz w:val="24"/>
          <w:szCs w:val="24"/>
        </w:rPr>
        <w:t xml:space="preserve"> generated from </w:t>
      </w:r>
      <w:r>
        <w:rPr>
          <w:rFonts w:ascii="Arial" w:hAnsi="Arial" w:cs="Arial"/>
          <w:sz w:val="24"/>
          <w:szCs w:val="24"/>
        </w:rPr>
        <w:t xml:space="preserve">CDM activities.  </w:t>
      </w:r>
    </w:p>
    <w:p w14:paraId="60D37568" w14:textId="77777777" w:rsidR="005304DA" w:rsidRPr="005304DA" w:rsidRDefault="005304DA" w:rsidP="00396076">
      <w:pPr>
        <w:pStyle w:val="ListParagraph"/>
        <w:rPr>
          <w:rFonts w:ascii="Arial" w:hAnsi="Arial" w:cs="Arial"/>
          <w:sz w:val="24"/>
          <w:szCs w:val="24"/>
        </w:rPr>
      </w:pPr>
    </w:p>
    <w:p w14:paraId="2B4BF86A" w14:textId="77777777" w:rsidR="005304DA" w:rsidRDefault="00B72870" w:rsidP="00396076">
      <w:pPr>
        <w:pStyle w:val="ListParagraph"/>
        <w:numPr>
          <w:ilvl w:val="0"/>
          <w:numId w:val="31"/>
        </w:numPr>
        <w:spacing w:after="0"/>
        <w:rPr>
          <w:rFonts w:ascii="Arial" w:hAnsi="Arial" w:cs="Arial"/>
          <w:sz w:val="24"/>
          <w:szCs w:val="24"/>
        </w:rPr>
      </w:pPr>
      <w:r>
        <w:rPr>
          <w:rFonts w:ascii="Arial" w:hAnsi="Arial" w:cs="Arial"/>
          <w:sz w:val="24"/>
          <w:szCs w:val="24"/>
        </w:rPr>
        <w:t xml:space="preserve">Please provide rationale supporting the disposition of net revenues as opposed to gross revenues in the context of the description set out in the CDM deferral account (Account No. 179-123) accounting order. </w:t>
      </w:r>
    </w:p>
    <w:p w14:paraId="1C85C7FC" w14:textId="77777777" w:rsidR="00E46BBB" w:rsidRDefault="00E46BBB" w:rsidP="00396076">
      <w:pPr>
        <w:spacing w:after="0"/>
        <w:rPr>
          <w:rFonts w:ascii="Arial" w:hAnsi="Arial" w:cs="Arial"/>
          <w:b/>
          <w:sz w:val="24"/>
          <w:szCs w:val="24"/>
          <w:u w:val="single"/>
        </w:rPr>
      </w:pPr>
    </w:p>
    <w:p w14:paraId="5355E157" w14:textId="77777777" w:rsidR="001C5B92" w:rsidRPr="000F74DE" w:rsidRDefault="00E46BBB" w:rsidP="00396076">
      <w:pPr>
        <w:spacing w:after="0"/>
        <w:rPr>
          <w:rFonts w:ascii="Arial" w:hAnsi="Arial" w:cs="Arial"/>
          <w:b/>
          <w:sz w:val="24"/>
          <w:szCs w:val="24"/>
          <w:u w:val="single"/>
        </w:rPr>
      </w:pPr>
      <w:r>
        <w:rPr>
          <w:rFonts w:ascii="Arial" w:hAnsi="Arial" w:cs="Arial"/>
          <w:b/>
          <w:sz w:val="24"/>
          <w:szCs w:val="24"/>
          <w:u w:val="single"/>
        </w:rPr>
        <w:t>Staff-7</w:t>
      </w:r>
    </w:p>
    <w:p w14:paraId="20B2BBCC" w14:textId="77777777" w:rsidR="001C5B92" w:rsidRPr="000F74DE" w:rsidRDefault="001C5B92" w:rsidP="00396076">
      <w:pPr>
        <w:spacing w:after="0"/>
        <w:rPr>
          <w:rFonts w:ascii="Arial" w:hAnsi="Arial" w:cs="Arial"/>
          <w:b/>
          <w:sz w:val="24"/>
          <w:szCs w:val="24"/>
        </w:rPr>
      </w:pPr>
      <w:r w:rsidRPr="000F74DE">
        <w:rPr>
          <w:rFonts w:ascii="Arial" w:hAnsi="Arial" w:cs="Arial"/>
          <w:b/>
          <w:sz w:val="24"/>
          <w:szCs w:val="24"/>
        </w:rPr>
        <w:t>Ref:</w:t>
      </w:r>
      <w:r w:rsidRPr="000F74DE">
        <w:rPr>
          <w:rFonts w:ascii="Arial" w:hAnsi="Arial" w:cs="Arial"/>
          <w:b/>
          <w:sz w:val="24"/>
          <w:szCs w:val="24"/>
        </w:rPr>
        <w:tab/>
      </w:r>
      <w:r>
        <w:rPr>
          <w:rFonts w:ascii="Arial" w:hAnsi="Arial" w:cs="Arial"/>
          <w:b/>
          <w:sz w:val="24"/>
          <w:szCs w:val="24"/>
        </w:rPr>
        <w:t xml:space="preserve">Tax Variance Deferral Account  </w:t>
      </w:r>
    </w:p>
    <w:p w14:paraId="03DB37E3" w14:textId="77777777" w:rsidR="001C5B92" w:rsidRDefault="001C5B92" w:rsidP="00396076">
      <w:pPr>
        <w:spacing w:after="0"/>
        <w:ind w:firstLine="720"/>
        <w:rPr>
          <w:rFonts w:ascii="Arial" w:hAnsi="Arial" w:cs="Arial"/>
          <w:b/>
          <w:sz w:val="24"/>
          <w:szCs w:val="24"/>
        </w:rPr>
      </w:pPr>
      <w:r>
        <w:rPr>
          <w:rFonts w:ascii="Arial" w:hAnsi="Arial" w:cs="Arial"/>
          <w:b/>
          <w:sz w:val="24"/>
          <w:szCs w:val="24"/>
        </w:rPr>
        <w:t>Exhibit A / Tab 1 / pp. 25-26</w:t>
      </w:r>
    </w:p>
    <w:p w14:paraId="0BFBAA7A" w14:textId="77777777" w:rsidR="001C5B92" w:rsidRDefault="001C5B92" w:rsidP="00396076">
      <w:pPr>
        <w:spacing w:after="0"/>
        <w:rPr>
          <w:rFonts w:ascii="Arial" w:hAnsi="Arial" w:cs="Arial"/>
          <w:b/>
          <w:sz w:val="24"/>
          <w:szCs w:val="24"/>
        </w:rPr>
      </w:pPr>
    </w:p>
    <w:p w14:paraId="50C7C7D6" w14:textId="77777777" w:rsidR="00F70C59" w:rsidRDefault="00F70C59" w:rsidP="00396076">
      <w:pPr>
        <w:spacing w:after="0"/>
        <w:rPr>
          <w:rFonts w:ascii="Arial" w:hAnsi="Arial" w:cs="Arial"/>
          <w:sz w:val="24"/>
          <w:szCs w:val="24"/>
        </w:rPr>
      </w:pPr>
      <w:r>
        <w:rPr>
          <w:rFonts w:ascii="Arial" w:hAnsi="Arial" w:cs="Arial"/>
          <w:sz w:val="24"/>
          <w:szCs w:val="24"/>
        </w:rPr>
        <w:t xml:space="preserve">Preamble: </w:t>
      </w:r>
    </w:p>
    <w:p w14:paraId="1B4A3B74" w14:textId="77777777" w:rsidR="00F70C59" w:rsidRDefault="00F70C59" w:rsidP="00396076">
      <w:pPr>
        <w:spacing w:after="0"/>
        <w:rPr>
          <w:rFonts w:ascii="Arial" w:hAnsi="Arial" w:cs="Arial"/>
          <w:sz w:val="24"/>
          <w:szCs w:val="24"/>
        </w:rPr>
      </w:pPr>
    </w:p>
    <w:p w14:paraId="09D79B66" w14:textId="77777777" w:rsidR="00F70C59" w:rsidRDefault="00F70C59" w:rsidP="00396076">
      <w:pPr>
        <w:spacing w:after="0"/>
        <w:rPr>
          <w:rFonts w:ascii="Arial" w:hAnsi="Arial" w:cs="Arial"/>
          <w:sz w:val="24"/>
          <w:szCs w:val="24"/>
        </w:rPr>
      </w:pPr>
      <w:r>
        <w:rPr>
          <w:rFonts w:ascii="Arial" w:hAnsi="Arial" w:cs="Arial"/>
          <w:sz w:val="24"/>
          <w:szCs w:val="24"/>
        </w:rPr>
        <w:t xml:space="preserve">Union noted that the purpose of the tax variance deferral account is to record 50% of the variance in costs resulting from differences between the actual tax rates and the approved tax rates included in rates as approved by the OEB. For 2017, there is no impact related to income tax, however, there is a credit balance of $0.33 million included in the account related to Harmonized Sales Tax (HST) changes. The relevant tax changes are being phased in over time. </w:t>
      </w:r>
    </w:p>
    <w:p w14:paraId="2F714BC2" w14:textId="77777777" w:rsidR="00F70C59" w:rsidRDefault="00F70C59" w:rsidP="00396076">
      <w:pPr>
        <w:spacing w:after="0"/>
        <w:rPr>
          <w:rFonts w:ascii="Arial" w:hAnsi="Arial" w:cs="Arial"/>
          <w:sz w:val="24"/>
          <w:szCs w:val="24"/>
        </w:rPr>
      </w:pPr>
    </w:p>
    <w:p w14:paraId="287411B1" w14:textId="77777777" w:rsidR="00F70C59" w:rsidRDefault="00F70C59" w:rsidP="00396076">
      <w:pPr>
        <w:spacing w:after="0"/>
        <w:rPr>
          <w:rFonts w:ascii="Arial" w:hAnsi="Arial" w:cs="Arial"/>
          <w:sz w:val="24"/>
          <w:szCs w:val="24"/>
        </w:rPr>
      </w:pPr>
      <w:r>
        <w:rPr>
          <w:rFonts w:ascii="Arial" w:hAnsi="Arial" w:cs="Arial"/>
          <w:sz w:val="24"/>
          <w:szCs w:val="24"/>
        </w:rPr>
        <w:t xml:space="preserve">Question(s): </w:t>
      </w:r>
    </w:p>
    <w:p w14:paraId="07D78055" w14:textId="77777777" w:rsidR="00F70C59" w:rsidRDefault="00F70C59" w:rsidP="00396076">
      <w:pPr>
        <w:spacing w:after="0"/>
        <w:rPr>
          <w:rFonts w:ascii="Arial" w:hAnsi="Arial" w:cs="Arial"/>
          <w:sz w:val="24"/>
          <w:szCs w:val="24"/>
        </w:rPr>
      </w:pPr>
    </w:p>
    <w:p w14:paraId="7162E5DD" w14:textId="77777777" w:rsidR="00F70C59" w:rsidRDefault="00F70C59" w:rsidP="00396076">
      <w:pPr>
        <w:pStyle w:val="ListParagraph"/>
        <w:numPr>
          <w:ilvl w:val="0"/>
          <w:numId w:val="32"/>
        </w:numPr>
        <w:spacing w:after="0"/>
        <w:rPr>
          <w:rFonts w:ascii="Arial" w:hAnsi="Arial" w:cs="Arial"/>
          <w:sz w:val="24"/>
          <w:szCs w:val="24"/>
        </w:rPr>
      </w:pPr>
      <w:r>
        <w:rPr>
          <w:rFonts w:ascii="Arial" w:hAnsi="Arial" w:cs="Arial"/>
          <w:sz w:val="24"/>
          <w:szCs w:val="24"/>
        </w:rPr>
        <w:t>In the context of the scheduled timing of the noted</w:t>
      </w:r>
      <w:r w:rsidR="00E46BBB">
        <w:rPr>
          <w:rFonts w:ascii="Arial" w:hAnsi="Arial" w:cs="Arial"/>
          <w:sz w:val="24"/>
          <w:szCs w:val="24"/>
        </w:rPr>
        <w:t xml:space="preserve"> HST</w:t>
      </w:r>
      <w:r>
        <w:rPr>
          <w:rFonts w:ascii="Arial" w:hAnsi="Arial" w:cs="Arial"/>
          <w:sz w:val="24"/>
          <w:szCs w:val="24"/>
        </w:rPr>
        <w:t xml:space="preserve"> changes, please advise whether it is reasonable to expect that the credit balance in the account will continue to grow in each of 2018 and 2019. </w:t>
      </w:r>
    </w:p>
    <w:p w14:paraId="7A1936D5" w14:textId="77777777" w:rsidR="00F70C59" w:rsidRDefault="00F70C59" w:rsidP="00396076">
      <w:pPr>
        <w:pStyle w:val="ListParagraph"/>
        <w:spacing w:after="0"/>
        <w:rPr>
          <w:rFonts w:ascii="Arial" w:hAnsi="Arial" w:cs="Arial"/>
          <w:sz w:val="24"/>
          <w:szCs w:val="24"/>
        </w:rPr>
      </w:pPr>
    </w:p>
    <w:p w14:paraId="34598AC8" w14:textId="77777777" w:rsidR="00F70C59" w:rsidRDefault="00F70C59" w:rsidP="00396076">
      <w:pPr>
        <w:pStyle w:val="ListParagraph"/>
        <w:numPr>
          <w:ilvl w:val="0"/>
          <w:numId w:val="32"/>
        </w:numPr>
        <w:spacing w:after="0"/>
        <w:rPr>
          <w:rFonts w:ascii="Arial" w:hAnsi="Arial" w:cs="Arial"/>
          <w:sz w:val="24"/>
          <w:szCs w:val="24"/>
        </w:rPr>
      </w:pPr>
      <w:r>
        <w:rPr>
          <w:rFonts w:ascii="Arial" w:hAnsi="Arial" w:cs="Arial"/>
          <w:sz w:val="24"/>
          <w:szCs w:val="24"/>
        </w:rPr>
        <w:t xml:space="preserve">Please confirm that it is Union’s proposal to close this account effective January 1, 2019 as discussed in the EB-2017-0307 application. </w:t>
      </w:r>
    </w:p>
    <w:p w14:paraId="6A2DE8CE" w14:textId="77777777" w:rsidR="00E46BBB" w:rsidRDefault="00E46BBB" w:rsidP="00396076">
      <w:pPr>
        <w:spacing w:after="0"/>
        <w:rPr>
          <w:rFonts w:ascii="Arial" w:hAnsi="Arial" w:cs="Arial"/>
          <w:b/>
          <w:sz w:val="24"/>
          <w:szCs w:val="24"/>
          <w:u w:val="single"/>
        </w:rPr>
      </w:pPr>
    </w:p>
    <w:p w14:paraId="7E4911FB" w14:textId="77777777" w:rsidR="00F70C59" w:rsidRPr="000F74DE" w:rsidRDefault="00E46BBB" w:rsidP="00396076">
      <w:pPr>
        <w:spacing w:after="0"/>
        <w:rPr>
          <w:rFonts w:ascii="Arial" w:hAnsi="Arial" w:cs="Arial"/>
          <w:b/>
          <w:sz w:val="24"/>
          <w:szCs w:val="24"/>
          <w:u w:val="single"/>
        </w:rPr>
      </w:pPr>
      <w:r>
        <w:rPr>
          <w:rFonts w:ascii="Arial" w:hAnsi="Arial" w:cs="Arial"/>
          <w:b/>
          <w:sz w:val="24"/>
          <w:szCs w:val="24"/>
          <w:u w:val="single"/>
        </w:rPr>
        <w:t>Staff-8</w:t>
      </w:r>
    </w:p>
    <w:p w14:paraId="5443C0A5" w14:textId="77777777" w:rsidR="00F70C59" w:rsidRPr="000F74DE" w:rsidRDefault="00F70C59" w:rsidP="00396076">
      <w:pPr>
        <w:spacing w:after="0"/>
        <w:rPr>
          <w:rFonts w:ascii="Arial" w:hAnsi="Arial" w:cs="Arial"/>
          <w:b/>
          <w:sz w:val="24"/>
          <w:szCs w:val="24"/>
        </w:rPr>
      </w:pPr>
      <w:r w:rsidRPr="000F74DE">
        <w:rPr>
          <w:rFonts w:ascii="Arial" w:hAnsi="Arial" w:cs="Arial"/>
          <w:b/>
          <w:sz w:val="24"/>
          <w:szCs w:val="24"/>
        </w:rPr>
        <w:t>Ref:</w:t>
      </w:r>
      <w:r w:rsidRPr="000F74DE">
        <w:rPr>
          <w:rFonts w:ascii="Arial" w:hAnsi="Arial" w:cs="Arial"/>
          <w:b/>
          <w:sz w:val="24"/>
          <w:szCs w:val="24"/>
        </w:rPr>
        <w:tab/>
      </w:r>
      <w:r>
        <w:rPr>
          <w:rFonts w:ascii="Arial" w:hAnsi="Arial" w:cs="Arial"/>
          <w:b/>
          <w:sz w:val="24"/>
          <w:szCs w:val="24"/>
        </w:rPr>
        <w:t xml:space="preserve">Unaccounted for Gas (UFG) Volume Variance Account   </w:t>
      </w:r>
    </w:p>
    <w:p w14:paraId="46425A86" w14:textId="77777777" w:rsidR="00F70C59" w:rsidRDefault="00F70C59" w:rsidP="00396076">
      <w:pPr>
        <w:spacing w:after="0"/>
        <w:ind w:firstLine="720"/>
        <w:rPr>
          <w:rFonts w:ascii="Arial" w:hAnsi="Arial" w:cs="Arial"/>
          <w:b/>
          <w:sz w:val="24"/>
          <w:szCs w:val="24"/>
        </w:rPr>
      </w:pPr>
      <w:r>
        <w:rPr>
          <w:rFonts w:ascii="Arial" w:hAnsi="Arial" w:cs="Arial"/>
          <w:b/>
          <w:sz w:val="24"/>
          <w:szCs w:val="24"/>
        </w:rPr>
        <w:t>Exhibit A / Tab 1 / pp. 27-28</w:t>
      </w:r>
    </w:p>
    <w:p w14:paraId="7A97A5AF" w14:textId="77777777" w:rsidR="00F70C59" w:rsidRDefault="00F70C59" w:rsidP="00396076">
      <w:pPr>
        <w:spacing w:after="0"/>
        <w:rPr>
          <w:rFonts w:ascii="Arial" w:hAnsi="Arial" w:cs="Arial"/>
          <w:b/>
          <w:sz w:val="24"/>
          <w:szCs w:val="24"/>
        </w:rPr>
      </w:pPr>
    </w:p>
    <w:p w14:paraId="26BC3711" w14:textId="77777777" w:rsidR="00F70C59" w:rsidRDefault="00F70C59" w:rsidP="00396076">
      <w:pPr>
        <w:spacing w:after="0"/>
        <w:rPr>
          <w:rFonts w:ascii="Arial" w:hAnsi="Arial" w:cs="Arial"/>
          <w:sz w:val="24"/>
          <w:szCs w:val="24"/>
        </w:rPr>
      </w:pPr>
      <w:r>
        <w:rPr>
          <w:rFonts w:ascii="Arial" w:hAnsi="Arial" w:cs="Arial"/>
          <w:sz w:val="24"/>
          <w:szCs w:val="24"/>
        </w:rPr>
        <w:t xml:space="preserve">Preamble: </w:t>
      </w:r>
    </w:p>
    <w:p w14:paraId="1D9950D5" w14:textId="77777777" w:rsidR="00F70C59" w:rsidRPr="00F70C59" w:rsidRDefault="00F70C59" w:rsidP="00396076">
      <w:pPr>
        <w:spacing w:after="0"/>
        <w:rPr>
          <w:rFonts w:ascii="Arial" w:hAnsi="Arial" w:cs="Arial"/>
          <w:sz w:val="24"/>
          <w:szCs w:val="24"/>
        </w:rPr>
      </w:pPr>
    </w:p>
    <w:p w14:paraId="1DBEC410" w14:textId="77777777" w:rsidR="00F70C59" w:rsidRPr="00F70C59" w:rsidRDefault="00A632D6" w:rsidP="00396076">
      <w:pPr>
        <w:spacing w:after="0"/>
        <w:rPr>
          <w:rFonts w:ascii="Arial" w:hAnsi="Arial" w:cs="Arial"/>
          <w:sz w:val="24"/>
          <w:szCs w:val="24"/>
        </w:rPr>
      </w:pPr>
      <w:r>
        <w:rPr>
          <w:rFonts w:ascii="Arial" w:hAnsi="Arial" w:cs="Arial"/>
          <w:sz w:val="24"/>
          <w:szCs w:val="24"/>
        </w:rPr>
        <w:t xml:space="preserve">Union noted that the actual 2017 UFG costs are $13.83 million and the UFG costs recovered in 2017 rates are $11.12 million. </w:t>
      </w:r>
      <w:r w:rsidR="00F70C59">
        <w:rPr>
          <w:rFonts w:ascii="Arial" w:hAnsi="Arial" w:cs="Arial"/>
          <w:sz w:val="24"/>
          <w:szCs w:val="24"/>
        </w:rPr>
        <w:t xml:space="preserve">  </w:t>
      </w:r>
    </w:p>
    <w:p w14:paraId="3A7454A2" w14:textId="77777777" w:rsidR="005168BC" w:rsidRDefault="005168BC" w:rsidP="00396076">
      <w:pPr>
        <w:spacing w:after="0"/>
        <w:rPr>
          <w:rFonts w:ascii="Arial" w:hAnsi="Arial" w:cs="Arial"/>
          <w:sz w:val="24"/>
          <w:szCs w:val="24"/>
        </w:rPr>
      </w:pPr>
    </w:p>
    <w:p w14:paraId="1BDF94E2" w14:textId="77777777" w:rsidR="00A632D6" w:rsidRDefault="00A632D6" w:rsidP="00396076">
      <w:pPr>
        <w:spacing w:after="0"/>
        <w:rPr>
          <w:rFonts w:ascii="Arial" w:hAnsi="Arial" w:cs="Arial"/>
          <w:sz w:val="24"/>
          <w:szCs w:val="24"/>
        </w:rPr>
      </w:pPr>
      <w:r>
        <w:rPr>
          <w:rFonts w:ascii="Arial" w:hAnsi="Arial" w:cs="Arial"/>
          <w:sz w:val="24"/>
          <w:szCs w:val="24"/>
        </w:rPr>
        <w:lastRenderedPageBreak/>
        <w:t xml:space="preserve">Question(s): </w:t>
      </w:r>
    </w:p>
    <w:p w14:paraId="6B5F6742" w14:textId="77777777" w:rsidR="00A632D6" w:rsidRDefault="00A632D6" w:rsidP="00396076">
      <w:pPr>
        <w:spacing w:after="0"/>
        <w:rPr>
          <w:rFonts w:ascii="Arial" w:hAnsi="Arial" w:cs="Arial"/>
          <w:sz w:val="24"/>
          <w:szCs w:val="24"/>
        </w:rPr>
      </w:pPr>
    </w:p>
    <w:p w14:paraId="460941EB" w14:textId="77777777" w:rsidR="00A632D6" w:rsidRDefault="00A632D6" w:rsidP="00396076">
      <w:pPr>
        <w:pStyle w:val="ListParagraph"/>
        <w:numPr>
          <w:ilvl w:val="0"/>
          <w:numId w:val="33"/>
        </w:numPr>
        <w:spacing w:after="0"/>
        <w:rPr>
          <w:rFonts w:ascii="Arial" w:hAnsi="Arial" w:cs="Arial"/>
          <w:sz w:val="24"/>
          <w:szCs w:val="24"/>
        </w:rPr>
      </w:pPr>
      <w:r>
        <w:rPr>
          <w:rFonts w:ascii="Arial" w:hAnsi="Arial" w:cs="Arial"/>
          <w:sz w:val="24"/>
          <w:szCs w:val="24"/>
        </w:rPr>
        <w:t>Please provide the detailed calculation supporting the 2017 actual and recovered in rates UFG amounts.</w:t>
      </w:r>
    </w:p>
    <w:p w14:paraId="6C32A06C" w14:textId="77777777" w:rsidR="00A632D6" w:rsidRDefault="00A632D6" w:rsidP="00396076">
      <w:pPr>
        <w:pStyle w:val="ListParagraph"/>
        <w:spacing w:after="0"/>
        <w:rPr>
          <w:rFonts w:ascii="Arial" w:hAnsi="Arial" w:cs="Arial"/>
          <w:sz w:val="24"/>
          <w:szCs w:val="24"/>
        </w:rPr>
      </w:pPr>
    </w:p>
    <w:p w14:paraId="6D413715" w14:textId="77777777" w:rsidR="00A632D6" w:rsidRDefault="00A632D6" w:rsidP="00396076">
      <w:pPr>
        <w:pStyle w:val="ListParagraph"/>
        <w:numPr>
          <w:ilvl w:val="0"/>
          <w:numId w:val="33"/>
        </w:numPr>
        <w:spacing w:after="0"/>
        <w:rPr>
          <w:rFonts w:ascii="Arial" w:hAnsi="Arial" w:cs="Arial"/>
          <w:sz w:val="24"/>
          <w:szCs w:val="24"/>
        </w:rPr>
      </w:pPr>
      <w:r>
        <w:rPr>
          <w:rFonts w:ascii="Arial" w:hAnsi="Arial" w:cs="Arial"/>
          <w:sz w:val="24"/>
          <w:szCs w:val="24"/>
        </w:rPr>
        <w:t xml:space="preserve">Please provide actual and approved UFG percentages for each year 2007-2017.  </w:t>
      </w:r>
    </w:p>
    <w:p w14:paraId="79EB1789" w14:textId="77777777" w:rsidR="00A632D6" w:rsidRPr="00A632D6" w:rsidRDefault="00A632D6" w:rsidP="00396076">
      <w:pPr>
        <w:spacing w:after="0"/>
        <w:rPr>
          <w:rFonts w:ascii="Arial" w:hAnsi="Arial" w:cs="Arial"/>
          <w:sz w:val="24"/>
          <w:szCs w:val="24"/>
        </w:rPr>
      </w:pPr>
    </w:p>
    <w:p w14:paraId="4AF2ED29" w14:textId="77777777" w:rsidR="001C5B92" w:rsidRPr="000F74DE" w:rsidRDefault="00E46BBB" w:rsidP="00396076">
      <w:pPr>
        <w:spacing w:after="0"/>
        <w:rPr>
          <w:rFonts w:ascii="Arial" w:hAnsi="Arial" w:cs="Arial"/>
          <w:b/>
          <w:sz w:val="24"/>
          <w:szCs w:val="24"/>
          <w:u w:val="single"/>
        </w:rPr>
      </w:pPr>
      <w:r>
        <w:rPr>
          <w:rFonts w:ascii="Arial" w:hAnsi="Arial" w:cs="Arial"/>
          <w:b/>
          <w:sz w:val="24"/>
          <w:szCs w:val="24"/>
          <w:u w:val="single"/>
        </w:rPr>
        <w:t>Staff-9</w:t>
      </w:r>
    </w:p>
    <w:p w14:paraId="64812A9D" w14:textId="77777777" w:rsidR="001C5B92" w:rsidRPr="000F74DE" w:rsidRDefault="001C5B92" w:rsidP="00396076">
      <w:pPr>
        <w:spacing w:after="0"/>
        <w:rPr>
          <w:rFonts w:ascii="Arial" w:hAnsi="Arial" w:cs="Arial"/>
          <w:b/>
          <w:sz w:val="24"/>
          <w:szCs w:val="24"/>
        </w:rPr>
      </w:pPr>
      <w:r w:rsidRPr="000F74DE">
        <w:rPr>
          <w:rFonts w:ascii="Arial" w:hAnsi="Arial" w:cs="Arial"/>
          <w:b/>
          <w:sz w:val="24"/>
          <w:szCs w:val="24"/>
        </w:rPr>
        <w:t>Ref:</w:t>
      </w:r>
      <w:r w:rsidRPr="000F74DE">
        <w:rPr>
          <w:rFonts w:ascii="Arial" w:hAnsi="Arial" w:cs="Arial"/>
          <w:b/>
          <w:sz w:val="24"/>
          <w:szCs w:val="24"/>
        </w:rPr>
        <w:tab/>
      </w:r>
      <w:r>
        <w:rPr>
          <w:rFonts w:ascii="Arial" w:hAnsi="Arial" w:cs="Arial"/>
          <w:b/>
          <w:sz w:val="24"/>
          <w:szCs w:val="24"/>
        </w:rPr>
        <w:t xml:space="preserve">Major Capital Projects </w:t>
      </w:r>
      <w:r w:rsidR="00CF3475">
        <w:rPr>
          <w:rFonts w:ascii="Arial" w:hAnsi="Arial" w:cs="Arial"/>
          <w:b/>
          <w:sz w:val="24"/>
          <w:szCs w:val="24"/>
        </w:rPr>
        <w:t xml:space="preserve">– Generic Questions </w:t>
      </w:r>
    </w:p>
    <w:p w14:paraId="4A4CB861" w14:textId="77777777" w:rsidR="00151D17" w:rsidRDefault="001C5B92" w:rsidP="00396076">
      <w:pPr>
        <w:spacing w:after="0"/>
        <w:ind w:firstLine="720"/>
        <w:rPr>
          <w:rFonts w:ascii="Arial" w:hAnsi="Arial" w:cs="Arial"/>
          <w:b/>
          <w:sz w:val="24"/>
          <w:szCs w:val="24"/>
        </w:rPr>
      </w:pPr>
      <w:r>
        <w:rPr>
          <w:rFonts w:ascii="Arial" w:hAnsi="Arial" w:cs="Arial"/>
          <w:b/>
          <w:sz w:val="24"/>
          <w:szCs w:val="24"/>
        </w:rPr>
        <w:t xml:space="preserve">Exhibit A / Tab 1 </w:t>
      </w:r>
    </w:p>
    <w:p w14:paraId="7C4A37ED" w14:textId="77777777" w:rsidR="001C5B92" w:rsidRDefault="001C5B92" w:rsidP="00396076">
      <w:pPr>
        <w:spacing w:after="0"/>
        <w:rPr>
          <w:rFonts w:ascii="Arial" w:hAnsi="Arial" w:cs="Arial"/>
          <w:b/>
          <w:sz w:val="24"/>
          <w:szCs w:val="24"/>
        </w:rPr>
      </w:pPr>
    </w:p>
    <w:p w14:paraId="4650855E" w14:textId="77777777" w:rsidR="00A632D6" w:rsidRDefault="00A632D6" w:rsidP="00396076">
      <w:pPr>
        <w:spacing w:after="0"/>
        <w:rPr>
          <w:rFonts w:ascii="Arial" w:hAnsi="Arial" w:cs="Arial"/>
          <w:sz w:val="24"/>
          <w:szCs w:val="24"/>
        </w:rPr>
      </w:pPr>
      <w:r>
        <w:rPr>
          <w:rFonts w:ascii="Arial" w:hAnsi="Arial" w:cs="Arial"/>
          <w:sz w:val="24"/>
          <w:szCs w:val="24"/>
        </w:rPr>
        <w:t xml:space="preserve">Question(s): </w:t>
      </w:r>
    </w:p>
    <w:p w14:paraId="1A19542C" w14:textId="77777777" w:rsidR="001C5B92" w:rsidRDefault="00A632D6" w:rsidP="00396076">
      <w:pPr>
        <w:spacing w:after="0"/>
        <w:rPr>
          <w:rFonts w:ascii="Arial" w:hAnsi="Arial" w:cs="Arial"/>
          <w:sz w:val="24"/>
          <w:szCs w:val="24"/>
        </w:rPr>
      </w:pPr>
      <w:r>
        <w:rPr>
          <w:rFonts w:ascii="Arial" w:hAnsi="Arial" w:cs="Arial"/>
          <w:sz w:val="24"/>
          <w:szCs w:val="24"/>
        </w:rPr>
        <w:t xml:space="preserve"> </w:t>
      </w:r>
    </w:p>
    <w:p w14:paraId="58BEDA79" w14:textId="77777777" w:rsidR="00A632D6" w:rsidRDefault="00A632D6" w:rsidP="00396076">
      <w:pPr>
        <w:pStyle w:val="ListParagraph"/>
        <w:numPr>
          <w:ilvl w:val="0"/>
          <w:numId w:val="34"/>
        </w:numPr>
        <w:spacing w:after="0"/>
        <w:rPr>
          <w:rFonts w:ascii="Arial" w:hAnsi="Arial" w:cs="Arial"/>
          <w:sz w:val="24"/>
          <w:szCs w:val="24"/>
        </w:rPr>
      </w:pPr>
      <w:r>
        <w:rPr>
          <w:rFonts w:ascii="Arial" w:hAnsi="Arial" w:cs="Arial"/>
          <w:sz w:val="24"/>
          <w:szCs w:val="24"/>
        </w:rPr>
        <w:t xml:space="preserve">For each major capital pass-through project, please </w:t>
      </w:r>
      <w:r w:rsidR="00CF3475">
        <w:rPr>
          <w:rFonts w:ascii="Arial" w:hAnsi="Arial" w:cs="Arial"/>
          <w:sz w:val="24"/>
          <w:szCs w:val="24"/>
        </w:rPr>
        <w:t>confirm that</w:t>
      </w:r>
      <w:r>
        <w:rPr>
          <w:rFonts w:ascii="Arial" w:hAnsi="Arial" w:cs="Arial"/>
          <w:sz w:val="24"/>
          <w:szCs w:val="24"/>
        </w:rPr>
        <w:t xml:space="preserve"> 2018 is the last year for which there are OEB-approved revenue requirement amounts. </w:t>
      </w:r>
    </w:p>
    <w:p w14:paraId="2CD04088" w14:textId="77777777" w:rsidR="00A632D6" w:rsidRDefault="00A632D6" w:rsidP="00396076">
      <w:pPr>
        <w:pStyle w:val="ListParagraph"/>
        <w:spacing w:after="0"/>
        <w:rPr>
          <w:rFonts w:ascii="Arial" w:hAnsi="Arial" w:cs="Arial"/>
          <w:sz w:val="24"/>
          <w:szCs w:val="24"/>
        </w:rPr>
      </w:pPr>
    </w:p>
    <w:p w14:paraId="4C485C73" w14:textId="15659AB3" w:rsidR="00335BBE" w:rsidRDefault="0024117F" w:rsidP="00396076">
      <w:pPr>
        <w:pStyle w:val="ListParagraph"/>
        <w:numPr>
          <w:ilvl w:val="0"/>
          <w:numId w:val="34"/>
        </w:numPr>
        <w:spacing w:after="0"/>
        <w:rPr>
          <w:rFonts w:ascii="Arial" w:hAnsi="Arial" w:cs="Arial"/>
          <w:sz w:val="24"/>
          <w:szCs w:val="24"/>
        </w:rPr>
      </w:pPr>
      <w:r>
        <w:rPr>
          <w:rFonts w:ascii="Arial" w:hAnsi="Arial" w:cs="Arial"/>
          <w:sz w:val="24"/>
          <w:szCs w:val="24"/>
        </w:rPr>
        <w:t xml:space="preserve">If </w:t>
      </w:r>
      <w:proofErr w:type="spellStart"/>
      <w:r w:rsidR="00CF3475">
        <w:rPr>
          <w:rFonts w:ascii="Arial" w:hAnsi="Arial" w:cs="Arial"/>
          <w:sz w:val="24"/>
          <w:szCs w:val="24"/>
        </w:rPr>
        <w:t>Amalco’s</w:t>
      </w:r>
      <w:proofErr w:type="spellEnd"/>
      <w:r w:rsidR="00CF3475">
        <w:rPr>
          <w:rFonts w:ascii="Arial" w:hAnsi="Arial" w:cs="Arial"/>
          <w:sz w:val="24"/>
          <w:szCs w:val="24"/>
        </w:rPr>
        <w:t xml:space="preserve"> </w:t>
      </w:r>
      <w:r>
        <w:rPr>
          <w:rFonts w:ascii="Arial" w:hAnsi="Arial" w:cs="Arial"/>
          <w:sz w:val="24"/>
          <w:szCs w:val="24"/>
        </w:rPr>
        <w:t xml:space="preserve">proposed merger and price cap framework (EB-2017-0306 / EB-2017-0307) </w:t>
      </w:r>
      <w:r w:rsidR="001306BE">
        <w:rPr>
          <w:rFonts w:ascii="Arial" w:hAnsi="Arial" w:cs="Arial"/>
          <w:sz w:val="24"/>
          <w:szCs w:val="24"/>
        </w:rPr>
        <w:t xml:space="preserve">is </w:t>
      </w:r>
      <w:r>
        <w:rPr>
          <w:rFonts w:ascii="Arial" w:hAnsi="Arial" w:cs="Arial"/>
          <w:sz w:val="24"/>
          <w:szCs w:val="24"/>
        </w:rPr>
        <w:t>approved</w:t>
      </w:r>
      <w:r w:rsidR="00335BBE">
        <w:rPr>
          <w:rFonts w:ascii="Arial" w:hAnsi="Arial" w:cs="Arial"/>
          <w:sz w:val="24"/>
          <w:szCs w:val="24"/>
        </w:rPr>
        <w:t>:</w:t>
      </w:r>
    </w:p>
    <w:p w14:paraId="0F0F86B7" w14:textId="77777777" w:rsidR="00335BBE" w:rsidRPr="00335BBE" w:rsidRDefault="00335BBE" w:rsidP="00396076">
      <w:pPr>
        <w:pStyle w:val="ListParagraph"/>
        <w:rPr>
          <w:rFonts w:ascii="Arial" w:hAnsi="Arial" w:cs="Arial"/>
          <w:sz w:val="24"/>
          <w:szCs w:val="24"/>
        </w:rPr>
      </w:pPr>
    </w:p>
    <w:p w14:paraId="61AFD346" w14:textId="77777777" w:rsidR="00335BBE" w:rsidRDefault="00335BBE" w:rsidP="00396076">
      <w:pPr>
        <w:pStyle w:val="ListParagraph"/>
        <w:numPr>
          <w:ilvl w:val="1"/>
          <w:numId w:val="34"/>
        </w:numPr>
        <w:spacing w:after="0"/>
        <w:rPr>
          <w:rFonts w:ascii="Arial" w:hAnsi="Arial" w:cs="Arial"/>
          <w:sz w:val="24"/>
          <w:szCs w:val="24"/>
        </w:rPr>
      </w:pPr>
      <w:r>
        <w:rPr>
          <w:rFonts w:ascii="Arial" w:hAnsi="Arial" w:cs="Arial"/>
          <w:sz w:val="24"/>
          <w:szCs w:val="24"/>
        </w:rPr>
        <w:t>P</w:t>
      </w:r>
      <w:r w:rsidR="00CF3475">
        <w:rPr>
          <w:rFonts w:ascii="Arial" w:hAnsi="Arial" w:cs="Arial"/>
          <w:sz w:val="24"/>
          <w:szCs w:val="24"/>
        </w:rPr>
        <w:t>lease confirm that Union intends to include the approved 2018 revenue requirement amounts</w:t>
      </w:r>
      <w:r>
        <w:rPr>
          <w:rFonts w:ascii="Arial" w:hAnsi="Arial" w:cs="Arial"/>
          <w:sz w:val="24"/>
          <w:szCs w:val="24"/>
        </w:rPr>
        <w:t xml:space="preserve"> associated with the major capital pass-through projects</w:t>
      </w:r>
      <w:r w:rsidR="00CF3475">
        <w:rPr>
          <w:rFonts w:ascii="Arial" w:hAnsi="Arial" w:cs="Arial"/>
          <w:sz w:val="24"/>
          <w:szCs w:val="24"/>
        </w:rPr>
        <w:t xml:space="preserve"> in base rates beginning in 2019.</w:t>
      </w:r>
    </w:p>
    <w:p w14:paraId="3149187F" w14:textId="77777777" w:rsidR="00335BBE" w:rsidRDefault="00CF3475" w:rsidP="00396076">
      <w:pPr>
        <w:pStyle w:val="ListParagraph"/>
        <w:spacing w:after="0"/>
        <w:ind w:left="1440"/>
        <w:rPr>
          <w:rFonts w:ascii="Arial" w:hAnsi="Arial" w:cs="Arial"/>
          <w:sz w:val="24"/>
          <w:szCs w:val="24"/>
        </w:rPr>
      </w:pPr>
      <w:r>
        <w:rPr>
          <w:rFonts w:ascii="Arial" w:hAnsi="Arial" w:cs="Arial"/>
          <w:sz w:val="24"/>
          <w:szCs w:val="24"/>
        </w:rPr>
        <w:t xml:space="preserve"> </w:t>
      </w:r>
    </w:p>
    <w:p w14:paraId="5C3D8179" w14:textId="77777777" w:rsidR="00335BBE" w:rsidRDefault="00335BBE" w:rsidP="00396076">
      <w:pPr>
        <w:pStyle w:val="ListParagraph"/>
        <w:numPr>
          <w:ilvl w:val="1"/>
          <w:numId w:val="34"/>
        </w:numPr>
        <w:spacing w:after="0"/>
        <w:rPr>
          <w:rFonts w:ascii="Arial" w:hAnsi="Arial" w:cs="Arial"/>
          <w:sz w:val="24"/>
          <w:szCs w:val="24"/>
        </w:rPr>
      </w:pPr>
      <w:r>
        <w:rPr>
          <w:rFonts w:ascii="Arial" w:hAnsi="Arial" w:cs="Arial"/>
          <w:sz w:val="24"/>
          <w:szCs w:val="24"/>
        </w:rPr>
        <w:t>P</w:t>
      </w:r>
      <w:r w:rsidR="00CF3475" w:rsidRPr="00335BBE">
        <w:rPr>
          <w:rFonts w:ascii="Arial" w:hAnsi="Arial" w:cs="Arial"/>
          <w:sz w:val="24"/>
          <w:szCs w:val="24"/>
        </w:rPr>
        <w:t xml:space="preserve">lease confirm that the approved 2018 revenue requirements associated with the major capital pass-through projects will not be escalated in 2019 (or in subsequent years) by the proposed price cap index. </w:t>
      </w:r>
    </w:p>
    <w:p w14:paraId="3E9CE7C8" w14:textId="77777777" w:rsidR="00335BBE" w:rsidRPr="00335BBE" w:rsidRDefault="00335BBE" w:rsidP="00396076">
      <w:pPr>
        <w:pStyle w:val="ListParagraph"/>
        <w:rPr>
          <w:rFonts w:ascii="Arial" w:hAnsi="Arial" w:cs="Arial"/>
          <w:sz w:val="24"/>
          <w:szCs w:val="24"/>
        </w:rPr>
      </w:pPr>
    </w:p>
    <w:p w14:paraId="2474C1EB" w14:textId="77777777" w:rsidR="00A632D6" w:rsidRDefault="00CF3475" w:rsidP="00396076">
      <w:pPr>
        <w:pStyle w:val="ListParagraph"/>
        <w:numPr>
          <w:ilvl w:val="1"/>
          <w:numId w:val="34"/>
        </w:numPr>
        <w:spacing w:after="0"/>
        <w:rPr>
          <w:rFonts w:ascii="Arial" w:hAnsi="Arial" w:cs="Arial"/>
          <w:sz w:val="24"/>
          <w:szCs w:val="24"/>
        </w:rPr>
      </w:pPr>
      <w:r w:rsidRPr="00335BBE">
        <w:rPr>
          <w:rFonts w:ascii="Arial" w:hAnsi="Arial" w:cs="Arial"/>
          <w:sz w:val="24"/>
          <w:szCs w:val="24"/>
        </w:rPr>
        <w:t xml:space="preserve">Please confirm that the variances captured in the major capital project </w:t>
      </w:r>
      <w:r w:rsidR="00335BBE">
        <w:rPr>
          <w:rFonts w:ascii="Arial" w:hAnsi="Arial" w:cs="Arial"/>
          <w:sz w:val="24"/>
          <w:szCs w:val="24"/>
        </w:rPr>
        <w:t xml:space="preserve">related </w:t>
      </w:r>
      <w:r w:rsidRPr="00335BBE">
        <w:rPr>
          <w:rFonts w:ascii="Arial" w:hAnsi="Arial" w:cs="Arial"/>
          <w:sz w:val="24"/>
          <w:szCs w:val="24"/>
        </w:rPr>
        <w:t>accounts will be measured against the approved 2018 revenue requirement amounts</w:t>
      </w:r>
      <w:r w:rsidR="00335BBE" w:rsidRPr="00335BBE">
        <w:rPr>
          <w:rFonts w:ascii="Arial" w:hAnsi="Arial" w:cs="Arial"/>
          <w:sz w:val="24"/>
          <w:szCs w:val="24"/>
        </w:rPr>
        <w:t xml:space="preserve"> with no changes</w:t>
      </w:r>
      <w:r w:rsidRPr="00335BBE">
        <w:rPr>
          <w:rFonts w:ascii="Arial" w:hAnsi="Arial" w:cs="Arial"/>
          <w:sz w:val="24"/>
          <w:szCs w:val="24"/>
        </w:rPr>
        <w:t xml:space="preserve">.  </w:t>
      </w:r>
    </w:p>
    <w:p w14:paraId="2E401B2E" w14:textId="77777777" w:rsidR="00335BBE" w:rsidRDefault="00335BBE" w:rsidP="00396076">
      <w:pPr>
        <w:rPr>
          <w:rFonts w:ascii="Arial" w:hAnsi="Arial" w:cs="Arial"/>
          <w:sz w:val="24"/>
          <w:szCs w:val="24"/>
        </w:rPr>
      </w:pPr>
    </w:p>
    <w:p w14:paraId="6C5F8023" w14:textId="77777777" w:rsidR="00335BBE" w:rsidRDefault="00347DF1" w:rsidP="00396076">
      <w:pPr>
        <w:pStyle w:val="ListParagraph"/>
        <w:numPr>
          <w:ilvl w:val="0"/>
          <w:numId w:val="34"/>
        </w:numPr>
        <w:rPr>
          <w:rFonts w:ascii="Arial" w:hAnsi="Arial" w:cs="Arial"/>
          <w:sz w:val="24"/>
          <w:szCs w:val="24"/>
        </w:rPr>
      </w:pPr>
      <w:r>
        <w:rPr>
          <w:rFonts w:ascii="Arial" w:hAnsi="Arial" w:cs="Arial"/>
          <w:sz w:val="24"/>
          <w:szCs w:val="24"/>
        </w:rPr>
        <w:t xml:space="preserve">In calculating the </w:t>
      </w:r>
      <w:r w:rsidRPr="002E4860">
        <w:rPr>
          <w:rFonts w:ascii="Arial" w:hAnsi="Arial" w:cs="Arial"/>
          <w:sz w:val="24"/>
          <w:szCs w:val="24"/>
          <w:u w:val="single"/>
        </w:rPr>
        <w:t>actual</w:t>
      </w:r>
      <w:r>
        <w:rPr>
          <w:rFonts w:ascii="Arial" w:hAnsi="Arial" w:cs="Arial"/>
          <w:sz w:val="24"/>
          <w:szCs w:val="24"/>
        </w:rPr>
        <w:t xml:space="preserve"> revenue requirement related to the major capital projects, Union uses </w:t>
      </w:r>
      <w:r w:rsidR="002E4860">
        <w:rPr>
          <w:rFonts w:ascii="Arial" w:hAnsi="Arial" w:cs="Arial"/>
          <w:sz w:val="24"/>
          <w:szCs w:val="24"/>
        </w:rPr>
        <w:t>the average long-term debt rate from the year in which the asset was brought into service to calculate the debt portion of the utility required return. Please advise whether Union intends to continue this practice post-2018 in the context of the EB-2017-0307 proposals.</w:t>
      </w:r>
    </w:p>
    <w:p w14:paraId="26C3A30C" w14:textId="77777777" w:rsidR="001B7385" w:rsidRDefault="001B7385" w:rsidP="00396076">
      <w:pPr>
        <w:pStyle w:val="ListParagraph"/>
        <w:rPr>
          <w:rFonts w:ascii="Arial" w:hAnsi="Arial" w:cs="Arial"/>
          <w:sz w:val="24"/>
          <w:szCs w:val="24"/>
        </w:rPr>
      </w:pPr>
    </w:p>
    <w:p w14:paraId="3A52BF3A" w14:textId="77777777" w:rsidR="001B7385" w:rsidRDefault="001B7385" w:rsidP="00396076">
      <w:pPr>
        <w:pStyle w:val="ListParagraph"/>
        <w:numPr>
          <w:ilvl w:val="0"/>
          <w:numId w:val="34"/>
        </w:numPr>
        <w:spacing w:after="0"/>
        <w:rPr>
          <w:rFonts w:ascii="Arial" w:hAnsi="Arial" w:cs="Arial"/>
          <w:sz w:val="24"/>
          <w:szCs w:val="24"/>
        </w:rPr>
      </w:pPr>
      <w:r w:rsidRPr="00880EEE">
        <w:rPr>
          <w:rFonts w:ascii="Arial" w:hAnsi="Arial" w:cs="Arial"/>
          <w:sz w:val="24"/>
          <w:szCs w:val="24"/>
        </w:rPr>
        <w:t xml:space="preserve">For each major capital pass-through project, please provide an updated forecast of the total final capital cost of the project and the total capital cost that was approved by the OEB (including a detailed breakdown by asset type). Please </w:t>
      </w:r>
      <w:r w:rsidRPr="00880EEE">
        <w:rPr>
          <w:rFonts w:ascii="Arial" w:hAnsi="Arial" w:cs="Arial"/>
          <w:sz w:val="24"/>
          <w:szCs w:val="24"/>
        </w:rPr>
        <w:lastRenderedPageBreak/>
        <w:t xml:space="preserve">also provide the final year in which there are expected to be capital costs incurred. </w:t>
      </w:r>
    </w:p>
    <w:p w14:paraId="137EF2EF" w14:textId="77777777" w:rsidR="00880EEE" w:rsidRPr="00880EEE" w:rsidRDefault="00880EEE" w:rsidP="00396076">
      <w:pPr>
        <w:pStyle w:val="ListParagraph"/>
        <w:rPr>
          <w:rFonts w:ascii="Arial" w:hAnsi="Arial" w:cs="Arial"/>
          <w:sz w:val="24"/>
          <w:szCs w:val="24"/>
        </w:rPr>
      </w:pPr>
    </w:p>
    <w:p w14:paraId="083A6CA8" w14:textId="77777777" w:rsidR="001B7385" w:rsidRPr="00335BBE" w:rsidRDefault="00880EEE" w:rsidP="00396076">
      <w:pPr>
        <w:pStyle w:val="ListParagraph"/>
        <w:numPr>
          <w:ilvl w:val="0"/>
          <w:numId w:val="34"/>
        </w:numPr>
        <w:rPr>
          <w:rFonts w:ascii="Arial" w:hAnsi="Arial" w:cs="Arial"/>
          <w:sz w:val="24"/>
          <w:szCs w:val="24"/>
        </w:rPr>
      </w:pPr>
      <w:r w:rsidRPr="00880EEE">
        <w:rPr>
          <w:rFonts w:ascii="Arial" w:hAnsi="Arial" w:cs="Arial"/>
          <w:sz w:val="24"/>
          <w:szCs w:val="24"/>
        </w:rPr>
        <w:t>For each major capital pass-through project</w:t>
      </w:r>
      <w:r>
        <w:rPr>
          <w:rFonts w:ascii="Arial" w:hAnsi="Arial" w:cs="Arial"/>
          <w:sz w:val="24"/>
          <w:szCs w:val="24"/>
        </w:rPr>
        <w:t xml:space="preserve">, please discuss how incremental project-related revenues are reflected in rates and whether the incremental revenues are trued-up through the relevant </w:t>
      </w:r>
      <w:r w:rsidR="00757FC8">
        <w:rPr>
          <w:rFonts w:ascii="Arial" w:hAnsi="Arial" w:cs="Arial"/>
          <w:sz w:val="24"/>
          <w:szCs w:val="24"/>
        </w:rPr>
        <w:t xml:space="preserve">major capital project cost variance </w:t>
      </w:r>
      <w:r>
        <w:rPr>
          <w:rFonts w:ascii="Arial" w:hAnsi="Arial" w:cs="Arial"/>
          <w:sz w:val="24"/>
          <w:szCs w:val="24"/>
        </w:rPr>
        <w:t xml:space="preserve">accounts.  </w:t>
      </w:r>
    </w:p>
    <w:p w14:paraId="4467147D" w14:textId="77777777" w:rsidR="00335BBE" w:rsidRDefault="00335BBE" w:rsidP="00396076">
      <w:pPr>
        <w:pStyle w:val="ListParagraph"/>
        <w:spacing w:after="0"/>
        <w:rPr>
          <w:rFonts w:ascii="Arial" w:hAnsi="Arial" w:cs="Arial"/>
          <w:sz w:val="24"/>
          <w:szCs w:val="24"/>
        </w:rPr>
      </w:pPr>
    </w:p>
    <w:p w14:paraId="4189E6BD" w14:textId="77777777" w:rsidR="00CF3475" w:rsidRPr="000F74DE" w:rsidRDefault="00E46BBB" w:rsidP="00396076">
      <w:pPr>
        <w:spacing w:after="0"/>
        <w:rPr>
          <w:rFonts w:ascii="Arial" w:hAnsi="Arial" w:cs="Arial"/>
          <w:b/>
          <w:sz w:val="24"/>
          <w:szCs w:val="24"/>
          <w:u w:val="single"/>
        </w:rPr>
      </w:pPr>
      <w:r>
        <w:rPr>
          <w:rFonts w:ascii="Arial" w:hAnsi="Arial" w:cs="Arial"/>
          <w:b/>
          <w:sz w:val="24"/>
          <w:szCs w:val="24"/>
          <w:u w:val="single"/>
        </w:rPr>
        <w:t>Staff-10</w:t>
      </w:r>
    </w:p>
    <w:p w14:paraId="6265A6A4" w14:textId="77777777" w:rsidR="00CF3475" w:rsidRPr="000F74DE" w:rsidRDefault="00CF3475" w:rsidP="00396076">
      <w:pPr>
        <w:spacing w:after="0"/>
        <w:rPr>
          <w:rFonts w:ascii="Arial" w:hAnsi="Arial" w:cs="Arial"/>
          <w:b/>
          <w:sz w:val="24"/>
          <w:szCs w:val="24"/>
        </w:rPr>
      </w:pPr>
      <w:r w:rsidRPr="000F74DE">
        <w:rPr>
          <w:rFonts w:ascii="Arial" w:hAnsi="Arial" w:cs="Arial"/>
          <w:b/>
          <w:sz w:val="24"/>
          <w:szCs w:val="24"/>
        </w:rPr>
        <w:t>Ref:</w:t>
      </w:r>
      <w:r w:rsidRPr="000F74DE">
        <w:rPr>
          <w:rFonts w:ascii="Arial" w:hAnsi="Arial" w:cs="Arial"/>
          <w:b/>
          <w:sz w:val="24"/>
          <w:szCs w:val="24"/>
        </w:rPr>
        <w:tab/>
      </w:r>
      <w:r>
        <w:rPr>
          <w:rFonts w:ascii="Arial" w:hAnsi="Arial" w:cs="Arial"/>
          <w:b/>
          <w:sz w:val="24"/>
          <w:szCs w:val="24"/>
        </w:rPr>
        <w:t xml:space="preserve">Parkway West Project Costs </w:t>
      </w:r>
    </w:p>
    <w:p w14:paraId="70B6D471" w14:textId="77777777" w:rsidR="00CF3475" w:rsidRDefault="00CF3475" w:rsidP="00396076">
      <w:pPr>
        <w:spacing w:after="0"/>
        <w:ind w:firstLine="720"/>
        <w:rPr>
          <w:rFonts w:ascii="Arial" w:hAnsi="Arial" w:cs="Arial"/>
          <w:b/>
          <w:sz w:val="24"/>
          <w:szCs w:val="24"/>
        </w:rPr>
      </w:pPr>
      <w:r>
        <w:rPr>
          <w:rFonts w:ascii="Arial" w:hAnsi="Arial" w:cs="Arial"/>
          <w:b/>
          <w:sz w:val="24"/>
          <w:szCs w:val="24"/>
        </w:rPr>
        <w:t>Exhibit A / Tab 1 / pp. 28-</w:t>
      </w:r>
      <w:r w:rsidR="002E4860">
        <w:rPr>
          <w:rFonts w:ascii="Arial" w:hAnsi="Arial" w:cs="Arial"/>
          <w:b/>
          <w:sz w:val="24"/>
          <w:szCs w:val="24"/>
        </w:rPr>
        <w:t>35</w:t>
      </w:r>
    </w:p>
    <w:p w14:paraId="3100DE59" w14:textId="77777777" w:rsidR="002E4860" w:rsidRDefault="002E4860" w:rsidP="00396076">
      <w:pPr>
        <w:spacing w:after="0"/>
        <w:rPr>
          <w:rFonts w:ascii="Arial" w:hAnsi="Arial" w:cs="Arial"/>
          <w:b/>
          <w:sz w:val="24"/>
          <w:szCs w:val="24"/>
        </w:rPr>
      </w:pPr>
    </w:p>
    <w:p w14:paraId="095EDA5F" w14:textId="77777777" w:rsidR="002E4860" w:rsidRDefault="002E4860" w:rsidP="00396076">
      <w:pPr>
        <w:spacing w:after="0"/>
        <w:rPr>
          <w:rFonts w:ascii="Arial" w:hAnsi="Arial" w:cs="Arial"/>
          <w:sz w:val="24"/>
          <w:szCs w:val="24"/>
        </w:rPr>
      </w:pPr>
      <w:r w:rsidRPr="002E4860">
        <w:rPr>
          <w:rFonts w:ascii="Arial" w:hAnsi="Arial" w:cs="Arial"/>
          <w:sz w:val="24"/>
          <w:szCs w:val="24"/>
        </w:rPr>
        <w:t xml:space="preserve">Preamble: </w:t>
      </w:r>
    </w:p>
    <w:p w14:paraId="16EC206B" w14:textId="77777777" w:rsidR="002E4860" w:rsidRDefault="002E4860" w:rsidP="00396076">
      <w:pPr>
        <w:spacing w:after="0"/>
        <w:rPr>
          <w:rFonts w:ascii="Arial" w:hAnsi="Arial" w:cs="Arial"/>
          <w:sz w:val="24"/>
          <w:szCs w:val="24"/>
        </w:rPr>
      </w:pPr>
    </w:p>
    <w:p w14:paraId="7BA45B4B" w14:textId="77777777" w:rsidR="0030781F" w:rsidRDefault="002E4860" w:rsidP="00396076">
      <w:pPr>
        <w:spacing w:after="0"/>
        <w:rPr>
          <w:rFonts w:ascii="Arial" w:hAnsi="Arial" w:cs="Arial"/>
          <w:sz w:val="24"/>
          <w:szCs w:val="24"/>
        </w:rPr>
      </w:pPr>
      <w:r>
        <w:rPr>
          <w:rFonts w:ascii="Arial" w:hAnsi="Arial" w:cs="Arial"/>
          <w:sz w:val="24"/>
          <w:szCs w:val="24"/>
        </w:rPr>
        <w:t>Union noted that the balance in the account is a credit to ratepayers of $0.53 million (plus interest).</w:t>
      </w:r>
    </w:p>
    <w:p w14:paraId="6B4F55D0" w14:textId="77777777" w:rsidR="0030781F" w:rsidRDefault="0030781F" w:rsidP="00396076">
      <w:pPr>
        <w:spacing w:after="0"/>
        <w:rPr>
          <w:rFonts w:ascii="Arial" w:hAnsi="Arial" w:cs="Arial"/>
          <w:sz w:val="24"/>
          <w:szCs w:val="24"/>
        </w:rPr>
      </w:pPr>
    </w:p>
    <w:p w14:paraId="5D9BF948" w14:textId="77777777" w:rsidR="0030781F" w:rsidRDefault="002E4860" w:rsidP="00396076">
      <w:pPr>
        <w:spacing w:after="0"/>
        <w:rPr>
          <w:rFonts w:ascii="Arial" w:hAnsi="Arial" w:cs="Arial"/>
          <w:sz w:val="24"/>
          <w:szCs w:val="24"/>
        </w:rPr>
      </w:pPr>
      <w:r>
        <w:rPr>
          <w:rFonts w:ascii="Arial" w:hAnsi="Arial" w:cs="Arial"/>
          <w:sz w:val="24"/>
          <w:szCs w:val="24"/>
        </w:rPr>
        <w:t xml:space="preserve">The balance includes a credit of $0.41 million, which represents the difference between the 2017 OEB-approved revenue requirement and the 2017 actual revenue requirement. </w:t>
      </w:r>
    </w:p>
    <w:p w14:paraId="43B72E93" w14:textId="77777777" w:rsidR="0030781F" w:rsidRDefault="0030781F" w:rsidP="00396076">
      <w:pPr>
        <w:spacing w:after="0"/>
        <w:rPr>
          <w:rFonts w:ascii="Arial" w:hAnsi="Arial" w:cs="Arial"/>
          <w:sz w:val="24"/>
          <w:szCs w:val="24"/>
        </w:rPr>
      </w:pPr>
    </w:p>
    <w:p w14:paraId="65829B10" w14:textId="77777777" w:rsidR="002E4860" w:rsidRDefault="0030781F" w:rsidP="00396076">
      <w:pPr>
        <w:spacing w:after="0"/>
        <w:rPr>
          <w:rFonts w:ascii="Arial" w:hAnsi="Arial" w:cs="Arial"/>
          <w:sz w:val="24"/>
          <w:szCs w:val="24"/>
        </w:rPr>
      </w:pPr>
      <w:r>
        <w:rPr>
          <w:rFonts w:ascii="Arial" w:hAnsi="Arial" w:cs="Arial"/>
          <w:sz w:val="24"/>
          <w:szCs w:val="24"/>
        </w:rPr>
        <w:t xml:space="preserve">The remaining $0.11 million credit represents a true-up regarding property taxes between the 2015 revenue requirement included in the EB-2016-0118 proceeding and the actual 2015 revenue requirement. The true-up is due to the assessment authority not applying an assessment on the Parkway West compressor and buildings, and not reclassifying the land from farm to commercial. </w:t>
      </w:r>
    </w:p>
    <w:p w14:paraId="5E839099" w14:textId="77777777" w:rsidR="00383D61" w:rsidRDefault="00383D61" w:rsidP="00396076">
      <w:pPr>
        <w:spacing w:after="0"/>
        <w:rPr>
          <w:rFonts w:ascii="Arial" w:hAnsi="Arial" w:cs="Arial"/>
          <w:sz w:val="24"/>
          <w:szCs w:val="24"/>
        </w:rPr>
      </w:pPr>
    </w:p>
    <w:p w14:paraId="784F2AF9" w14:textId="77777777" w:rsidR="00383D61" w:rsidRDefault="00383D61" w:rsidP="00396076">
      <w:pPr>
        <w:spacing w:after="0"/>
        <w:rPr>
          <w:rFonts w:ascii="Arial" w:hAnsi="Arial" w:cs="Arial"/>
          <w:sz w:val="24"/>
          <w:szCs w:val="24"/>
        </w:rPr>
      </w:pPr>
      <w:r>
        <w:rPr>
          <w:rFonts w:ascii="Arial" w:hAnsi="Arial" w:cs="Arial"/>
          <w:sz w:val="24"/>
          <w:szCs w:val="24"/>
        </w:rPr>
        <w:t xml:space="preserve">Union proposed that the balance in the account be disposed on an interim basis, consistent with the treatment in the EB-2017-0091 proceeding, and that the prudence review be part of a future proceeding. </w:t>
      </w:r>
    </w:p>
    <w:p w14:paraId="10309A28" w14:textId="77777777" w:rsidR="0030781F" w:rsidRDefault="0030781F" w:rsidP="00396076">
      <w:pPr>
        <w:spacing w:after="0"/>
        <w:rPr>
          <w:rFonts w:ascii="Arial" w:hAnsi="Arial" w:cs="Arial"/>
          <w:sz w:val="24"/>
          <w:szCs w:val="24"/>
        </w:rPr>
      </w:pPr>
    </w:p>
    <w:p w14:paraId="3396A236" w14:textId="77777777" w:rsidR="0030781F" w:rsidRDefault="0030781F" w:rsidP="00396076">
      <w:pPr>
        <w:spacing w:after="0"/>
        <w:rPr>
          <w:rFonts w:ascii="Arial" w:hAnsi="Arial" w:cs="Arial"/>
          <w:sz w:val="24"/>
          <w:szCs w:val="24"/>
        </w:rPr>
      </w:pPr>
      <w:r>
        <w:rPr>
          <w:rFonts w:ascii="Arial" w:hAnsi="Arial" w:cs="Arial"/>
          <w:sz w:val="24"/>
          <w:szCs w:val="24"/>
        </w:rPr>
        <w:t>Question(s):</w:t>
      </w:r>
    </w:p>
    <w:p w14:paraId="34D9B581" w14:textId="77777777" w:rsidR="0030781F" w:rsidRDefault="0030781F" w:rsidP="00396076">
      <w:pPr>
        <w:spacing w:after="0"/>
        <w:rPr>
          <w:rFonts w:ascii="Arial" w:hAnsi="Arial" w:cs="Arial"/>
          <w:sz w:val="24"/>
          <w:szCs w:val="24"/>
        </w:rPr>
      </w:pPr>
    </w:p>
    <w:p w14:paraId="1F14DF12" w14:textId="77777777" w:rsidR="0030781F" w:rsidRDefault="0030781F" w:rsidP="00396076">
      <w:pPr>
        <w:pStyle w:val="ListParagraph"/>
        <w:numPr>
          <w:ilvl w:val="0"/>
          <w:numId w:val="35"/>
        </w:numPr>
        <w:spacing w:after="0"/>
        <w:rPr>
          <w:rFonts w:ascii="Arial" w:hAnsi="Arial" w:cs="Arial"/>
          <w:sz w:val="24"/>
          <w:szCs w:val="24"/>
        </w:rPr>
      </w:pPr>
      <w:r>
        <w:rPr>
          <w:rFonts w:ascii="Arial" w:hAnsi="Arial" w:cs="Arial"/>
          <w:sz w:val="24"/>
          <w:szCs w:val="24"/>
        </w:rPr>
        <w:t xml:space="preserve">Please advise whether the noted true-up was caused by Union including in its calculation of the 2015 actual revenue requirement related to this project a $0.11 million property tax debit that was never actually charged. If so, please explain why that would have been included in the 2015 actual revenue requirement calculation in EB-2016-0118. </w:t>
      </w:r>
    </w:p>
    <w:p w14:paraId="7EBE7AC5" w14:textId="77777777" w:rsidR="004F59E2" w:rsidRDefault="004F59E2" w:rsidP="00396076">
      <w:pPr>
        <w:pStyle w:val="ListParagraph"/>
        <w:spacing w:after="0"/>
        <w:rPr>
          <w:rFonts w:ascii="Arial" w:hAnsi="Arial" w:cs="Arial"/>
          <w:sz w:val="24"/>
          <w:szCs w:val="24"/>
        </w:rPr>
      </w:pPr>
    </w:p>
    <w:p w14:paraId="6C78D179" w14:textId="77777777" w:rsidR="004F59E2" w:rsidRDefault="004F59E2" w:rsidP="00396076">
      <w:pPr>
        <w:pStyle w:val="ListParagraph"/>
        <w:numPr>
          <w:ilvl w:val="0"/>
          <w:numId w:val="35"/>
        </w:numPr>
        <w:spacing w:after="0"/>
        <w:rPr>
          <w:rFonts w:ascii="Arial" w:hAnsi="Arial" w:cs="Arial"/>
          <w:sz w:val="24"/>
          <w:szCs w:val="24"/>
        </w:rPr>
      </w:pPr>
      <w:r>
        <w:rPr>
          <w:rFonts w:ascii="Arial" w:hAnsi="Arial" w:cs="Arial"/>
          <w:sz w:val="24"/>
          <w:szCs w:val="24"/>
        </w:rPr>
        <w:lastRenderedPageBreak/>
        <w:t xml:space="preserve">Please advise whether there are future capital or OM&amp;A costs associated with the “Heritage Houses” issue referenced at Exhibit A / Tab 1 / p. 31. If so, please provide an estimate of these costs and the year(s) in which these costs are expected to be incurred. </w:t>
      </w:r>
    </w:p>
    <w:p w14:paraId="7208FD2C" w14:textId="77777777" w:rsidR="004F59E2" w:rsidRPr="004F59E2" w:rsidRDefault="004F59E2" w:rsidP="00396076">
      <w:pPr>
        <w:pStyle w:val="ListParagraph"/>
        <w:rPr>
          <w:rFonts w:ascii="Arial" w:hAnsi="Arial" w:cs="Arial"/>
          <w:sz w:val="24"/>
          <w:szCs w:val="24"/>
        </w:rPr>
      </w:pPr>
    </w:p>
    <w:p w14:paraId="5DE588AE" w14:textId="77777777" w:rsidR="00391079" w:rsidRPr="00383D61" w:rsidRDefault="00383D61" w:rsidP="00396076">
      <w:pPr>
        <w:pStyle w:val="ListParagraph"/>
        <w:numPr>
          <w:ilvl w:val="0"/>
          <w:numId w:val="35"/>
        </w:numPr>
        <w:spacing w:after="0"/>
        <w:rPr>
          <w:rFonts w:ascii="Arial" w:hAnsi="Arial" w:cs="Arial"/>
          <w:sz w:val="24"/>
          <w:szCs w:val="24"/>
        </w:rPr>
      </w:pPr>
      <w:r w:rsidRPr="00383D61">
        <w:rPr>
          <w:rFonts w:ascii="Arial" w:hAnsi="Arial" w:cs="Arial"/>
          <w:sz w:val="24"/>
          <w:szCs w:val="24"/>
        </w:rPr>
        <w:t>Please adv</w:t>
      </w:r>
      <w:r>
        <w:rPr>
          <w:rFonts w:ascii="Arial" w:hAnsi="Arial" w:cs="Arial"/>
          <w:sz w:val="24"/>
          <w:szCs w:val="24"/>
        </w:rPr>
        <w:t xml:space="preserve">ise when Union intends to file </w:t>
      </w:r>
      <w:r w:rsidRPr="00383D61">
        <w:rPr>
          <w:rFonts w:ascii="Arial" w:hAnsi="Arial" w:cs="Arial"/>
          <w:sz w:val="24"/>
          <w:szCs w:val="24"/>
        </w:rPr>
        <w:t xml:space="preserve">evidence with respect to the prudence review. </w:t>
      </w:r>
    </w:p>
    <w:p w14:paraId="49B95340" w14:textId="77777777" w:rsidR="00AD1BB6" w:rsidRPr="00AD1BB6" w:rsidRDefault="00AD1BB6" w:rsidP="00396076">
      <w:pPr>
        <w:pStyle w:val="ListParagraph"/>
        <w:rPr>
          <w:rFonts w:ascii="Arial" w:hAnsi="Arial" w:cs="Arial"/>
          <w:sz w:val="24"/>
          <w:szCs w:val="24"/>
        </w:rPr>
      </w:pPr>
    </w:p>
    <w:p w14:paraId="65BBA87F" w14:textId="77777777" w:rsidR="00383D61" w:rsidRPr="000F74DE" w:rsidRDefault="00E46BBB" w:rsidP="00396076">
      <w:pPr>
        <w:spacing w:after="0"/>
        <w:rPr>
          <w:rFonts w:ascii="Arial" w:hAnsi="Arial" w:cs="Arial"/>
          <w:b/>
          <w:sz w:val="24"/>
          <w:szCs w:val="24"/>
          <w:u w:val="single"/>
        </w:rPr>
      </w:pPr>
      <w:r>
        <w:rPr>
          <w:rFonts w:ascii="Arial" w:hAnsi="Arial" w:cs="Arial"/>
          <w:b/>
          <w:sz w:val="24"/>
          <w:szCs w:val="24"/>
          <w:u w:val="single"/>
        </w:rPr>
        <w:t>Staff-11</w:t>
      </w:r>
    </w:p>
    <w:p w14:paraId="6B3BFFB4" w14:textId="77777777" w:rsidR="00383D61" w:rsidRPr="000F74DE" w:rsidRDefault="00383D61" w:rsidP="00396076">
      <w:pPr>
        <w:spacing w:after="0"/>
        <w:rPr>
          <w:rFonts w:ascii="Arial" w:hAnsi="Arial" w:cs="Arial"/>
          <w:b/>
          <w:sz w:val="24"/>
          <w:szCs w:val="24"/>
        </w:rPr>
      </w:pPr>
      <w:r w:rsidRPr="000F74DE">
        <w:rPr>
          <w:rFonts w:ascii="Arial" w:hAnsi="Arial" w:cs="Arial"/>
          <w:b/>
          <w:sz w:val="24"/>
          <w:szCs w:val="24"/>
        </w:rPr>
        <w:t>Ref:</w:t>
      </w:r>
      <w:r w:rsidRPr="000F74DE">
        <w:rPr>
          <w:rFonts w:ascii="Arial" w:hAnsi="Arial" w:cs="Arial"/>
          <w:b/>
          <w:sz w:val="24"/>
          <w:szCs w:val="24"/>
        </w:rPr>
        <w:tab/>
      </w:r>
      <w:r>
        <w:rPr>
          <w:rFonts w:ascii="Arial" w:hAnsi="Arial" w:cs="Arial"/>
          <w:b/>
          <w:sz w:val="24"/>
          <w:szCs w:val="24"/>
        </w:rPr>
        <w:t xml:space="preserve">Brantford-Kirkwall / Parkway D Project Costs </w:t>
      </w:r>
    </w:p>
    <w:p w14:paraId="77CD87FC" w14:textId="77777777" w:rsidR="00383D61" w:rsidRDefault="00383D61" w:rsidP="00396076">
      <w:pPr>
        <w:spacing w:after="0"/>
        <w:ind w:firstLine="720"/>
        <w:rPr>
          <w:rFonts w:ascii="Arial" w:hAnsi="Arial" w:cs="Arial"/>
          <w:b/>
          <w:sz w:val="24"/>
          <w:szCs w:val="24"/>
        </w:rPr>
      </w:pPr>
      <w:r>
        <w:rPr>
          <w:rFonts w:ascii="Arial" w:hAnsi="Arial" w:cs="Arial"/>
          <w:b/>
          <w:sz w:val="24"/>
          <w:szCs w:val="24"/>
        </w:rPr>
        <w:t>Exhibit A / Tab 1 / p. 35-36</w:t>
      </w:r>
    </w:p>
    <w:p w14:paraId="22E6C875" w14:textId="77777777" w:rsidR="00383D61" w:rsidRDefault="00383D61" w:rsidP="00396076">
      <w:pPr>
        <w:spacing w:after="0"/>
        <w:rPr>
          <w:rFonts w:ascii="Arial" w:hAnsi="Arial" w:cs="Arial"/>
          <w:b/>
          <w:sz w:val="24"/>
          <w:szCs w:val="24"/>
        </w:rPr>
      </w:pPr>
    </w:p>
    <w:p w14:paraId="0AA4F85D" w14:textId="77777777" w:rsidR="00383D61" w:rsidRDefault="00383D61" w:rsidP="00396076">
      <w:pPr>
        <w:spacing w:after="0"/>
        <w:rPr>
          <w:rFonts w:ascii="Arial" w:hAnsi="Arial" w:cs="Arial"/>
          <w:sz w:val="24"/>
          <w:szCs w:val="24"/>
        </w:rPr>
      </w:pPr>
      <w:r>
        <w:rPr>
          <w:rFonts w:ascii="Arial" w:hAnsi="Arial" w:cs="Arial"/>
          <w:sz w:val="24"/>
          <w:szCs w:val="24"/>
        </w:rPr>
        <w:t>Question(s):</w:t>
      </w:r>
    </w:p>
    <w:p w14:paraId="75D8C2AD" w14:textId="77777777" w:rsidR="00383D61" w:rsidRDefault="00383D61" w:rsidP="00396076">
      <w:pPr>
        <w:spacing w:after="0"/>
        <w:rPr>
          <w:rFonts w:ascii="Arial" w:hAnsi="Arial" w:cs="Arial"/>
          <w:b/>
          <w:sz w:val="24"/>
          <w:szCs w:val="24"/>
        </w:rPr>
      </w:pPr>
    </w:p>
    <w:p w14:paraId="17B15E36" w14:textId="77777777" w:rsidR="00383D61" w:rsidRDefault="00383D61" w:rsidP="00396076">
      <w:pPr>
        <w:pStyle w:val="ListParagraph"/>
        <w:numPr>
          <w:ilvl w:val="0"/>
          <w:numId w:val="37"/>
        </w:numPr>
        <w:spacing w:after="0"/>
        <w:rPr>
          <w:rFonts w:ascii="Arial" w:hAnsi="Arial" w:cs="Arial"/>
          <w:sz w:val="24"/>
          <w:szCs w:val="24"/>
        </w:rPr>
      </w:pPr>
      <w:r>
        <w:rPr>
          <w:rFonts w:ascii="Arial" w:hAnsi="Arial" w:cs="Arial"/>
          <w:sz w:val="24"/>
          <w:szCs w:val="24"/>
        </w:rPr>
        <w:t xml:space="preserve">Please advise whether the 2015 property tax true-up for the Brantford-Kirkwall / Parkway D project is the same issue as the Parkway West ($0.11 million) property tax true-up. </w:t>
      </w:r>
    </w:p>
    <w:p w14:paraId="0A77FEBC" w14:textId="77777777" w:rsidR="00383D61" w:rsidRDefault="00383D61" w:rsidP="00396076">
      <w:pPr>
        <w:spacing w:after="0"/>
        <w:rPr>
          <w:rFonts w:ascii="Arial" w:hAnsi="Arial" w:cs="Arial"/>
          <w:sz w:val="24"/>
          <w:szCs w:val="24"/>
        </w:rPr>
      </w:pPr>
    </w:p>
    <w:p w14:paraId="38741FDB" w14:textId="77777777" w:rsidR="00C868BD" w:rsidRPr="000F74DE" w:rsidRDefault="00E46BBB" w:rsidP="00396076">
      <w:pPr>
        <w:spacing w:after="0"/>
        <w:rPr>
          <w:rFonts w:ascii="Arial" w:hAnsi="Arial" w:cs="Arial"/>
          <w:b/>
          <w:sz w:val="24"/>
          <w:szCs w:val="24"/>
          <w:u w:val="single"/>
        </w:rPr>
      </w:pPr>
      <w:r>
        <w:rPr>
          <w:rFonts w:ascii="Arial" w:hAnsi="Arial" w:cs="Arial"/>
          <w:b/>
          <w:sz w:val="24"/>
          <w:szCs w:val="24"/>
          <w:u w:val="single"/>
        </w:rPr>
        <w:t>Staff-12</w:t>
      </w:r>
    </w:p>
    <w:p w14:paraId="59F6D8D1" w14:textId="77777777" w:rsidR="00C868BD" w:rsidRPr="000F74DE" w:rsidRDefault="00C868BD" w:rsidP="00396076">
      <w:pPr>
        <w:spacing w:after="0"/>
        <w:rPr>
          <w:rFonts w:ascii="Arial" w:hAnsi="Arial" w:cs="Arial"/>
          <w:b/>
          <w:sz w:val="24"/>
          <w:szCs w:val="24"/>
        </w:rPr>
      </w:pPr>
      <w:r w:rsidRPr="000F74DE">
        <w:rPr>
          <w:rFonts w:ascii="Arial" w:hAnsi="Arial" w:cs="Arial"/>
          <w:b/>
          <w:sz w:val="24"/>
          <w:szCs w:val="24"/>
        </w:rPr>
        <w:t>Ref:</w:t>
      </w:r>
      <w:r w:rsidRPr="000F74DE">
        <w:rPr>
          <w:rFonts w:ascii="Arial" w:hAnsi="Arial" w:cs="Arial"/>
          <w:b/>
          <w:sz w:val="24"/>
          <w:szCs w:val="24"/>
        </w:rPr>
        <w:tab/>
      </w:r>
      <w:r>
        <w:rPr>
          <w:rFonts w:ascii="Arial" w:hAnsi="Arial" w:cs="Arial"/>
          <w:b/>
          <w:sz w:val="24"/>
          <w:szCs w:val="24"/>
        </w:rPr>
        <w:t xml:space="preserve">Unaccounted for Gas (UFG) Price Variance Account </w:t>
      </w:r>
    </w:p>
    <w:p w14:paraId="6DE8B5F8" w14:textId="77777777" w:rsidR="00C868BD" w:rsidRDefault="00C868BD" w:rsidP="00396076">
      <w:pPr>
        <w:spacing w:after="0"/>
        <w:ind w:firstLine="720"/>
        <w:rPr>
          <w:rFonts w:ascii="Arial" w:hAnsi="Arial" w:cs="Arial"/>
          <w:b/>
          <w:sz w:val="24"/>
          <w:szCs w:val="24"/>
        </w:rPr>
      </w:pPr>
      <w:r>
        <w:rPr>
          <w:rFonts w:ascii="Arial" w:hAnsi="Arial" w:cs="Arial"/>
          <w:b/>
          <w:sz w:val="24"/>
          <w:szCs w:val="24"/>
        </w:rPr>
        <w:t>Exhibit A / Tab 1 / p. 44</w:t>
      </w:r>
    </w:p>
    <w:p w14:paraId="1399E874" w14:textId="77777777" w:rsidR="00C868BD" w:rsidRDefault="00C868BD" w:rsidP="00396076">
      <w:pPr>
        <w:spacing w:after="0"/>
        <w:rPr>
          <w:rFonts w:ascii="Arial" w:hAnsi="Arial" w:cs="Arial"/>
          <w:b/>
          <w:sz w:val="24"/>
          <w:szCs w:val="24"/>
        </w:rPr>
      </w:pPr>
    </w:p>
    <w:p w14:paraId="12775946" w14:textId="77777777" w:rsidR="00C868BD" w:rsidRDefault="00C868BD" w:rsidP="00396076">
      <w:pPr>
        <w:spacing w:after="0"/>
        <w:rPr>
          <w:rFonts w:ascii="Arial" w:hAnsi="Arial" w:cs="Arial"/>
          <w:sz w:val="24"/>
          <w:szCs w:val="24"/>
        </w:rPr>
      </w:pPr>
      <w:r w:rsidRPr="002E4860">
        <w:rPr>
          <w:rFonts w:ascii="Arial" w:hAnsi="Arial" w:cs="Arial"/>
          <w:sz w:val="24"/>
          <w:szCs w:val="24"/>
        </w:rPr>
        <w:t xml:space="preserve">Preamble: </w:t>
      </w:r>
    </w:p>
    <w:p w14:paraId="07A88F93" w14:textId="77777777" w:rsidR="00383D61" w:rsidRDefault="00383D61" w:rsidP="00396076">
      <w:pPr>
        <w:spacing w:after="0"/>
        <w:rPr>
          <w:rFonts w:ascii="Arial" w:hAnsi="Arial" w:cs="Arial"/>
          <w:sz w:val="24"/>
          <w:szCs w:val="24"/>
        </w:rPr>
      </w:pPr>
    </w:p>
    <w:p w14:paraId="6898B645" w14:textId="77777777" w:rsidR="00C868BD" w:rsidRDefault="00C868BD" w:rsidP="00396076">
      <w:pPr>
        <w:spacing w:after="0"/>
        <w:rPr>
          <w:rFonts w:ascii="Arial" w:hAnsi="Arial" w:cs="Arial"/>
          <w:sz w:val="24"/>
          <w:szCs w:val="24"/>
        </w:rPr>
      </w:pPr>
      <w:r>
        <w:rPr>
          <w:rFonts w:ascii="Arial" w:hAnsi="Arial" w:cs="Arial"/>
          <w:sz w:val="24"/>
          <w:szCs w:val="24"/>
        </w:rPr>
        <w:t>Union noted that the actual monthly cost of the Union South gas portfolio in 2017 was $159.596 / 10</w:t>
      </w:r>
      <w:r w:rsidRPr="00C868BD">
        <w:rPr>
          <w:rFonts w:ascii="Arial" w:hAnsi="Arial" w:cs="Arial"/>
          <w:sz w:val="24"/>
          <w:szCs w:val="24"/>
          <w:vertAlign w:val="superscript"/>
        </w:rPr>
        <w:t>3</w:t>
      </w:r>
      <w:r>
        <w:rPr>
          <w:rFonts w:ascii="Arial" w:hAnsi="Arial" w:cs="Arial"/>
          <w:sz w:val="24"/>
          <w:szCs w:val="24"/>
        </w:rPr>
        <w:t>m</w:t>
      </w:r>
      <w:r w:rsidRPr="00C868BD">
        <w:rPr>
          <w:rFonts w:ascii="Arial" w:hAnsi="Arial" w:cs="Arial"/>
          <w:sz w:val="24"/>
          <w:szCs w:val="24"/>
          <w:vertAlign w:val="superscript"/>
        </w:rPr>
        <w:t>3</w:t>
      </w:r>
      <w:r>
        <w:rPr>
          <w:rFonts w:ascii="Arial" w:hAnsi="Arial" w:cs="Arial"/>
          <w:sz w:val="24"/>
          <w:szCs w:val="24"/>
        </w:rPr>
        <w:t>, which is $3.95 / 10</w:t>
      </w:r>
      <w:r w:rsidRPr="00C868BD">
        <w:rPr>
          <w:rFonts w:ascii="Arial" w:hAnsi="Arial" w:cs="Arial"/>
          <w:sz w:val="24"/>
          <w:szCs w:val="24"/>
          <w:vertAlign w:val="superscript"/>
        </w:rPr>
        <w:t>3</w:t>
      </w:r>
      <w:r>
        <w:rPr>
          <w:rFonts w:ascii="Arial" w:hAnsi="Arial" w:cs="Arial"/>
          <w:sz w:val="24"/>
          <w:szCs w:val="24"/>
        </w:rPr>
        <w:t>m</w:t>
      </w:r>
      <w:r w:rsidRPr="00C868BD">
        <w:rPr>
          <w:rFonts w:ascii="Arial" w:hAnsi="Arial" w:cs="Arial"/>
          <w:sz w:val="24"/>
          <w:szCs w:val="24"/>
          <w:vertAlign w:val="superscript"/>
        </w:rPr>
        <w:t>3</w:t>
      </w:r>
      <w:r>
        <w:rPr>
          <w:rFonts w:ascii="Arial" w:hAnsi="Arial" w:cs="Arial"/>
          <w:sz w:val="24"/>
          <w:szCs w:val="24"/>
        </w:rPr>
        <w:t xml:space="preserve"> higher than the OEB-approved reference prices included in rates. </w:t>
      </w:r>
    </w:p>
    <w:p w14:paraId="459553ED" w14:textId="77777777" w:rsidR="00C868BD" w:rsidRDefault="00C868BD" w:rsidP="00396076">
      <w:pPr>
        <w:spacing w:after="0"/>
        <w:rPr>
          <w:rFonts w:ascii="Arial" w:hAnsi="Arial" w:cs="Arial"/>
          <w:sz w:val="24"/>
          <w:szCs w:val="24"/>
        </w:rPr>
      </w:pPr>
    </w:p>
    <w:p w14:paraId="0CC1834B" w14:textId="77777777" w:rsidR="00C868BD" w:rsidRDefault="00C868BD" w:rsidP="00396076">
      <w:pPr>
        <w:spacing w:after="0"/>
        <w:rPr>
          <w:rFonts w:ascii="Arial" w:hAnsi="Arial" w:cs="Arial"/>
          <w:sz w:val="24"/>
          <w:szCs w:val="24"/>
        </w:rPr>
      </w:pPr>
      <w:r>
        <w:rPr>
          <w:rFonts w:ascii="Arial" w:hAnsi="Arial" w:cs="Arial"/>
          <w:sz w:val="24"/>
          <w:szCs w:val="24"/>
        </w:rPr>
        <w:t>Question(s):</w:t>
      </w:r>
    </w:p>
    <w:p w14:paraId="76D67FB4" w14:textId="77777777" w:rsidR="00C868BD" w:rsidRDefault="00C868BD" w:rsidP="00396076">
      <w:pPr>
        <w:spacing w:after="0"/>
        <w:rPr>
          <w:rFonts w:ascii="Arial" w:hAnsi="Arial" w:cs="Arial"/>
          <w:sz w:val="24"/>
          <w:szCs w:val="24"/>
        </w:rPr>
      </w:pPr>
    </w:p>
    <w:p w14:paraId="1DEE03B8" w14:textId="77777777" w:rsidR="00C868BD" w:rsidRDefault="00C868BD" w:rsidP="00396076">
      <w:pPr>
        <w:pStyle w:val="ListParagraph"/>
        <w:numPr>
          <w:ilvl w:val="0"/>
          <w:numId w:val="38"/>
        </w:numPr>
        <w:spacing w:after="0"/>
        <w:rPr>
          <w:rFonts w:ascii="Arial" w:hAnsi="Arial" w:cs="Arial"/>
          <w:sz w:val="24"/>
          <w:szCs w:val="24"/>
        </w:rPr>
      </w:pPr>
      <w:r>
        <w:rPr>
          <w:rFonts w:ascii="Arial" w:hAnsi="Arial" w:cs="Arial"/>
          <w:sz w:val="24"/>
          <w:szCs w:val="24"/>
        </w:rPr>
        <w:t>Please provide a detailed calculation supporting the price variance</w:t>
      </w:r>
      <w:r w:rsidR="00E46BBB">
        <w:rPr>
          <w:rFonts w:ascii="Arial" w:hAnsi="Arial" w:cs="Arial"/>
          <w:sz w:val="24"/>
          <w:szCs w:val="24"/>
        </w:rPr>
        <w:t xml:space="preserve"> of $3.95 / 10</w:t>
      </w:r>
      <w:r w:rsidR="00E46BBB" w:rsidRPr="00C868BD">
        <w:rPr>
          <w:rFonts w:ascii="Arial" w:hAnsi="Arial" w:cs="Arial"/>
          <w:sz w:val="24"/>
          <w:szCs w:val="24"/>
          <w:vertAlign w:val="superscript"/>
        </w:rPr>
        <w:t>3</w:t>
      </w:r>
      <w:r w:rsidR="00E46BBB">
        <w:rPr>
          <w:rFonts w:ascii="Arial" w:hAnsi="Arial" w:cs="Arial"/>
          <w:sz w:val="24"/>
          <w:szCs w:val="24"/>
        </w:rPr>
        <w:t>m</w:t>
      </w:r>
      <w:r w:rsidR="00E46BBB" w:rsidRPr="00C868BD">
        <w:rPr>
          <w:rFonts w:ascii="Arial" w:hAnsi="Arial" w:cs="Arial"/>
          <w:sz w:val="24"/>
          <w:szCs w:val="24"/>
          <w:vertAlign w:val="superscript"/>
        </w:rPr>
        <w:t>3</w:t>
      </w:r>
      <w:r>
        <w:rPr>
          <w:rFonts w:ascii="Arial" w:hAnsi="Arial" w:cs="Arial"/>
          <w:sz w:val="24"/>
          <w:szCs w:val="24"/>
        </w:rPr>
        <w:t xml:space="preserve">. </w:t>
      </w:r>
      <w:r w:rsidRPr="00C868BD">
        <w:rPr>
          <w:rFonts w:ascii="Arial" w:hAnsi="Arial" w:cs="Arial"/>
          <w:sz w:val="24"/>
          <w:szCs w:val="24"/>
        </w:rPr>
        <w:t xml:space="preserve"> </w:t>
      </w:r>
    </w:p>
    <w:p w14:paraId="4F116FE7" w14:textId="77777777" w:rsidR="00A4642B" w:rsidRDefault="00A4642B" w:rsidP="00396076">
      <w:pPr>
        <w:spacing w:after="0"/>
        <w:rPr>
          <w:rFonts w:ascii="Arial" w:hAnsi="Arial" w:cs="Arial"/>
          <w:sz w:val="24"/>
          <w:szCs w:val="24"/>
        </w:rPr>
      </w:pPr>
    </w:p>
    <w:p w14:paraId="6AFEC463" w14:textId="77777777" w:rsidR="007C4AA4" w:rsidRPr="000F74DE" w:rsidRDefault="00E46BBB" w:rsidP="00396076">
      <w:pPr>
        <w:spacing w:after="0"/>
        <w:rPr>
          <w:rFonts w:ascii="Arial" w:hAnsi="Arial" w:cs="Arial"/>
          <w:b/>
          <w:sz w:val="24"/>
          <w:szCs w:val="24"/>
          <w:u w:val="single"/>
        </w:rPr>
      </w:pPr>
      <w:r>
        <w:rPr>
          <w:rFonts w:ascii="Arial" w:hAnsi="Arial" w:cs="Arial"/>
          <w:b/>
          <w:sz w:val="24"/>
          <w:szCs w:val="24"/>
          <w:u w:val="single"/>
        </w:rPr>
        <w:t>Staff-13</w:t>
      </w:r>
    </w:p>
    <w:p w14:paraId="4AC0F124" w14:textId="77777777" w:rsidR="007C4AA4" w:rsidRPr="000F74DE" w:rsidRDefault="007C4AA4" w:rsidP="00396076">
      <w:pPr>
        <w:spacing w:after="0"/>
        <w:rPr>
          <w:rFonts w:ascii="Arial" w:hAnsi="Arial" w:cs="Arial"/>
          <w:b/>
          <w:sz w:val="24"/>
          <w:szCs w:val="24"/>
        </w:rPr>
      </w:pPr>
      <w:r w:rsidRPr="000F74DE">
        <w:rPr>
          <w:rFonts w:ascii="Arial" w:hAnsi="Arial" w:cs="Arial"/>
          <w:b/>
          <w:sz w:val="24"/>
          <w:szCs w:val="24"/>
        </w:rPr>
        <w:t>Ref:</w:t>
      </w:r>
      <w:r w:rsidRPr="000F74DE">
        <w:rPr>
          <w:rFonts w:ascii="Arial" w:hAnsi="Arial" w:cs="Arial"/>
          <w:b/>
          <w:sz w:val="24"/>
          <w:szCs w:val="24"/>
        </w:rPr>
        <w:tab/>
      </w:r>
      <w:r>
        <w:rPr>
          <w:rFonts w:ascii="Arial" w:hAnsi="Arial" w:cs="Arial"/>
          <w:b/>
          <w:sz w:val="24"/>
          <w:szCs w:val="24"/>
        </w:rPr>
        <w:t xml:space="preserve">Lobo D / Bright C / Dawn H Compressor Project Costs  </w:t>
      </w:r>
    </w:p>
    <w:p w14:paraId="66EFD090" w14:textId="77777777" w:rsidR="007C4AA4" w:rsidRDefault="007C4AA4" w:rsidP="00396076">
      <w:pPr>
        <w:spacing w:after="0"/>
        <w:ind w:firstLine="720"/>
        <w:rPr>
          <w:rFonts w:ascii="Arial" w:hAnsi="Arial" w:cs="Arial"/>
          <w:b/>
          <w:sz w:val="24"/>
          <w:szCs w:val="24"/>
        </w:rPr>
      </w:pPr>
      <w:r>
        <w:rPr>
          <w:rFonts w:ascii="Arial" w:hAnsi="Arial" w:cs="Arial"/>
          <w:b/>
          <w:sz w:val="24"/>
          <w:szCs w:val="24"/>
        </w:rPr>
        <w:t xml:space="preserve">Exhibit A / Tab 1 / pp. 50-58 </w:t>
      </w:r>
    </w:p>
    <w:p w14:paraId="19210007" w14:textId="77777777" w:rsidR="007C4AA4" w:rsidRDefault="007C4AA4" w:rsidP="00396076">
      <w:pPr>
        <w:spacing w:after="0"/>
        <w:rPr>
          <w:rFonts w:ascii="Arial" w:hAnsi="Arial" w:cs="Arial"/>
          <w:b/>
          <w:sz w:val="24"/>
          <w:szCs w:val="24"/>
        </w:rPr>
      </w:pPr>
    </w:p>
    <w:p w14:paraId="220ACC9C" w14:textId="77777777" w:rsidR="007C4AA4" w:rsidRDefault="007C4AA4" w:rsidP="00396076">
      <w:pPr>
        <w:spacing w:after="0"/>
        <w:rPr>
          <w:rFonts w:ascii="Arial" w:hAnsi="Arial" w:cs="Arial"/>
          <w:sz w:val="24"/>
          <w:szCs w:val="24"/>
        </w:rPr>
      </w:pPr>
      <w:r w:rsidRPr="002E4860">
        <w:rPr>
          <w:rFonts w:ascii="Arial" w:hAnsi="Arial" w:cs="Arial"/>
          <w:sz w:val="24"/>
          <w:szCs w:val="24"/>
        </w:rPr>
        <w:t xml:space="preserve">Preamble: </w:t>
      </w:r>
    </w:p>
    <w:p w14:paraId="13583BC4" w14:textId="77777777" w:rsidR="007C4AA4" w:rsidRDefault="007C4AA4" w:rsidP="00396076">
      <w:pPr>
        <w:spacing w:after="0"/>
        <w:rPr>
          <w:rFonts w:ascii="Arial" w:hAnsi="Arial" w:cs="Arial"/>
          <w:sz w:val="24"/>
          <w:szCs w:val="24"/>
        </w:rPr>
      </w:pPr>
    </w:p>
    <w:p w14:paraId="3AF97F6F" w14:textId="77777777" w:rsidR="007C4AA4" w:rsidRDefault="007C4AA4" w:rsidP="00396076">
      <w:pPr>
        <w:spacing w:after="0"/>
        <w:rPr>
          <w:rFonts w:ascii="Arial" w:hAnsi="Arial" w:cs="Arial"/>
          <w:sz w:val="24"/>
          <w:szCs w:val="24"/>
        </w:rPr>
      </w:pPr>
      <w:r>
        <w:rPr>
          <w:rFonts w:ascii="Arial" w:hAnsi="Arial" w:cs="Arial"/>
          <w:sz w:val="24"/>
          <w:szCs w:val="24"/>
        </w:rPr>
        <w:lastRenderedPageBreak/>
        <w:t xml:space="preserve">Union noted that a small portion of the balance in the account is related to two 2016 adjustments (an interest rate true-up and a capital expenditure related true-up). </w:t>
      </w:r>
    </w:p>
    <w:p w14:paraId="109A85C4" w14:textId="77777777" w:rsidR="007C4AA4" w:rsidRDefault="007C4AA4" w:rsidP="00396076">
      <w:pPr>
        <w:spacing w:after="0"/>
        <w:rPr>
          <w:rFonts w:ascii="Arial" w:hAnsi="Arial" w:cs="Arial"/>
          <w:sz w:val="24"/>
          <w:szCs w:val="24"/>
        </w:rPr>
      </w:pPr>
    </w:p>
    <w:p w14:paraId="130A6BC6" w14:textId="77777777" w:rsidR="007C4AA4" w:rsidRDefault="007C4AA4" w:rsidP="00396076">
      <w:pPr>
        <w:spacing w:after="0"/>
        <w:rPr>
          <w:rFonts w:ascii="Arial" w:hAnsi="Arial" w:cs="Arial"/>
          <w:sz w:val="24"/>
          <w:szCs w:val="24"/>
        </w:rPr>
      </w:pPr>
      <w:r>
        <w:rPr>
          <w:rFonts w:ascii="Arial" w:hAnsi="Arial" w:cs="Arial"/>
          <w:sz w:val="24"/>
          <w:szCs w:val="24"/>
        </w:rPr>
        <w:t xml:space="preserve">Union also noted that, as part of the EB-2015-0200 Settlement Agreement, it agreed to record in the deferral account variances in actual revenue generated from forecast surplus capacity (30,393 GJ/d) relative to the maximum annual revenue of $1.34 million that could be realized from the sale of long-term firm surplus capacity effective November 1, 2017. Union stated that its actual Dawn to Parkway </w:t>
      </w:r>
      <w:r w:rsidR="001A2E8E">
        <w:rPr>
          <w:rFonts w:ascii="Arial" w:hAnsi="Arial" w:cs="Arial"/>
          <w:sz w:val="24"/>
          <w:szCs w:val="24"/>
        </w:rPr>
        <w:t>s</w:t>
      </w:r>
      <w:r>
        <w:rPr>
          <w:rFonts w:ascii="Arial" w:hAnsi="Arial" w:cs="Arial"/>
          <w:sz w:val="24"/>
          <w:szCs w:val="24"/>
        </w:rPr>
        <w:t xml:space="preserve">urplus for the winter 2017 / 2018 was in excess of 30,393 GJ/d, therefore no long-term Parkway revenue was earned from the forecast surplus to apply against the deferral account. </w:t>
      </w:r>
    </w:p>
    <w:p w14:paraId="11D54DEB" w14:textId="77777777" w:rsidR="007C4AA4" w:rsidRDefault="007C4AA4" w:rsidP="00396076">
      <w:pPr>
        <w:spacing w:after="0"/>
        <w:rPr>
          <w:rFonts w:ascii="Arial" w:hAnsi="Arial" w:cs="Arial"/>
          <w:sz w:val="24"/>
          <w:szCs w:val="24"/>
        </w:rPr>
      </w:pPr>
    </w:p>
    <w:p w14:paraId="3F1AF2AF" w14:textId="77777777" w:rsidR="007C4AA4" w:rsidRDefault="007C4AA4" w:rsidP="00396076">
      <w:pPr>
        <w:spacing w:after="0"/>
        <w:rPr>
          <w:rFonts w:ascii="Arial" w:hAnsi="Arial" w:cs="Arial"/>
          <w:sz w:val="24"/>
          <w:szCs w:val="24"/>
        </w:rPr>
      </w:pPr>
      <w:r>
        <w:rPr>
          <w:rFonts w:ascii="Arial" w:hAnsi="Arial" w:cs="Arial"/>
          <w:sz w:val="24"/>
          <w:szCs w:val="24"/>
        </w:rPr>
        <w:t>Question(s):</w:t>
      </w:r>
    </w:p>
    <w:p w14:paraId="07DCF3E7" w14:textId="77777777" w:rsidR="007C4AA4" w:rsidRDefault="007C4AA4" w:rsidP="00396076">
      <w:pPr>
        <w:spacing w:after="0"/>
        <w:rPr>
          <w:rFonts w:ascii="Arial" w:hAnsi="Arial" w:cs="Arial"/>
          <w:sz w:val="24"/>
          <w:szCs w:val="24"/>
        </w:rPr>
      </w:pPr>
    </w:p>
    <w:p w14:paraId="42858D9B" w14:textId="77777777" w:rsidR="007C4AA4" w:rsidRDefault="007C4AA4" w:rsidP="00396076">
      <w:pPr>
        <w:pStyle w:val="ListParagraph"/>
        <w:numPr>
          <w:ilvl w:val="0"/>
          <w:numId w:val="40"/>
        </w:numPr>
        <w:spacing w:after="0"/>
        <w:rPr>
          <w:rFonts w:ascii="Arial" w:hAnsi="Arial" w:cs="Arial"/>
          <w:sz w:val="24"/>
          <w:szCs w:val="24"/>
        </w:rPr>
      </w:pPr>
      <w:r>
        <w:rPr>
          <w:rFonts w:ascii="Arial" w:hAnsi="Arial" w:cs="Arial"/>
          <w:sz w:val="24"/>
          <w:szCs w:val="24"/>
        </w:rPr>
        <w:t xml:space="preserve">Please further explain the two 2016-related adjustments and provide the 2016 revenue requirement table (EB-2017-0091 / Exhibit A / Tab 1 / p. 56 / Table 20) with an additional column that shows the revised 2016 actuals reflecting the two noted adjustments. </w:t>
      </w:r>
    </w:p>
    <w:p w14:paraId="18963EFD" w14:textId="77777777" w:rsidR="007C4AA4" w:rsidRDefault="007C4AA4" w:rsidP="00396076">
      <w:pPr>
        <w:pStyle w:val="ListParagraph"/>
        <w:spacing w:after="0"/>
        <w:rPr>
          <w:rFonts w:ascii="Arial" w:hAnsi="Arial" w:cs="Arial"/>
          <w:sz w:val="24"/>
          <w:szCs w:val="24"/>
        </w:rPr>
      </w:pPr>
    </w:p>
    <w:p w14:paraId="56FB34EB" w14:textId="77777777" w:rsidR="001A2E8E" w:rsidRDefault="001A2E8E" w:rsidP="00396076">
      <w:pPr>
        <w:pStyle w:val="ListParagraph"/>
        <w:numPr>
          <w:ilvl w:val="0"/>
          <w:numId w:val="40"/>
        </w:numPr>
        <w:spacing w:after="0"/>
        <w:rPr>
          <w:rFonts w:ascii="Arial" w:hAnsi="Arial" w:cs="Arial"/>
          <w:sz w:val="24"/>
          <w:szCs w:val="24"/>
        </w:rPr>
      </w:pPr>
      <w:r>
        <w:rPr>
          <w:rFonts w:ascii="Arial" w:hAnsi="Arial" w:cs="Arial"/>
          <w:sz w:val="24"/>
          <w:szCs w:val="24"/>
        </w:rPr>
        <w:t xml:space="preserve">Please explain how Union determines whether there is a credit related to the sale of the surplus capacity (30,393 GJ/d) to apply against the balance in the variance account. Specifically, please discuss why having a Dawn to Parkway surplus in excess of 30,393 GJ/d would </w:t>
      </w:r>
      <w:r w:rsidR="00467876">
        <w:rPr>
          <w:rFonts w:ascii="Arial" w:hAnsi="Arial" w:cs="Arial"/>
          <w:sz w:val="24"/>
          <w:szCs w:val="24"/>
        </w:rPr>
        <w:t>mean that there are</w:t>
      </w:r>
      <w:r>
        <w:rPr>
          <w:rFonts w:ascii="Arial" w:hAnsi="Arial" w:cs="Arial"/>
          <w:sz w:val="24"/>
          <w:szCs w:val="24"/>
        </w:rPr>
        <w:t xml:space="preserve"> no revenues (credits) to apply to the account. </w:t>
      </w:r>
    </w:p>
    <w:p w14:paraId="7E2A005F" w14:textId="77777777" w:rsidR="00E46BBB" w:rsidRDefault="00E46BBB" w:rsidP="00396076">
      <w:pPr>
        <w:spacing w:after="0"/>
        <w:rPr>
          <w:rFonts w:ascii="Arial" w:hAnsi="Arial" w:cs="Arial"/>
          <w:b/>
          <w:sz w:val="24"/>
          <w:szCs w:val="24"/>
          <w:u w:val="single"/>
        </w:rPr>
      </w:pPr>
    </w:p>
    <w:p w14:paraId="2C5D3705" w14:textId="77777777" w:rsidR="00D604B8" w:rsidRPr="000F74DE" w:rsidRDefault="00E46BBB" w:rsidP="00396076">
      <w:pPr>
        <w:spacing w:after="0"/>
        <w:rPr>
          <w:rFonts w:ascii="Arial" w:hAnsi="Arial" w:cs="Arial"/>
          <w:b/>
          <w:sz w:val="24"/>
          <w:szCs w:val="24"/>
          <w:u w:val="single"/>
        </w:rPr>
      </w:pPr>
      <w:r>
        <w:rPr>
          <w:rFonts w:ascii="Arial" w:hAnsi="Arial" w:cs="Arial"/>
          <w:b/>
          <w:sz w:val="24"/>
          <w:szCs w:val="24"/>
          <w:u w:val="single"/>
        </w:rPr>
        <w:t>Staff-14</w:t>
      </w:r>
    </w:p>
    <w:p w14:paraId="0F14940F" w14:textId="77777777" w:rsidR="00D604B8" w:rsidRPr="000F74DE" w:rsidRDefault="00D604B8" w:rsidP="00396076">
      <w:pPr>
        <w:spacing w:after="0"/>
        <w:rPr>
          <w:rFonts w:ascii="Arial" w:hAnsi="Arial" w:cs="Arial"/>
          <w:b/>
          <w:sz w:val="24"/>
          <w:szCs w:val="24"/>
        </w:rPr>
      </w:pPr>
      <w:r w:rsidRPr="000F74DE">
        <w:rPr>
          <w:rFonts w:ascii="Arial" w:hAnsi="Arial" w:cs="Arial"/>
          <w:b/>
          <w:sz w:val="24"/>
          <w:szCs w:val="24"/>
        </w:rPr>
        <w:t>Ref:</w:t>
      </w:r>
      <w:r w:rsidRPr="000F74DE">
        <w:rPr>
          <w:rFonts w:ascii="Arial" w:hAnsi="Arial" w:cs="Arial"/>
          <w:b/>
          <w:sz w:val="24"/>
          <w:szCs w:val="24"/>
        </w:rPr>
        <w:tab/>
      </w:r>
      <w:r>
        <w:rPr>
          <w:rFonts w:ascii="Arial" w:hAnsi="Arial" w:cs="Arial"/>
          <w:b/>
          <w:sz w:val="24"/>
          <w:szCs w:val="24"/>
        </w:rPr>
        <w:t xml:space="preserve">Ontario Energy Board (OEB) Cost Assessment Variance Account    </w:t>
      </w:r>
    </w:p>
    <w:p w14:paraId="2380C3BD" w14:textId="77777777" w:rsidR="00D604B8" w:rsidRDefault="00D604B8" w:rsidP="00396076">
      <w:pPr>
        <w:spacing w:after="0"/>
        <w:ind w:firstLine="720"/>
        <w:rPr>
          <w:rFonts w:ascii="Arial" w:hAnsi="Arial" w:cs="Arial"/>
          <w:b/>
          <w:sz w:val="24"/>
          <w:szCs w:val="24"/>
        </w:rPr>
      </w:pPr>
      <w:r>
        <w:rPr>
          <w:rFonts w:ascii="Arial" w:hAnsi="Arial" w:cs="Arial"/>
          <w:b/>
          <w:sz w:val="24"/>
          <w:szCs w:val="24"/>
        </w:rPr>
        <w:t xml:space="preserve">Exhibit A / Tab 1 / p. 63-64 </w:t>
      </w:r>
    </w:p>
    <w:p w14:paraId="1DE1FDA8" w14:textId="77777777" w:rsidR="00D604B8" w:rsidRDefault="00D604B8" w:rsidP="00396076">
      <w:pPr>
        <w:spacing w:after="0"/>
        <w:ind w:firstLine="720"/>
        <w:rPr>
          <w:rFonts w:ascii="Arial" w:hAnsi="Arial" w:cs="Arial"/>
          <w:b/>
          <w:sz w:val="24"/>
          <w:szCs w:val="24"/>
        </w:rPr>
      </w:pPr>
      <w:r>
        <w:rPr>
          <w:rFonts w:ascii="Arial" w:hAnsi="Arial" w:cs="Arial"/>
          <w:b/>
          <w:sz w:val="24"/>
          <w:szCs w:val="24"/>
        </w:rPr>
        <w:t xml:space="preserve">EB-2017-0091 / Settlement Agreement / p. 17 </w:t>
      </w:r>
    </w:p>
    <w:p w14:paraId="01CCE143" w14:textId="77777777" w:rsidR="00D604B8" w:rsidRDefault="00D604B8" w:rsidP="00396076">
      <w:pPr>
        <w:spacing w:after="0"/>
        <w:rPr>
          <w:rFonts w:ascii="Arial" w:hAnsi="Arial" w:cs="Arial"/>
          <w:b/>
          <w:sz w:val="24"/>
          <w:szCs w:val="24"/>
        </w:rPr>
      </w:pPr>
    </w:p>
    <w:p w14:paraId="2BEA88E7" w14:textId="77777777" w:rsidR="00D604B8" w:rsidRDefault="00D604B8" w:rsidP="00396076">
      <w:pPr>
        <w:spacing w:after="0"/>
        <w:rPr>
          <w:rFonts w:ascii="Arial" w:hAnsi="Arial" w:cs="Arial"/>
          <w:sz w:val="24"/>
          <w:szCs w:val="24"/>
        </w:rPr>
      </w:pPr>
      <w:r w:rsidRPr="002E4860">
        <w:rPr>
          <w:rFonts w:ascii="Arial" w:hAnsi="Arial" w:cs="Arial"/>
          <w:sz w:val="24"/>
          <w:szCs w:val="24"/>
        </w:rPr>
        <w:t xml:space="preserve">Preamble: </w:t>
      </w:r>
    </w:p>
    <w:p w14:paraId="5F92DD49" w14:textId="77777777" w:rsidR="00D604B8" w:rsidRDefault="00D604B8" w:rsidP="00396076">
      <w:pPr>
        <w:spacing w:after="0"/>
        <w:rPr>
          <w:rFonts w:ascii="Arial" w:hAnsi="Arial" w:cs="Arial"/>
          <w:sz w:val="24"/>
          <w:szCs w:val="24"/>
        </w:rPr>
      </w:pPr>
    </w:p>
    <w:p w14:paraId="2040226C" w14:textId="77777777" w:rsidR="00D604B8" w:rsidRDefault="00D604B8" w:rsidP="00396076">
      <w:pPr>
        <w:spacing w:after="0"/>
        <w:rPr>
          <w:rFonts w:ascii="Arial" w:hAnsi="Arial" w:cs="Arial"/>
          <w:sz w:val="24"/>
          <w:szCs w:val="24"/>
        </w:rPr>
      </w:pPr>
      <w:r>
        <w:rPr>
          <w:rFonts w:ascii="Arial" w:hAnsi="Arial" w:cs="Arial"/>
          <w:sz w:val="24"/>
          <w:szCs w:val="24"/>
        </w:rPr>
        <w:t xml:space="preserve">Union noted that the 2017 balance in the noted account is a $1.16 million debit (plus interest). In 2016, the balance in the account was a $0.83 million debit. </w:t>
      </w:r>
    </w:p>
    <w:p w14:paraId="57754819" w14:textId="77777777" w:rsidR="00D604B8" w:rsidRDefault="00D604B8" w:rsidP="00396076">
      <w:pPr>
        <w:spacing w:after="0"/>
        <w:rPr>
          <w:rFonts w:ascii="Arial" w:hAnsi="Arial" w:cs="Arial"/>
          <w:sz w:val="24"/>
          <w:szCs w:val="24"/>
        </w:rPr>
      </w:pPr>
    </w:p>
    <w:p w14:paraId="495BD022" w14:textId="77777777" w:rsidR="00D604B8" w:rsidRDefault="00D604B8" w:rsidP="00396076">
      <w:pPr>
        <w:spacing w:after="0"/>
        <w:rPr>
          <w:rFonts w:ascii="Arial" w:hAnsi="Arial" w:cs="Arial"/>
          <w:sz w:val="24"/>
          <w:szCs w:val="24"/>
        </w:rPr>
      </w:pPr>
      <w:r>
        <w:rPr>
          <w:rFonts w:ascii="Arial" w:hAnsi="Arial" w:cs="Arial"/>
          <w:sz w:val="24"/>
          <w:szCs w:val="24"/>
        </w:rPr>
        <w:t xml:space="preserve">In 2016, Union and the parties agreed that the balance in the account would be borne by Union and not collected from ratepayers. </w:t>
      </w:r>
    </w:p>
    <w:p w14:paraId="624C7527" w14:textId="77777777" w:rsidR="00D604B8" w:rsidRDefault="00D604B8" w:rsidP="00396076">
      <w:pPr>
        <w:spacing w:after="0"/>
        <w:rPr>
          <w:rFonts w:ascii="Arial" w:hAnsi="Arial" w:cs="Arial"/>
          <w:sz w:val="24"/>
          <w:szCs w:val="24"/>
        </w:rPr>
      </w:pPr>
    </w:p>
    <w:p w14:paraId="2A3739FA" w14:textId="77777777" w:rsidR="00D604B8" w:rsidRDefault="00D604B8" w:rsidP="00396076">
      <w:pPr>
        <w:spacing w:after="0"/>
        <w:rPr>
          <w:rFonts w:ascii="Arial" w:hAnsi="Arial" w:cs="Arial"/>
          <w:sz w:val="24"/>
          <w:szCs w:val="24"/>
        </w:rPr>
      </w:pPr>
      <w:r>
        <w:rPr>
          <w:rFonts w:ascii="Arial" w:hAnsi="Arial" w:cs="Arial"/>
          <w:sz w:val="24"/>
          <w:szCs w:val="24"/>
        </w:rPr>
        <w:t>Question(s):</w:t>
      </w:r>
    </w:p>
    <w:p w14:paraId="23B7F960" w14:textId="77777777" w:rsidR="00D604B8" w:rsidRDefault="00D604B8" w:rsidP="00396076">
      <w:pPr>
        <w:spacing w:after="0"/>
        <w:rPr>
          <w:rFonts w:ascii="Arial" w:hAnsi="Arial" w:cs="Arial"/>
          <w:sz w:val="24"/>
          <w:szCs w:val="24"/>
        </w:rPr>
      </w:pPr>
    </w:p>
    <w:p w14:paraId="63E68B46" w14:textId="77777777" w:rsidR="00D604B8" w:rsidRPr="00D604B8" w:rsidRDefault="00D604B8" w:rsidP="00396076">
      <w:pPr>
        <w:pStyle w:val="ListParagraph"/>
        <w:numPr>
          <w:ilvl w:val="0"/>
          <w:numId w:val="43"/>
        </w:numPr>
        <w:spacing w:after="0"/>
        <w:rPr>
          <w:rFonts w:ascii="Arial" w:hAnsi="Arial" w:cs="Arial"/>
          <w:sz w:val="24"/>
          <w:szCs w:val="24"/>
        </w:rPr>
      </w:pPr>
      <w:r>
        <w:rPr>
          <w:rFonts w:ascii="Arial" w:hAnsi="Arial" w:cs="Arial"/>
          <w:sz w:val="24"/>
          <w:szCs w:val="24"/>
        </w:rPr>
        <w:lastRenderedPageBreak/>
        <w:t xml:space="preserve">Please explain why </w:t>
      </w:r>
      <w:r w:rsidR="00E46BBB">
        <w:rPr>
          <w:rFonts w:ascii="Arial" w:hAnsi="Arial" w:cs="Arial"/>
          <w:sz w:val="24"/>
          <w:szCs w:val="24"/>
        </w:rPr>
        <w:t xml:space="preserve">the 2017 balance in the account would not continue to be borne by </w:t>
      </w:r>
      <w:r>
        <w:rPr>
          <w:rFonts w:ascii="Arial" w:hAnsi="Arial" w:cs="Arial"/>
          <w:sz w:val="24"/>
          <w:szCs w:val="24"/>
        </w:rPr>
        <w:t>Union</w:t>
      </w:r>
      <w:r w:rsidR="001B7385">
        <w:rPr>
          <w:rFonts w:ascii="Arial" w:hAnsi="Arial" w:cs="Arial"/>
          <w:sz w:val="24"/>
          <w:szCs w:val="24"/>
        </w:rPr>
        <w:t>’s shareholder</w:t>
      </w:r>
      <w:r w:rsidR="00E46BBB">
        <w:rPr>
          <w:rFonts w:ascii="Arial" w:hAnsi="Arial" w:cs="Arial"/>
          <w:sz w:val="24"/>
          <w:szCs w:val="24"/>
        </w:rPr>
        <w:t xml:space="preserve"> in the same manner as</w:t>
      </w:r>
      <w:r w:rsidR="001B7385">
        <w:rPr>
          <w:rFonts w:ascii="Arial" w:hAnsi="Arial" w:cs="Arial"/>
          <w:sz w:val="24"/>
          <w:szCs w:val="24"/>
        </w:rPr>
        <w:t xml:space="preserve"> 2016. </w:t>
      </w:r>
    </w:p>
    <w:p w14:paraId="1E79ED80" w14:textId="77777777" w:rsidR="00D604B8" w:rsidRDefault="00D604B8" w:rsidP="00396076">
      <w:pPr>
        <w:spacing w:after="0"/>
        <w:rPr>
          <w:rFonts w:ascii="Arial" w:hAnsi="Arial" w:cs="Arial"/>
          <w:sz w:val="24"/>
          <w:szCs w:val="24"/>
        </w:rPr>
      </w:pPr>
    </w:p>
    <w:p w14:paraId="4698FEA6" w14:textId="77777777" w:rsidR="00D604B8" w:rsidRPr="000F74DE" w:rsidRDefault="00E46BBB" w:rsidP="00396076">
      <w:pPr>
        <w:spacing w:after="0"/>
        <w:rPr>
          <w:rFonts w:ascii="Arial" w:hAnsi="Arial" w:cs="Arial"/>
          <w:b/>
          <w:sz w:val="24"/>
          <w:szCs w:val="24"/>
          <w:u w:val="single"/>
        </w:rPr>
      </w:pPr>
      <w:r>
        <w:rPr>
          <w:rFonts w:ascii="Arial" w:hAnsi="Arial" w:cs="Arial"/>
          <w:b/>
          <w:sz w:val="24"/>
          <w:szCs w:val="24"/>
          <w:u w:val="single"/>
        </w:rPr>
        <w:t>Staff-15</w:t>
      </w:r>
    </w:p>
    <w:p w14:paraId="766DF427" w14:textId="77777777" w:rsidR="00D604B8" w:rsidRPr="000F74DE" w:rsidRDefault="00D604B8" w:rsidP="00396076">
      <w:pPr>
        <w:spacing w:after="0"/>
        <w:rPr>
          <w:rFonts w:ascii="Arial" w:hAnsi="Arial" w:cs="Arial"/>
          <w:b/>
          <w:sz w:val="24"/>
          <w:szCs w:val="24"/>
        </w:rPr>
      </w:pPr>
      <w:r w:rsidRPr="000F74DE">
        <w:rPr>
          <w:rFonts w:ascii="Arial" w:hAnsi="Arial" w:cs="Arial"/>
          <w:b/>
          <w:sz w:val="24"/>
          <w:szCs w:val="24"/>
        </w:rPr>
        <w:t>Ref:</w:t>
      </w:r>
      <w:r w:rsidRPr="000F74DE">
        <w:rPr>
          <w:rFonts w:ascii="Arial" w:hAnsi="Arial" w:cs="Arial"/>
          <w:b/>
          <w:sz w:val="24"/>
          <w:szCs w:val="24"/>
        </w:rPr>
        <w:tab/>
      </w:r>
      <w:r>
        <w:rPr>
          <w:rFonts w:ascii="Arial" w:hAnsi="Arial" w:cs="Arial"/>
          <w:b/>
          <w:sz w:val="24"/>
          <w:szCs w:val="24"/>
        </w:rPr>
        <w:t xml:space="preserve">Panhandle Reinforcement Project Costs   </w:t>
      </w:r>
    </w:p>
    <w:p w14:paraId="733C71CD" w14:textId="77777777" w:rsidR="00D604B8" w:rsidRDefault="00D604B8" w:rsidP="00396076">
      <w:pPr>
        <w:spacing w:after="0"/>
        <w:ind w:firstLine="720"/>
        <w:rPr>
          <w:rFonts w:ascii="Arial" w:hAnsi="Arial" w:cs="Arial"/>
          <w:b/>
          <w:sz w:val="24"/>
          <w:szCs w:val="24"/>
        </w:rPr>
      </w:pPr>
      <w:r>
        <w:rPr>
          <w:rFonts w:ascii="Arial" w:hAnsi="Arial" w:cs="Arial"/>
          <w:b/>
          <w:sz w:val="24"/>
          <w:szCs w:val="24"/>
        </w:rPr>
        <w:t xml:space="preserve">Exhibit A / Tab 1 / </w:t>
      </w:r>
      <w:r w:rsidR="006442E5">
        <w:rPr>
          <w:rFonts w:ascii="Arial" w:hAnsi="Arial" w:cs="Arial"/>
          <w:b/>
          <w:sz w:val="24"/>
          <w:szCs w:val="24"/>
        </w:rPr>
        <w:t>p</w:t>
      </w:r>
      <w:r>
        <w:rPr>
          <w:rFonts w:ascii="Arial" w:hAnsi="Arial" w:cs="Arial"/>
          <w:b/>
          <w:sz w:val="24"/>
          <w:szCs w:val="24"/>
        </w:rPr>
        <w:t xml:space="preserve">p. 64-69 </w:t>
      </w:r>
    </w:p>
    <w:p w14:paraId="70E6CC91" w14:textId="77777777" w:rsidR="00D604B8" w:rsidRDefault="00D604B8" w:rsidP="00396076">
      <w:pPr>
        <w:spacing w:after="0"/>
        <w:rPr>
          <w:rFonts w:ascii="Arial" w:hAnsi="Arial" w:cs="Arial"/>
          <w:b/>
          <w:sz w:val="24"/>
          <w:szCs w:val="24"/>
        </w:rPr>
      </w:pPr>
    </w:p>
    <w:p w14:paraId="6142C3B2" w14:textId="77777777" w:rsidR="00D604B8" w:rsidRDefault="00D604B8" w:rsidP="00396076">
      <w:pPr>
        <w:spacing w:after="0"/>
        <w:rPr>
          <w:rFonts w:ascii="Arial" w:hAnsi="Arial" w:cs="Arial"/>
          <w:sz w:val="24"/>
          <w:szCs w:val="24"/>
        </w:rPr>
      </w:pPr>
      <w:r w:rsidRPr="002E4860">
        <w:rPr>
          <w:rFonts w:ascii="Arial" w:hAnsi="Arial" w:cs="Arial"/>
          <w:sz w:val="24"/>
          <w:szCs w:val="24"/>
        </w:rPr>
        <w:t xml:space="preserve">Preamble: </w:t>
      </w:r>
    </w:p>
    <w:p w14:paraId="595A6897" w14:textId="77777777" w:rsidR="00D604B8" w:rsidRDefault="00D604B8" w:rsidP="00396076">
      <w:pPr>
        <w:spacing w:after="0"/>
        <w:rPr>
          <w:rFonts w:ascii="Arial" w:hAnsi="Arial" w:cs="Arial"/>
          <w:sz w:val="24"/>
          <w:szCs w:val="24"/>
        </w:rPr>
      </w:pPr>
    </w:p>
    <w:p w14:paraId="7C6B5C64" w14:textId="77777777" w:rsidR="00D604B8" w:rsidRDefault="001B7385" w:rsidP="00396076">
      <w:pPr>
        <w:spacing w:after="0"/>
        <w:rPr>
          <w:rFonts w:ascii="Arial" w:hAnsi="Arial" w:cs="Arial"/>
          <w:sz w:val="24"/>
          <w:szCs w:val="24"/>
        </w:rPr>
      </w:pPr>
      <w:r>
        <w:rPr>
          <w:rFonts w:ascii="Arial" w:hAnsi="Arial" w:cs="Arial"/>
          <w:sz w:val="24"/>
          <w:szCs w:val="24"/>
        </w:rPr>
        <w:t xml:space="preserve">The net revenue requirement for the account is $0.083 million, which reflects a total revenue requirement of $0.368 million net of incremental project revenue of $0.285 million. </w:t>
      </w:r>
    </w:p>
    <w:p w14:paraId="3DC46BFA" w14:textId="77777777" w:rsidR="001B7385" w:rsidRDefault="001B7385" w:rsidP="00396076">
      <w:pPr>
        <w:spacing w:after="0"/>
        <w:rPr>
          <w:rFonts w:ascii="Arial" w:hAnsi="Arial" w:cs="Arial"/>
          <w:sz w:val="24"/>
          <w:szCs w:val="24"/>
        </w:rPr>
      </w:pPr>
    </w:p>
    <w:p w14:paraId="336F3535" w14:textId="77777777" w:rsidR="001B7385" w:rsidRDefault="001B7385" w:rsidP="00396076">
      <w:pPr>
        <w:spacing w:after="0"/>
        <w:rPr>
          <w:rFonts w:ascii="Arial" w:hAnsi="Arial" w:cs="Arial"/>
          <w:sz w:val="24"/>
          <w:szCs w:val="24"/>
        </w:rPr>
      </w:pPr>
      <w:r>
        <w:rPr>
          <w:rFonts w:ascii="Arial" w:hAnsi="Arial" w:cs="Arial"/>
          <w:sz w:val="24"/>
          <w:szCs w:val="24"/>
        </w:rPr>
        <w:t>Question(s):</w:t>
      </w:r>
    </w:p>
    <w:p w14:paraId="4C58EE7F" w14:textId="77777777" w:rsidR="001B7385" w:rsidRDefault="001B7385" w:rsidP="00396076">
      <w:pPr>
        <w:spacing w:after="0"/>
        <w:rPr>
          <w:rFonts w:ascii="Arial" w:hAnsi="Arial" w:cs="Arial"/>
          <w:sz w:val="24"/>
          <w:szCs w:val="24"/>
        </w:rPr>
      </w:pPr>
    </w:p>
    <w:p w14:paraId="0AC2597A" w14:textId="77777777" w:rsidR="001B7385" w:rsidRDefault="001B7385" w:rsidP="00396076">
      <w:pPr>
        <w:pStyle w:val="ListParagraph"/>
        <w:numPr>
          <w:ilvl w:val="0"/>
          <w:numId w:val="44"/>
        </w:numPr>
        <w:spacing w:after="0"/>
        <w:rPr>
          <w:rFonts w:ascii="Arial" w:hAnsi="Arial" w:cs="Arial"/>
          <w:sz w:val="24"/>
          <w:szCs w:val="24"/>
        </w:rPr>
      </w:pPr>
      <w:r>
        <w:rPr>
          <w:rFonts w:ascii="Arial" w:hAnsi="Arial" w:cs="Arial"/>
          <w:sz w:val="24"/>
          <w:szCs w:val="24"/>
        </w:rPr>
        <w:t xml:space="preserve">Please explain how the incremental project revenue amount is calculated and show the calculation. </w:t>
      </w:r>
    </w:p>
    <w:p w14:paraId="5CEF60E7" w14:textId="77777777" w:rsidR="001B7385" w:rsidRPr="001B7385" w:rsidRDefault="001B7385" w:rsidP="00396076">
      <w:pPr>
        <w:pStyle w:val="ListParagraph"/>
        <w:spacing w:after="0"/>
        <w:rPr>
          <w:rFonts w:ascii="Arial" w:hAnsi="Arial" w:cs="Arial"/>
          <w:sz w:val="24"/>
          <w:szCs w:val="24"/>
        </w:rPr>
      </w:pPr>
    </w:p>
    <w:p w14:paraId="666577F9" w14:textId="77777777" w:rsidR="006442E5" w:rsidRPr="000F74DE" w:rsidRDefault="00E46BBB" w:rsidP="00396076">
      <w:pPr>
        <w:spacing w:after="0"/>
        <w:rPr>
          <w:rFonts w:ascii="Arial" w:hAnsi="Arial" w:cs="Arial"/>
          <w:b/>
          <w:sz w:val="24"/>
          <w:szCs w:val="24"/>
          <w:u w:val="single"/>
        </w:rPr>
      </w:pPr>
      <w:r>
        <w:rPr>
          <w:rFonts w:ascii="Arial" w:hAnsi="Arial" w:cs="Arial"/>
          <w:b/>
          <w:sz w:val="24"/>
          <w:szCs w:val="24"/>
          <w:u w:val="single"/>
        </w:rPr>
        <w:t>Staff-16</w:t>
      </w:r>
    </w:p>
    <w:p w14:paraId="5DB88789" w14:textId="77777777" w:rsidR="006442E5" w:rsidRPr="000F74DE" w:rsidRDefault="006442E5" w:rsidP="00396076">
      <w:pPr>
        <w:spacing w:after="0"/>
        <w:rPr>
          <w:rFonts w:ascii="Arial" w:hAnsi="Arial" w:cs="Arial"/>
          <w:b/>
          <w:sz w:val="24"/>
          <w:szCs w:val="24"/>
        </w:rPr>
      </w:pPr>
      <w:r w:rsidRPr="000F74DE">
        <w:rPr>
          <w:rFonts w:ascii="Arial" w:hAnsi="Arial" w:cs="Arial"/>
          <w:b/>
          <w:sz w:val="24"/>
          <w:szCs w:val="24"/>
        </w:rPr>
        <w:t>Ref:</w:t>
      </w:r>
      <w:r w:rsidRPr="000F74DE">
        <w:rPr>
          <w:rFonts w:ascii="Arial" w:hAnsi="Arial" w:cs="Arial"/>
          <w:b/>
          <w:sz w:val="24"/>
          <w:szCs w:val="24"/>
        </w:rPr>
        <w:tab/>
      </w:r>
      <w:r w:rsidR="0015619A">
        <w:rPr>
          <w:rFonts w:ascii="Arial" w:hAnsi="Arial" w:cs="Arial"/>
          <w:b/>
          <w:sz w:val="24"/>
          <w:szCs w:val="24"/>
        </w:rPr>
        <w:t xml:space="preserve">Utility Results and Earnings Sharing Calculation </w:t>
      </w:r>
    </w:p>
    <w:p w14:paraId="0B348B2F" w14:textId="77777777" w:rsidR="006442E5" w:rsidRDefault="006442E5" w:rsidP="00396076">
      <w:pPr>
        <w:spacing w:after="0"/>
        <w:ind w:firstLine="720"/>
        <w:rPr>
          <w:rFonts w:ascii="Arial" w:hAnsi="Arial" w:cs="Arial"/>
          <w:b/>
          <w:sz w:val="24"/>
          <w:szCs w:val="24"/>
        </w:rPr>
      </w:pPr>
      <w:r>
        <w:rPr>
          <w:rFonts w:ascii="Arial" w:hAnsi="Arial" w:cs="Arial"/>
          <w:b/>
          <w:sz w:val="24"/>
          <w:szCs w:val="24"/>
        </w:rPr>
        <w:t xml:space="preserve">Exhibit A / Tab 2 </w:t>
      </w:r>
    </w:p>
    <w:p w14:paraId="79CC3993" w14:textId="77777777" w:rsidR="006442E5" w:rsidRDefault="006442E5" w:rsidP="00396076">
      <w:pPr>
        <w:spacing w:after="0"/>
        <w:rPr>
          <w:rFonts w:ascii="Arial" w:hAnsi="Arial" w:cs="Arial"/>
          <w:sz w:val="24"/>
          <w:szCs w:val="24"/>
        </w:rPr>
      </w:pPr>
    </w:p>
    <w:p w14:paraId="2AC9C2C0" w14:textId="77777777" w:rsidR="006442E5" w:rsidRDefault="006442E5" w:rsidP="00396076">
      <w:pPr>
        <w:spacing w:after="0"/>
        <w:rPr>
          <w:rFonts w:ascii="Arial" w:hAnsi="Arial" w:cs="Arial"/>
          <w:sz w:val="24"/>
          <w:szCs w:val="24"/>
        </w:rPr>
      </w:pPr>
      <w:r w:rsidRPr="002E4860">
        <w:rPr>
          <w:rFonts w:ascii="Arial" w:hAnsi="Arial" w:cs="Arial"/>
          <w:sz w:val="24"/>
          <w:szCs w:val="24"/>
        </w:rPr>
        <w:t xml:space="preserve">Preamble: </w:t>
      </w:r>
    </w:p>
    <w:p w14:paraId="19410D74" w14:textId="77777777" w:rsidR="001B7385" w:rsidRDefault="001B7385" w:rsidP="00396076">
      <w:pPr>
        <w:spacing w:after="0"/>
        <w:rPr>
          <w:rFonts w:ascii="Arial" w:hAnsi="Arial" w:cs="Arial"/>
          <w:sz w:val="24"/>
          <w:szCs w:val="24"/>
        </w:rPr>
      </w:pPr>
    </w:p>
    <w:p w14:paraId="6FADDC7A" w14:textId="77777777" w:rsidR="006442E5" w:rsidRDefault="006442E5" w:rsidP="00396076">
      <w:pPr>
        <w:spacing w:after="0"/>
        <w:rPr>
          <w:rFonts w:ascii="Arial" w:hAnsi="Arial" w:cs="Arial"/>
          <w:sz w:val="24"/>
          <w:szCs w:val="24"/>
        </w:rPr>
      </w:pPr>
      <w:r>
        <w:rPr>
          <w:rFonts w:ascii="Arial" w:hAnsi="Arial" w:cs="Arial"/>
          <w:sz w:val="24"/>
          <w:szCs w:val="24"/>
        </w:rPr>
        <w:t xml:space="preserve">Union noted that the increase in O&amp;M expenses of $15.6 million relative to 2016 was mainly driven by salaries and integration-related costs associated with the merger between Enbridge Inc. and Spectra Energy. </w:t>
      </w:r>
    </w:p>
    <w:p w14:paraId="7BF01D24" w14:textId="77777777" w:rsidR="0015619A" w:rsidRDefault="0015619A" w:rsidP="00396076">
      <w:pPr>
        <w:spacing w:after="0"/>
        <w:rPr>
          <w:rFonts w:ascii="Arial" w:hAnsi="Arial" w:cs="Arial"/>
          <w:sz w:val="24"/>
          <w:szCs w:val="24"/>
        </w:rPr>
      </w:pPr>
    </w:p>
    <w:p w14:paraId="459AF2C7" w14:textId="77777777" w:rsidR="0015619A" w:rsidRDefault="0015619A" w:rsidP="00396076">
      <w:pPr>
        <w:spacing w:after="0"/>
        <w:rPr>
          <w:rFonts w:ascii="Arial" w:hAnsi="Arial" w:cs="Arial"/>
          <w:sz w:val="24"/>
          <w:szCs w:val="24"/>
        </w:rPr>
      </w:pPr>
      <w:r>
        <w:rPr>
          <w:rFonts w:ascii="Arial" w:hAnsi="Arial" w:cs="Arial"/>
          <w:sz w:val="24"/>
          <w:szCs w:val="24"/>
        </w:rPr>
        <w:t>Question(s):</w:t>
      </w:r>
    </w:p>
    <w:p w14:paraId="64608A24" w14:textId="77777777" w:rsidR="0015619A" w:rsidRDefault="0015619A" w:rsidP="00396076">
      <w:pPr>
        <w:spacing w:after="0"/>
        <w:rPr>
          <w:rFonts w:ascii="Arial" w:hAnsi="Arial" w:cs="Arial"/>
          <w:sz w:val="24"/>
          <w:szCs w:val="24"/>
        </w:rPr>
      </w:pPr>
    </w:p>
    <w:p w14:paraId="66A07CB7" w14:textId="77777777" w:rsidR="0015619A" w:rsidRDefault="0015619A" w:rsidP="00396076">
      <w:pPr>
        <w:pStyle w:val="ListParagraph"/>
        <w:numPr>
          <w:ilvl w:val="0"/>
          <w:numId w:val="45"/>
        </w:numPr>
        <w:spacing w:after="0"/>
        <w:rPr>
          <w:rFonts w:ascii="Arial" w:hAnsi="Arial" w:cs="Arial"/>
          <w:sz w:val="24"/>
          <w:szCs w:val="24"/>
        </w:rPr>
      </w:pPr>
      <w:r>
        <w:rPr>
          <w:rFonts w:ascii="Arial" w:hAnsi="Arial" w:cs="Arial"/>
          <w:sz w:val="24"/>
          <w:szCs w:val="24"/>
        </w:rPr>
        <w:t xml:space="preserve">Please provide a detailed breakdown of the merger related costs that were incurred in 2017. </w:t>
      </w:r>
    </w:p>
    <w:p w14:paraId="35DD5910" w14:textId="77777777" w:rsidR="0015619A" w:rsidRDefault="0015619A" w:rsidP="00396076">
      <w:pPr>
        <w:pStyle w:val="ListParagraph"/>
        <w:spacing w:after="0"/>
        <w:rPr>
          <w:rFonts w:ascii="Arial" w:hAnsi="Arial" w:cs="Arial"/>
          <w:sz w:val="24"/>
          <w:szCs w:val="24"/>
        </w:rPr>
      </w:pPr>
    </w:p>
    <w:p w14:paraId="07AE99D3" w14:textId="77777777" w:rsidR="0015619A" w:rsidRDefault="0015619A" w:rsidP="00396076">
      <w:pPr>
        <w:pStyle w:val="ListParagraph"/>
        <w:numPr>
          <w:ilvl w:val="0"/>
          <w:numId w:val="45"/>
        </w:numPr>
        <w:spacing w:after="0"/>
        <w:rPr>
          <w:rFonts w:ascii="Arial" w:hAnsi="Arial" w:cs="Arial"/>
          <w:sz w:val="24"/>
          <w:szCs w:val="24"/>
        </w:rPr>
      </w:pPr>
      <w:r>
        <w:rPr>
          <w:rFonts w:ascii="Arial" w:hAnsi="Arial" w:cs="Arial"/>
          <w:sz w:val="24"/>
          <w:szCs w:val="24"/>
        </w:rPr>
        <w:t xml:space="preserve">Please advise whether the merger related costs are included in the earnings sharing calculation. If so, please provide </w:t>
      </w:r>
      <w:r w:rsidR="00E46BBB">
        <w:rPr>
          <w:rFonts w:ascii="Arial" w:hAnsi="Arial" w:cs="Arial"/>
          <w:sz w:val="24"/>
          <w:szCs w:val="24"/>
        </w:rPr>
        <w:t xml:space="preserve">rationale supporting the inclusion. Please also provide </w:t>
      </w:r>
      <w:r>
        <w:rPr>
          <w:rFonts w:ascii="Arial" w:hAnsi="Arial" w:cs="Arial"/>
          <w:sz w:val="24"/>
          <w:szCs w:val="24"/>
        </w:rPr>
        <w:t>a revised version of the earnings sharing calculation that excludes the merger</w:t>
      </w:r>
      <w:r w:rsidR="00E46BBB">
        <w:rPr>
          <w:rFonts w:ascii="Arial" w:hAnsi="Arial" w:cs="Arial"/>
          <w:sz w:val="24"/>
          <w:szCs w:val="24"/>
        </w:rPr>
        <w:t>-related</w:t>
      </w:r>
      <w:r>
        <w:rPr>
          <w:rFonts w:ascii="Arial" w:hAnsi="Arial" w:cs="Arial"/>
          <w:sz w:val="24"/>
          <w:szCs w:val="24"/>
        </w:rPr>
        <w:t xml:space="preserve"> costs. </w:t>
      </w:r>
    </w:p>
    <w:p w14:paraId="504FF36A" w14:textId="77777777" w:rsidR="0015619A" w:rsidRDefault="0015619A" w:rsidP="00396076">
      <w:pPr>
        <w:spacing w:after="0"/>
        <w:ind w:left="360"/>
        <w:rPr>
          <w:rFonts w:ascii="Arial" w:hAnsi="Arial" w:cs="Arial"/>
          <w:sz w:val="24"/>
          <w:szCs w:val="24"/>
        </w:rPr>
      </w:pPr>
    </w:p>
    <w:p w14:paraId="263A1974" w14:textId="77777777" w:rsidR="0015619A" w:rsidRPr="00396076" w:rsidRDefault="00E46BBB" w:rsidP="00396076">
      <w:pPr>
        <w:spacing w:after="0"/>
        <w:rPr>
          <w:rFonts w:ascii="Arial" w:hAnsi="Arial" w:cs="Arial"/>
          <w:b/>
          <w:sz w:val="24"/>
          <w:szCs w:val="24"/>
          <w:u w:val="single"/>
        </w:rPr>
      </w:pPr>
      <w:r>
        <w:rPr>
          <w:rFonts w:ascii="Arial" w:hAnsi="Arial" w:cs="Arial"/>
          <w:b/>
          <w:sz w:val="24"/>
          <w:szCs w:val="24"/>
          <w:u w:val="single"/>
        </w:rPr>
        <w:t>Staff-17</w:t>
      </w:r>
    </w:p>
    <w:p w14:paraId="1DEF38DB" w14:textId="77777777" w:rsidR="0015619A" w:rsidRPr="00396076" w:rsidRDefault="0015619A" w:rsidP="00396076">
      <w:pPr>
        <w:spacing w:after="0"/>
        <w:rPr>
          <w:rFonts w:ascii="Arial" w:hAnsi="Arial" w:cs="Arial"/>
          <w:b/>
          <w:sz w:val="24"/>
          <w:szCs w:val="24"/>
        </w:rPr>
      </w:pPr>
      <w:r w:rsidRPr="00396076">
        <w:rPr>
          <w:rFonts w:ascii="Arial" w:hAnsi="Arial" w:cs="Arial"/>
          <w:b/>
          <w:sz w:val="24"/>
          <w:szCs w:val="24"/>
        </w:rPr>
        <w:t>Ref:</w:t>
      </w:r>
      <w:r w:rsidRPr="00396076">
        <w:rPr>
          <w:rFonts w:ascii="Arial" w:hAnsi="Arial" w:cs="Arial"/>
          <w:b/>
          <w:sz w:val="24"/>
          <w:szCs w:val="24"/>
        </w:rPr>
        <w:tab/>
        <w:t xml:space="preserve">Service Quality  </w:t>
      </w:r>
    </w:p>
    <w:p w14:paraId="7D64E87F" w14:textId="77777777" w:rsidR="0015619A" w:rsidRPr="00396076" w:rsidRDefault="0015619A" w:rsidP="00396076">
      <w:pPr>
        <w:spacing w:after="0"/>
        <w:ind w:firstLine="720"/>
        <w:rPr>
          <w:rFonts w:ascii="Arial" w:hAnsi="Arial" w:cs="Arial"/>
          <w:b/>
          <w:sz w:val="24"/>
          <w:szCs w:val="24"/>
        </w:rPr>
      </w:pPr>
      <w:r w:rsidRPr="00396076">
        <w:rPr>
          <w:rFonts w:ascii="Arial" w:hAnsi="Arial" w:cs="Arial"/>
          <w:b/>
          <w:sz w:val="24"/>
          <w:szCs w:val="24"/>
        </w:rPr>
        <w:lastRenderedPageBreak/>
        <w:t xml:space="preserve">Exhibit A / Tab 2 </w:t>
      </w:r>
      <w:r w:rsidR="00396076" w:rsidRPr="00396076">
        <w:rPr>
          <w:rFonts w:ascii="Arial" w:hAnsi="Arial" w:cs="Arial"/>
          <w:b/>
          <w:sz w:val="24"/>
          <w:szCs w:val="24"/>
        </w:rPr>
        <w:t>/ Appendix D / p. 8</w:t>
      </w:r>
    </w:p>
    <w:p w14:paraId="23384028" w14:textId="77777777" w:rsidR="0015619A" w:rsidRPr="00396076" w:rsidRDefault="0015619A" w:rsidP="00396076">
      <w:pPr>
        <w:spacing w:after="0"/>
        <w:rPr>
          <w:rFonts w:ascii="Arial" w:hAnsi="Arial" w:cs="Arial"/>
          <w:sz w:val="24"/>
          <w:szCs w:val="24"/>
        </w:rPr>
      </w:pPr>
    </w:p>
    <w:p w14:paraId="40020749" w14:textId="77777777" w:rsidR="0015619A" w:rsidRPr="00396076" w:rsidRDefault="0015619A" w:rsidP="00396076">
      <w:pPr>
        <w:spacing w:after="0"/>
        <w:rPr>
          <w:rFonts w:ascii="Arial" w:hAnsi="Arial" w:cs="Arial"/>
          <w:sz w:val="24"/>
          <w:szCs w:val="24"/>
        </w:rPr>
      </w:pPr>
      <w:r w:rsidRPr="00396076">
        <w:rPr>
          <w:rFonts w:ascii="Arial" w:hAnsi="Arial" w:cs="Arial"/>
          <w:sz w:val="24"/>
          <w:szCs w:val="24"/>
        </w:rPr>
        <w:t xml:space="preserve">Preamble: </w:t>
      </w:r>
    </w:p>
    <w:p w14:paraId="28DE63AC" w14:textId="77777777" w:rsidR="0015619A" w:rsidRPr="00396076" w:rsidRDefault="0015619A" w:rsidP="00396076">
      <w:pPr>
        <w:spacing w:after="0"/>
        <w:ind w:left="360"/>
        <w:rPr>
          <w:rFonts w:ascii="Arial" w:hAnsi="Arial" w:cs="Arial"/>
          <w:sz w:val="24"/>
          <w:szCs w:val="24"/>
        </w:rPr>
      </w:pPr>
      <w:r w:rsidRPr="00396076">
        <w:rPr>
          <w:rFonts w:ascii="Arial" w:hAnsi="Arial" w:cs="Arial"/>
          <w:sz w:val="24"/>
          <w:szCs w:val="24"/>
        </w:rPr>
        <w:t xml:space="preserve"> </w:t>
      </w:r>
    </w:p>
    <w:p w14:paraId="53977F39" w14:textId="77777777" w:rsidR="00396076" w:rsidRPr="00396076" w:rsidRDefault="00396076" w:rsidP="00396076">
      <w:pPr>
        <w:autoSpaceDE w:val="0"/>
        <w:autoSpaceDN w:val="0"/>
        <w:adjustRightInd w:val="0"/>
        <w:spacing w:after="0"/>
        <w:rPr>
          <w:rFonts w:ascii="Arial" w:hAnsi="Arial" w:cs="Arial"/>
          <w:sz w:val="24"/>
          <w:szCs w:val="24"/>
          <w:lang w:val="en-US"/>
        </w:rPr>
      </w:pPr>
      <w:bookmarkStart w:id="0" w:name="_GoBack"/>
      <w:bookmarkEnd w:id="0"/>
      <w:r w:rsidRPr="00396076">
        <w:rPr>
          <w:rFonts w:ascii="Arial" w:hAnsi="Arial" w:cs="Arial"/>
          <w:sz w:val="24"/>
          <w:szCs w:val="24"/>
          <w:lang w:val="en-US"/>
        </w:rPr>
        <w:t xml:space="preserve">The OEB approved minimum standard for reconnecting customers is 85% of customers reconnected within two business days of bringing their accounts into good standing. This metric is tracked on a monthly basis. Union’s performance relative to this metric in January 2017 was 78.4%. </w:t>
      </w:r>
    </w:p>
    <w:p w14:paraId="75F89D1F" w14:textId="77777777" w:rsidR="00396076" w:rsidRPr="00396076" w:rsidRDefault="00396076" w:rsidP="00396076">
      <w:pPr>
        <w:spacing w:after="0"/>
        <w:rPr>
          <w:rFonts w:ascii="Arial" w:hAnsi="Arial" w:cs="Arial"/>
          <w:sz w:val="24"/>
          <w:szCs w:val="24"/>
        </w:rPr>
      </w:pPr>
    </w:p>
    <w:p w14:paraId="5DB0B249" w14:textId="77777777" w:rsidR="00396076" w:rsidRPr="00396076" w:rsidRDefault="00396076" w:rsidP="00396076">
      <w:pPr>
        <w:spacing w:after="0"/>
        <w:rPr>
          <w:rFonts w:ascii="Arial" w:hAnsi="Arial" w:cs="Arial"/>
          <w:sz w:val="24"/>
          <w:szCs w:val="24"/>
        </w:rPr>
      </w:pPr>
      <w:r w:rsidRPr="00396076">
        <w:rPr>
          <w:rFonts w:ascii="Arial" w:hAnsi="Arial" w:cs="Arial"/>
          <w:sz w:val="24"/>
          <w:szCs w:val="24"/>
        </w:rPr>
        <w:t>Question(s):</w:t>
      </w:r>
    </w:p>
    <w:p w14:paraId="5EB47674" w14:textId="77777777" w:rsidR="00396076" w:rsidRPr="00396076" w:rsidRDefault="00396076" w:rsidP="00396076">
      <w:pPr>
        <w:spacing w:after="0"/>
        <w:rPr>
          <w:rFonts w:ascii="Arial" w:hAnsi="Arial" w:cs="Arial"/>
          <w:sz w:val="24"/>
          <w:szCs w:val="24"/>
          <w:lang w:val="en-US"/>
        </w:rPr>
      </w:pPr>
    </w:p>
    <w:p w14:paraId="4C313B79" w14:textId="77777777" w:rsidR="00396076" w:rsidRPr="00396076" w:rsidRDefault="00396076" w:rsidP="00396076">
      <w:pPr>
        <w:pStyle w:val="ListParagraph"/>
        <w:numPr>
          <w:ilvl w:val="0"/>
          <w:numId w:val="47"/>
        </w:numPr>
        <w:spacing w:after="0"/>
        <w:rPr>
          <w:rFonts w:ascii="Arial" w:hAnsi="Arial" w:cs="Arial"/>
          <w:sz w:val="24"/>
          <w:szCs w:val="24"/>
        </w:rPr>
      </w:pPr>
      <w:r w:rsidRPr="00396076">
        <w:rPr>
          <w:rFonts w:ascii="Arial" w:hAnsi="Arial" w:cs="Arial"/>
          <w:sz w:val="24"/>
          <w:szCs w:val="24"/>
          <w:lang w:val="en-US"/>
        </w:rPr>
        <w:t>Please explain why Union was unable to meet the minimum standard in January 2017.</w:t>
      </w:r>
    </w:p>
    <w:sectPr w:rsidR="00396076" w:rsidRPr="00396076" w:rsidSect="00EA0919">
      <w:footerReference w:type="default" r:id="rId8"/>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968CCD" w14:textId="77777777" w:rsidR="00DD32A0" w:rsidRDefault="00DD32A0" w:rsidP="00DE6E01">
      <w:pPr>
        <w:spacing w:after="0" w:line="240" w:lineRule="auto"/>
      </w:pPr>
      <w:r>
        <w:separator/>
      </w:r>
    </w:p>
  </w:endnote>
  <w:endnote w:type="continuationSeparator" w:id="0">
    <w:p w14:paraId="0BC18BE8" w14:textId="77777777" w:rsidR="00DD32A0" w:rsidRDefault="00DD32A0" w:rsidP="00DE6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FB640" w14:textId="77777777" w:rsidR="00E24D44" w:rsidRDefault="00E24D44">
    <w:pPr>
      <w:pStyle w:val="Footer"/>
      <w:pBdr>
        <w:top w:val="thinThickSmallGap" w:sz="24" w:space="1" w:color="622423" w:themeColor="accent2" w:themeShade="7F"/>
      </w:pBdr>
      <w:rPr>
        <w:rFonts w:ascii="Arial" w:eastAsiaTheme="majorEastAsia" w:hAnsi="Arial" w:cs="Arial"/>
        <w:sz w:val="20"/>
        <w:szCs w:val="20"/>
      </w:rPr>
    </w:pPr>
    <w:r>
      <w:rPr>
        <w:rFonts w:ascii="Arial" w:eastAsiaTheme="majorEastAsia" w:hAnsi="Arial" w:cs="Arial"/>
        <w:sz w:val="20"/>
        <w:szCs w:val="20"/>
      </w:rPr>
      <w:t>OEB Staff Interrogatories</w:t>
    </w:r>
  </w:p>
  <w:p w14:paraId="7EEF9322" w14:textId="1BB08817" w:rsidR="00E24D44" w:rsidRPr="00DE6E01" w:rsidRDefault="000F74DE">
    <w:pPr>
      <w:pStyle w:val="Footer"/>
      <w:pBdr>
        <w:top w:val="thinThickSmallGap" w:sz="24" w:space="1" w:color="622423" w:themeColor="accent2" w:themeShade="7F"/>
      </w:pBdr>
      <w:rPr>
        <w:rFonts w:ascii="Arial" w:eastAsiaTheme="majorEastAsia" w:hAnsi="Arial" w:cs="Arial"/>
        <w:sz w:val="20"/>
        <w:szCs w:val="20"/>
      </w:rPr>
    </w:pPr>
    <w:r>
      <w:rPr>
        <w:rFonts w:ascii="Arial" w:eastAsiaTheme="majorEastAsia" w:hAnsi="Arial" w:cs="Arial"/>
        <w:sz w:val="20"/>
        <w:szCs w:val="20"/>
      </w:rPr>
      <w:t>EB-2018-0105</w:t>
    </w:r>
    <w:r w:rsidR="00E24D44" w:rsidRPr="00DE6E01">
      <w:rPr>
        <w:rFonts w:ascii="Arial" w:eastAsiaTheme="majorEastAsia" w:hAnsi="Arial" w:cs="Arial"/>
        <w:sz w:val="20"/>
        <w:szCs w:val="20"/>
      </w:rPr>
      <w:tab/>
    </w:r>
    <w:r w:rsidR="00E24D44" w:rsidRPr="00DE6E01">
      <w:rPr>
        <w:rFonts w:ascii="Arial" w:eastAsiaTheme="majorEastAsia" w:hAnsi="Arial" w:cs="Arial"/>
        <w:sz w:val="20"/>
        <w:szCs w:val="20"/>
      </w:rPr>
      <w:tab/>
      <w:t xml:space="preserve">Page </w:t>
    </w:r>
    <w:r w:rsidR="00E24D44" w:rsidRPr="00DE6E01">
      <w:rPr>
        <w:rFonts w:ascii="Arial" w:eastAsiaTheme="minorEastAsia" w:hAnsi="Arial" w:cs="Arial"/>
        <w:sz w:val="20"/>
        <w:szCs w:val="20"/>
      </w:rPr>
      <w:fldChar w:fldCharType="begin"/>
    </w:r>
    <w:r w:rsidR="00E24D44" w:rsidRPr="00DE6E01">
      <w:rPr>
        <w:rFonts w:ascii="Arial" w:hAnsi="Arial" w:cs="Arial"/>
        <w:sz w:val="20"/>
        <w:szCs w:val="20"/>
      </w:rPr>
      <w:instrText xml:space="preserve"> PAGE   \* MERGEFORMAT </w:instrText>
    </w:r>
    <w:r w:rsidR="00E24D44" w:rsidRPr="00DE6E01">
      <w:rPr>
        <w:rFonts w:ascii="Arial" w:eastAsiaTheme="minorEastAsia" w:hAnsi="Arial" w:cs="Arial"/>
        <w:sz w:val="20"/>
        <w:szCs w:val="20"/>
      </w:rPr>
      <w:fldChar w:fldCharType="separate"/>
    </w:r>
    <w:r w:rsidR="003C0E0B" w:rsidRPr="003C0E0B">
      <w:rPr>
        <w:rFonts w:ascii="Arial" w:eastAsiaTheme="majorEastAsia" w:hAnsi="Arial" w:cs="Arial"/>
        <w:noProof/>
        <w:sz w:val="20"/>
        <w:szCs w:val="20"/>
      </w:rPr>
      <w:t>8</w:t>
    </w:r>
    <w:r w:rsidR="00E24D44" w:rsidRPr="00DE6E01">
      <w:rPr>
        <w:rFonts w:ascii="Arial" w:eastAsiaTheme="majorEastAsia" w:hAnsi="Arial" w:cs="Arial"/>
        <w:noProof/>
        <w:sz w:val="20"/>
        <w:szCs w:val="20"/>
      </w:rPr>
      <w:fldChar w:fldCharType="end"/>
    </w:r>
  </w:p>
  <w:p w14:paraId="47EC700B" w14:textId="77777777" w:rsidR="00E24D44" w:rsidRDefault="00E24D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968F8E" w14:textId="77777777" w:rsidR="00DD32A0" w:rsidRDefault="00DD32A0" w:rsidP="00DE6E01">
      <w:pPr>
        <w:spacing w:after="0" w:line="240" w:lineRule="auto"/>
      </w:pPr>
      <w:r>
        <w:separator/>
      </w:r>
    </w:p>
  </w:footnote>
  <w:footnote w:type="continuationSeparator" w:id="0">
    <w:p w14:paraId="6E5D06DF" w14:textId="77777777" w:rsidR="00DD32A0" w:rsidRDefault="00DD32A0" w:rsidP="00DE6E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B1909"/>
    <w:multiLevelType w:val="hybridMultilevel"/>
    <w:tmpl w:val="E6283B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9249E"/>
    <w:multiLevelType w:val="hybridMultilevel"/>
    <w:tmpl w:val="2DE064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21BD9"/>
    <w:multiLevelType w:val="hybridMultilevel"/>
    <w:tmpl w:val="8766F0A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0066BF2"/>
    <w:multiLevelType w:val="hybridMultilevel"/>
    <w:tmpl w:val="B7D62D7A"/>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692177E"/>
    <w:multiLevelType w:val="hybridMultilevel"/>
    <w:tmpl w:val="09DCADF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9406BB1"/>
    <w:multiLevelType w:val="hybridMultilevel"/>
    <w:tmpl w:val="AA8EB7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193B54"/>
    <w:multiLevelType w:val="hybridMultilevel"/>
    <w:tmpl w:val="6BFAE8F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C841D7B"/>
    <w:multiLevelType w:val="hybridMultilevel"/>
    <w:tmpl w:val="656C5B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ED477B"/>
    <w:multiLevelType w:val="hybridMultilevel"/>
    <w:tmpl w:val="941EDA9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F0F37D0"/>
    <w:multiLevelType w:val="hybridMultilevel"/>
    <w:tmpl w:val="5044AC0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B0520F2"/>
    <w:multiLevelType w:val="hybridMultilevel"/>
    <w:tmpl w:val="3DA69B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E074E2"/>
    <w:multiLevelType w:val="hybridMultilevel"/>
    <w:tmpl w:val="B33CAB6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C114FB3"/>
    <w:multiLevelType w:val="hybridMultilevel"/>
    <w:tmpl w:val="AA8EB7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7F020B"/>
    <w:multiLevelType w:val="hybridMultilevel"/>
    <w:tmpl w:val="B720D55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73415E4"/>
    <w:multiLevelType w:val="hybridMultilevel"/>
    <w:tmpl w:val="DB4A349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A550DBC"/>
    <w:multiLevelType w:val="hybridMultilevel"/>
    <w:tmpl w:val="254E6E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D111AC"/>
    <w:multiLevelType w:val="hybridMultilevel"/>
    <w:tmpl w:val="73F6303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FF2601A"/>
    <w:multiLevelType w:val="hybridMultilevel"/>
    <w:tmpl w:val="6BFAE8F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01C2B39"/>
    <w:multiLevelType w:val="hybridMultilevel"/>
    <w:tmpl w:val="DB34DA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495BE9"/>
    <w:multiLevelType w:val="hybridMultilevel"/>
    <w:tmpl w:val="F82E9AD8"/>
    <w:lvl w:ilvl="0" w:tplc="04090017">
      <w:start w:val="1"/>
      <w:numFmt w:val="lowerLetter"/>
      <w:lvlText w:val="%1)"/>
      <w:lvlJc w:val="left"/>
      <w:pPr>
        <w:ind w:left="720" w:hanging="360"/>
      </w:pPr>
      <w:rPr>
        <w:rFonts w:hint="default"/>
      </w:r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E41802"/>
    <w:multiLevelType w:val="hybridMultilevel"/>
    <w:tmpl w:val="66F68152"/>
    <w:lvl w:ilvl="0" w:tplc="10090013">
      <w:start w:val="1"/>
      <w:numFmt w:val="upp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1" w15:restartNumberingAfterBreak="0">
    <w:nsid w:val="45A34779"/>
    <w:multiLevelType w:val="hybridMultilevel"/>
    <w:tmpl w:val="774E4B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DB20DF"/>
    <w:multiLevelType w:val="hybridMultilevel"/>
    <w:tmpl w:val="DB4A349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4AF5665F"/>
    <w:multiLevelType w:val="hybridMultilevel"/>
    <w:tmpl w:val="8676C6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6F2E77"/>
    <w:multiLevelType w:val="hybridMultilevel"/>
    <w:tmpl w:val="760898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9D159F"/>
    <w:multiLevelType w:val="hybridMultilevel"/>
    <w:tmpl w:val="73445F0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1736EBF"/>
    <w:multiLevelType w:val="hybridMultilevel"/>
    <w:tmpl w:val="472E15FE"/>
    <w:lvl w:ilvl="0" w:tplc="46849748">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AF5D8E"/>
    <w:multiLevelType w:val="hybridMultilevel"/>
    <w:tmpl w:val="BC4C40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3E3BC6"/>
    <w:multiLevelType w:val="hybridMultilevel"/>
    <w:tmpl w:val="44B67D9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53B46B52"/>
    <w:multiLevelType w:val="hybridMultilevel"/>
    <w:tmpl w:val="8CE23D52"/>
    <w:lvl w:ilvl="0" w:tplc="10090017">
      <w:start w:val="1"/>
      <w:numFmt w:val="low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4865BB2"/>
    <w:multiLevelType w:val="hybridMultilevel"/>
    <w:tmpl w:val="CCD0DB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CA3630"/>
    <w:multiLevelType w:val="hybridMultilevel"/>
    <w:tmpl w:val="DB4A349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5DC64383"/>
    <w:multiLevelType w:val="hybridMultilevel"/>
    <w:tmpl w:val="B33CAB6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5E2C0DA5"/>
    <w:multiLevelType w:val="hybridMultilevel"/>
    <w:tmpl w:val="20FE20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8C35D9"/>
    <w:multiLevelType w:val="hybridMultilevel"/>
    <w:tmpl w:val="DC96E45C"/>
    <w:lvl w:ilvl="0" w:tplc="10090017">
      <w:start w:val="1"/>
      <w:numFmt w:val="lowerLetter"/>
      <w:lvlText w:val="%1)"/>
      <w:lvlJc w:val="left"/>
      <w:pPr>
        <w:ind w:left="720" w:hanging="360"/>
      </w:pPr>
      <w:rPr>
        <w:rFonts w:hint="default"/>
      </w:rPr>
    </w:lvl>
    <w:lvl w:ilvl="1" w:tplc="783025F8">
      <w:start w:val="9"/>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642D65EB"/>
    <w:multiLevelType w:val="hybridMultilevel"/>
    <w:tmpl w:val="EC8C57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C432FB"/>
    <w:multiLevelType w:val="hybridMultilevel"/>
    <w:tmpl w:val="2146D4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331DC3"/>
    <w:multiLevelType w:val="hybridMultilevel"/>
    <w:tmpl w:val="40463C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5033F2"/>
    <w:multiLevelType w:val="hybridMultilevel"/>
    <w:tmpl w:val="A4E67B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4A2E6C"/>
    <w:multiLevelType w:val="hybridMultilevel"/>
    <w:tmpl w:val="C1DC925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71354334"/>
    <w:multiLevelType w:val="hybridMultilevel"/>
    <w:tmpl w:val="6BFAE8F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73154DB9"/>
    <w:multiLevelType w:val="hybridMultilevel"/>
    <w:tmpl w:val="6A98A6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3338A2"/>
    <w:multiLevelType w:val="hybridMultilevel"/>
    <w:tmpl w:val="DFD45670"/>
    <w:lvl w:ilvl="0" w:tplc="04090017">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B352BF"/>
    <w:multiLevelType w:val="hybridMultilevel"/>
    <w:tmpl w:val="C42674C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7F70EF0"/>
    <w:multiLevelType w:val="hybridMultilevel"/>
    <w:tmpl w:val="B33CAB6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15:restartNumberingAfterBreak="0">
    <w:nsid w:val="7CE11C7D"/>
    <w:multiLevelType w:val="hybridMultilevel"/>
    <w:tmpl w:val="99B650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3E7624"/>
    <w:multiLevelType w:val="hybridMultilevel"/>
    <w:tmpl w:val="6140340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6"/>
  </w:num>
  <w:num w:numId="2">
    <w:abstractNumId w:val="17"/>
  </w:num>
  <w:num w:numId="3">
    <w:abstractNumId w:val="11"/>
  </w:num>
  <w:num w:numId="4">
    <w:abstractNumId w:val="32"/>
  </w:num>
  <w:num w:numId="5">
    <w:abstractNumId w:val="44"/>
  </w:num>
  <w:num w:numId="6">
    <w:abstractNumId w:val="14"/>
  </w:num>
  <w:num w:numId="7">
    <w:abstractNumId w:val="22"/>
  </w:num>
  <w:num w:numId="8">
    <w:abstractNumId w:val="31"/>
  </w:num>
  <w:num w:numId="9">
    <w:abstractNumId w:val="34"/>
  </w:num>
  <w:num w:numId="10">
    <w:abstractNumId w:val="20"/>
  </w:num>
  <w:num w:numId="11">
    <w:abstractNumId w:val="39"/>
  </w:num>
  <w:num w:numId="12">
    <w:abstractNumId w:val="8"/>
  </w:num>
  <w:num w:numId="13">
    <w:abstractNumId w:val="9"/>
  </w:num>
  <w:num w:numId="14">
    <w:abstractNumId w:val="16"/>
  </w:num>
  <w:num w:numId="15">
    <w:abstractNumId w:val="25"/>
  </w:num>
  <w:num w:numId="16">
    <w:abstractNumId w:val="40"/>
  </w:num>
  <w:num w:numId="17">
    <w:abstractNumId w:val="43"/>
  </w:num>
  <w:num w:numId="18">
    <w:abstractNumId w:val="28"/>
  </w:num>
  <w:num w:numId="19">
    <w:abstractNumId w:val="13"/>
  </w:num>
  <w:num w:numId="20">
    <w:abstractNumId w:val="2"/>
  </w:num>
  <w:num w:numId="21">
    <w:abstractNumId w:val="4"/>
  </w:num>
  <w:num w:numId="22">
    <w:abstractNumId w:val="46"/>
  </w:num>
  <w:num w:numId="23">
    <w:abstractNumId w:val="29"/>
  </w:num>
  <w:num w:numId="24">
    <w:abstractNumId w:val="3"/>
  </w:num>
  <w:num w:numId="25">
    <w:abstractNumId w:val="10"/>
  </w:num>
  <w:num w:numId="26">
    <w:abstractNumId w:val="41"/>
  </w:num>
  <w:num w:numId="27">
    <w:abstractNumId w:val="33"/>
  </w:num>
  <w:num w:numId="28">
    <w:abstractNumId w:val="38"/>
  </w:num>
  <w:num w:numId="29">
    <w:abstractNumId w:val="1"/>
  </w:num>
  <w:num w:numId="30">
    <w:abstractNumId w:val="37"/>
  </w:num>
  <w:num w:numId="31">
    <w:abstractNumId w:val="30"/>
  </w:num>
  <w:num w:numId="32">
    <w:abstractNumId w:val="45"/>
  </w:num>
  <w:num w:numId="33">
    <w:abstractNumId w:val="23"/>
  </w:num>
  <w:num w:numId="34">
    <w:abstractNumId w:val="19"/>
  </w:num>
  <w:num w:numId="35">
    <w:abstractNumId w:val="7"/>
  </w:num>
  <w:num w:numId="36">
    <w:abstractNumId w:val="27"/>
  </w:num>
  <w:num w:numId="37">
    <w:abstractNumId w:val="35"/>
  </w:num>
  <w:num w:numId="38">
    <w:abstractNumId w:val="18"/>
  </w:num>
  <w:num w:numId="39">
    <w:abstractNumId w:val="12"/>
  </w:num>
  <w:num w:numId="40">
    <w:abstractNumId w:val="0"/>
  </w:num>
  <w:num w:numId="41">
    <w:abstractNumId w:val="5"/>
  </w:num>
  <w:num w:numId="42">
    <w:abstractNumId w:val="15"/>
  </w:num>
  <w:num w:numId="43">
    <w:abstractNumId w:val="36"/>
  </w:num>
  <w:num w:numId="44">
    <w:abstractNumId w:val="21"/>
  </w:num>
  <w:num w:numId="45">
    <w:abstractNumId w:val="24"/>
  </w:num>
  <w:num w:numId="46">
    <w:abstractNumId w:val="26"/>
  </w:num>
  <w:num w:numId="47">
    <w:abstractNumId w:val="4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CBD"/>
    <w:rsid w:val="00001548"/>
    <w:rsid w:val="00010EBA"/>
    <w:rsid w:val="0001293A"/>
    <w:rsid w:val="00013C76"/>
    <w:rsid w:val="00015736"/>
    <w:rsid w:val="0002098D"/>
    <w:rsid w:val="00020DA9"/>
    <w:rsid w:val="000256C6"/>
    <w:rsid w:val="00034663"/>
    <w:rsid w:val="00041B83"/>
    <w:rsid w:val="000501DB"/>
    <w:rsid w:val="000557DD"/>
    <w:rsid w:val="00064863"/>
    <w:rsid w:val="00073F89"/>
    <w:rsid w:val="00080E2C"/>
    <w:rsid w:val="000820BA"/>
    <w:rsid w:val="00084B73"/>
    <w:rsid w:val="000911AC"/>
    <w:rsid w:val="00094718"/>
    <w:rsid w:val="000948F6"/>
    <w:rsid w:val="00095635"/>
    <w:rsid w:val="000A2F07"/>
    <w:rsid w:val="000B1B0E"/>
    <w:rsid w:val="000B428A"/>
    <w:rsid w:val="000B467D"/>
    <w:rsid w:val="000B5C30"/>
    <w:rsid w:val="000C2E30"/>
    <w:rsid w:val="000C40F4"/>
    <w:rsid w:val="000D4AC3"/>
    <w:rsid w:val="000E0820"/>
    <w:rsid w:val="000E1AAA"/>
    <w:rsid w:val="000F132D"/>
    <w:rsid w:val="000F16C8"/>
    <w:rsid w:val="000F6B06"/>
    <w:rsid w:val="000F74DE"/>
    <w:rsid w:val="00101D64"/>
    <w:rsid w:val="00107C4C"/>
    <w:rsid w:val="001124A4"/>
    <w:rsid w:val="00112B44"/>
    <w:rsid w:val="00112F2F"/>
    <w:rsid w:val="0012122B"/>
    <w:rsid w:val="001306BE"/>
    <w:rsid w:val="001469D2"/>
    <w:rsid w:val="0014769D"/>
    <w:rsid w:val="0015136D"/>
    <w:rsid w:val="00151D17"/>
    <w:rsid w:val="001557B4"/>
    <w:rsid w:val="0015619A"/>
    <w:rsid w:val="00165ED3"/>
    <w:rsid w:val="00166243"/>
    <w:rsid w:val="00166C64"/>
    <w:rsid w:val="00172603"/>
    <w:rsid w:val="00173FE0"/>
    <w:rsid w:val="001763FF"/>
    <w:rsid w:val="00181C09"/>
    <w:rsid w:val="00183A4F"/>
    <w:rsid w:val="00183C56"/>
    <w:rsid w:val="0018529C"/>
    <w:rsid w:val="00185574"/>
    <w:rsid w:val="00191256"/>
    <w:rsid w:val="001914DF"/>
    <w:rsid w:val="00196E87"/>
    <w:rsid w:val="00197CAD"/>
    <w:rsid w:val="001A2E8E"/>
    <w:rsid w:val="001A5994"/>
    <w:rsid w:val="001A6C17"/>
    <w:rsid w:val="001B0992"/>
    <w:rsid w:val="001B4077"/>
    <w:rsid w:val="001B6A7C"/>
    <w:rsid w:val="001B7385"/>
    <w:rsid w:val="001C166D"/>
    <w:rsid w:val="001C30D4"/>
    <w:rsid w:val="001C3EF4"/>
    <w:rsid w:val="001C41C7"/>
    <w:rsid w:val="001C5B92"/>
    <w:rsid w:val="001D0149"/>
    <w:rsid w:val="001D7B3B"/>
    <w:rsid w:val="001E0C79"/>
    <w:rsid w:val="001E0CB0"/>
    <w:rsid w:val="001E7D9C"/>
    <w:rsid w:val="001F09E6"/>
    <w:rsid w:val="00200877"/>
    <w:rsid w:val="0020243D"/>
    <w:rsid w:val="00210EB1"/>
    <w:rsid w:val="00215667"/>
    <w:rsid w:val="00221E4A"/>
    <w:rsid w:val="00225157"/>
    <w:rsid w:val="00226D3E"/>
    <w:rsid w:val="00227C4D"/>
    <w:rsid w:val="002335FA"/>
    <w:rsid w:val="00240D1A"/>
    <w:rsid w:val="0024117F"/>
    <w:rsid w:val="002429A6"/>
    <w:rsid w:val="002558C9"/>
    <w:rsid w:val="002714FA"/>
    <w:rsid w:val="002737AA"/>
    <w:rsid w:val="002801A8"/>
    <w:rsid w:val="00281205"/>
    <w:rsid w:val="002A677C"/>
    <w:rsid w:val="002B033F"/>
    <w:rsid w:val="002B5CBA"/>
    <w:rsid w:val="002B6037"/>
    <w:rsid w:val="002B7D9E"/>
    <w:rsid w:val="002C2F05"/>
    <w:rsid w:val="002D1418"/>
    <w:rsid w:val="002D1FDB"/>
    <w:rsid w:val="002D2F1A"/>
    <w:rsid w:val="002E0475"/>
    <w:rsid w:val="002E0A04"/>
    <w:rsid w:val="002E3E2B"/>
    <w:rsid w:val="002E4860"/>
    <w:rsid w:val="002E66D0"/>
    <w:rsid w:val="002F29B9"/>
    <w:rsid w:val="002F3997"/>
    <w:rsid w:val="002F4471"/>
    <w:rsid w:val="00302AFD"/>
    <w:rsid w:val="00305EA0"/>
    <w:rsid w:val="0030781F"/>
    <w:rsid w:val="003107BC"/>
    <w:rsid w:val="00317949"/>
    <w:rsid w:val="0032714C"/>
    <w:rsid w:val="00332CB4"/>
    <w:rsid w:val="00335BBE"/>
    <w:rsid w:val="0033718C"/>
    <w:rsid w:val="003376FD"/>
    <w:rsid w:val="00341E02"/>
    <w:rsid w:val="00341E59"/>
    <w:rsid w:val="00346041"/>
    <w:rsid w:val="00347DF1"/>
    <w:rsid w:val="003543CE"/>
    <w:rsid w:val="003569CD"/>
    <w:rsid w:val="00357DBC"/>
    <w:rsid w:val="00360A1B"/>
    <w:rsid w:val="00364135"/>
    <w:rsid w:val="00371905"/>
    <w:rsid w:val="0037197A"/>
    <w:rsid w:val="00375B23"/>
    <w:rsid w:val="00376870"/>
    <w:rsid w:val="00380196"/>
    <w:rsid w:val="00383D61"/>
    <w:rsid w:val="00391079"/>
    <w:rsid w:val="00396076"/>
    <w:rsid w:val="003A0EF1"/>
    <w:rsid w:val="003A4CA4"/>
    <w:rsid w:val="003A5FD0"/>
    <w:rsid w:val="003B29C2"/>
    <w:rsid w:val="003B5688"/>
    <w:rsid w:val="003C0202"/>
    <w:rsid w:val="003C0E0B"/>
    <w:rsid w:val="003C1716"/>
    <w:rsid w:val="003D1501"/>
    <w:rsid w:val="003D4DC3"/>
    <w:rsid w:val="003D7370"/>
    <w:rsid w:val="003D7638"/>
    <w:rsid w:val="003E1B4D"/>
    <w:rsid w:val="003E3DF8"/>
    <w:rsid w:val="003E59CD"/>
    <w:rsid w:val="003E6109"/>
    <w:rsid w:val="003E6F12"/>
    <w:rsid w:val="003E7B7B"/>
    <w:rsid w:val="003E7D6D"/>
    <w:rsid w:val="003F1B66"/>
    <w:rsid w:val="003F42DE"/>
    <w:rsid w:val="004003A1"/>
    <w:rsid w:val="004008BC"/>
    <w:rsid w:val="004010E2"/>
    <w:rsid w:val="00402F04"/>
    <w:rsid w:val="0040657C"/>
    <w:rsid w:val="00410F7A"/>
    <w:rsid w:val="00412DC6"/>
    <w:rsid w:val="004227A3"/>
    <w:rsid w:val="0042432B"/>
    <w:rsid w:val="00426959"/>
    <w:rsid w:val="0042781F"/>
    <w:rsid w:val="004309E0"/>
    <w:rsid w:val="00432B4A"/>
    <w:rsid w:val="0045198F"/>
    <w:rsid w:val="00455127"/>
    <w:rsid w:val="00456078"/>
    <w:rsid w:val="00461CC1"/>
    <w:rsid w:val="00461FAA"/>
    <w:rsid w:val="004620FD"/>
    <w:rsid w:val="00467876"/>
    <w:rsid w:val="004705B5"/>
    <w:rsid w:val="004748E6"/>
    <w:rsid w:val="00475301"/>
    <w:rsid w:val="00475A16"/>
    <w:rsid w:val="00477A12"/>
    <w:rsid w:val="00480FC8"/>
    <w:rsid w:val="004812FF"/>
    <w:rsid w:val="00482A57"/>
    <w:rsid w:val="00485B90"/>
    <w:rsid w:val="00486FBA"/>
    <w:rsid w:val="0048731C"/>
    <w:rsid w:val="0048777F"/>
    <w:rsid w:val="0049038B"/>
    <w:rsid w:val="00496958"/>
    <w:rsid w:val="004A0755"/>
    <w:rsid w:val="004B0222"/>
    <w:rsid w:val="004C3A56"/>
    <w:rsid w:val="004C4ADB"/>
    <w:rsid w:val="004E4ADB"/>
    <w:rsid w:val="004F1E56"/>
    <w:rsid w:val="004F1EE5"/>
    <w:rsid w:val="004F59E2"/>
    <w:rsid w:val="00501E48"/>
    <w:rsid w:val="00503458"/>
    <w:rsid w:val="00503873"/>
    <w:rsid w:val="00503E29"/>
    <w:rsid w:val="0050467E"/>
    <w:rsid w:val="00505314"/>
    <w:rsid w:val="00506015"/>
    <w:rsid w:val="00507BF1"/>
    <w:rsid w:val="00507D8B"/>
    <w:rsid w:val="005168BC"/>
    <w:rsid w:val="005304DA"/>
    <w:rsid w:val="00534A51"/>
    <w:rsid w:val="00541323"/>
    <w:rsid w:val="005461EE"/>
    <w:rsid w:val="00550401"/>
    <w:rsid w:val="005775A5"/>
    <w:rsid w:val="00580D37"/>
    <w:rsid w:val="005818E7"/>
    <w:rsid w:val="00583B49"/>
    <w:rsid w:val="00592504"/>
    <w:rsid w:val="00592C6A"/>
    <w:rsid w:val="005A54DD"/>
    <w:rsid w:val="005B211A"/>
    <w:rsid w:val="005B267A"/>
    <w:rsid w:val="005B2C3B"/>
    <w:rsid w:val="005B79A4"/>
    <w:rsid w:val="005C0394"/>
    <w:rsid w:val="005D2931"/>
    <w:rsid w:val="005D4579"/>
    <w:rsid w:val="005E151C"/>
    <w:rsid w:val="00606515"/>
    <w:rsid w:val="0061430D"/>
    <w:rsid w:val="0061512E"/>
    <w:rsid w:val="00617E7B"/>
    <w:rsid w:val="00623534"/>
    <w:rsid w:val="00624405"/>
    <w:rsid w:val="00624B8C"/>
    <w:rsid w:val="00625EAA"/>
    <w:rsid w:val="00634CF2"/>
    <w:rsid w:val="006407F8"/>
    <w:rsid w:val="00642C75"/>
    <w:rsid w:val="006442E5"/>
    <w:rsid w:val="00653631"/>
    <w:rsid w:val="006567A7"/>
    <w:rsid w:val="006631EA"/>
    <w:rsid w:val="00671345"/>
    <w:rsid w:val="006816D0"/>
    <w:rsid w:val="00684DB0"/>
    <w:rsid w:val="006858E7"/>
    <w:rsid w:val="00687782"/>
    <w:rsid w:val="00691341"/>
    <w:rsid w:val="006950F4"/>
    <w:rsid w:val="006955F1"/>
    <w:rsid w:val="006B1B02"/>
    <w:rsid w:val="006B713F"/>
    <w:rsid w:val="006C2915"/>
    <w:rsid w:val="006C5FF0"/>
    <w:rsid w:val="006C70A2"/>
    <w:rsid w:val="006D71E6"/>
    <w:rsid w:val="006E1633"/>
    <w:rsid w:val="006E271D"/>
    <w:rsid w:val="006E4158"/>
    <w:rsid w:val="006F189E"/>
    <w:rsid w:val="006F2FD8"/>
    <w:rsid w:val="006F72C0"/>
    <w:rsid w:val="006F75A8"/>
    <w:rsid w:val="00701000"/>
    <w:rsid w:val="007032E5"/>
    <w:rsid w:val="00703954"/>
    <w:rsid w:val="0070693F"/>
    <w:rsid w:val="00711B94"/>
    <w:rsid w:val="00711CB7"/>
    <w:rsid w:val="00712360"/>
    <w:rsid w:val="00716788"/>
    <w:rsid w:val="00725AB2"/>
    <w:rsid w:val="00746080"/>
    <w:rsid w:val="007468CF"/>
    <w:rsid w:val="00751871"/>
    <w:rsid w:val="0075773F"/>
    <w:rsid w:val="00757FC8"/>
    <w:rsid w:val="007638A3"/>
    <w:rsid w:val="00764626"/>
    <w:rsid w:val="00780AA5"/>
    <w:rsid w:val="00787843"/>
    <w:rsid w:val="00792C14"/>
    <w:rsid w:val="007B6E40"/>
    <w:rsid w:val="007C1E8B"/>
    <w:rsid w:val="007C3E8E"/>
    <w:rsid w:val="007C479F"/>
    <w:rsid w:val="007C4AA4"/>
    <w:rsid w:val="007C6B47"/>
    <w:rsid w:val="007D1241"/>
    <w:rsid w:val="007D1CE4"/>
    <w:rsid w:val="007D41E4"/>
    <w:rsid w:val="007D4FAE"/>
    <w:rsid w:val="007D70E6"/>
    <w:rsid w:val="007E26AC"/>
    <w:rsid w:val="007F1294"/>
    <w:rsid w:val="007F1704"/>
    <w:rsid w:val="007F770F"/>
    <w:rsid w:val="00801E9B"/>
    <w:rsid w:val="008049A3"/>
    <w:rsid w:val="0080681C"/>
    <w:rsid w:val="0081274C"/>
    <w:rsid w:val="008200B5"/>
    <w:rsid w:val="00820608"/>
    <w:rsid w:val="00823B94"/>
    <w:rsid w:val="008315AD"/>
    <w:rsid w:val="00833FF5"/>
    <w:rsid w:val="008362B4"/>
    <w:rsid w:val="00836674"/>
    <w:rsid w:val="0084367C"/>
    <w:rsid w:val="0084674B"/>
    <w:rsid w:val="00846D82"/>
    <w:rsid w:val="0085202E"/>
    <w:rsid w:val="008564B2"/>
    <w:rsid w:val="008617C8"/>
    <w:rsid w:val="00862DCC"/>
    <w:rsid w:val="00863D31"/>
    <w:rsid w:val="00866E49"/>
    <w:rsid w:val="00867003"/>
    <w:rsid w:val="00867C1B"/>
    <w:rsid w:val="00872CD8"/>
    <w:rsid w:val="00875352"/>
    <w:rsid w:val="00880EEE"/>
    <w:rsid w:val="0088511C"/>
    <w:rsid w:val="00893324"/>
    <w:rsid w:val="008A03AF"/>
    <w:rsid w:val="008A3207"/>
    <w:rsid w:val="008A3B1B"/>
    <w:rsid w:val="008A4DC6"/>
    <w:rsid w:val="008B200A"/>
    <w:rsid w:val="008B2327"/>
    <w:rsid w:val="008B374F"/>
    <w:rsid w:val="008C2AE6"/>
    <w:rsid w:val="008C4629"/>
    <w:rsid w:val="008C7F25"/>
    <w:rsid w:val="008D4AE8"/>
    <w:rsid w:val="008D5CD6"/>
    <w:rsid w:val="008E4484"/>
    <w:rsid w:val="008E5132"/>
    <w:rsid w:val="008E54DC"/>
    <w:rsid w:val="008F41A0"/>
    <w:rsid w:val="00905B63"/>
    <w:rsid w:val="009112F5"/>
    <w:rsid w:val="009223EA"/>
    <w:rsid w:val="009258DB"/>
    <w:rsid w:val="00935629"/>
    <w:rsid w:val="009375DA"/>
    <w:rsid w:val="00940686"/>
    <w:rsid w:val="009501EC"/>
    <w:rsid w:val="009505C0"/>
    <w:rsid w:val="00950E29"/>
    <w:rsid w:val="0095295C"/>
    <w:rsid w:val="00953A66"/>
    <w:rsid w:val="00953B52"/>
    <w:rsid w:val="00957041"/>
    <w:rsid w:val="009578B6"/>
    <w:rsid w:val="009612B4"/>
    <w:rsid w:val="00961CBD"/>
    <w:rsid w:val="00966077"/>
    <w:rsid w:val="0097366D"/>
    <w:rsid w:val="00975254"/>
    <w:rsid w:val="00983C94"/>
    <w:rsid w:val="00990EA6"/>
    <w:rsid w:val="009B0287"/>
    <w:rsid w:val="009B49EB"/>
    <w:rsid w:val="009C0717"/>
    <w:rsid w:val="009C4C18"/>
    <w:rsid w:val="009D04C2"/>
    <w:rsid w:val="009D5952"/>
    <w:rsid w:val="009D717E"/>
    <w:rsid w:val="009E201E"/>
    <w:rsid w:val="009E49B5"/>
    <w:rsid w:val="009E7D65"/>
    <w:rsid w:val="009F0B83"/>
    <w:rsid w:val="009F129A"/>
    <w:rsid w:val="00A000DE"/>
    <w:rsid w:val="00A04C11"/>
    <w:rsid w:val="00A07D7F"/>
    <w:rsid w:val="00A17DB2"/>
    <w:rsid w:val="00A24500"/>
    <w:rsid w:val="00A40741"/>
    <w:rsid w:val="00A44B73"/>
    <w:rsid w:val="00A4642B"/>
    <w:rsid w:val="00A550E8"/>
    <w:rsid w:val="00A55931"/>
    <w:rsid w:val="00A56E04"/>
    <w:rsid w:val="00A6070F"/>
    <w:rsid w:val="00A60D4A"/>
    <w:rsid w:val="00A632D6"/>
    <w:rsid w:val="00A75184"/>
    <w:rsid w:val="00A83048"/>
    <w:rsid w:val="00A84088"/>
    <w:rsid w:val="00A847B8"/>
    <w:rsid w:val="00A90A19"/>
    <w:rsid w:val="00A975AC"/>
    <w:rsid w:val="00AA06D9"/>
    <w:rsid w:val="00AB1473"/>
    <w:rsid w:val="00AC126F"/>
    <w:rsid w:val="00AD1BB6"/>
    <w:rsid w:val="00AD1FF3"/>
    <w:rsid w:val="00AD26FC"/>
    <w:rsid w:val="00AD3170"/>
    <w:rsid w:val="00AE152F"/>
    <w:rsid w:val="00AE1C24"/>
    <w:rsid w:val="00AF0A44"/>
    <w:rsid w:val="00AF3362"/>
    <w:rsid w:val="00AF4FEC"/>
    <w:rsid w:val="00B01021"/>
    <w:rsid w:val="00B01FFC"/>
    <w:rsid w:val="00B05CED"/>
    <w:rsid w:val="00B065A4"/>
    <w:rsid w:val="00B11B40"/>
    <w:rsid w:val="00B11C76"/>
    <w:rsid w:val="00B12D5F"/>
    <w:rsid w:val="00B2081D"/>
    <w:rsid w:val="00B2372A"/>
    <w:rsid w:val="00B2529A"/>
    <w:rsid w:val="00B25576"/>
    <w:rsid w:val="00B31AAD"/>
    <w:rsid w:val="00B325E6"/>
    <w:rsid w:val="00B33FB0"/>
    <w:rsid w:val="00B40BD4"/>
    <w:rsid w:val="00B50094"/>
    <w:rsid w:val="00B50CB9"/>
    <w:rsid w:val="00B510D0"/>
    <w:rsid w:val="00B538C9"/>
    <w:rsid w:val="00B56CAE"/>
    <w:rsid w:val="00B60010"/>
    <w:rsid w:val="00B60415"/>
    <w:rsid w:val="00B64CCE"/>
    <w:rsid w:val="00B65416"/>
    <w:rsid w:val="00B6627B"/>
    <w:rsid w:val="00B679C0"/>
    <w:rsid w:val="00B7093F"/>
    <w:rsid w:val="00B70A11"/>
    <w:rsid w:val="00B71B99"/>
    <w:rsid w:val="00B72870"/>
    <w:rsid w:val="00B82A50"/>
    <w:rsid w:val="00B84116"/>
    <w:rsid w:val="00B8664C"/>
    <w:rsid w:val="00B87553"/>
    <w:rsid w:val="00B87B05"/>
    <w:rsid w:val="00B94087"/>
    <w:rsid w:val="00B96969"/>
    <w:rsid w:val="00BA0230"/>
    <w:rsid w:val="00BB0203"/>
    <w:rsid w:val="00BB1D75"/>
    <w:rsid w:val="00BB317F"/>
    <w:rsid w:val="00BC5EB6"/>
    <w:rsid w:val="00BD38D9"/>
    <w:rsid w:val="00BD4459"/>
    <w:rsid w:val="00BE21C5"/>
    <w:rsid w:val="00BF08B3"/>
    <w:rsid w:val="00BF2E1B"/>
    <w:rsid w:val="00BF4721"/>
    <w:rsid w:val="00BF47CF"/>
    <w:rsid w:val="00BF6D8A"/>
    <w:rsid w:val="00BF7763"/>
    <w:rsid w:val="00C00083"/>
    <w:rsid w:val="00C016D4"/>
    <w:rsid w:val="00C0253B"/>
    <w:rsid w:val="00C04731"/>
    <w:rsid w:val="00C0629B"/>
    <w:rsid w:val="00C073AB"/>
    <w:rsid w:val="00C164A5"/>
    <w:rsid w:val="00C31014"/>
    <w:rsid w:val="00C31211"/>
    <w:rsid w:val="00C3575D"/>
    <w:rsid w:val="00C40B40"/>
    <w:rsid w:val="00C51ECF"/>
    <w:rsid w:val="00C5366B"/>
    <w:rsid w:val="00C6742F"/>
    <w:rsid w:val="00C83230"/>
    <w:rsid w:val="00C868BD"/>
    <w:rsid w:val="00CA1433"/>
    <w:rsid w:val="00CA288B"/>
    <w:rsid w:val="00CA5371"/>
    <w:rsid w:val="00CA67C6"/>
    <w:rsid w:val="00CA6D3C"/>
    <w:rsid w:val="00CB0EA8"/>
    <w:rsid w:val="00CB434D"/>
    <w:rsid w:val="00CB7719"/>
    <w:rsid w:val="00CC2811"/>
    <w:rsid w:val="00CC3CF8"/>
    <w:rsid w:val="00CC49C2"/>
    <w:rsid w:val="00CC57AF"/>
    <w:rsid w:val="00CD36F6"/>
    <w:rsid w:val="00CD38AC"/>
    <w:rsid w:val="00CF2EFD"/>
    <w:rsid w:val="00CF33A0"/>
    <w:rsid w:val="00CF3475"/>
    <w:rsid w:val="00CF364B"/>
    <w:rsid w:val="00D0190B"/>
    <w:rsid w:val="00D0308A"/>
    <w:rsid w:val="00D15616"/>
    <w:rsid w:val="00D347C4"/>
    <w:rsid w:val="00D37279"/>
    <w:rsid w:val="00D37295"/>
    <w:rsid w:val="00D41111"/>
    <w:rsid w:val="00D41355"/>
    <w:rsid w:val="00D44475"/>
    <w:rsid w:val="00D5095F"/>
    <w:rsid w:val="00D51554"/>
    <w:rsid w:val="00D517BB"/>
    <w:rsid w:val="00D604B8"/>
    <w:rsid w:val="00D61E75"/>
    <w:rsid w:val="00D62BAA"/>
    <w:rsid w:val="00D6466B"/>
    <w:rsid w:val="00D66EDF"/>
    <w:rsid w:val="00D671D6"/>
    <w:rsid w:val="00D75EC0"/>
    <w:rsid w:val="00D85C54"/>
    <w:rsid w:val="00D86687"/>
    <w:rsid w:val="00D875FE"/>
    <w:rsid w:val="00D91215"/>
    <w:rsid w:val="00D966D4"/>
    <w:rsid w:val="00DA28F0"/>
    <w:rsid w:val="00DA3180"/>
    <w:rsid w:val="00DB241B"/>
    <w:rsid w:val="00DB30D8"/>
    <w:rsid w:val="00DB349E"/>
    <w:rsid w:val="00DB47E8"/>
    <w:rsid w:val="00DB6968"/>
    <w:rsid w:val="00DC0900"/>
    <w:rsid w:val="00DC09C4"/>
    <w:rsid w:val="00DC2BD9"/>
    <w:rsid w:val="00DC5AD6"/>
    <w:rsid w:val="00DC7763"/>
    <w:rsid w:val="00DD2A50"/>
    <w:rsid w:val="00DD32A0"/>
    <w:rsid w:val="00DD5FD6"/>
    <w:rsid w:val="00DE6E01"/>
    <w:rsid w:val="00DF29D8"/>
    <w:rsid w:val="00DF5C41"/>
    <w:rsid w:val="00DF73B8"/>
    <w:rsid w:val="00E010C1"/>
    <w:rsid w:val="00E05AAC"/>
    <w:rsid w:val="00E120C4"/>
    <w:rsid w:val="00E13944"/>
    <w:rsid w:val="00E20797"/>
    <w:rsid w:val="00E22966"/>
    <w:rsid w:val="00E24D44"/>
    <w:rsid w:val="00E32977"/>
    <w:rsid w:val="00E37DB7"/>
    <w:rsid w:val="00E421AE"/>
    <w:rsid w:val="00E46BBB"/>
    <w:rsid w:val="00E50A7E"/>
    <w:rsid w:val="00E63502"/>
    <w:rsid w:val="00E64253"/>
    <w:rsid w:val="00E67E75"/>
    <w:rsid w:val="00E70F18"/>
    <w:rsid w:val="00E71E1D"/>
    <w:rsid w:val="00E8133C"/>
    <w:rsid w:val="00E82CD4"/>
    <w:rsid w:val="00E84144"/>
    <w:rsid w:val="00E929F3"/>
    <w:rsid w:val="00E95C31"/>
    <w:rsid w:val="00E9727E"/>
    <w:rsid w:val="00E97921"/>
    <w:rsid w:val="00EA008D"/>
    <w:rsid w:val="00EA0919"/>
    <w:rsid w:val="00EA1AF8"/>
    <w:rsid w:val="00EA4DEE"/>
    <w:rsid w:val="00EA546E"/>
    <w:rsid w:val="00EB75C0"/>
    <w:rsid w:val="00EC1CA4"/>
    <w:rsid w:val="00EC2B23"/>
    <w:rsid w:val="00EC2CC4"/>
    <w:rsid w:val="00ED64B8"/>
    <w:rsid w:val="00EF6BAA"/>
    <w:rsid w:val="00F00BC6"/>
    <w:rsid w:val="00F01CD5"/>
    <w:rsid w:val="00F02CAE"/>
    <w:rsid w:val="00F03724"/>
    <w:rsid w:val="00F0428A"/>
    <w:rsid w:val="00F12948"/>
    <w:rsid w:val="00F142C6"/>
    <w:rsid w:val="00F15B50"/>
    <w:rsid w:val="00F27159"/>
    <w:rsid w:val="00F27EF4"/>
    <w:rsid w:val="00F30DC3"/>
    <w:rsid w:val="00F477CE"/>
    <w:rsid w:val="00F60419"/>
    <w:rsid w:val="00F70C59"/>
    <w:rsid w:val="00F75EDD"/>
    <w:rsid w:val="00F81FF9"/>
    <w:rsid w:val="00F82D4A"/>
    <w:rsid w:val="00F83B55"/>
    <w:rsid w:val="00F86B4C"/>
    <w:rsid w:val="00F95D33"/>
    <w:rsid w:val="00FA0ECD"/>
    <w:rsid w:val="00FA155F"/>
    <w:rsid w:val="00FA5813"/>
    <w:rsid w:val="00FA5FA7"/>
    <w:rsid w:val="00FC036C"/>
    <w:rsid w:val="00FC672B"/>
    <w:rsid w:val="00FC7312"/>
    <w:rsid w:val="00FD030A"/>
    <w:rsid w:val="00FD0B61"/>
    <w:rsid w:val="00FD1459"/>
    <w:rsid w:val="00FD22A2"/>
    <w:rsid w:val="00FD62F9"/>
    <w:rsid w:val="00FE59A9"/>
    <w:rsid w:val="00FE7C8E"/>
    <w:rsid w:val="00FF0E3E"/>
    <w:rsid w:val="00FF51F2"/>
    <w:rsid w:val="00FF7B3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C6E3F"/>
  <w15:docId w15:val="{D3354B1C-2A5B-4FF3-A554-B78276583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142C6"/>
    <w:rPr>
      <w:sz w:val="16"/>
      <w:szCs w:val="16"/>
    </w:rPr>
  </w:style>
  <w:style w:type="paragraph" w:styleId="CommentText">
    <w:name w:val="annotation text"/>
    <w:basedOn w:val="Normal"/>
    <w:link w:val="CommentTextChar"/>
    <w:uiPriority w:val="99"/>
    <w:semiHidden/>
    <w:unhideWhenUsed/>
    <w:rsid w:val="00F142C6"/>
    <w:pPr>
      <w:spacing w:line="240" w:lineRule="auto"/>
    </w:pPr>
    <w:rPr>
      <w:sz w:val="20"/>
      <w:szCs w:val="20"/>
    </w:rPr>
  </w:style>
  <w:style w:type="character" w:customStyle="1" w:styleId="CommentTextChar">
    <w:name w:val="Comment Text Char"/>
    <w:basedOn w:val="DefaultParagraphFont"/>
    <w:link w:val="CommentText"/>
    <w:uiPriority w:val="99"/>
    <w:semiHidden/>
    <w:rsid w:val="00F142C6"/>
    <w:rPr>
      <w:sz w:val="20"/>
      <w:szCs w:val="20"/>
    </w:rPr>
  </w:style>
  <w:style w:type="paragraph" w:styleId="CommentSubject">
    <w:name w:val="annotation subject"/>
    <w:basedOn w:val="CommentText"/>
    <w:next w:val="CommentText"/>
    <w:link w:val="CommentSubjectChar"/>
    <w:uiPriority w:val="99"/>
    <w:semiHidden/>
    <w:unhideWhenUsed/>
    <w:rsid w:val="00F142C6"/>
    <w:rPr>
      <w:b/>
      <w:bCs/>
    </w:rPr>
  </w:style>
  <w:style w:type="character" w:customStyle="1" w:styleId="CommentSubjectChar">
    <w:name w:val="Comment Subject Char"/>
    <w:basedOn w:val="CommentTextChar"/>
    <w:link w:val="CommentSubject"/>
    <w:uiPriority w:val="99"/>
    <w:semiHidden/>
    <w:rsid w:val="00F142C6"/>
    <w:rPr>
      <w:b/>
      <w:bCs/>
      <w:sz w:val="20"/>
      <w:szCs w:val="20"/>
    </w:rPr>
  </w:style>
  <w:style w:type="paragraph" w:styleId="BalloonText">
    <w:name w:val="Balloon Text"/>
    <w:basedOn w:val="Normal"/>
    <w:link w:val="BalloonTextChar"/>
    <w:uiPriority w:val="99"/>
    <w:semiHidden/>
    <w:unhideWhenUsed/>
    <w:rsid w:val="00F142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42C6"/>
    <w:rPr>
      <w:rFonts w:ascii="Tahoma" w:hAnsi="Tahoma" w:cs="Tahoma"/>
      <w:sz w:val="16"/>
      <w:szCs w:val="16"/>
    </w:rPr>
  </w:style>
  <w:style w:type="paragraph" w:styleId="Header">
    <w:name w:val="header"/>
    <w:basedOn w:val="Normal"/>
    <w:link w:val="HeaderChar"/>
    <w:uiPriority w:val="99"/>
    <w:unhideWhenUsed/>
    <w:rsid w:val="00DE6E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E01"/>
  </w:style>
  <w:style w:type="paragraph" w:styleId="Footer">
    <w:name w:val="footer"/>
    <w:basedOn w:val="Normal"/>
    <w:link w:val="FooterChar"/>
    <w:uiPriority w:val="99"/>
    <w:unhideWhenUsed/>
    <w:rsid w:val="00DE6E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E01"/>
  </w:style>
  <w:style w:type="paragraph" w:styleId="ListParagraph">
    <w:name w:val="List Paragraph"/>
    <w:basedOn w:val="Normal"/>
    <w:uiPriority w:val="34"/>
    <w:qFormat/>
    <w:rsid w:val="007F1704"/>
    <w:pPr>
      <w:ind w:left="720"/>
      <w:contextualSpacing/>
    </w:pPr>
  </w:style>
  <w:style w:type="paragraph" w:customStyle="1" w:styleId="Default">
    <w:name w:val="Default"/>
    <w:rsid w:val="003F1B66"/>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354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2527">
      <w:bodyDiv w:val="1"/>
      <w:marLeft w:val="0"/>
      <w:marRight w:val="0"/>
      <w:marTop w:val="0"/>
      <w:marBottom w:val="0"/>
      <w:divBdr>
        <w:top w:val="none" w:sz="0" w:space="0" w:color="auto"/>
        <w:left w:val="none" w:sz="0" w:space="0" w:color="auto"/>
        <w:bottom w:val="none" w:sz="0" w:space="0" w:color="auto"/>
        <w:right w:val="none" w:sz="0" w:space="0" w:color="auto"/>
      </w:divBdr>
    </w:div>
    <w:div w:id="284626995">
      <w:bodyDiv w:val="1"/>
      <w:marLeft w:val="0"/>
      <w:marRight w:val="0"/>
      <w:marTop w:val="0"/>
      <w:marBottom w:val="0"/>
      <w:divBdr>
        <w:top w:val="none" w:sz="0" w:space="0" w:color="auto"/>
        <w:left w:val="none" w:sz="0" w:space="0" w:color="auto"/>
        <w:bottom w:val="none" w:sz="0" w:space="0" w:color="auto"/>
        <w:right w:val="none" w:sz="0" w:space="0" w:color="auto"/>
      </w:divBdr>
    </w:div>
    <w:div w:id="624889495">
      <w:bodyDiv w:val="1"/>
      <w:marLeft w:val="0"/>
      <w:marRight w:val="0"/>
      <w:marTop w:val="0"/>
      <w:marBottom w:val="0"/>
      <w:divBdr>
        <w:top w:val="none" w:sz="0" w:space="0" w:color="auto"/>
        <w:left w:val="none" w:sz="0" w:space="0" w:color="auto"/>
        <w:bottom w:val="none" w:sz="0" w:space="0" w:color="auto"/>
        <w:right w:val="none" w:sz="0" w:space="0" w:color="auto"/>
      </w:divBdr>
    </w:div>
    <w:div w:id="640186300">
      <w:bodyDiv w:val="1"/>
      <w:marLeft w:val="0"/>
      <w:marRight w:val="0"/>
      <w:marTop w:val="0"/>
      <w:marBottom w:val="0"/>
      <w:divBdr>
        <w:top w:val="none" w:sz="0" w:space="0" w:color="auto"/>
        <w:left w:val="none" w:sz="0" w:space="0" w:color="auto"/>
        <w:bottom w:val="none" w:sz="0" w:space="0" w:color="auto"/>
        <w:right w:val="none" w:sz="0" w:space="0" w:color="auto"/>
      </w:divBdr>
    </w:div>
    <w:div w:id="663360622">
      <w:bodyDiv w:val="1"/>
      <w:marLeft w:val="0"/>
      <w:marRight w:val="0"/>
      <w:marTop w:val="0"/>
      <w:marBottom w:val="0"/>
      <w:divBdr>
        <w:top w:val="none" w:sz="0" w:space="0" w:color="auto"/>
        <w:left w:val="none" w:sz="0" w:space="0" w:color="auto"/>
        <w:bottom w:val="none" w:sz="0" w:space="0" w:color="auto"/>
        <w:right w:val="none" w:sz="0" w:space="0" w:color="auto"/>
      </w:divBdr>
    </w:div>
    <w:div w:id="1384869972">
      <w:bodyDiv w:val="1"/>
      <w:marLeft w:val="0"/>
      <w:marRight w:val="0"/>
      <w:marTop w:val="0"/>
      <w:marBottom w:val="0"/>
      <w:divBdr>
        <w:top w:val="none" w:sz="0" w:space="0" w:color="auto"/>
        <w:left w:val="none" w:sz="0" w:space="0" w:color="auto"/>
        <w:bottom w:val="none" w:sz="0" w:space="0" w:color="auto"/>
        <w:right w:val="none" w:sz="0" w:space="0" w:color="auto"/>
      </w:divBdr>
    </w:div>
    <w:div w:id="1502744388">
      <w:bodyDiv w:val="1"/>
      <w:marLeft w:val="0"/>
      <w:marRight w:val="0"/>
      <w:marTop w:val="0"/>
      <w:marBottom w:val="0"/>
      <w:divBdr>
        <w:top w:val="none" w:sz="0" w:space="0" w:color="auto"/>
        <w:left w:val="none" w:sz="0" w:space="0" w:color="auto"/>
        <w:bottom w:val="none" w:sz="0" w:space="0" w:color="auto"/>
        <w:right w:val="none" w:sz="0" w:space="0" w:color="auto"/>
      </w:divBdr>
    </w:div>
    <w:div w:id="1515266510">
      <w:bodyDiv w:val="1"/>
      <w:marLeft w:val="0"/>
      <w:marRight w:val="0"/>
      <w:marTop w:val="0"/>
      <w:marBottom w:val="0"/>
      <w:divBdr>
        <w:top w:val="none" w:sz="0" w:space="0" w:color="auto"/>
        <w:left w:val="none" w:sz="0" w:space="0" w:color="auto"/>
        <w:bottom w:val="none" w:sz="0" w:space="0" w:color="auto"/>
        <w:right w:val="none" w:sz="0" w:space="0" w:color="auto"/>
      </w:divBdr>
    </w:div>
    <w:div w:id="1556964065">
      <w:bodyDiv w:val="1"/>
      <w:marLeft w:val="0"/>
      <w:marRight w:val="0"/>
      <w:marTop w:val="0"/>
      <w:marBottom w:val="0"/>
      <w:divBdr>
        <w:top w:val="none" w:sz="0" w:space="0" w:color="auto"/>
        <w:left w:val="none" w:sz="0" w:space="0" w:color="auto"/>
        <w:bottom w:val="none" w:sz="0" w:space="0" w:color="auto"/>
        <w:right w:val="none" w:sz="0" w:space="0" w:color="auto"/>
      </w:divBdr>
    </w:div>
    <w:div w:id="1605646784">
      <w:bodyDiv w:val="1"/>
      <w:marLeft w:val="0"/>
      <w:marRight w:val="0"/>
      <w:marTop w:val="0"/>
      <w:marBottom w:val="0"/>
      <w:divBdr>
        <w:top w:val="none" w:sz="0" w:space="0" w:color="auto"/>
        <w:left w:val="none" w:sz="0" w:space="0" w:color="auto"/>
        <w:bottom w:val="none" w:sz="0" w:space="0" w:color="auto"/>
        <w:right w:val="none" w:sz="0" w:space="0" w:color="auto"/>
      </w:divBdr>
    </w:div>
    <w:div w:id="1686518794">
      <w:bodyDiv w:val="1"/>
      <w:marLeft w:val="0"/>
      <w:marRight w:val="0"/>
      <w:marTop w:val="0"/>
      <w:marBottom w:val="0"/>
      <w:divBdr>
        <w:top w:val="none" w:sz="0" w:space="0" w:color="auto"/>
        <w:left w:val="none" w:sz="0" w:space="0" w:color="auto"/>
        <w:bottom w:val="none" w:sz="0" w:space="0" w:color="auto"/>
        <w:right w:val="none" w:sz="0" w:space="0" w:color="auto"/>
      </w:divBdr>
    </w:div>
    <w:div w:id="169780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EC869-F967-497C-BA95-5D832D6D9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2061</Words>
  <Characters>11753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13787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Lawrie Gluck</dc:creator>
  <cp:lastModifiedBy>Lawrie Gluck</cp:lastModifiedBy>
  <cp:revision>3</cp:revision>
  <cp:lastPrinted>2016-12-19T23:15:00Z</cp:lastPrinted>
  <dcterms:created xsi:type="dcterms:W3CDTF">2018-08-08T14:53:00Z</dcterms:created>
  <dcterms:modified xsi:type="dcterms:W3CDTF">2018-08-08T15:12:00Z</dcterms:modified>
</cp:coreProperties>
</file>