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A5C" w:rsidRPr="00327372" w:rsidRDefault="001B2A4D" w:rsidP="008017E9">
      <w:pPr>
        <w:autoSpaceDE w:val="0"/>
        <w:autoSpaceDN w:val="0"/>
        <w:adjustRightInd w:val="0"/>
        <w:spacing w:after="0" w:line="240" w:lineRule="auto"/>
        <w:rPr>
          <w:rFonts w:ascii="Times New Roman" w:hAnsi="Times New Roman"/>
          <w:sz w:val="24"/>
          <w:szCs w:val="24"/>
          <w:lang w:val="en-US"/>
        </w:rPr>
      </w:pPr>
      <w:bookmarkStart w:id="0" w:name="_GoBack"/>
      <w:bookmarkEnd w:id="0"/>
      <w:r w:rsidRPr="00327372">
        <w:rPr>
          <w:rFonts w:ascii="Times New Roman" w:hAnsi="Times New Roman"/>
          <w:b/>
          <w:sz w:val="24"/>
          <w:szCs w:val="24"/>
        </w:rPr>
        <w:t>REF:</w:t>
      </w:r>
      <w:r w:rsidRPr="00327372">
        <w:rPr>
          <w:rFonts w:ascii="Times New Roman" w:hAnsi="Times New Roman"/>
          <w:b/>
          <w:sz w:val="24"/>
          <w:szCs w:val="24"/>
        </w:rPr>
        <w:tab/>
      </w:r>
      <w:r w:rsidRPr="00327372">
        <w:rPr>
          <w:rFonts w:ascii="Times New Roman" w:hAnsi="Times New Roman"/>
          <w:sz w:val="24"/>
          <w:szCs w:val="24"/>
          <w:lang w:val="en-US"/>
        </w:rPr>
        <w:t>Exhibit A, Tab 1, Pages 4</w:t>
      </w:r>
      <w:r w:rsidR="00466F92">
        <w:rPr>
          <w:rFonts w:ascii="Times New Roman" w:hAnsi="Times New Roman"/>
          <w:sz w:val="24"/>
          <w:szCs w:val="24"/>
          <w:lang w:val="en-US"/>
        </w:rPr>
        <w:t>1-43</w:t>
      </w:r>
      <w:r w:rsidRPr="00327372">
        <w:rPr>
          <w:rFonts w:ascii="Times New Roman" w:hAnsi="Times New Roman"/>
          <w:sz w:val="24"/>
          <w:szCs w:val="24"/>
          <w:lang w:val="en-US"/>
        </w:rPr>
        <w:t xml:space="preserve"> and EB-2013-0365 Settlement Agreement </w:t>
      </w:r>
    </w:p>
    <w:p w:rsidR="00FD6BBE" w:rsidRPr="00327372" w:rsidRDefault="00FD6BBE" w:rsidP="00FD6BBE">
      <w:pPr>
        <w:autoSpaceDE w:val="0"/>
        <w:autoSpaceDN w:val="0"/>
        <w:adjustRightInd w:val="0"/>
        <w:spacing w:after="0" w:line="240" w:lineRule="auto"/>
        <w:rPr>
          <w:rFonts w:ascii="Times New Roman" w:hAnsi="Times New Roman"/>
          <w:sz w:val="24"/>
          <w:szCs w:val="24"/>
          <w:lang w:val="en-US"/>
        </w:rPr>
      </w:pPr>
    </w:p>
    <w:p w:rsidR="00FD6BBE" w:rsidRPr="00327372" w:rsidRDefault="00FD6BBE" w:rsidP="00FD2663">
      <w:pPr>
        <w:autoSpaceDE w:val="0"/>
        <w:autoSpaceDN w:val="0"/>
        <w:adjustRightInd w:val="0"/>
        <w:spacing w:after="0"/>
        <w:rPr>
          <w:rFonts w:ascii="Times New Roman" w:hAnsi="Times New Roman"/>
          <w:sz w:val="24"/>
          <w:szCs w:val="24"/>
          <w:lang w:val="en-US"/>
        </w:rPr>
      </w:pPr>
      <w:r w:rsidRPr="00327372">
        <w:rPr>
          <w:rFonts w:ascii="Times New Roman" w:hAnsi="Times New Roman"/>
          <w:sz w:val="24"/>
          <w:szCs w:val="24"/>
          <w:lang w:val="en-US"/>
        </w:rPr>
        <w:t>Preamble:  We are interested in understanding better the application of principles from the EB-2013-0365 Settlement Agreement to the current situation and the deferral account 179-138.</w:t>
      </w:r>
    </w:p>
    <w:p w:rsidR="00FD6BBE" w:rsidRPr="00327372" w:rsidRDefault="00FD6BBE" w:rsidP="00FD6BBE">
      <w:pPr>
        <w:autoSpaceDE w:val="0"/>
        <w:autoSpaceDN w:val="0"/>
        <w:adjustRightInd w:val="0"/>
        <w:spacing w:after="0" w:line="240" w:lineRule="auto"/>
        <w:rPr>
          <w:rFonts w:ascii="Times New Roman" w:hAnsi="Times New Roman"/>
          <w:sz w:val="24"/>
          <w:szCs w:val="24"/>
          <w:lang w:val="en-US"/>
        </w:rPr>
      </w:pPr>
    </w:p>
    <w:p w:rsidR="00FD6BBE" w:rsidRPr="00327372" w:rsidRDefault="00CA11A6" w:rsidP="00FD6BBE">
      <w:pPr>
        <w:autoSpaceDE w:val="0"/>
        <w:autoSpaceDN w:val="0"/>
        <w:adjustRightInd w:val="0"/>
        <w:spacing w:after="0" w:line="240" w:lineRule="auto"/>
        <w:rPr>
          <w:rFonts w:ascii="Times New Roman" w:hAnsi="Times New Roman"/>
          <w:sz w:val="24"/>
          <w:szCs w:val="24"/>
          <w:lang w:val="en-US"/>
        </w:rPr>
      </w:pPr>
      <w:r w:rsidRPr="00327372">
        <w:rPr>
          <w:rFonts w:ascii="Times New Roman" w:hAnsi="Times New Roman"/>
          <w:sz w:val="24"/>
          <w:szCs w:val="24"/>
          <w:lang w:val="en-US"/>
        </w:rPr>
        <w:t>Excerpt from the EB-2013-0365 read:</w:t>
      </w:r>
    </w:p>
    <w:p w:rsidR="00CA11A6" w:rsidRPr="00327372" w:rsidRDefault="00CA11A6" w:rsidP="00FD6BBE">
      <w:pPr>
        <w:autoSpaceDE w:val="0"/>
        <w:autoSpaceDN w:val="0"/>
        <w:adjustRightInd w:val="0"/>
        <w:spacing w:after="0" w:line="240" w:lineRule="auto"/>
        <w:rPr>
          <w:rFonts w:ascii="Times New Roman" w:hAnsi="Times New Roman"/>
          <w:sz w:val="24"/>
          <w:szCs w:val="24"/>
          <w:lang w:val="en-US"/>
        </w:rPr>
      </w:pPr>
    </w:p>
    <w:p w:rsidR="00CA11A6" w:rsidRPr="00CA11A6" w:rsidRDefault="00CA11A6" w:rsidP="00CA11A6">
      <w:pPr>
        <w:autoSpaceDE w:val="0"/>
        <w:autoSpaceDN w:val="0"/>
        <w:adjustRightInd w:val="0"/>
        <w:spacing w:after="0" w:line="240" w:lineRule="auto"/>
        <w:ind w:left="720"/>
        <w:rPr>
          <w:rFonts w:ascii="Times New Roman" w:hAnsi="Times New Roman"/>
          <w:bCs/>
          <w:i/>
          <w:sz w:val="24"/>
          <w:szCs w:val="24"/>
          <w:lang w:val="en-US"/>
        </w:rPr>
      </w:pPr>
      <w:r w:rsidRPr="00CA11A6">
        <w:rPr>
          <w:rFonts w:ascii="Times New Roman" w:hAnsi="Times New Roman"/>
          <w:b/>
          <w:i/>
          <w:sz w:val="24"/>
          <w:szCs w:val="24"/>
          <w:lang w:val="en-US"/>
        </w:rPr>
        <w:t xml:space="preserve">The ultimate objective of the modified proposal is to remedy an inequity. The guiding principle is to keep Union whole rather than to enhance or reduce its earnings during the operation of the Incentive Regulation Mechanism (“IRM”) to December 31, 2018. </w:t>
      </w:r>
      <w:r w:rsidRPr="00CA11A6">
        <w:rPr>
          <w:rFonts w:ascii="Times New Roman" w:hAnsi="Times New Roman"/>
          <w:i/>
          <w:sz w:val="24"/>
          <w:szCs w:val="24"/>
          <w:lang w:val="en-US"/>
        </w:rPr>
        <w:t>(emphasis added).</w:t>
      </w:r>
    </w:p>
    <w:p w:rsidR="00CA11A6" w:rsidRPr="00327372" w:rsidRDefault="00CA11A6" w:rsidP="00CA11A6">
      <w:pPr>
        <w:autoSpaceDE w:val="0"/>
        <w:autoSpaceDN w:val="0"/>
        <w:adjustRightInd w:val="0"/>
        <w:spacing w:after="0" w:line="240" w:lineRule="auto"/>
        <w:rPr>
          <w:rFonts w:ascii="Times New Roman" w:hAnsi="Times New Roman"/>
          <w:bCs/>
          <w:i/>
          <w:sz w:val="24"/>
          <w:szCs w:val="24"/>
          <w:lang w:val="en-US"/>
        </w:rPr>
      </w:pPr>
      <w:r w:rsidRPr="00327372">
        <w:rPr>
          <w:rFonts w:ascii="Times New Roman" w:hAnsi="Times New Roman"/>
          <w:bCs/>
          <w:i/>
          <w:sz w:val="24"/>
          <w:szCs w:val="24"/>
          <w:lang w:val="en-US"/>
        </w:rPr>
        <w:tab/>
        <w:t>….</w:t>
      </w:r>
    </w:p>
    <w:p w:rsidR="00CA11A6" w:rsidRPr="00CA11A6" w:rsidRDefault="00CA11A6" w:rsidP="00CA11A6">
      <w:pPr>
        <w:autoSpaceDE w:val="0"/>
        <w:autoSpaceDN w:val="0"/>
        <w:adjustRightInd w:val="0"/>
        <w:spacing w:after="0" w:line="240" w:lineRule="auto"/>
        <w:rPr>
          <w:rFonts w:ascii="Times New Roman" w:hAnsi="Times New Roman"/>
          <w:bCs/>
          <w:i/>
          <w:sz w:val="24"/>
          <w:szCs w:val="24"/>
          <w:lang w:val="en-US"/>
        </w:rPr>
      </w:pPr>
    </w:p>
    <w:p w:rsidR="00CA11A6" w:rsidRPr="00CA11A6" w:rsidRDefault="00CA11A6" w:rsidP="00CA11A6">
      <w:pPr>
        <w:autoSpaceDE w:val="0"/>
        <w:autoSpaceDN w:val="0"/>
        <w:adjustRightInd w:val="0"/>
        <w:spacing w:after="0" w:line="240" w:lineRule="auto"/>
        <w:ind w:left="720"/>
        <w:rPr>
          <w:rFonts w:ascii="Times New Roman" w:hAnsi="Times New Roman"/>
          <w:i/>
          <w:sz w:val="24"/>
          <w:szCs w:val="24"/>
          <w:lang w:val="en-US"/>
        </w:rPr>
      </w:pPr>
      <w:r w:rsidRPr="00CA11A6">
        <w:rPr>
          <w:rFonts w:ascii="Times New Roman" w:hAnsi="Times New Roman"/>
          <w:i/>
          <w:sz w:val="24"/>
          <w:szCs w:val="24"/>
          <w:lang w:val="en-US"/>
        </w:rPr>
        <w:t>10. Union will include in its annual rate case filings a report on:</w:t>
      </w:r>
    </w:p>
    <w:p w:rsidR="00CA11A6" w:rsidRPr="00327372" w:rsidRDefault="00CA11A6" w:rsidP="00CA11A6">
      <w:pPr>
        <w:autoSpaceDE w:val="0"/>
        <w:autoSpaceDN w:val="0"/>
        <w:adjustRightInd w:val="0"/>
        <w:spacing w:after="0" w:line="240" w:lineRule="auto"/>
        <w:ind w:left="720"/>
        <w:rPr>
          <w:rFonts w:ascii="Times New Roman" w:hAnsi="Times New Roman"/>
          <w:i/>
          <w:sz w:val="24"/>
          <w:szCs w:val="24"/>
          <w:lang w:val="en-US"/>
        </w:rPr>
      </w:pPr>
      <w:r w:rsidRPr="00CA11A6">
        <w:rPr>
          <w:rFonts w:ascii="Times New Roman" w:hAnsi="Times New Roman"/>
          <w:i/>
          <w:sz w:val="24"/>
          <w:szCs w:val="24"/>
          <w:lang w:val="en-US"/>
        </w:rPr>
        <w:t>(a) Capacity that could become available, or could be made available, in the 2 years commencing with the test year, and could be used to further reduce the PDO in place at the time of the rate case filing on a more cost effective (i.e. lower revenue requirement) basis than the cost of the PDCI. Parties in the rate review process may explore any such options and advocate for further physical displacement of remaining PDOs to Dawn or other delivery points less costly to deliver to than Parkway.</w:t>
      </w:r>
    </w:p>
    <w:p w:rsidR="00CA11A6" w:rsidRPr="00327372" w:rsidRDefault="00CA11A6" w:rsidP="00CA11A6">
      <w:pPr>
        <w:autoSpaceDE w:val="0"/>
        <w:autoSpaceDN w:val="0"/>
        <w:adjustRightInd w:val="0"/>
        <w:spacing w:after="0" w:line="240" w:lineRule="auto"/>
        <w:ind w:left="720"/>
        <w:rPr>
          <w:rFonts w:ascii="Times New Roman" w:hAnsi="Times New Roman"/>
          <w:sz w:val="24"/>
          <w:szCs w:val="24"/>
          <w:lang w:val="en-US"/>
        </w:rPr>
      </w:pPr>
    </w:p>
    <w:p w:rsidR="00CA11A6" w:rsidRPr="00CA11A6" w:rsidRDefault="00CA11A6" w:rsidP="00CA11A6">
      <w:pPr>
        <w:autoSpaceDE w:val="0"/>
        <w:autoSpaceDN w:val="0"/>
        <w:adjustRightInd w:val="0"/>
        <w:spacing w:after="0" w:line="240" w:lineRule="auto"/>
        <w:ind w:left="720"/>
        <w:rPr>
          <w:rFonts w:ascii="Times New Roman" w:eastAsiaTheme="minorHAnsi" w:hAnsi="Times New Roman"/>
          <w:i/>
          <w:sz w:val="24"/>
          <w:szCs w:val="24"/>
          <w:lang w:val="en-US"/>
        </w:rPr>
      </w:pPr>
      <w:r w:rsidRPr="00CA11A6">
        <w:rPr>
          <w:rFonts w:ascii="Times New Roman" w:eastAsiaTheme="minorHAnsi" w:hAnsi="Times New Roman"/>
          <w:i/>
          <w:sz w:val="24"/>
          <w:szCs w:val="24"/>
          <w:lang w:val="en-US"/>
        </w:rPr>
        <w:t>(c) The measures that Union used and the costs incurred to manage the Parkway delivery shortfall (described in paragraph B.2) to acquire incremental resources, the costs of which are not already recovered in base rates, Y factors and/or existing deferral and variance accounts.</w:t>
      </w:r>
    </w:p>
    <w:p w:rsidR="00CA11A6" w:rsidRPr="00CA11A6" w:rsidRDefault="00CA11A6" w:rsidP="00CA11A6">
      <w:pPr>
        <w:autoSpaceDE w:val="0"/>
        <w:autoSpaceDN w:val="0"/>
        <w:adjustRightInd w:val="0"/>
        <w:spacing w:after="0" w:line="240" w:lineRule="auto"/>
        <w:ind w:left="720"/>
        <w:rPr>
          <w:rFonts w:ascii="Times New Roman" w:eastAsiaTheme="minorHAnsi" w:hAnsi="Times New Roman"/>
          <w:i/>
          <w:sz w:val="24"/>
          <w:szCs w:val="24"/>
          <w:lang w:val="en-US"/>
        </w:rPr>
      </w:pPr>
    </w:p>
    <w:p w:rsidR="00CA11A6" w:rsidRPr="00CA11A6" w:rsidRDefault="00CA11A6" w:rsidP="00CA11A6">
      <w:pPr>
        <w:autoSpaceDE w:val="0"/>
        <w:autoSpaceDN w:val="0"/>
        <w:adjustRightInd w:val="0"/>
        <w:spacing w:after="0" w:line="240" w:lineRule="auto"/>
        <w:ind w:left="720"/>
        <w:rPr>
          <w:rFonts w:ascii="Times New Roman" w:eastAsiaTheme="minorHAnsi" w:hAnsi="Times New Roman"/>
          <w:i/>
          <w:sz w:val="24"/>
          <w:szCs w:val="24"/>
          <w:lang w:val="en-US"/>
        </w:rPr>
      </w:pPr>
      <w:r w:rsidRPr="00CA11A6">
        <w:rPr>
          <w:rFonts w:ascii="Times New Roman" w:eastAsiaTheme="minorHAnsi" w:hAnsi="Times New Roman"/>
          <w:i/>
          <w:sz w:val="24"/>
          <w:szCs w:val="24"/>
          <w:lang w:val="en-US"/>
        </w:rPr>
        <w:t>If the costs incurred to manage the Parkway delivery shortfall component of the PDO reduction in any year are less than the annual demand costs related to the shortfall in that year and actual fuel costs in that year for capacity equal to the shortfall capacity, then the entire amount of such cost savings will accrue to Union.</w:t>
      </w:r>
    </w:p>
    <w:p w:rsidR="00CA11A6" w:rsidRPr="00CA11A6" w:rsidRDefault="00CA11A6" w:rsidP="00CA11A6">
      <w:pPr>
        <w:autoSpaceDE w:val="0"/>
        <w:autoSpaceDN w:val="0"/>
        <w:adjustRightInd w:val="0"/>
        <w:spacing w:after="0" w:line="240" w:lineRule="auto"/>
        <w:ind w:left="720"/>
        <w:rPr>
          <w:rFonts w:ascii="Times New Roman" w:eastAsiaTheme="minorHAnsi" w:hAnsi="Times New Roman"/>
          <w:i/>
          <w:sz w:val="24"/>
          <w:szCs w:val="24"/>
          <w:lang w:val="en-US"/>
        </w:rPr>
      </w:pPr>
    </w:p>
    <w:p w:rsidR="00CA11A6" w:rsidRPr="00CA11A6" w:rsidRDefault="00CA11A6" w:rsidP="00CA11A6">
      <w:pPr>
        <w:autoSpaceDE w:val="0"/>
        <w:autoSpaceDN w:val="0"/>
        <w:adjustRightInd w:val="0"/>
        <w:spacing w:after="0" w:line="240" w:lineRule="auto"/>
        <w:ind w:left="720"/>
        <w:rPr>
          <w:rFonts w:ascii="Times New Roman" w:eastAsiaTheme="minorHAnsi" w:hAnsi="Times New Roman"/>
          <w:i/>
          <w:sz w:val="24"/>
          <w:szCs w:val="24"/>
          <w:lang w:val="en-US"/>
        </w:rPr>
      </w:pPr>
      <w:r w:rsidRPr="00CA11A6">
        <w:rPr>
          <w:rFonts w:ascii="Times New Roman" w:eastAsiaTheme="minorHAnsi" w:hAnsi="Times New Roman"/>
          <w:i/>
          <w:sz w:val="24"/>
          <w:szCs w:val="24"/>
          <w:lang w:val="en-US"/>
        </w:rPr>
        <w:t>Conversely, if the actual costs in any year to manage the Parkway Delivery shortfall in that year exceed annual demand costs and actual fuel costs in that year for capacity equal to the shortfall amount, then Union will be entirely responsible for those excess costs.  Parties further agree that ratepayers will be entitled to recover from Union that portion of the costs incurred by Union to manage the Parkway Delivery shortfall to the extent that the cost of the measures used by Union to manage the shortfall are already covered in base rates, Y factors and/or existing deferral or variance accounts.</w:t>
      </w:r>
    </w:p>
    <w:p w:rsidR="00CA11A6" w:rsidRPr="00327372" w:rsidRDefault="00CA11A6" w:rsidP="00FD6BBE">
      <w:pPr>
        <w:autoSpaceDE w:val="0"/>
        <w:autoSpaceDN w:val="0"/>
        <w:adjustRightInd w:val="0"/>
        <w:spacing w:after="0" w:line="240" w:lineRule="auto"/>
        <w:rPr>
          <w:rFonts w:ascii="Times New Roman" w:hAnsi="Times New Roman"/>
          <w:sz w:val="24"/>
          <w:szCs w:val="24"/>
          <w:lang w:val="en-US"/>
        </w:rPr>
      </w:pPr>
    </w:p>
    <w:p w:rsidR="00222FB2" w:rsidRDefault="008017E9" w:rsidP="008017E9">
      <w:pPr>
        <w:pStyle w:val="ListParagraph"/>
        <w:numPr>
          <w:ilvl w:val="0"/>
          <w:numId w:val="27"/>
        </w:numPr>
        <w:rPr>
          <w:rFonts w:ascii="Times New Roman" w:eastAsiaTheme="minorHAnsi" w:hAnsi="Times New Roman"/>
          <w:sz w:val="24"/>
          <w:szCs w:val="24"/>
        </w:rPr>
      </w:pPr>
      <w:r w:rsidRPr="00673C12">
        <w:rPr>
          <w:rFonts w:ascii="Times New Roman" w:eastAsiaTheme="minorHAnsi" w:hAnsi="Times New Roman"/>
          <w:sz w:val="24"/>
          <w:szCs w:val="24"/>
        </w:rPr>
        <w:t xml:space="preserve">Please populate the Tables 1 and 2 </w:t>
      </w:r>
      <w:r w:rsidR="001C5F4C">
        <w:rPr>
          <w:rFonts w:ascii="Times New Roman" w:eastAsiaTheme="minorHAnsi" w:hAnsi="Times New Roman"/>
          <w:sz w:val="24"/>
          <w:szCs w:val="24"/>
        </w:rPr>
        <w:t>in Attachment 1 to the IR’s.</w:t>
      </w:r>
    </w:p>
    <w:p w:rsidR="0083113F" w:rsidRPr="008017E9" w:rsidRDefault="008017E9" w:rsidP="008017E9">
      <w:pPr>
        <w:rPr>
          <w:rFonts w:ascii="Times New Roman" w:eastAsiaTheme="minorHAnsi" w:hAnsi="Times New Roman"/>
          <w:sz w:val="24"/>
          <w:szCs w:val="24"/>
        </w:rPr>
      </w:pPr>
      <w:r>
        <w:rPr>
          <w:rFonts w:ascii="Times New Roman" w:eastAsiaTheme="minorHAnsi" w:hAnsi="Times New Roman"/>
          <w:sz w:val="24"/>
          <w:szCs w:val="24"/>
        </w:rPr>
        <w:br w:type="page"/>
      </w:r>
    </w:p>
    <w:p w:rsidR="00222FB2" w:rsidRPr="00673C12" w:rsidRDefault="008017E9"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Pertaining to Tables 1 and 2:</w:t>
      </w:r>
    </w:p>
    <w:p w:rsidR="0083113F" w:rsidRPr="00673C12" w:rsidRDefault="0083113F" w:rsidP="00FD2663">
      <w:pPr>
        <w:pStyle w:val="ListParagraph"/>
        <w:numPr>
          <w:ilvl w:val="1"/>
          <w:numId w:val="30"/>
        </w:numPr>
        <w:autoSpaceDE w:val="0"/>
        <w:autoSpaceDN w:val="0"/>
        <w:adjustRightInd w:val="0"/>
        <w:spacing w:after="0" w:line="360" w:lineRule="auto"/>
        <w:rPr>
          <w:rFonts w:ascii="Times New Roman" w:eastAsiaTheme="minorHAnsi" w:hAnsi="Times New Roman"/>
          <w:i/>
          <w:sz w:val="24"/>
          <w:szCs w:val="24"/>
          <w:lang w:val="en-US"/>
        </w:rPr>
      </w:pPr>
      <w:r w:rsidRPr="00673C12">
        <w:rPr>
          <w:rFonts w:ascii="Times New Roman" w:eastAsiaTheme="minorHAnsi" w:hAnsi="Times New Roman"/>
          <w:sz w:val="24"/>
          <w:szCs w:val="24"/>
        </w:rPr>
        <w:t>For the following categories</w:t>
      </w:r>
      <w:r w:rsidR="00673C12" w:rsidRPr="00673C12">
        <w:rPr>
          <w:rFonts w:ascii="Times New Roman" w:eastAsiaTheme="minorHAnsi" w:hAnsi="Times New Roman"/>
          <w:sz w:val="24"/>
          <w:szCs w:val="24"/>
        </w:rPr>
        <w:t xml:space="preserve"> in Table 1</w:t>
      </w:r>
      <w:r w:rsidRPr="00673C12">
        <w:rPr>
          <w:rFonts w:ascii="Times New Roman" w:eastAsiaTheme="minorHAnsi" w:hAnsi="Times New Roman"/>
          <w:sz w:val="24"/>
          <w:szCs w:val="24"/>
        </w:rPr>
        <w:t xml:space="preserve">, please confirm that the </w:t>
      </w:r>
      <w:r w:rsidR="00572370" w:rsidRPr="00673C12">
        <w:rPr>
          <w:rFonts w:ascii="Times New Roman" w:eastAsiaTheme="minorHAnsi" w:hAnsi="Times New Roman"/>
          <w:sz w:val="24"/>
          <w:szCs w:val="24"/>
        </w:rPr>
        <w:t xml:space="preserve">recovery of the costs of that </w:t>
      </w:r>
      <w:r w:rsidRPr="00673C12">
        <w:rPr>
          <w:rFonts w:ascii="Times New Roman" w:eastAsiaTheme="minorHAnsi" w:hAnsi="Times New Roman"/>
          <w:sz w:val="24"/>
          <w:szCs w:val="24"/>
        </w:rPr>
        <w:t>capacity falls into one of either “</w:t>
      </w:r>
      <w:r w:rsidRPr="00673C12">
        <w:rPr>
          <w:rFonts w:ascii="Times New Roman" w:eastAsiaTheme="minorHAnsi" w:hAnsi="Times New Roman"/>
          <w:i/>
          <w:sz w:val="24"/>
          <w:szCs w:val="24"/>
          <w:lang w:val="en-US"/>
        </w:rPr>
        <w:t>base rates, Y factors and/or existing deferral or variance accounts.</w:t>
      </w:r>
      <w:r w:rsidR="00572370" w:rsidRPr="00673C12">
        <w:rPr>
          <w:rFonts w:ascii="Times New Roman" w:eastAsiaTheme="minorHAnsi" w:hAnsi="Times New Roman"/>
          <w:i/>
          <w:sz w:val="24"/>
          <w:szCs w:val="24"/>
          <w:lang w:val="en-US"/>
        </w:rPr>
        <w:t>”</w:t>
      </w:r>
    </w:p>
    <w:p w:rsidR="0083113F" w:rsidRPr="00673C12" w:rsidRDefault="00673C12"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heme="minorHAnsi" w:hAnsi="Times New Roman"/>
          <w:sz w:val="24"/>
          <w:szCs w:val="24"/>
          <w:lang w:val="en-US"/>
        </w:rPr>
        <w:t xml:space="preserve">Line 1 - </w:t>
      </w:r>
      <w:r w:rsidR="00572370" w:rsidRPr="00673C12">
        <w:rPr>
          <w:rFonts w:ascii="Times New Roman" w:eastAsiaTheme="minorHAnsi" w:hAnsi="Times New Roman"/>
          <w:sz w:val="24"/>
          <w:szCs w:val="24"/>
          <w:lang w:val="en-US"/>
        </w:rPr>
        <w:t>Capacity in Base Rates</w:t>
      </w:r>
    </w:p>
    <w:p w:rsidR="00572370" w:rsidRPr="00673C12" w:rsidRDefault="00673C12"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imes New Roman" w:hAnsi="Times New Roman"/>
          <w:color w:val="000000"/>
          <w:sz w:val="24"/>
          <w:szCs w:val="24"/>
          <w:lang w:val="en-US"/>
        </w:rPr>
        <w:t>Line 2 -</w:t>
      </w:r>
      <w:r>
        <w:rPr>
          <w:rFonts w:ascii="Times New Roman" w:eastAsia="Times New Roman" w:hAnsi="Times New Roman"/>
          <w:color w:val="000000"/>
          <w:sz w:val="24"/>
          <w:szCs w:val="24"/>
          <w:lang w:val="en-US"/>
        </w:rPr>
        <w:t xml:space="preserve"> </w:t>
      </w:r>
      <w:r w:rsidR="00572370" w:rsidRPr="00673C12">
        <w:rPr>
          <w:rFonts w:ascii="Times New Roman" w:eastAsia="Times New Roman" w:hAnsi="Times New Roman"/>
          <w:color w:val="000000"/>
          <w:sz w:val="24"/>
          <w:szCs w:val="24"/>
          <w:lang w:val="en-US"/>
        </w:rPr>
        <w:t>PDO Capacity</w:t>
      </w:r>
      <w:r>
        <w:rPr>
          <w:rFonts w:ascii="Times New Roman" w:eastAsia="Times New Roman" w:hAnsi="Times New Roman"/>
          <w:color w:val="000000"/>
          <w:sz w:val="24"/>
          <w:szCs w:val="24"/>
          <w:lang w:val="en-US"/>
        </w:rPr>
        <w:t xml:space="preserve"> from Temporarily Available Capacity</w:t>
      </w:r>
      <w:r w:rsidR="00572370" w:rsidRPr="00673C12">
        <w:rPr>
          <w:rFonts w:ascii="Times New Roman" w:eastAsia="Times New Roman" w:hAnsi="Times New Roman"/>
          <w:color w:val="000000"/>
          <w:sz w:val="24"/>
          <w:szCs w:val="24"/>
          <w:lang w:val="en-US"/>
        </w:rPr>
        <w:t xml:space="preserve"> in In-franchise Rates</w:t>
      </w:r>
    </w:p>
    <w:p w:rsidR="00673C12" w:rsidRPr="00673C12" w:rsidRDefault="00673C12"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imes New Roman" w:hAnsi="Times New Roman"/>
          <w:color w:val="000000"/>
          <w:sz w:val="24"/>
          <w:szCs w:val="24"/>
          <w:lang w:val="en-US"/>
        </w:rPr>
        <w:t xml:space="preserve">Line </w:t>
      </w:r>
      <w:r>
        <w:rPr>
          <w:rFonts w:ascii="Times New Roman" w:eastAsia="Times New Roman" w:hAnsi="Times New Roman"/>
          <w:color w:val="000000"/>
          <w:sz w:val="24"/>
          <w:szCs w:val="24"/>
          <w:lang w:val="en-US"/>
        </w:rPr>
        <w:t>3</w:t>
      </w:r>
      <w:r w:rsidRPr="00673C12">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 </w:t>
      </w:r>
      <w:r w:rsidRPr="00673C12">
        <w:rPr>
          <w:rFonts w:ascii="Times New Roman" w:eastAsia="Times New Roman" w:hAnsi="Times New Roman"/>
          <w:color w:val="000000"/>
          <w:sz w:val="24"/>
          <w:szCs w:val="24"/>
          <w:lang w:val="en-US"/>
        </w:rPr>
        <w:t>PDO Capacity</w:t>
      </w:r>
      <w:r>
        <w:rPr>
          <w:rFonts w:ascii="Times New Roman" w:eastAsia="Times New Roman" w:hAnsi="Times New Roman"/>
          <w:color w:val="000000"/>
          <w:sz w:val="24"/>
          <w:szCs w:val="24"/>
          <w:lang w:val="en-US"/>
        </w:rPr>
        <w:t xml:space="preserve"> from Dawn-Kirkwall Capacity</w:t>
      </w:r>
      <w:r w:rsidRPr="00673C12">
        <w:rPr>
          <w:rFonts w:ascii="Times New Roman" w:eastAsia="Times New Roman" w:hAnsi="Times New Roman"/>
          <w:color w:val="000000"/>
          <w:sz w:val="24"/>
          <w:szCs w:val="24"/>
          <w:lang w:val="en-US"/>
        </w:rPr>
        <w:t xml:space="preserve"> in In-franchise Rates</w:t>
      </w:r>
    </w:p>
    <w:p w:rsidR="00673C12" w:rsidRPr="00673C12" w:rsidRDefault="00673C12"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imes New Roman" w:hAnsi="Times New Roman"/>
          <w:color w:val="000000"/>
          <w:sz w:val="24"/>
          <w:szCs w:val="24"/>
          <w:lang w:val="en-US"/>
        </w:rPr>
        <w:t xml:space="preserve">Line </w:t>
      </w:r>
      <w:r>
        <w:rPr>
          <w:rFonts w:ascii="Times New Roman" w:eastAsia="Times New Roman" w:hAnsi="Times New Roman"/>
          <w:color w:val="000000"/>
          <w:sz w:val="24"/>
          <w:szCs w:val="24"/>
          <w:lang w:val="en-US"/>
        </w:rPr>
        <w:t>4</w:t>
      </w:r>
      <w:r w:rsidRPr="00673C12">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 </w:t>
      </w:r>
      <w:r w:rsidRPr="00673C12">
        <w:rPr>
          <w:rFonts w:ascii="Times New Roman" w:eastAsia="Times New Roman" w:hAnsi="Times New Roman"/>
          <w:color w:val="000000"/>
          <w:sz w:val="24"/>
          <w:szCs w:val="24"/>
          <w:lang w:val="en-US"/>
        </w:rPr>
        <w:t>PDO Capacity</w:t>
      </w:r>
      <w:r>
        <w:rPr>
          <w:rFonts w:ascii="Times New Roman" w:eastAsia="Times New Roman" w:hAnsi="Times New Roman"/>
          <w:color w:val="000000"/>
          <w:sz w:val="24"/>
          <w:szCs w:val="24"/>
          <w:lang w:val="en-US"/>
        </w:rPr>
        <w:t xml:space="preserve"> from PDO Capacity from Customers with M12 service</w:t>
      </w:r>
      <w:r w:rsidRPr="00673C12">
        <w:rPr>
          <w:rFonts w:ascii="Times New Roman" w:eastAsia="Times New Roman" w:hAnsi="Times New Roman"/>
          <w:color w:val="000000"/>
          <w:sz w:val="24"/>
          <w:szCs w:val="24"/>
          <w:lang w:val="en-US"/>
        </w:rPr>
        <w:t xml:space="preserve"> in In-franchise Rates</w:t>
      </w:r>
    </w:p>
    <w:p w:rsidR="00572370" w:rsidRPr="008017E9" w:rsidRDefault="00673C12"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Pr>
          <w:rFonts w:ascii="Times New Roman" w:eastAsia="Times New Roman" w:hAnsi="Times New Roman"/>
          <w:color w:val="000000"/>
          <w:sz w:val="24"/>
          <w:szCs w:val="24"/>
          <w:lang w:val="en-US"/>
        </w:rPr>
        <w:t xml:space="preserve">Line 5 - </w:t>
      </w:r>
      <w:r w:rsidR="00572370" w:rsidRPr="00673C12">
        <w:rPr>
          <w:rFonts w:ascii="Times New Roman" w:eastAsia="Times New Roman" w:hAnsi="Times New Roman"/>
          <w:color w:val="000000"/>
          <w:sz w:val="24"/>
          <w:szCs w:val="24"/>
          <w:lang w:val="en-US"/>
        </w:rPr>
        <w:t>Incremental Build Capacity in Rates</w:t>
      </w:r>
    </w:p>
    <w:p w:rsidR="008017E9" w:rsidRPr="00673C12" w:rsidRDefault="008017E9" w:rsidP="00FD2663">
      <w:pPr>
        <w:pStyle w:val="ListParagraph"/>
        <w:autoSpaceDE w:val="0"/>
        <w:autoSpaceDN w:val="0"/>
        <w:adjustRightInd w:val="0"/>
        <w:spacing w:after="0" w:line="360" w:lineRule="auto"/>
        <w:ind w:left="1080"/>
        <w:rPr>
          <w:rFonts w:ascii="Times New Roman" w:eastAsiaTheme="minorHAnsi" w:hAnsi="Times New Roman"/>
          <w:sz w:val="24"/>
          <w:szCs w:val="24"/>
          <w:lang w:val="en-US"/>
        </w:rPr>
      </w:pPr>
    </w:p>
    <w:p w:rsidR="00673C12" w:rsidRPr="00673C12" w:rsidRDefault="00673C12" w:rsidP="00FD2663">
      <w:pPr>
        <w:pStyle w:val="ListParagraph"/>
        <w:numPr>
          <w:ilvl w:val="1"/>
          <w:numId w:val="30"/>
        </w:numPr>
        <w:autoSpaceDE w:val="0"/>
        <w:autoSpaceDN w:val="0"/>
        <w:adjustRightInd w:val="0"/>
        <w:spacing w:after="0" w:line="360" w:lineRule="auto"/>
        <w:rPr>
          <w:rFonts w:ascii="Times New Roman" w:eastAsiaTheme="minorHAnsi" w:hAnsi="Times New Roman"/>
          <w:sz w:val="24"/>
          <w:szCs w:val="24"/>
          <w:lang w:val="en-US"/>
        </w:rPr>
      </w:pPr>
      <w:r>
        <w:rPr>
          <w:rFonts w:ascii="Times New Roman" w:eastAsiaTheme="minorHAnsi" w:hAnsi="Times New Roman"/>
          <w:sz w:val="24"/>
          <w:szCs w:val="24"/>
          <w:lang w:val="en-US"/>
        </w:rPr>
        <w:t>If any of the above are not confirmed, specify where the recovery occurs and how it is classified.</w:t>
      </w:r>
    </w:p>
    <w:p w:rsidR="00C477B0" w:rsidRPr="00673C12" w:rsidRDefault="00C477B0" w:rsidP="00FD2663">
      <w:pPr>
        <w:autoSpaceDE w:val="0"/>
        <w:autoSpaceDN w:val="0"/>
        <w:adjustRightInd w:val="0"/>
        <w:spacing w:after="0" w:line="360" w:lineRule="auto"/>
        <w:rPr>
          <w:rFonts w:ascii="Times New Roman" w:eastAsiaTheme="minorHAnsi" w:hAnsi="Times New Roman"/>
          <w:sz w:val="24"/>
          <w:szCs w:val="24"/>
          <w:lang w:val="en-US"/>
        </w:rPr>
      </w:pPr>
    </w:p>
    <w:p w:rsidR="0034451B" w:rsidRPr="00673C12" w:rsidRDefault="00C477B0" w:rsidP="00FD2663">
      <w:pPr>
        <w:pStyle w:val="ListParagraph"/>
        <w:numPr>
          <w:ilvl w:val="1"/>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heme="minorHAnsi" w:hAnsi="Times New Roman"/>
          <w:sz w:val="24"/>
          <w:szCs w:val="24"/>
          <w:lang w:val="en-US"/>
        </w:rPr>
        <w:t>For line 7 in Table 1, p</w:t>
      </w:r>
      <w:r w:rsidR="0034451B" w:rsidRPr="00673C12">
        <w:rPr>
          <w:rFonts w:ascii="Times New Roman" w:eastAsiaTheme="minorHAnsi" w:hAnsi="Times New Roman"/>
          <w:sz w:val="24"/>
          <w:szCs w:val="24"/>
          <w:lang w:val="en-US"/>
        </w:rPr>
        <w:t>lease provide a complete description of the Other Changes that have served to reduce Total Physical capacity over the last t</w:t>
      </w:r>
      <w:r w:rsidRPr="00673C12">
        <w:rPr>
          <w:rFonts w:ascii="Times New Roman" w:eastAsiaTheme="minorHAnsi" w:hAnsi="Times New Roman"/>
          <w:sz w:val="24"/>
          <w:szCs w:val="24"/>
          <w:lang w:val="en-US"/>
        </w:rPr>
        <w:t>hree design winters.</w:t>
      </w:r>
    </w:p>
    <w:p w:rsidR="0034451B" w:rsidRPr="00673C12" w:rsidRDefault="0034451B"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heme="minorHAnsi" w:hAnsi="Times New Roman"/>
          <w:sz w:val="24"/>
          <w:szCs w:val="24"/>
          <w:lang w:val="en-US"/>
        </w:rPr>
        <w:t>Please ensure the description outlines the various components that contribute to the reduction of the capacity</w:t>
      </w:r>
      <w:r w:rsidR="00F52D9B" w:rsidRPr="00673C12">
        <w:rPr>
          <w:rFonts w:ascii="Times New Roman" w:eastAsiaTheme="minorHAnsi" w:hAnsi="Times New Roman"/>
          <w:sz w:val="24"/>
          <w:szCs w:val="24"/>
          <w:lang w:val="en-US"/>
        </w:rPr>
        <w:t>.</w:t>
      </w:r>
    </w:p>
    <w:p w:rsidR="00F52D9B" w:rsidRPr="00673C12" w:rsidRDefault="00F52D9B"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heme="minorHAnsi" w:hAnsi="Times New Roman"/>
          <w:sz w:val="24"/>
          <w:szCs w:val="24"/>
          <w:lang w:val="en-US"/>
        </w:rPr>
        <w:t>Please advise if there are technical solutions such as compressor refinements that could minimize these reductions in a cost effective manner</w:t>
      </w:r>
      <w:r w:rsidR="00C477B0" w:rsidRPr="00673C12">
        <w:rPr>
          <w:rFonts w:ascii="Times New Roman" w:eastAsiaTheme="minorHAnsi" w:hAnsi="Times New Roman"/>
          <w:sz w:val="24"/>
          <w:szCs w:val="24"/>
          <w:lang w:val="en-US"/>
        </w:rPr>
        <w:t>.</w:t>
      </w:r>
    </w:p>
    <w:p w:rsidR="00C477B0" w:rsidRPr="00673C12" w:rsidRDefault="00C477B0"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heme="minorHAnsi" w:hAnsi="Times New Roman"/>
          <w:sz w:val="24"/>
          <w:szCs w:val="24"/>
          <w:lang w:val="en-US"/>
        </w:rPr>
        <w:t>Please advise if there were errors in the forecast or simulation that contributed to the difference.</w:t>
      </w:r>
    </w:p>
    <w:p w:rsidR="00C477B0" w:rsidRPr="00673C12" w:rsidRDefault="00C477B0" w:rsidP="00FD2663">
      <w:pPr>
        <w:pStyle w:val="ListParagraph"/>
        <w:numPr>
          <w:ilvl w:val="2"/>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heme="minorHAnsi" w:hAnsi="Times New Roman"/>
          <w:sz w:val="24"/>
          <w:szCs w:val="24"/>
          <w:lang w:val="en-US"/>
        </w:rPr>
        <w:t xml:space="preserve">If the change is the interaction of the new build facilities with the existing facilities, please specify if that was evidenced in any of the build proceedings.  </w:t>
      </w:r>
    </w:p>
    <w:p w:rsidR="00C477B0" w:rsidRPr="00673C12" w:rsidRDefault="00C477B0" w:rsidP="00FD2663">
      <w:pPr>
        <w:pStyle w:val="ListParagraph"/>
        <w:numPr>
          <w:ilvl w:val="3"/>
          <w:numId w:val="30"/>
        </w:numPr>
        <w:autoSpaceDE w:val="0"/>
        <w:autoSpaceDN w:val="0"/>
        <w:adjustRightInd w:val="0"/>
        <w:spacing w:after="0" w:line="360" w:lineRule="auto"/>
        <w:rPr>
          <w:rFonts w:ascii="Times New Roman" w:eastAsiaTheme="minorHAnsi" w:hAnsi="Times New Roman"/>
          <w:sz w:val="24"/>
          <w:szCs w:val="24"/>
          <w:lang w:val="en-US"/>
        </w:rPr>
      </w:pPr>
      <w:r w:rsidRPr="00673C12">
        <w:rPr>
          <w:rFonts w:ascii="Times New Roman" w:eastAsiaTheme="minorHAnsi" w:hAnsi="Times New Roman"/>
          <w:sz w:val="24"/>
          <w:szCs w:val="24"/>
          <w:lang w:val="en-US"/>
        </w:rPr>
        <w:t>If the reduction came as a result of the combination of new facilities with old, did it contribute to additional facilities being built (e.g., if reduction did not happen, only 2 compressors would have been required in the 2017 build).  Please provide the supporting analysis that demonstrates that is not the case.</w:t>
      </w:r>
    </w:p>
    <w:p w:rsidR="00F52D9B" w:rsidRPr="00673C12" w:rsidRDefault="00F52D9B" w:rsidP="00FD2663">
      <w:pPr>
        <w:pStyle w:val="ListParagraph"/>
        <w:autoSpaceDE w:val="0"/>
        <w:autoSpaceDN w:val="0"/>
        <w:adjustRightInd w:val="0"/>
        <w:spacing w:after="0" w:line="360" w:lineRule="auto"/>
        <w:ind w:left="1080"/>
        <w:rPr>
          <w:rFonts w:ascii="Times New Roman" w:eastAsiaTheme="minorHAnsi" w:hAnsi="Times New Roman"/>
          <w:sz w:val="24"/>
          <w:szCs w:val="24"/>
          <w:lang w:val="en-US"/>
        </w:rPr>
      </w:pPr>
    </w:p>
    <w:p w:rsidR="0083113F" w:rsidRPr="00673C12" w:rsidRDefault="0083113F" w:rsidP="00FD2663">
      <w:pPr>
        <w:autoSpaceDE w:val="0"/>
        <w:autoSpaceDN w:val="0"/>
        <w:adjustRightInd w:val="0"/>
        <w:spacing w:after="0" w:line="360" w:lineRule="auto"/>
        <w:ind w:left="360"/>
        <w:contextualSpacing/>
        <w:rPr>
          <w:rFonts w:ascii="Times New Roman" w:eastAsiaTheme="minorHAnsi" w:hAnsi="Times New Roman"/>
          <w:sz w:val="24"/>
          <w:szCs w:val="24"/>
        </w:rPr>
      </w:pPr>
    </w:p>
    <w:p w:rsidR="0083113F" w:rsidRPr="00673C12" w:rsidRDefault="0083113F"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lastRenderedPageBreak/>
        <w:t>For each of 2013/14, 2014/15, 2015/16, 2016/17 and 2017/18, please provide:</w:t>
      </w:r>
    </w:p>
    <w:p w:rsidR="0083113F" w:rsidRPr="00673C12" w:rsidRDefault="0083113F"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lang w:val="en-US"/>
        </w:rPr>
        <w:t>The measures that Union used and the costs incurred to manage the Parkway delivery shortfall to acquire incremental resources, the costs of which are not already recovered in base rates Y factors and/or existing deferral and variance accounts.</w:t>
      </w:r>
    </w:p>
    <w:p w:rsidR="0083113F" w:rsidRPr="00673C12" w:rsidRDefault="0083113F"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lang w:val="en-US"/>
        </w:rPr>
        <w:t>For each of the requested winters, please provide the dates of interruptions of customers on the Dawn-Parkway system and the Heating Degree Days associated with each day of interruption.</w:t>
      </w:r>
    </w:p>
    <w:p w:rsidR="0083113F" w:rsidRPr="00673C12" w:rsidRDefault="0083113F" w:rsidP="00FD2663">
      <w:pPr>
        <w:autoSpaceDE w:val="0"/>
        <w:autoSpaceDN w:val="0"/>
        <w:adjustRightInd w:val="0"/>
        <w:spacing w:after="0" w:line="360" w:lineRule="auto"/>
        <w:ind w:left="720"/>
        <w:contextualSpacing/>
        <w:rPr>
          <w:rFonts w:ascii="Times New Roman" w:eastAsiaTheme="minorHAnsi" w:hAnsi="Times New Roman"/>
          <w:sz w:val="24"/>
          <w:szCs w:val="24"/>
        </w:rPr>
      </w:pPr>
    </w:p>
    <w:p w:rsidR="00C92B14" w:rsidRDefault="0083113F"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 xml:space="preserve">For the last 4 calendar years, </w:t>
      </w:r>
      <w:r w:rsidR="00C92B14">
        <w:rPr>
          <w:rFonts w:ascii="Times New Roman" w:eastAsiaTheme="minorHAnsi" w:hAnsi="Times New Roman"/>
          <w:sz w:val="24"/>
          <w:szCs w:val="24"/>
        </w:rPr>
        <w:t xml:space="preserve">for each month, </w:t>
      </w:r>
      <w:r w:rsidRPr="00673C12">
        <w:rPr>
          <w:rFonts w:ascii="Times New Roman" w:eastAsiaTheme="minorHAnsi" w:hAnsi="Times New Roman"/>
          <w:sz w:val="24"/>
          <w:szCs w:val="24"/>
        </w:rPr>
        <w:t>please provide</w:t>
      </w:r>
      <w:r w:rsidR="00C92B14">
        <w:rPr>
          <w:rFonts w:ascii="Times New Roman" w:eastAsiaTheme="minorHAnsi" w:hAnsi="Times New Roman"/>
          <w:sz w:val="24"/>
          <w:szCs w:val="24"/>
        </w:rPr>
        <w:t>:</w:t>
      </w:r>
    </w:p>
    <w:p w:rsidR="00C92B14" w:rsidRDefault="00C92B14"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t</w:t>
      </w:r>
      <w:r w:rsidR="0083113F" w:rsidRPr="00673C12">
        <w:rPr>
          <w:rFonts w:ascii="Times New Roman" w:eastAsiaTheme="minorHAnsi" w:hAnsi="Times New Roman"/>
          <w:sz w:val="24"/>
          <w:szCs w:val="24"/>
        </w:rPr>
        <w:t>he</w:t>
      </w:r>
      <w:r>
        <w:rPr>
          <w:rFonts w:ascii="Times New Roman" w:eastAsiaTheme="minorHAnsi" w:hAnsi="Times New Roman"/>
          <w:sz w:val="24"/>
          <w:szCs w:val="24"/>
        </w:rPr>
        <w:t xml:space="preserve"> </w:t>
      </w:r>
      <w:r w:rsidR="0083113F" w:rsidRPr="00673C12">
        <w:rPr>
          <w:rFonts w:ascii="Times New Roman" w:eastAsiaTheme="minorHAnsi" w:hAnsi="Times New Roman"/>
          <w:sz w:val="24"/>
          <w:szCs w:val="24"/>
        </w:rPr>
        <w:t>revenues generated from Dawn-Parkway sale of unutilized transport</w:t>
      </w:r>
      <w:r>
        <w:rPr>
          <w:rFonts w:ascii="Times New Roman" w:eastAsiaTheme="minorHAnsi" w:hAnsi="Times New Roman"/>
          <w:sz w:val="24"/>
          <w:szCs w:val="24"/>
        </w:rPr>
        <w:t>,</w:t>
      </w:r>
      <w:r w:rsidR="0083113F" w:rsidRPr="00673C12">
        <w:rPr>
          <w:rFonts w:ascii="Times New Roman" w:eastAsiaTheme="minorHAnsi" w:hAnsi="Times New Roman"/>
          <w:sz w:val="24"/>
          <w:szCs w:val="24"/>
        </w:rPr>
        <w:t xml:space="preserve"> broken out between C1 and Interruptible Transport</w:t>
      </w:r>
      <w:r>
        <w:rPr>
          <w:rFonts w:ascii="Times New Roman" w:eastAsiaTheme="minorHAnsi" w:hAnsi="Times New Roman"/>
          <w:sz w:val="24"/>
          <w:szCs w:val="24"/>
        </w:rPr>
        <w:t xml:space="preserve"> </w:t>
      </w:r>
    </w:p>
    <w:p w:rsidR="00C92B14" w:rsidRDefault="00C92B14"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the maximum</w:t>
      </w:r>
      <w:r w:rsidR="0083113F" w:rsidRPr="00673C12">
        <w:rPr>
          <w:rFonts w:ascii="Times New Roman" w:eastAsiaTheme="minorHAnsi" w:hAnsi="Times New Roman"/>
          <w:sz w:val="24"/>
          <w:szCs w:val="24"/>
        </w:rPr>
        <w:t xml:space="preserve"> </w:t>
      </w:r>
      <w:r>
        <w:rPr>
          <w:rFonts w:ascii="Times New Roman" w:eastAsiaTheme="minorHAnsi" w:hAnsi="Times New Roman"/>
          <w:sz w:val="24"/>
          <w:szCs w:val="24"/>
        </w:rPr>
        <w:t xml:space="preserve">daily </w:t>
      </w:r>
      <w:r w:rsidR="0083113F" w:rsidRPr="00673C12">
        <w:rPr>
          <w:rFonts w:ascii="Times New Roman" w:eastAsiaTheme="minorHAnsi" w:hAnsi="Times New Roman"/>
          <w:sz w:val="24"/>
          <w:szCs w:val="24"/>
        </w:rPr>
        <w:t xml:space="preserve">amount of Dawn-Parkway </w:t>
      </w:r>
      <w:r w:rsidR="00AC11E7">
        <w:rPr>
          <w:rFonts w:ascii="Times New Roman" w:eastAsiaTheme="minorHAnsi" w:hAnsi="Times New Roman"/>
          <w:sz w:val="24"/>
          <w:szCs w:val="24"/>
        </w:rPr>
        <w:t xml:space="preserve">capacity </w:t>
      </w:r>
      <w:r w:rsidR="009A7A4F">
        <w:rPr>
          <w:rFonts w:ascii="Times New Roman" w:eastAsiaTheme="minorHAnsi" w:hAnsi="Times New Roman"/>
          <w:sz w:val="24"/>
          <w:szCs w:val="24"/>
        </w:rPr>
        <w:t xml:space="preserve">sold </w:t>
      </w:r>
      <w:r>
        <w:rPr>
          <w:rFonts w:ascii="Times New Roman" w:eastAsiaTheme="minorHAnsi" w:hAnsi="Times New Roman"/>
          <w:sz w:val="24"/>
          <w:szCs w:val="24"/>
        </w:rPr>
        <w:t xml:space="preserve">and the $/GJ and HDD for that day </w:t>
      </w:r>
    </w:p>
    <w:p w:rsidR="0034451B" w:rsidRPr="00554E85" w:rsidRDefault="00D95948" w:rsidP="00554E85">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The h</w:t>
      </w:r>
      <w:r w:rsidR="00C92B14">
        <w:rPr>
          <w:rFonts w:ascii="Times New Roman" w:eastAsiaTheme="minorHAnsi" w:hAnsi="Times New Roman"/>
          <w:sz w:val="24"/>
          <w:szCs w:val="24"/>
        </w:rPr>
        <w:t>ighest daily</w:t>
      </w:r>
      <w:r w:rsidR="0083113F" w:rsidRPr="00673C12">
        <w:rPr>
          <w:rFonts w:ascii="Times New Roman" w:eastAsiaTheme="minorHAnsi" w:hAnsi="Times New Roman"/>
          <w:sz w:val="24"/>
          <w:szCs w:val="24"/>
        </w:rPr>
        <w:t xml:space="preserve"> $/GJ/day</w:t>
      </w:r>
      <w:r w:rsidR="00C92B14">
        <w:rPr>
          <w:rFonts w:ascii="Times New Roman" w:eastAsiaTheme="minorHAnsi" w:hAnsi="Times New Roman"/>
          <w:sz w:val="24"/>
          <w:szCs w:val="24"/>
        </w:rPr>
        <w:t xml:space="preserve"> and the </w:t>
      </w:r>
      <w:r w:rsidR="001C32A7">
        <w:rPr>
          <w:rFonts w:ascii="Times New Roman" w:eastAsiaTheme="minorHAnsi" w:hAnsi="Times New Roman"/>
          <w:sz w:val="24"/>
          <w:szCs w:val="24"/>
        </w:rPr>
        <w:t xml:space="preserve">total amount of </w:t>
      </w:r>
      <w:r w:rsidR="00C92B14">
        <w:rPr>
          <w:rFonts w:ascii="Times New Roman" w:eastAsiaTheme="minorHAnsi" w:hAnsi="Times New Roman"/>
          <w:sz w:val="24"/>
          <w:szCs w:val="24"/>
        </w:rPr>
        <w:t xml:space="preserve">Dawn-Parkway </w:t>
      </w:r>
      <w:r w:rsidR="001C32A7">
        <w:rPr>
          <w:rFonts w:ascii="Times New Roman" w:eastAsiaTheme="minorHAnsi" w:hAnsi="Times New Roman"/>
          <w:sz w:val="24"/>
          <w:szCs w:val="24"/>
        </w:rPr>
        <w:t>sold</w:t>
      </w:r>
      <w:r w:rsidR="00C92B14">
        <w:rPr>
          <w:rFonts w:ascii="Times New Roman" w:eastAsiaTheme="minorHAnsi" w:hAnsi="Times New Roman"/>
          <w:sz w:val="24"/>
          <w:szCs w:val="24"/>
        </w:rPr>
        <w:t xml:space="preserve"> and HDD for that day</w:t>
      </w:r>
    </w:p>
    <w:p w:rsidR="0034451B" w:rsidRPr="00673C12" w:rsidRDefault="0034451B"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the number of days in each respective month where Union was required to turndown requests for short-term or IT service,  due to insufficient capacity.</w:t>
      </w:r>
    </w:p>
    <w:p w:rsidR="0034451B" w:rsidRPr="00673C12" w:rsidRDefault="0034451B"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For those days where IT was unavailable, please provide the Union Gas communication to the party (not to be named for confidentiality purposes) indicating insufficient capacity to meet the request for short-term or  IT service.</w:t>
      </w:r>
    </w:p>
    <w:p w:rsidR="0034451B" w:rsidRPr="00673C12" w:rsidRDefault="0034451B" w:rsidP="00FD2663">
      <w:pPr>
        <w:autoSpaceDE w:val="0"/>
        <w:autoSpaceDN w:val="0"/>
        <w:adjustRightInd w:val="0"/>
        <w:spacing w:after="0" w:line="360" w:lineRule="auto"/>
        <w:contextualSpacing/>
        <w:rPr>
          <w:rFonts w:ascii="Times New Roman" w:eastAsiaTheme="minorHAnsi" w:hAnsi="Times New Roman"/>
          <w:sz w:val="24"/>
          <w:szCs w:val="24"/>
        </w:rPr>
      </w:pPr>
    </w:p>
    <w:p w:rsidR="0083113F" w:rsidRPr="00673C12" w:rsidRDefault="0083113F" w:rsidP="00FD2663">
      <w:pPr>
        <w:autoSpaceDE w:val="0"/>
        <w:autoSpaceDN w:val="0"/>
        <w:adjustRightInd w:val="0"/>
        <w:spacing w:after="0" w:line="360" w:lineRule="auto"/>
        <w:ind w:left="360"/>
        <w:contextualSpacing/>
        <w:rPr>
          <w:rFonts w:ascii="Times New Roman" w:eastAsiaTheme="minorHAnsi" w:hAnsi="Times New Roman"/>
          <w:sz w:val="24"/>
          <w:szCs w:val="24"/>
        </w:rPr>
      </w:pPr>
    </w:p>
    <w:p w:rsidR="0083113F" w:rsidRDefault="0083113F"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For each of the last 4 calendar years, please provide the total PDCI collected in rates and the amount of PDCI paid out to the parties who obligated volumes at Parkway.</w:t>
      </w:r>
    </w:p>
    <w:p w:rsidR="00B04EC5" w:rsidRDefault="00B04EC5"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For each of those years, please provide the cost in $/GJ/day to generate firm deliveries at Parkway using PDCI.</w:t>
      </w:r>
    </w:p>
    <w:p w:rsidR="00B04EC5" w:rsidRDefault="00B04EC5"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For each of the 2015, 2016 and 2017 builds, please provide the cost in $/GJ/day of generating firm deliveries through each of the respective builds.  To ensure clarity for these figures, the requested figure should be the cost of the build divided by the design day demand it delivers to Parkway.</w:t>
      </w:r>
    </w:p>
    <w:p w:rsidR="00B04EC5" w:rsidRPr="00673C12" w:rsidRDefault="00B04EC5" w:rsidP="00FD2663">
      <w:pPr>
        <w:autoSpaceDE w:val="0"/>
        <w:autoSpaceDN w:val="0"/>
        <w:adjustRightInd w:val="0"/>
        <w:spacing w:after="0" w:line="360" w:lineRule="auto"/>
        <w:ind w:left="720"/>
        <w:contextualSpacing/>
        <w:rPr>
          <w:rFonts w:ascii="Times New Roman" w:eastAsiaTheme="minorHAnsi" w:hAnsi="Times New Roman"/>
          <w:sz w:val="24"/>
          <w:szCs w:val="24"/>
        </w:rPr>
      </w:pPr>
    </w:p>
    <w:p w:rsidR="00222FB2" w:rsidRPr="00673C12" w:rsidRDefault="00B04EC5"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For the l</w:t>
      </w:r>
      <w:r w:rsidR="00EE6ECF" w:rsidRPr="00673C12">
        <w:rPr>
          <w:rFonts w:ascii="Times New Roman" w:eastAsiaTheme="minorHAnsi" w:hAnsi="Times New Roman"/>
          <w:sz w:val="24"/>
          <w:szCs w:val="24"/>
        </w:rPr>
        <w:t>ast 4 years</w:t>
      </w:r>
      <w:r w:rsidR="007349BA">
        <w:rPr>
          <w:rFonts w:ascii="Times New Roman" w:eastAsiaTheme="minorHAnsi" w:hAnsi="Times New Roman"/>
          <w:sz w:val="24"/>
          <w:szCs w:val="24"/>
        </w:rPr>
        <w:t xml:space="preserve"> </w:t>
      </w:r>
      <w:r w:rsidR="00D9214A">
        <w:rPr>
          <w:rFonts w:ascii="Times New Roman" w:eastAsiaTheme="minorHAnsi" w:hAnsi="Times New Roman"/>
          <w:sz w:val="24"/>
          <w:szCs w:val="24"/>
        </w:rPr>
        <w:t>please provide the d</w:t>
      </w:r>
      <w:r w:rsidR="001734F5" w:rsidRPr="00673C12">
        <w:rPr>
          <w:rFonts w:ascii="Times New Roman" w:eastAsiaTheme="minorHAnsi" w:hAnsi="Times New Roman"/>
          <w:sz w:val="24"/>
          <w:szCs w:val="24"/>
        </w:rPr>
        <w:t xml:space="preserve">aily storage levels (Sept.-Nov), separated </w:t>
      </w:r>
      <w:r w:rsidR="00A45576">
        <w:rPr>
          <w:rFonts w:ascii="Times New Roman" w:eastAsiaTheme="minorHAnsi" w:hAnsi="Times New Roman"/>
          <w:sz w:val="24"/>
          <w:szCs w:val="24"/>
        </w:rPr>
        <w:t xml:space="preserve">by </w:t>
      </w:r>
      <w:r>
        <w:rPr>
          <w:rFonts w:ascii="Times New Roman" w:eastAsiaTheme="minorHAnsi" w:hAnsi="Times New Roman"/>
          <w:sz w:val="24"/>
          <w:szCs w:val="24"/>
        </w:rPr>
        <w:t>utility</w:t>
      </w:r>
      <w:r w:rsidR="001734F5" w:rsidRPr="00673C12">
        <w:rPr>
          <w:rFonts w:ascii="Times New Roman" w:eastAsiaTheme="minorHAnsi" w:hAnsi="Times New Roman"/>
          <w:sz w:val="24"/>
          <w:szCs w:val="24"/>
        </w:rPr>
        <w:t xml:space="preserve"> and </w:t>
      </w:r>
      <w:r>
        <w:rPr>
          <w:rFonts w:ascii="Times New Roman" w:eastAsiaTheme="minorHAnsi" w:hAnsi="Times New Roman"/>
          <w:sz w:val="24"/>
          <w:szCs w:val="24"/>
        </w:rPr>
        <w:t>non-utility</w:t>
      </w:r>
      <w:r w:rsidR="001734F5" w:rsidRPr="00673C12">
        <w:rPr>
          <w:rFonts w:ascii="Times New Roman" w:eastAsiaTheme="minorHAnsi" w:hAnsi="Times New Roman"/>
          <w:sz w:val="24"/>
          <w:szCs w:val="24"/>
        </w:rPr>
        <w:t>.</w:t>
      </w:r>
    </w:p>
    <w:p w:rsidR="001734F5" w:rsidRPr="00673C12" w:rsidRDefault="001734F5"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 xml:space="preserve">For each day, please indicate </w:t>
      </w:r>
    </w:p>
    <w:p w:rsidR="001734F5" w:rsidRPr="00673C12" w:rsidRDefault="001734F5" w:rsidP="00FD2663">
      <w:pPr>
        <w:numPr>
          <w:ilvl w:val="2"/>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The colour of the storage</w:t>
      </w:r>
      <w:r w:rsidR="00C92B14">
        <w:rPr>
          <w:rFonts w:ascii="Times New Roman" w:eastAsiaTheme="minorHAnsi" w:hAnsi="Times New Roman"/>
          <w:sz w:val="24"/>
          <w:szCs w:val="24"/>
        </w:rPr>
        <w:t xml:space="preserve"> Operational Status</w:t>
      </w:r>
      <w:r w:rsidRPr="00673C12">
        <w:rPr>
          <w:rFonts w:ascii="Times New Roman" w:eastAsiaTheme="minorHAnsi" w:hAnsi="Times New Roman"/>
          <w:sz w:val="24"/>
          <w:szCs w:val="24"/>
        </w:rPr>
        <w:t xml:space="preserve"> light</w:t>
      </w:r>
    </w:p>
    <w:p w:rsidR="001734F5" w:rsidRPr="00673C12" w:rsidRDefault="001734F5" w:rsidP="00FD2663">
      <w:pPr>
        <w:numPr>
          <w:ilvl w:val="2"/>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Amount of interruptible injection nominated</w:t>
      </w:r>
    </w:p>
    <w:p w:rsidR="001734F5" w:rsidRPr="00673C12" w:rsidRDefault="001734F5" w:rsidP="00FD2663">
      <w:pPr>
        <w:numPr>
          <w:ilvl w:val="2"/>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Amount of interruptible injection accepted</w:t>
      </w:r>
    </w:p>
    <w:p w:rsidR="001734F5" w:rsidRPr="00673C12" w:rsidRDefault="001734F5" w:rsidP="00FD2663">
      <w:pPr>
        <w:numPr>
          <w:ilvl w:val="2"/>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Amount of injection accepted from other non-firm injection right services</w:t>
      </w:r>
    </w:p>
    <w:p w:rsidR="00F3054F" w:rsidRPr="00673C12" w:rsidRDefault="001734F5" w:rsidP="00FD2663">
      <w:pPr>
        <w:numPr>
          <w:ilvl w:val="2"/>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Revenue generated from services associated with these injections</w:t>
      </w:r>
    </w:p>
    <w:p w:rsidR="009B67CB" w:rsidRPr="00673C12" w:rsidRDefault="009B67CB"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 xml:space="preserve">What criteria does Union use to change the </w:t>
      </w:r>
      <w:r w:rsidR="00B57B26" w:rsidRPr="00673C12">
        <w:rPr>
          <w:rFonts w:ascii="Times New Roman" w:eastAsiaTheme="minorHAnsi" w:hAnsi="Times New Roman"/>
          <w:sz w:val="24"/>
          <w:szCs w:val="24"/>
        </w:rPr>
        <w:t>Operational Status light:</w:t>
      </w:r>
    </w:p>
    <w:p w:rsidR="00B57B26" w:rsidRPr="00673C12" w:rsidRDefault="00B57B26" w:rsidP="00FD2663">
      <w:pPr>
        <w:numPr>
          <w:ilvl w:val="2"/>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From green to yellow?</w:t>
      </w:r>
    </w:p>
    <w:p w:rsidR="00B57B26" w:rsidRPr="00673C12" w:rsidRDefault="00B57B26" w:rsidP="00FD2663">
      <w:pPr>
        <w:numPr>
          <w:ilvl w:val="2"/>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From yellow to red?</w:t>
      </w:r>
    </w:p>
    <w:p w:rsidR="00050E44" w:rsidRPr="00673C12" w:rsidRDefault="00050E44"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What criteria does Union publicize to indicate</w:t>
      </w:r>
      <w:r w:rsidR="009B67CB" w:rsidRPr="00673C12">
        <w:rPr>
          <w:rFonts w:ascii="Times New Roman" w:eastAsiaTheme="minorHAnsi" w:hAnsi="Times New Roman"/>
          <w:sz w:val="24"/>
          <w:szCs w:val="24"/>
        </w:rPr>
        <w:t xml:space="preserve"> approaching risk of </w:t>
      </w:r>
      <w:r w:rsidR="00B57B26" w:rsidRPr="00673C12">
        <w:rPr>
          <w:rFonts w:ascii="Times New Roman" w:eastAsiaTheme="minorHAnsi" w:hAnsi="Times New Roman"/>
          <w:sz w:val="24"/>
          <w:szCs w:val="24"/>
        </w:rPr>
        <w:t>a change in status light?</w:t>
      </w:r>
    </w:p>
    <w:p w:rsidR="00B57B26" w:rsidRDefault="00B57B26"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sidRPr="00673C12">
        <w:rPr>
          <w:rFonts w:ascii="Times New Roman" w:eastAsiaTheme="minorHAnsi" w:hAnsi="Times New Roman"/>
          <w:sz w:val="24"/>
          <w:szCs w:val="24"/>
        </w:rPr>
        <w:t xml:space="preserve">Would Union entertain posting storage fill positions of the Dawn storage pools on a </w:t>
      </w:r>
      <w:r>
        <w:rPr>
          <w:rFonts w:ascii="Times New Roman" w:eastAsiaTheme="minorHAnsi" w:hAnsi="Times New Roman"/>
          <w:sz w:val="24"/>
          <w:szCs w:val="24"/>
        </w:rPr>
        <w:t>weekly basis?  If not, why not?</w:t>
      </w:r>
    </w:p>
    <w:p w:rsidR="00C92B14" w:rsidRDefault="00C92B14" w:rsidP="00FD2663">
      <w:pPr>
        <w:autoSpaceDE w:val="0"/>
        <w:autoSpaceDN w:val="0"/>
        <w:adjustRightInd w:val="0"/>
        <w:spacing w:after="0" w:line="360" w:lineRule="auto"/>
        <w:ind w:left="720"/>
        <w:contextualSpacing/>
        <w:rPr>
          <w:rFonts w:ascii="Times New Roman" w:eastAsiaTheme="minorHAnsi" w:hAnsi="Times New Roman"/>
          <w:sz w:val="24"/>
          <w:szCs w:val="24"/>
        </w:rPr>
      </w:pPr>
    </w:p>
    <w:p w:rsidR="002320EF" w:rsidRDefault="002320EF" w:rsidP="00FD2663">
      <w:pPr>
        <w:autoSpaceDE w:val="0"/>
        <w:autoSpaceDN w:val="0"/>
        <w:adjustRightInd w:val="0"/>
        <w:spacing w:after="0" w:line="360" w:lineRule="auto"/>
        <w:contextualSpacing/>
        <w:rPr>
          <w:rFonts w:ascii="Times New Roman" w:hAnsi="Times New Roman"/>
          <w:b/>
          <w:sz w:val="24"/>
          <w:szCs w:val="24"/>
        </w:rPr>
      </w:pPr>
    </w:p>
    <w:p w:rsidR="00C92B14" w:rsidRDefault="002320EF" w:rsidP="00FD2663">
      <w:pPr>
        <w:autoSpaceDE w:val="0"/>
        <w:autoSpaceDN w:val="0"/>
        <w:adjustRightInd w:val="0"/>
        <w:spacing w:after="0" w:line="360" w:lineRule="auto"/>
        <w:contextualSpacing/>
        <w:rPr>
          <w:rFonts w:ascii="Times New Roman" w:eastAsiaTheme="minorHAnsi" w:hAnsi="Times New Roman"/>
          <w:sz w:val="24"/>
          <w:szCs w:val="24"/>
        </w:rPr>
      </w:pPr>
      <w:r w:rsidRPr="00327372">
        <w:rPr>
          <w:rFonts w:ascii="Times New Roman" w:hAnsi="Times New Roman"/>
          <w:b/>
          <w:sz w:val="24"/>
          <w:szCs w:val="24"/>
        </w:rPr>
        <w:t>REF:</w:t>
      </w:r>
      <w:r w:rsidRPr="00327372">
        <w:rPr>
          <w:rFonts w:ascii="Times New Roman" w:hAnsi="Times New Roman"/>
          <w:b/>
          <w:sz w:val="24"/>
          <w:szCs w:val="24"/>
        </w:rPr>
        <w:tab/>
      </w:r>
      <w:r w:rsidRPr="00327372">
        <w:rPr>
          <w:rFonts w:ascii="Times New Roman" w:hAnsi="Times New Roman"/>
          <w:sz w:val="24"/>
          <w:szCs w:val="24"/>
          <w:lang w:val="en-US"/>
        </w:rPr>
        <w:t>Exhibit A, Tab 1, Page</w:t>
      </w:r>
      <w:r>
        <w:rPr>
          <w:rFonts w:ascii="Times New Roman" w:hAnsi="Times New Roman"/>
          <w:sz w:val="24"/>
          <w:szCs w:val="24"/>
          <w:lang w:val="en-US"/>
        </w:rPr>
        <w:t xml:space="preserve"> 7</w:t>
      </w:r>
    </w:p>
    <w:p w:rsidR="00C92B14" w:rsidRDefault="00C92B14" w:rsidP="00FD2663">
      <w:pPr>
        <w:autoSpaceDE w:val="0"/>
        <w:autoSpaceDN w:val="0"/>
        <w:adjustRightInd w:val="0"/>
        <w:spacing w:after="0" w:line="360" w:lineRule="auto"/>
        <w:ind w:left="720"/>
        <w:contextualSpacing/>
        <w:rPr>
          <w:rFonts w:ascii="Times New Roman" w:eastAsiaTheme="minorHAnsi" w:hAnsi="Times New Roman"/>
          <w:sz w:val="24"/>
          <w:szCs w:val="24"/>
        </w:rPr>
      </w:pPr>
    </w:p>
    <w:p w:rsidR="002320EF" w:rsidRDefault="002320EF" w:rsidP="00FD2663">
      <w:p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 xml:space="preserve">Preamble:  We would like to understand better the evolution of optimization revenue in </w:t>
      </w:r>
      <w:r w:rsidR="00A67873">
        <w:rPr>
          <w:rFonts w:ascii="Times New Roman" w:eastAsiaTheme="minorHAnsi" w:hAnsi="Times New Roman"/>
          <w:sz w:val="24"/>
          <w:szCs w:val="24"/>
        </w:rPr>
        <w:t>Account 179-131</w:t>
      </w:r>
      <w:r>
        <w:rPr>
          <w:rFonts w:ascii="Times New Roman" w:eastAsiaTheme="minorHAnsi" w:hAnsi="Times New Roman"/>
          <w:sz w:val="24"/>
          <w:szCs w:val="24"/>
        </w:rPr>
        <w:t xml:space="preserve"> over the IRM</w:t>
      </w:r>
      <w:r w:rsidR="00A67873">
        <w:rPr>
          <w:rFonts w:ascii="Times New Roman" w:eastAsiaTheme="minorHAnsi" w:hAnsi="Times New Roman"/>
          <w:sz w:val="24"/>
          <w:szCs w:val="24"/>
        </w:rPr>
        <w:t xml:space="preserve"> period</w:t>
      </w:r>
      <w:r>
        <w:rPr>
          <w:rFonts w:ascii="Times New Roman" w:eastAsiaTheme="minorHAnsi" w:hAnsi="Times New Roman"/>
          <w:sz w:val="24"/>
          <w:szCs w:val="24"/>
        </w:rPr>
        <w:t>.  While we understand the effect of the elimination FT-RAM, Union’s evidence states:</w:t>
      </w:r>
    </w:p>
    <w:p w:rsidR="002320EF" w:rsidRDefault="002320EF" w:rsidP="00FD2663">
      <w:pPr>
        <w:autoSpaceDE w:val="0"/>
        <w:autoSpaceDN w:val="0"/>
        <w:adjustRightInd w:val="0"/>
        <w:spacing w:after="0" w:line="360" w:lineRule="auto"/>
        <w:contextualSpacing/>
        <w:rPr>
          <w:rFonts w:ascii="Times New Roman" w:eastAsiaTheme="minorHAnsi" w:hAnsi="Times New Roman"/>
          <w:sz w:val="24"/>
          <w:szCs w:val="24"/>
        </w:rPr>
      </w:pPr>
    </w:p>
    <w:p w:rsidR="002320EF" w:rsidRPr="002320EF" w:rsidRDefault="002320EF" w:rsidP="00FD2663">
      <w:pPr>
        <w:autoSpaceDE w:val="0"/>
        <w:autoSpaceDN w:val="0"/>
        <w:adjustRightInd w:val="0"/>
        <w:spacing w:after="0" w:line="360" w:lineRule="auto"/>
        <w:ind w:left="720"/>
        <w:rPr>
          <w:rFonts w:ascii="Times New Roman" w:eastAsiaTheme="minorHAnsi" w:hAnsi="Times New Roman"/>
          <w:i/>
          <w:sz w:val="24"/>
          <w:szCs w:val="24"/>
        </w:rPr>
      </w:pPr>
      <w:r w:rsidRPr="002320EF">
        <w:rPr>
          <w:rFonts w:ascii="Times New Roman" w:eastAsiaTheme="minorHAnsi" w:hAnsi="Times New Roman"/>
          <w:i/>
          <w:sz w:val="24"/>
          <w:szCs w:val="24"/>
          <w:lang w:val="en-US"/>
        </w:rPr>
        <w:t>“2017 weather in traditional delivery areas where Union would transact was between 2 -5% warmer compared to what was experienced in 2013 when the Board-approved revenue</w:t>
      </w:r>
      <w:r w:rsidRPr="002320EF">
        <w:rPr>
          <w:rFonts w:ascii="Times New Roman" w:eastAsiaTheme="minorHAnsi" w:hAnsi="Times New Roman"/>
          <w:i/>
          <w:lang w:val="en-US"/>
        </w:rPr>
        <w:t xml:space="preserve"> </w:t>
      </w:r>
      <w:r w:rsidRPr="002320EF">
        <w:rPr>
          <w:rFonts w:ascii="Times New Roman" w:eastAsiaTheme="minorHAnsi" w:hAnsi="Times New Roman"/>
          <w:i/>
          <w:sz w:val="24"/>
          <w:szCs w:val="24"/>
          <w:lang w:val="en-US"/>
        </w:rPr>
        <w:t>was determined, resulting in less demand and lower prices for exchange transactions</w:t>
      </w:r>
      <w:r w:rsidRPr="002320EF">
        <w:rPr>
          <w:rFonts w:ascii="Times New Roman" w:eastAsiaTheme="minorHAnsi" w:hAnsi="Times New Roman"/>
          <w:i/>
          <w:lang w:val="en-US"/>
        </w:rPr>
        <w:t xml:space="preserve"> </w:t>
      </w:r>
      <w:r w:rsidRPr="002320EF">
        <w:rPr>
          <w:rFonts w:ascii="Times New Roman" w:eastAsiaTheme="minorHAnsi" w:hAnsi="Times New Roman"/>
          <w:i/>
          <w:sz w:val="24"/>
          <w:szCs w:val="24"/>
          <w:lang w:val="en-US"/>
        </w:rPr>
        <w:t>compared to 2013 Board-approved levels.”</w:t>
      </w:r>
    </w:p>
    <w:p w:rsidR="002320EF" w:rsidRDefault="002320EF" w:rsidP="00FD2663">
      <w:pPr>
        <w:autoSpaceDE w:val="0"/>
        <w:autoSpaceDN w:val="0"/>
        <w:adjustRightInd w:val="0"/>
        <w:spacing w:after="0" w:line="360" w:lineRule="auto"/>
        <w:ind w:left="720"/>
        <w:contextualSpacing/>
        <w:rPr>
          <w:rFonts w:ascii="Times New Roman" w:eastAsiaTheme="minorHAnsi" w:hAnsi="Times New Roman"/>
          <w:sz w:val="24"/>
          <w:szCs w:val="24"/>
        </w:rPr>
      </w:pPr>
    </w:p>
    <w:p w:rsidR="002320EF" w:rsidRDefault="002320EF"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Please specify the traditional delivery areas where Union would transact.</w:t>
      </w:r>
    </w:p>
    <w:p w:rsidR="002320EF" w:rsidRDefault="002320EF" w:rsidP="00FD2663">
      <w:pPr>
        <w:autoSpaceDE w:val="0"/>
        <w:autoSpaceDN w:val="0"/>
        <w:adjustRightInd w:val="0"/>
        <w:spacing w:after="0" w:line="360" w:lineRule="auto"/>
        <w:ind w:left="360"/>
        <w:contextualSpacing/>
        <w:rPr>
          <w:rFonts w:ascii="Times New Roman" w:eastAsiaTheme="minorHAnsi" w:hAnsi="Times New Roman"/>
          <w:sz w:val="24"/>
          <w:szCs w:val="24"/>
        </w:rPr>
      </w:pPr>
    </w:p>
    <w:p w:rsidR="00C92B14" w:rsidRPr="002320EF" w:rsidRDefault="002320EF"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For each year since and including 2013, please provide:</w:t>
      </w:r>
    </w:p>
    <w:p w:rsidR="002320EF" w:rsidRDefault="002320EF"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The optimization revenues</w:t>
      </w:r>
    </w:p>
    <w:p w:rsidR="002320EF" w:rsidRDefault="002320EF"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The HDD for the Jan-Mar and Nov.-Dec. for those years</w:t>
      </w:r>
    </w:p>
    <w:p w:rsidR="00A67873" w:rsidRDefault="00A67873" w:rsidP="00FD2663">
      <w:pPr>
        <w:autoSpaceDE w:val="0"/>
        <w:autoSpaceDN w:val="0"/>
        <w:adjustRightInd w:val="0"/>
        <w:spacing w:after="0" w:line="360" w:lineRule="auto"/>
        <w:contextualSpacing/>
        <w:rPr>
          <w:rFonts w:ascii="Times New Roman" w:eastAsiaTheme="minorHAnsi" w:hAnsi="Times New Roman"/>
          <w:sz w:val="24"/>
          <w:szCs w:val="24"/>
        </w:rPr>
      </w:pPr>
    </w:p>
    <w:p w:rsidR="00A67873" w:rsidRDefault="00A67873" w:rsidP="00FD2663">
      <w:pPr>
        <w:autoSpaceDE w:val="0"/>
        <w:autoSpaceDN w:val="0"/>
        <w:adjustRightInd w:val="0"/>
        <w:spacing w:after="0" w:line="360" w:lineRule="auto"/>
        <w:contextualSpacing/>
        <w:rPr>
          <w:rFonts w:ascii="Times New Roman" w:hAnsi="Times New Roman"/>
          <w:b/>
          <w:sz w:val="24"/>
          <w:szCs w:val="24"/>
        </w:rPr>
      </w:pPr>
    </w:p>
    <w:p w:rsidR="00A67873" w:rsidRDefault="00A67873" w:rsidP="00FD2663">
      <w:pPr>
        <w:autoSpaceDE w:val="0"/>
        <w:autoSpaceDN w:val="0"/>
        <w:adjustRightInd w:val="0"/>
        <w:spacing w:after="0" w:line="360" w:lineRule="auto"/>
        <w:contextualSpacing/>
        <w:rPr>
          <w:rFonts w:ascii="Times New Roman" w:eastAsiaTheme="minorHAnsi" w:hAnsi="Times New Roman"/>
          <w:sz w:val="24"/>
          <w:szCs w:val="24"/>
        </w:rPr>
      </w:pPr>
      <w:r>
        <w:rPr>
          <w:rFonts w:ascii="Times New Roman" w:hAnsi="Times New Roman"/>
          <w:b/>
          <w:sz w:val="24"/>
          <w:szCs w:val="24"/>
        </w:rPr>
        <w:t>REF:</w:t>
      </w:r>
      <w:r>
        <w:rPr>
          <w:rFonts w:ascii="Times New Roman" w:hAnsi="Times New Roman"/>
          <w:b/>
          <w:sz w:val="24"/>
          <w:szCs w:val="24"/>
        </w:rPr>
        <w:tab/>
      </w:r>
      <w:r>
        <w:rPr>
          <w:rFonts w:ascii="Times New Roman" w:hAnsi="Times New Roman"/>
          <w:sz w:val="24"/>
          <w:szCs w:val="24"/>
          <w:lang w:val="en-US"/>
        </w:rPr>
        <w:t>Exhibit A, Tab 1, Pages 20-25</w:t>
      </w:r>
      <w:r w:rsidR="007A48F9">
        <w:rPr>
          <w:rFonts w:ascii="Times New Roman" w:hAnsi="Times New Roman"/>
          <w:sz w:val="24"/>
          <w:szCs w:val="24"/>
          <w:lang w:val="en-US"/>
        </w:rPr>
        <w:t xml:space="preserve"> and EB-2017-0091 Ex. A., T1, page 23</w:t>
      </w:r>
    </w:p>
    <w:p w:rsidR="00A67873" w:rsidRDefault="00A67873" w:rsidP="00FD2663">
      <w:pPr>
        <w:autoSpaceDE w:val="0"/>
        <w:autoSpaceDN w:val="0"/>
        <w:adjustRightInd w:val="0"/>
        <w:spacing w:after="0" w:line="360" w:lineRule="auto"/>
        <w:contextualSpacing/>
        <w:rPr>
          <w:rFonts w:ascii="Times New Roman" w:eastAsiaTheme="minorHAnsi" w:hAnsi="Times New Roman"/>
          <w:sz w:val="24"/>
          <w:szCs w:val="24"/>
        </w:rPr>
      </w:pPr>
    </w:p>
    <w:p w:rsidR="00A67873" w:rsidRDefault="00A67873" w:rsidP="00FD2663">
      <w:pPr>
        <w:autoSpaceDE w:val="0"/>
        <w:autoSpaceDN w:val="0"/>
        <w:adjustRightInd w:val="0"/>
        <w:spacing w:after="0" w:line="360" w:lineRule="auto"/>
        <w:rPr>
          <w:rFonts w:ascii="Times New Roman" w:hAnsi="Times New Roman"/>
          <w:i/>
          <w:sz w:val="24"/>
          <w:szCs w:val="24"/>
        </w:rPr>
      </w:pPr>
      <w:r>
        <w:rPr>
          <w:rFonts w:ascii="Times New Roman" w:hAnsi="Times New Roman"/>
          <w:sz w:val="24"/>
          <w:szCs w:val="24"/>
        </w:rPr>
        <w:t>Preamble:  We would like to understand better the impact of the methodology on the establishment of the target NAC.</w:t>
      </w:r>
    </w:p>
    <w:p w:rsidR="00A67873" w:rsidRDefault="00A67873" w:rsidP="00FD2663">
      <w:pPr>
        <w:autoSpaceDE w:val="0"/>
        <w:autoSpaceDN w:val="0"/>
        <w:adjustRightInd w:val="0"/>
        <w:spacing w:after="0" w:line="360" w:lineRule="auto"/>
        <w:rPr>
          <w:rFonts w:ascii="Times New Roman" w:hAnsi="Times New Roman"/>
          <w:sz w:val="24"/>
          <w:szCs w:val="24"/>
        </w:rPr>
      </w:pPr>
    </w:p>
    <w:p w:rsidR="00A67873" w:rsidRDefault="00A67873" w:rsidP="00FD2663">
      <w:pPr>
        <w:pStyle w:val="ListParagraph"/>
        <w:numPr>
          <w:ilvl w:val="0"/>
          <w:numId w:val="30"/>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Please provide the monthly  forecasted and actual hearting degree days and actual monthly volumes in the form of Excel spreadsheets with working formulae that determine:</w:t>
      </w:r>
    </w:p>
    <w:p w:rsidR="00A67873" w:rsidRDefault="00A67873" w:rsidP="00FD2663">
      <w:pPr>
        <w:pStyle w:val="ListParagraph"/>
        <w:numPr>
          <w:ilvl w:val="1"/>
          <w:numId w:val="30"/>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the targeted annual NAC</w:t>
      </w:r>
    </w:p>
    <w:p w:rsidR="00A67873" w:rsidRDefault="00A67873" w:rsidP="00FD2663">
      <w:pPr>
        <w:pStyle w:val="ListParagraph"/>
        <w:numPr>
          <w:ilvl w:val="1"/>
          <w:numId w:val="30"/>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the resulting actual NAC </w:t>
      </w:r>
    </w:p>
    <w:p w:rsidR="00A67873" w:rsidRDefault="00A67873" w:rsidP="00FD2663">
      <w:pPr>
        <w:pStyle w:val="ListParagraph"/>
        <w:autoSpaceDE w:val="0"/>
        <w:autoSpaceDN w:val="0"/>
        <w:adjustRightInd w:val="0"/>
        <w:spacing w:after="0" w:line="360" w:lineRule="auto"/>
        <w:rPr>
          <w:rFonts w:ascii="Times New Roman" w:hAnsi="Times New Roman"/>
          <w:sz w:val="24"/>
          <w:szCs w:val="24"/>
        </w:rPr>
      </w:pPr>
    </w:p>
    <w:p w:rsidR="00A67873" w:rsidRDefault="004F5CFF" w:rsidP="00FD2663">
      <w:p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Preamble:  We would like to understand better the de</w:t>
      </w:r>
      <w:r w:rsidR="00065A8F">
        <w:rPr>
          <w:rFonts w:ascii="Times New Roman" w:eastAsiaTheme="minorHAnsi" w:hAnsi="Times New Roman"/>
          <w:sz w:val="24"/>
          <w:szCs w:val="24"/>
        </w:rPr>
        <w:t>termination of the reduction in storage space required as a result of the NAC volume variance.  Union’s evidence states;</w:t>
      </w:r>
    </w:p>
    <w:p w:rsidR="00065A8F" w:rsidRPr="00065A8F" w:rsidRDefault="00065A8F" w:rsidP="00FD2663">
      <w:pPr>
        <w:autoSpaceDE w:val="0"/>
        <w:autoSpaceDN w:val="0"/>
        <w:adjustRightInd w:val="0"/>
        <w:spacing w:after="0"/>
        <w:ind w:left="720"/>
        <w:rPr>
          <w:rFonts w:ascii="Times New Roman" w:eastAsiaTheme="minorHAnsi" w:hAnsi="Times New Roman"/>
          <w:i/>
          <w:sz w:val="24"/>
          <w:szCs w:val="24"/>
          <w:lang w:val="en-US"/>
        </w:rPr>
      </w:pPr>
      <w:r w:rsidRPr="00065A8F">
        <w:rPr>
          <w:rFonts w:ascii="Times New Roman" w:eastAsiaTheme="minorHAnsi" w:hAnsi="Times New Roman"/>
          <w:i/>
          <w:sz w:val="24"/>
          <w:szCs w:val="24"/>
          <w:lang w:val="en-US"/>
        </w:rPr>
        <w:t xml:space="preserve">Overall, the NAC volume variance between the 2017/2018 Gas Supply Plan and the 2013 Board approved volumes resulted in a decrease in general service storage requirements of 3.03 PJ….. </w:t>
      </w:r>
    </w:p>
    <w:p w:rsidR="00065A8F" w:rsidRPr="00065A8F" w:rsidRDefault="00065A8F" w:rsidP="00FD2663">
      <w:pPr>
        <w:autoSpaceDE w:val="0"/>
        <w:autoSpaceDN w:val="0"/>
        <w:adjustRightInd w:val="0"/>
        <w:spacing w:after="0"/>
        <w:ind w:left="720"/>
        <w:rPr>
          <w:rFonts w:ascii="Times New Roman" w:eastAsiaTheme="minorHAnsi" w:hAnsi="Times New Roman"/>
          <w:i/>
          <w:sz w:val="24"/>
          <w:szCs w:val="24"/>
          <w:lang w:val="en-US"/>
        </w:rPr>
      </w:pPr>
    </w:p>
    <w:p w:rsidR="00065A8F" w:rsidRPr="00065A8F" w:rsidRDefault="00065A8F" w:rsidP="00FD2663">
      <w:pPr>
        <w:autoSpaceDE w:val="0"/>
        <w:autoSpaceDN w:val="0"/>
        <w:adjustRightInd w:val="0"/>
        <w:spacing w:after="0"/>
        <w:ind w:left="720"/>
        <w:rPr>
          <w:rFonts w:ascii="Times New Roman" w:eastAsiaTheme="minorHAnsi" w:hAnsi="Times New Roman"/>
          <w:i/>
          <w:sz w:val="24"/>
          <w:szCs w:val="24"/>
          <w:lang w:val="en-US"/>
        </w:rPr>
      </w:pPr>
      <w:r w:rsidRPr="00065A8F">
        <w:rPr>
          <w:rFonts w:ascii="Times New Roman" w:eastAsiaTheme="minorHAnsi" w:hAnsi="Times New Roman"/>
          <w:i/>
          <w:sz w:val="24"/>
          <w:szCs w:val="24"/>
          <w:lang w:val="en-US"/>
        </w:rPr>
        <w:t>The reduction in storage activity has decreased storage deliverability costs, the commodity related costs at Dawn and storage inventory carrying costs.</w:t>
      </w:r>
    </w:p>
    <w:p w:rsidR="00065A8F" w:rsidRPr="00065A8F" w:rsidRDefault="00065A8F" w:rsidP="00FD2663">
      <w:pPr>
        <w:autoSpaceDE w:val="0"/>
        <w:autoSpaceDN w:val="0"/>
        <w:adjustRightInd w:val="0"/>
        <w:spacing w:after="0"/>
        <w:rPr>
          <w:rFonts w:ascii="Times New Roman" w:eastAsiaTheme="minorHAnsi" w:hAnsi="Times New Roman"/>
          <w:i/>
          <w:lang w:val="en-US"/>
        </w:rPr>
      </w:pPr>
    </w:p>
    <w:p w:rsidR="00065A8F" w:rsidRDefault="00065A8F" w:rsidP="00FD2663">
      <w:pPr>
        <w:autoSpaceDE w:val="0"/>
        <w:autoSpaceDN w:val="0"/>
        <w:adjustRightInd w:val="0"/>
        <w:spacing w:after="0"/>
        <w:ind w:left="720"/>
        <w:rPr>
          <w:rFonts w:ascii="Times New Roman" w:eastAsiaTheme="minorHAnsi" w:hAnsi="Times New Roman"/>
          <w:i/>
          <w:sz w:val="24"/>
          <w:szCs w:val="24"/>
          <w:lang w:val="en-US"/>
        </w:rPr>
      </w:pPr>
      <w:r w:rsidRPr="00065A8F">
        <w:rPr>
          <w:rFonts w:ascii="Times New Roman" w:eastAsiaTheme="minorHAnsi" w:hAnsi="Times New Roman"/>
          <w:i/>
          <w:sz w:val="24"/>
          <w:szCs w:val="24"/>
          <w:lang w:val="en-US"/>
        </w:rPr>
        <w:t>The 3.03 PJ reduction in general service storage requirements due to NAC volume variances</w:t>
      </w:r>
      <w:r w:rsidRPr="00065A8F">
        <w:rPr>
          <w:rFonts w:ascii="Times New Roman" w:eastAsiaTheme="minorHAnsi" w:hAnsi="Times New Roman"/>
          <w:i/>
          <w:lang w:val="en-US"/>
        </w:rPr>
        <w:t xml:space="preserve"> </w:t>
      </w:r>
      <w:r w:rsidRPr="00065A8F">
        <w:rPr>
          <w:rFonts w:ascii="Times New Roman" w:eastAsiaTheme="minorHAnsi" w:hAnsi="Times New Roman"/>
          <w:i/>
          <w:sz w:val="24"/>
          <w:szCs w:val="24"/>
          <w:lang w:val="en-US"/>
        </w:rPr>
        <w:t>forms part of the 6.8 PJ of excess utility space available for sale for winter 2017/2018.</w:t>
      </w:r>
    </w:p>
    <w:p w:rsidR="007A48F9" w:rsidRDefault="007A48F9" w:rsidP="00FD2663">
      <w:pPr>
        <w:autoSpaceDE w:val="0"/>
        <w:autoSpaceDN w:val="0"/>
        <w:adjustRightInd w:val="0"/>
        <w:spacing w:after="0" w:line="360" w:lineRule="auto"/>
        <w:ind w:left="720"/>
        <w:rPr>
          <w:rFonts w:ascii="Times New Roman" w:eastAsiaTheme="minorHAnsi" w:hAnsi="Times New Roman"/>
          <w:i/>
          <w:sz w:val="24"/>
          <w:szCs w:val="24"/>
          <w:lang w:val="en-US"/>
        </w:rPr>
      </w:pPr>
    </w:p>
    <w:p w:rsidR="00065A8F" w:rsidRDefault="00065A8F" w:rsidP="00FD2663">
      <w:pPr>
        <w:autoSpaceDE w:val="0"/>
        <w:autoSpaceDN w:val="0"/>
        <w:adjustRightInd w:val="0"/>
        <w:spacing w:after="0" w:line="360" w:lineRule="auto"/>
        <w:contextualSpacing/>
        <w:rPr>
          <w:rFonts w:ascii="Times New Roman" w:eastAsiaTheme="minorHAnsi" w:hAnsi="Times New Roman"/>
          <w:sz w:val="24"/>
          <w:szCs w:val="24"/>
        </w:rPr>
      </w:pPr>
    </w:p>
    <w:p w:rsidR="00A67873" w:rsidRDefault="00065A8F" w:rsidP="00FD2663">
      <w:pPr>
        <w:numPr>
          <w:ilvl w:val="0"/>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Please provide the data and supporting calculations for this determination.</w:t>
      </w:r>
    </w:p>
    <w:p w:rsidR="00065A8F" w:rsidRDefault="00065A8F"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t>If possible, please provide the data and calculations in an Excel spreadsheet with working formulae.</w:t>
      </w:r>
    </w:p>
    <w:p w:rsidR="00065A8F" w:rsidRDefault="00065A8F" w:rsidP="00FD2663">
      <w:pPr>
        <w:numPr>
          <w:ilvl w:val="1"/>
          <w:numId w:val="30"/>
        </w:numPr>
        <w:autoSpaceDE w:val="0"/>
        <w:autoSpaceDN w:val="0"/>
        <w:adjustRightInd w:val="0"/>
        <w:spacing w:after="0" w:line="360" w:lineRule="auto"/>
        <w:contextualSpacing/>
        <w:rPr>
          <w:rFonts w:ascii="Times New Roman" w:eastAsiaTheme="minorHAnsi" w:hAnsi="Times New Roman"/>
          <w:sz w:val="24"/>
          <w:szCs w:val="24"/>
        </w:rPr>
      </w:pPr>
      <w:r>
        <w:rPr>
          <w:rFonts w:ascii="Times New Roman" w:eastAsiaTheme="minorHAnsi" w:hAnsi="Times New Roman"/>
          <w:sz w:val="24"/>
          <w:szCs w:val="24"/>
        </w:rPr>
        <w:lastRenderedPageBreak/>
        <w:t>Please clarify the 3.03 PJ reduction is a reduction from what number i.e., what period?</w:t>
      </w:r>
    </w:p>
    <w:p w:rsidR="00B04EC5" w:rsidRDefault="00B04EC5" w:rsidP="00FD2663">
      <w:pPr>
        <w:autoSpaceDE w:val="0"/>
        <w:autoSpaceDN w:val="0"/>
        <w:adjustRightInd w:val="0"/>
        <w:spacing w:after="0" w:line="360" w:lineRule="auto"/>
        <w:ind w:left="720"/>
        <w:contextualSpacing/>
        <w:rPr>
          <w:rFonts w:ascii="Times New Roman" w:eastAsiaTheme="minorHAnsi" w:hAnsi="Times New Roman"/>
          <w:sz w:val="24"/>
          <w:szCs w:val="24"/>
        </w:rPr>
      </w:pPr>
    </w:p>
    <w:p w:rsidR="007A48F9" w:rsidRDefault="007A48F9" w:rsidP="00FD2663">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In EB-2017-0091, on the same topic, Union’s evidence stated:</w:t>
      </w:r>
    </w:p>
    <w:p w:rsidR="007A48F9" w:rsidRDefault="007A48F9" w:rsidP="00FD2663">
      <w:pPr>
        <w:autoSpaceDE w:val="0"/>
        <w:autoSpaceDN w:val="0"/>
        <w:adjustRightInd w:val="0"/>
        <w:spacing w:after="0"/>
        <w:ind w:left="720"/>
        <w:rPr>
          <w:rFonts w:ascii="TimesNewRoman" w:eastAsiaTheme="minorHAnsi" w:hAnsi="TimesNewRoman" w:cs="TimesNewRoman"/>
          <w:i/>
          <w:sz w:val="24"/>
          <w:szCs w:val="24"/>
          <w:lang w:val="en-US"/>
        </w:rPr>
      </w:pPr>
      <w:r w:rsidRPr="007A48F9">
        <w:rPr>
          <w:rFonts w:ascii="TimesNewRoman" w:eastAsiaTheme="minorHAnsi" w:hAnsi="TimesNewRoman" w:cs="TimesNewRoman"/>
          <w:i/>
          <w:sz w:val="24"/>
          <w:szCs w:val="24"/>
          <w:lang w:val="en-US"/>
        </w:rPr>
        <w:t>The 1.62 PJ reduction in general service storage requirements due to NAC volume variances</w:t>
      </w:r>
      <w:r w:rsidRPr="007A48F9">
        <w:rPr>
          <w:rFonts w:ascii="TimesNewRoman" w:eastAsiaTheme="minorHAnsi" w:hAnsi="TimesNewRoman" w:cs="TimesNewRoman"/>
          <w:i/>
          <w:lang w:val="en-US"/>
        </w:rPr>
        <w:t xml:space="preserve"> </w:t>
      </w:r>
      <w:r w:rsidRPr="007A48F9">
        <w:rPr>
          <w:rFonts w:ascii="TimesNewRoman" w:eastAsiaTheme="minorHAnsi" w:hAnsi="TimesNewRoman" w:cs="TimesNewRoman"/>
          <w:i/>
          <w:sz w:val="24"/>
          <w:szCs w:val="24"/>
          <w:lang w:val="en-US"/>
        </w:rPr>
        <w:t>forms part of the 6.4 PJ of excess utility space available for sale for winter 2016/2017. The</w:t>
      </w:r>
      <w:r w:rsidRPr="007A48F9">
        <w:rPr>
          <w:rFonts w:ascii="TimesNewRoman" w:eastAsiaTheme="minorHAnsi" w:hAnsi="TimesNewRoman" w:cs="TimesNewRoman"/>
          <w:i/>
          <w:lang w:val="en-US"/>
        </w:rPr>
        <w:t xml:space="preserve"> </w:t>
      </w:r>
      <w:r w:rsidRPr="007A48F9">
        <w:rPr>
          <w:rFonts w:ascii="TimesNewRoman" w:eastAsiaTheme="minorHAnsi" w:hAnsi="TimesNewRoman" w:cs="TimesNewRoman"/>
          <w:i/>
          <w:sz w:val="24"/>
          <w:szCs w:val="24"/>
          <w:lang w:val="en-US"/>
        </w:rPr>
        <w:t>revenue from the sale of the 6.4 PJ of excess utility space is recorded in the Short-Term Storage</w:t>
      </w:r>
      <w:r w:rsidRPr="007A48F9">
        <w:rPr>
          <w:rFonts w:ascii="TimesNewRoman" w:eastAsiaTheme="minorHAnsi" w:hAnsi="TimesNewRoman" w:cs="TimesNewRoman"/>
          <w:i/>
          <w:lang w:val="en-US"/>
        </w:rPr>
        <w:t xml:space="preserve"> </w:t>
      </w:r>
      <w:r w:rsidRPr="007A48F9">
        <w:rPr>
          <w:rFonts w:ascii="TimesNewRoman" w:eastAsiaTheme="minorHAnsi" w:hAnsi="TimesNewRoman" w:cs="TimesNewRoman"/>
          <w:i/>
          <w:sz w:val="24"/>
          <w:szCs w:val="24"/>
          <w:lang w:val="en-US"/>
        </w:rPr>
        <w:t>and Other Balancing Deferral Account (Account No. 179-70).</w:t>
      </w:r>
    </w:p>
    <w:p w:rsidR="007A48F9" w:rsidRDefault="007A48F9" w:rsidP="00FD2663">
      <w:pPr>
        <w:autoSpaceDE w:val="0"/>
        <w:autoSpaceDN w:val="0"/>
        <w:adjustRightInd w:val="0"/>
        <w:spacing w:after="0" w:line="360" w:lineRule="auto"/>
        <w:ind w:left="720"/>
        <w:rPr>
          <w:rFonts w:ascii="Times New Roman" w:eastAsiaTheme="minorHAnsi" w:hAnsi="Times New Roman"/>
          <w:i/>
          <w:sz w:val="24"/>
          <w:szCs w:val="24"/>
        </w:rPr>
      </w:pPr>
    </w:p>
    <w:p w:rsidR="007A48F9" w:rsidRDefault="007A48F9" w:rsidP="00FD2663">
      <w:pPr>
        <w:pStyle w:val="ListParagraph"/>
        <w:numPr>
          <w:ilvl w:val="0"/>
          <w:numId w:val="30"/>
        </w:num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 xml:space="preserve"> Please reconcile the reductions and the resulting excess utility space from the two evidentiary submissions.</w:t>
      </w:r>
    </w:p>
    <w:p w:rsidR="00F03444" w:rsidRDefault="00F03444" w:rsidP="00FD2663">
      <w:pPr>
        <w:pStyle w:val="ListParagraph"/>
        <w:autoSpaceDE w:val="0"/>
        <w:autoSpaceDN w:val="0"/>
        <w:adjustRightInd w:val="0"/>
        <w:spacing w:after="0" w:line="360" w:lineRule="auto"/>
        <w:ind w:left="360"/>
        <w:rPr>
          <w:rFonts w:ascii="Times New Roman" w:eastAsiaTheme="minorHAnsi" w:hAnsi="Times New Roman"/>
          <w:sz w:val="24"/>
          <w:szCs w:val="24"/>
        </w:rPr>
      </w:pPr>
    </w:p>
    <w:p w:rsidR="00F03444" w:rsidRDefault="00F03444" w:rsidP="00FD2663">
      <w:pPr>
        <w:pStyle w:val="ListParagraph"/>
        <w:autoSpaceDE w:val="0"/>
        <w:autoSpaceDN w:val="0"/>
        <w:adjustRightInd w:val="0"/>
        <w:spacing w:after="0" w:line="360" w:lineRule="auto"/>
        <w:ind w:left="360"/>
        <w:rPr>
          <w:rFonts w:ascii="Times New Roman" w:eastAsiaTheme="minorHAnsi" w:hAnsi="Times New Roman"/>
          <w:sz w:val="24"/>
          <w:szCs w:val="24"/>
        </w:rPr>
      </w:pPr>
    </w:p>
    <w:p w:rsidR="00F03444" w:rsidRDefault="00F03444" w:rsidP="00FD2663">
      <w:pPr>
        <w:pStyle w:val="ListParagraph"/>
        <w:autoSpaceDE w:val="0"/>
        <w:autoSpaceDN w:val="0"/>
        <w:adjustRightInd w:val="0"/>
        <w:spacing w:after="0" w:line="360" w:lineRule="auto"/>
        <w:ind w:left="0"/>
        <w:rPr>
          <w:rFonts w:ascii="Times New Roman" w:hAnsi="Times New Roman"/>
          <w:sz w:val="24"/>
          <w:szCs w:val="24"/>
          <w:lang w:val="en-US"/>
        </w:rPr>
      </w:pPr>
      <w:r>
        <w:rPr>
          <w:rFonts w:ascii="Times New Roman" w:hAnsi="Times New Roman"/>
          <w:b/>
          <w:sz w:val="24"/>
          <w:szCs w:val="24"/>
        </w:rPr>
        <w:t>REF:</w:t>
      </w:r>
      <w:r>
        <w:rPr>
          <w:rFonts w:ascii="Times New Roman" w:hAnsi="Times New Roman"/>
          <w:b/>
          <w:sz w:val="24"/>
          <w:szCs w:val="24"/>
        </w:rPr>
        <w:tab/>
      </w:r>
      <w:r>
        <w:rPr>
          <w:rFonts w:ascii="Times New Roman" w:hAnsi="Times New Roman"/>
          <w:sz w:val="24"/>
          <w:szCs w:val="24"/>
          <w:lang w:val="en-US"/>
        </w:rPr>
        <w:t>Exhibit A, Tab 1, Pages 51-52</w:t>
      </w:r>
    </w:p>
    <w:p w:rsidR="00F03444" w:rsidRDefault="00F03444" w:rsidP="00FD2663">
      <w:pPr>
        <w:pStyle w:val="ListParagraph"/>
        <w:autoSpaceDE w:val="0"/>
        <w:autoSpaceDN w:val="0"/>
        <w:adjustRightInd w:val="0"/>
        <w:spacing w:after="0" w:line="360" w:lineRule="auto"/>
        <w:ind w:left="0"/>
        <w:rPr>
          <w:rFonts w:ascii="Times New Roman" w:eastAsiaTheme="minorHAnsi" w:hAnsi="Times New Roman"/>
          <w:sz w:val="24"/>
          <w:szCs w:val="24"/>
        </w:rPr>
      </w:pPr>
    </w:p>
    <w:p w:rsidR="00F03444" w:rsidRDefault="00F03444" w:rsidP="00FD2663">
      <w:pPr>
        <w:pStyle w:val="ListParagraph"/>
        <w:autoSpaceDE w:val="0"/>
        <w:autoSpaceDN w:val="0"/>
        <w:adjustRightInd w:val="0"/>
        <w:spacing w:after="0" w:line="360" w:lineRule="auto"/>
        <w:ind w:left="0"/>
        <w:rPr>
          <w:rFonts w:ascii="Times New Roman" w:eastAsiaTheme="minorHAnsi" w:hAnsi="Times New Roman"/>
          <w:sz w:val="24"/>
          <w:szCs w:val="24"/>
        </w:rPr>
      </w:pPr>
      <w:r>
        <w:rPr>
          <w:rFonts w:ascii="Times New Roman" w:eastAsiaTheme="minorHAnsi" w:hAnsi="Times New Roman"/>
          <w:sz w:val="24"/>
          <w:szCs w:val="24"/>
        </w:rPr>
        <w:t xml:space="preserve">Preamble:  We would like to understand better Union’s views on the utilization of the surplus created from the project.  Union’s evidence states:  </w:t>
      </w:r>
    </w:p>
    <w:p w:rsidR="00F03444" w:rsidRPr="00F03444" w:rsidRDefault="00F03444" w:rsidP="00FD2663">
      <w:pPr>
        <w:autoSpaceDE w:val="0"/>
        <w:autoSpaceDN w:val="0"/>
        <w:adjustRightInd w:val="0"/>
        <w:spacing w:after="0"/>
        <w:ind w:left="720"/>
        <w:rPr>
          <w:rFonts w:ascii="Times New Roman" w:eastAsiaTheme="minorHAnsi" w:hAnsi="Times New Roman"/>
          <w:i/>
          <w:sz w:val="24"/>
          <w:szCs w:val="24"/>
        </w:rPr>
      </w:pPr>
      <w:r w:rsidRPr="00F03444">
        <w:rPr>
          <w:rFonts w:ascii="Times New Roman" w:eastAsiaTheme="minorHAnsi" w:hAnsi="Times New Roman"/>
          <w:i/>
          <w:sz w:val="24"/>
          <w:szCs w:val="24"/>
          <w:lang w:val="en-US"/>
        </w:rPr>
        <w:t>In the 2017 Dawn Parkway Project Settlement Proposal (EB-2015-0200), Union agreed to record</w:t>
      </w:r>
      <w:r>
        <w:rPr>
          <w:rFonts w:ascii="Times New Roman" w:eastAsiaTheme="minorHAnsi" w:hAnsi="Times New Roman"/>
          <w:i/>
          <w:sz w:val="24"/>
          <w:szCs w:val="24"/>
          <w:lang w:val="en-US"/>
        </w:rPr>
        <w:t xml:space="preserve"> </w:t>
      </w:r>
      <w:r w:rsidRPr="00F03444">
        <w:rPr>
          <w:rFonts w:ascii="Times New Roman" w:eastAsiaTheme="minorHAnsi" w:hAnsi="Times New Roman"/>
          <w:i/>
          <w:sz w:val="24"/>
          <w:szCs w:val="24"/>
          <w:lang w:val="en-US"/>
        </w:rPr>
        <w:t>in the deferral account variances in actual revenue generated from forecast surplus capacity of</w:t>
      </w:r>
      <w:r>
        <w:rPr>
          <w:rFonts w:ascii="Times New Roman" w:eastAsiaTheme="minorHAnsi" w:hAnsi="Times New Roman"/>
          <w:i/>
          <w:sz w:val="24"/>
          <w:szCs w:val="24"/>
          <w:lang w:val="en-US"/>
        </w:rPr>
        <w:t xml:space="preserve"> </w:t>
      </w:r>
      <w:r w:rsidRPr="00F03444">
        <w:rPr>
          <w:rFonts w:ascii="Times New Roman" w:eastAsiaTheme="minorHAnsi" w:hAnsi="Times New Roman"/>
          <w:i/>
          <w:sz w:val="24"/>
          <w:szCs w:val="24"/>
          <w:lang w:val="en-US"/>
        </w:rPr>
        <w:t>30,393 GJ/d relative to the maximum annual revenue of $1.34 million that could be realized</w:t>
      </w:r>
      <w:r>
        <w:rPr>
          <w:rFonts w:ascii="Times New Roman" w:eastAsiaTheme="minorHAnsi" w:hAnsi="Times New Roman"/>
          <w:i/>
          <w:sz w:val="24"/>
          <w:szCs w:val="24"/>
          <w:lang w:val="en-US"/>
        </w:rPr>
        <w:t xml:space="preserve"> </w:t>
      </w:r>
      <w:r w:rsidRPr="00F03444">
        <w:rPr>
          <w:rFonts w:ascii="Times New Roman" w:eastAsiaTheme="minorHAnsi" w:hAnsi="Times New Roman"/>
          <w:i/>
          <w:sz w:val="24"/>
          <w:szCs w:val="24"/>
          <w:lang w:val="en-US"/>
        </w:rPr>
        <w:t>from the sale of long-term firm surplus capacity effective November 1, 2017. Union’s actual</w:t>
      </w:r>
      <w:r>
        <w:rPr>
          <w:rFonts w:ascii="Times New Roman" w:eastAsiaTheme="minorHAnsi" w:hAnsi="Times New Roman"/>
          <w:i/>
          <w:sz w:val="24"/>
          <w:szCs w:val="24"/>
          <w:lang w:val="en-US"/>
        </w:rPr>
        <w:t xml:space="preserve"> </w:t>
      </w:r>
      <w:r w:rsidRPr="00F03444">
        <w:rPr>
          <w:rFonts w:ascii="Times New Roman" w:eastAsiaTheme="minorHAnsi" w:hAnsi="Times New Roman"/>
          <w:i/>
          <w:sz w:val="24"/>
          <w:szCs w:val="24"/>
          <w:lang w:val="en-US"/>
        </w:rPr>
        <w:t>Dawn to Parkway surplus for winter 2017/2018 was in excess of 30,393 GJ/d, therefore no</w:t>
      </w:r>
      <w:r>
        <w:rPr>
          <w:rFonts w:ascii="Times New Roman" w:eastAsiaTheme="minorHAnsi" w:hAnsi="Times New Roman"/>
          <w:i/>
          <w:sz w:val="24"/>
          <w:szCs w:val="24"/>
          <w:lang w:val="en-US"/>
        </w:rPr>
        <w:t xml:space="preserve"> </w:t>
      </w:r>
      <w:r w:rsidRPr="00F03444">
        <w:rPr>
          <w:rFonts w:ascii="Times New Roman" w:eastAsiaTheme="minorHAnsi" w:hAnsi="Times New Roman"/>
          <w:i/>
          <w:sz w:val="24"/>
          <w:szCs w:val="24"/>
          <w:lang w:val="en-US"/>
        </w:rPr>
        <w:t>long-term Dawn to Parkway revenue was earned from the forecast surplus to apply against the</w:t>
      </w:r>
      <w:r>
        <w:rPr>
          <w:rFonts w:ascii="Times New Roman" w:eastAsiaTheme="minorHAnsi" w:hAnsi="Times New Roman"/>
          <w:i/>
          <w:sz w:val="24"/>
          <w:szCs w:val="24"/>
          <w:lang w:val="en-US"/>
        </w:rPr>
        <w:t xml:space="preserve"> </w:t>
      </w:r>
      <w:r w:rsidRPr="00F03444">
        <w:rPr>
          <w:rFonts w:ascii="Times New Roman" w:eastAsiaTheme="minorHAnsi" w:hAnsi="Times New Roman"/>
          <w:i/>
          <w:sz w:val="24"/>
          <w:szCs w:val="24"/>
          <w:lang w:val="en-US"/>
        </w:rPr>
        <w:t>deferral account.</w:t>
      </w:r>
    </w:p>
    <w:p w:rsidR="00F03444" w:rsidRDefault="00F03444" w:rsidP="00FD2663">
      <w:pPr>
        <w:pStyle w:val="ListParagraph"/>
        <w:autoSpaceDE w:val="0"/>
        <w:autoSpaceDN w:val="0"/>
        <w:adjustRightInd w:val="0"/>
        <w:spacing w:after="0" w:line="360" w:lineRule="auto"/>
        <w:ind w:left="360"/>
        <w:rPr>
          <w:rFonts w:ascii="Times New Roman" w:eastAsiaTheme="minorHAnsi" w:hAnsi="Times New Roman"/>
          <w:sz w:val="24"/>
          <w:szCs w:val="24"/>
        </w:rPr>
      </w:pPr>
    </w:p>
    <w:p w:rsidR="00F03444" w:rsidRDefault="00F03444" w:rsidP="00FD2663">
      <w:pPr>
        <w:pStyle w:val="ListParagraph"/>
        <w:numPr>
          <w:ilvl w:val="0"/>
          <w:numId w:val="30"/>
        </w:num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Please provide Union’s support for viewing the 30,393GJ/d not being utilized unless the surplus is less than 30,393 GJ/day.</w:t>
      </w:r>
    </w:p>
    <w:p w:rsidR="00F03444" w:rsidRDefault="00F03444" w:rsidP="00FD2663">
      <w:pPr>
        <w:pStyle w:val="ListParagraph"/>
        <w:numPr>
          <w:ilvl w:val="1"/>
          <w:numId w:val="30"/>
        </w:num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Is it Union’s position that this capacity will not attract revenue until the surplus is below 30,393 GJ/d?</w:t>
      </w:r>
    </w:p>
    <w:p w:rsidR="00F03444" w:rsidRDefault="00F03444" w:rsidP="00FD2663">
      <w:pPr>
        <w:pStyle w:val="ListParagraph"/>
        <w:numPr>
          <w:ilvl w:val="1"/>
          <w:numId w:val="30"/>
        </w:num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 xml:space="preserve">Is it Union’s position that this capacity does not contribute to short-term C1 revenues (firm sales vs. IT)? </w:t>
      </w:r>
      <w:r w:rsidR="00F32293">
        <w:rPr>
          <w:rFonts w:ascii="Times New Roman" w:eastAsiaTheme="minorHAnsi" w:hAnsi="Times New Roman"/>
          <w:sz w:val="24"/>
          <w:szCs w:val="24"/>
        </w:rPr>
        <w:t xml:space="preserve"> Please explain how this capacity would not/could not?</w:t>
      </w:r>
    </w:p>
    <w:p w:rsidR="007A48F9" w:rsidRPr="007A48F9" w:rsidRDefault="007A48F9" w:rsidP="007A48F9">
      <w:pPr>
        <w:autoSpaceDE w:val="0"/>
        <w:autoSpaceDN w:val="0"/>
        <w:adjustRightInd w:val="0"/>
        <w:spacing w:after="0" w:line="240" w:lineRule="auto"/>
        <w:rPr>
          <w:rFonts w:ascii="Times New Roman" w:eastAsiaTheme="minorHAnsi" w:hAnsi="Times New Roman"/>
          <w:sz w:val="24"/>
          <w:szCs w:val="24"/>
        </w:rPr>
      </w:pPr>
    </w:p>
    <w:p w:rsidR="007A48F9" w:rsidRDefault="007A48F9" w:rsidP="007A48F9">
      <w:pPr>
        <w:autoSpaceDE w:val="0"/>
        <w:autoSpaceDN w:val="0"/>
        <w:adjustRightInd w:val="0"/>
        <w:spacing w:after="0" w:line="240" w:lineRule="auto"/>
        <w:contextualSpacing/>
        <w:rPr>
          <w:rFonts w:ascii="Times New Roman" w:eastAsiaTheme="minorHAnsi" w:hAnsi="Times New Roman"/>
          <w:sz w:val="24"/>
          <w:szCs w:val="24"/>
        </w:rPr>
      </w:pPr>
    </w:p>
    <w:p w:rsidR="007A48F9" w:rsidRPr="0034451B" w:rsidRDefault="007A48F9" w:rsidP="00B04EC5">
      <w:pPr>
        <w:autoSpaceDE w:val="0"/>
        <w:autoSpaceDN w:val="0"/>
        <w:adjustRightInd w:val="0"/>
        <w:spacing w:after="0" w:line="240" w:lineRule="auto"/>
        <w:ind w:left="720"/>
        <w:contextualSpacing/>
        <w:rPr>
          <w:rFonts w:ascii="Times New Roman" w:eastAsiaTheme="minorHAnsi" w:hAnsi="Times New Roman"/>
          <w:sz w:val="24"/>
          <w:szCs w:val="24"/>
        </w:rPr>
      </w:pPr>
    </w:p>
    <w:sectPr w:rsidR="007A48F9" w:rsidRPr="0034451B" w:rsidSect="0056199D">
      <w:headerReference w:type="default" r:id="rId8"/>
      <w:footerReference w:type="default" r:id="rId9"/>
      <w:pgSz w:w="12240" w:h="15840"/>
      <w:pgMar w:top="180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A32" w:rsidRDefault="00C52A32" w:rsidP="00090DF4">
      <w:pPr>
        <w:spacing w:after="0" w:line="240" w:lineRule="auto"/>
      </w:pPr>
      <w:r>
        <w:separator/>
      </w:r>
    </w:p>
  </w:endnote>
  <w:endnote w:type="continuationSeparator" w:id="0">
    <w:p w:rsidR="00C52A32" w:rsidRDefault="00C52A32" w:rsidP="0009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090DF4">
      <w:tc>
        <w:tcPr>
          <w:tcW w:w="918" w:type="dxa"/>
        </w:tcPr>
        <w:p w:rsidR="00090DF4" w:rsidRDefault="004F1B86">
          <w:pPr>
            <w:pStyle w:val="Footer"/>
            <w:jc w:val="right"/>
            <w:rPr>
              <w:b/>
              <w:color w:val="4F81BD" w:themeColor="accent1"/>
              <w:sz w:val="32"/>
              <w:szCs w:val="32"/>
            </w:rPr>
          </w:pPr>
          <w:r>
            <w:rPr>
              <w:sz w:val="24"/>
            </w:rPr>
            <w:fldChar w:fldCharType="begin"/>
          </w:r>
          <w:r>
            <w:instrText xml:space="preserve"> PAGE   \* MERGEFORMAT </w:instrText>
          </w:r>
          <w:r>
            <w:rPr>
              <w:sz w:val="24"/>
            </w:rPr>
            <w:fldChar w:fldCharType="separate"/>
          </w:r>
          <w:r w:rsidR="009A6497" w:rsidRPr="009A6497">
            <w:rPr>
              <w:b/>
              <w:noProof/>
              <w:color w:val="4F81BD" w:themeColor="accent1"/>
              <w:sz w:val="32"/>
              <w:szCs w:val="32"/>
            </w:rPr>
            <w:t>3</w:t>
          </w:r>
          <w:r>
            <w:rPr>
              <w:b/>
              <w:noProof/>
              <w:color w:val="4F81BD" w:themeColor="accent1"/>
              <w:sz w:val="32"/>
              <w:szCs w:val="32"/>
            </w:rPr>
            <w:fldChar w:fldCharType="end"/>
          </w:r>
        </w:p>
      </w:tc>
      <w:tc>
        <w:tcPr>
          <w:tcW w:w="7938" w:type="dxa"/>
        </w:tcPr>
        <w:p w:rsidR="00090DF4" w:rsidRDefault="00090DF4">
          <w:pPr>
            <w:pStyle w:val="Footer"/>
          </w:pPr>
        </w:p>
      </w:tc>
    </w:tr>
  </w:tbl>
  <w:p w:rsidR="00090DF4" w:rsidRDefault="0009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A32" w:rsidRDefault="00C52A32" w:rsidP="00090DF4">
      <w:pPr>
        <w:spacing w:after="0" w:line="240" w:lineRule="auto"/>
      </w:pPr>
      <w:r>
        <w:separator/>
      </w:r>
    </w:p>
  </w:footnote>
  <w:footnote w:type="continuationSeparator" w:id="0">
    <w:p w:rsidR="00C52A32" w:rsidRDefault="00C52A32" w:rsidP="0009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F4" w:rsidRPr="00327372" w:rsidRDefault="00DE5E94">
    <w:pPr>
      <w:pStyle w:val="Header"/>
      <w:rPr>
        <w:rFonts w:ascii="Times New Roman" w:hAnsi="Times New Roman"/>
        <w:sz w:val="24"/>
        <w:szCs w:val="24"/>
      </w:rPr>
    </w:pPr>
    <w:r w:rsidRPr="00327372">
      <w:rPr>
        <w:rFonts w:ascii="Times New Roman" w:hAnsi="Times New Roman"/>
        <w:sz w:val="24"/>
        <w:szCs w:val="24"/>
      </w:rPr>
      <w:t>201</w:t>
    </w:r>
    <w:r w:rsidR="00CE0D14">
      <w:rPr>
        <w:rFonts w:ascii="Times New Roman" w:hAnsi="Times New Roman"/>
        <w:sz w:val="24"/>
        <w:szCs w:val="24"/>
      </w:rPr>
      <w:t>8</w:t>
    </w:r>
    <w:r w:rsidRPr="00327372">
      <w:rPr>
        <w:rFonts w:ascii="Times New Roman" w:hAnsi="Times New Roman"/>
        <w:sz w:val="24"/>
        <w:szCs w:val="24"/>
      </w:rPr>
      <w:t>-0</w:t>
    </w:r>
    <w:r w:rsidR="00CE0D14">
      <w:rPr>
        <w:rFonts w:ascii="Times New Roman" w:hAnsi="Times New Roman"/>
        <w:sz w:val="24"/>
        <w:szCs w:val="24"/>
      </w:rPr>
      <w:t>8</w:t>
    </w:r>
    <w:r w:rsidRPr="00327372">
      <w:rPr>
        <w:rFonts w:ascii="Times New Roman" w:hAnsi="Times New Roman"/>
        <w:sz w:val="24"/>
        <w:szCs w:val="24"/>
      </w:rPr>
      <w:t>-</w:t>
    </w:r>
    <w:r w:rsidR="00CE0D14">
      <w:rPr>
        <w:rFonts w:ascii="Times New Roman" w:hAnsi="Times New Roman"/>
        <w:sz w:val="24"/>
        <w:szCs w:val="24"/>
      </w:rPr>
      <w:t>08</w:t>
    </w:r>
    <w:r w:rsidR="00090DF4" w:rsidRPr="00327372">
      <w:rPr>
        <w:rFonts w:ascii="Times New Roman" w:hAnsi="Times New Roman"/>
        <w:sz w:val="24"/>
        <w:szCs w:val="24"/>
      </w:rPr>
      <w:ptab w:relativeTo="margin" w:alignment="center" w:leader="none"/>
    </w:r>
    <w:r w:rsidR="00090DF4" w:rsidRPr="00327372">
      <w:rPr>
        <w:rFonts w:ascii="Times New Roman" w:hAnsi="Times New Roman"/>
        <w:sz w:val="24"/>
        <w:szCs w:val="24"/>
      </w:rPr>
      <w:t>Federation of Rental-housing Providers of Ontario</w:t>
    </w:r>
    <w:r w:rsidR="00090DF4" w:rsidRPr="00327372">
      <w:rPr>
        <w:rFonts w:ascii="Times New Roman" w:hAnsi="Times New Roman"/>
        <w:sz w:val="24"/>
        <w:szCs w:val="24"/>
      </w:rPr>
      <w:ptab w:relativeTo="margin" w:alignment="right" w:leader="none"/>
    </w:r>
    <w:r w:rsidR="0060225C" w:rsidRPr="00327372">
      <w:rPr>
        <w:rFonts w:ascii="Times New Roman" w:hAnsi="Times New Roman"/>
        <w:sz w:val="24"/>
        <w:szCs w:val="24"/>
      </w:rPr>
      <w:t>EB-201</w:t>
    </w:r>
    <w:r w:rsidR="00CE0D14">
      <w:rPr>
        <w:rFonts w:ascii="Times New Roman" w:hAnsi="Times New Roman"/>
        <w:sz w:val="24"/>
        <w:szCs w:val="24"/>
      </w:rPr>
      <w:t>8</w:t>
    </w:r>
    <w:r w:rsidR="00AF7F47" w:rsidRPr="00327372">
      <w:rPr>
        <w:rFonts w:ascii="Times New Roman" w:hAnsi="Times New Roman"/>
        <w:sz w:val="24"/>
        <w:szCs w:val="24"/>
      </w:rPr>
      <w:t>-</w:t>
    </w:r>
    <w:r w:rsidR="00CE0D14">
      <w:rPr>
        <w:rFonts w:ascii="Times New Roman" w:hAnsi="Times New Roman"/>
        <w:sz w:val="24"/>
        <w:szCs w:val="24"/>
      </w:rPr>
      <w:t>0105</w:t>
    </w:r>
  </w:p>
  <w:p w:rsidR="00090DF4" w:rsidRPr="00327372" w:rsidRDefault="00090DF4">
    <w:pPr>
      <w:pStyle w:val="Header"/>
      <w:rPr>
        <w:rFonts w:ascii="Times New Roman" w:hAnsi="Times New Roman"/>
        <w:sz w:val="24"/>
        <w:szCs w:val="24"/>
      </w:rPr>
    </w:pPr>
    <w:r w:rsidRPr="00327372">
      <w:rPr>
        <w:rFonts w:ascii="Times New Roman" w:hAnsi="Times New Roman"/>
        <w:sz w:val="24"/>
        <w:szCs w:val="24"/>
      </w:rPr>
      <w:tab/>
    </w:r>
    <w:r w:rsidR="00DE5E94" w:rsidRPr="00327372">
      <w:rPr>
        <w:rFonts w:ascii="Times New Roman" w:hAnsi="Times New Roman"/>
        <w:sz w:val="24"/>
        <w:szCs w:val="24"/>
      </w:rPr>
      <w:t>Interrogatorie</w:t>
    </w:r>
    <w:r w:rsidR="00E0037C" w:rsidRPr="00327372">
      <w:rPr>
        <w:rFonts w:ascii="Times New Roman" w:hAnsi="Times New Roman"/>
        <w:sz w:val="24"/>
        <w:szCs w:val="24"/>
      </w:rPr>
      <w:t xml:space="preserve">s </w:t>
    </w:r>
    <w:r w:rsidR="0060225C" w:rsidRPr="00327372">
      <w:rPr>
        <w:rFonts w:ascii="Times New Roman" w:hAnsi="Times New Roman"/>
        <w:sz w:val="24"/>
        <w:szCs w:val="24"/>
      </w:rPr>
      <w:t>to Union Gas Limited</w:t>
    </w:r>
    <w:r w:rsidR="0060225C" w:rsidRPr="00327372">
      <w:rPr>
        <w:rFonts w:ascii="Times New Roman" w:hAnsi="Times New Roman"/>
        <w:sz w:val="24"/>
        <w:szCs w:val="24"/>
      </w:rPr>
      <w:tab/>
    </w:r>
    <w:r w:rsidR="00E0037C" w:rsidRPr="00327372">
      <w:rPr>
        <w:rFonts w:ascii="Times New Roman" w:hAnsi="Times New Roman"/>
        <w:sz w:val="24"/>
        <w:szCs w:val="24"/>
      </w:rPr>
      <w:t>201</w:t>
    </w:r>
    <w:r w:rsidR="00CE0D14">
      <w:rPr>
        <w:rFonts w:ascii="Times New Roman" w:hAnsi="Times New Roman"/>
        <w:sz w:val="24"/>
        <w:szCs w:val="24"/>
      </w:rPr>
      <w:t>7</w:t>
    </w:r>
    <w:r w:rsidR="00AF7F47" w:rsidRPr="00327372">
      <w:rPr>
        <w:rFonts w:ascii="Times New Roman" w:hAnsi="Times New Roman"/>
        <w:sz w:val="24"/>
        <w:szCs w:val="24"/>
      </w:rPr>
      <w:t xml:space="preserve"> DEF. DISP.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4D0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306A5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75114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0F24C4"/>
    <w:multiLevelType w:val="hybridMultilevel"/>
    <w:tmpl w:val="0B503F5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845AD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135D0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6E03F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424F4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0C229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822BC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2C210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570276"/>
    <w:multiLevelType w:val="hybridMultilevel"/>
    <w:tmpl w:val="5114FD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5257FC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ED5E4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A3219"/>
    <w:multiLevelType w:val="hybridMultilevel"/>
    <w:tmpl w:val="2DA80C7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4A269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4417E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ED7180"/>
    <w:multiLevelType w:val="hybridMultilevel"/>
    <w:tmpl w:val="AFAC0ED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000448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99363D"/>
    <w:multiLevelType w:val="hybridMultilevel"/>
    <w:tmpl w:val="06927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41DF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731DB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8E295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0B016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9877A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AB1BB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9C3AD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64E7135"/>
    <w:multiLevelType w:val="multilevel"/>
    <w:tmpl w:val="CC50CF3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5B591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9B2057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0C71A6"/>
    <w:multiLevelType w:val="hybridMultilevel"/>
    <w:tmpl w:val="9E0A84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8"/>
  </w:num>
  <w:num w:numId="2">
    <w:abstractNumId w:val="20"/>
  </w:num>
  <w:num w:numId="3">
    <w:abstractNumId w:val="27"/>
  </w:num>
  <w:num w:numId="4">
    <w:abstractNumId w:val="2"/>
  </w:num>
  <w:num w:numId="5">
    <w:abstractNumId w:val="15"/>
  </w:num>
  <w:num w:numId="6">
    <w:abstractNumId w:val="7"/>
  </w:num>
  <w:num w:numId="7">
    <w:abstractNumId w:val="24"/>
  </w:num>
  <w:num w:numId="8">
    <w:abstractNumId w:val="11"/>
  </w:num>
  <w:num w:numId="9">
    <w:abstractNumId w:val="21"/>
  </w:num>
  <w:num w:numId="10">
    <w:abstractNumId w:val="17"/>
  </w:num>
  <w:num w:numId="11">
    <w:abstractNumId w:val="30"/>
  </w:num>
  <w:num w:numId="12">
    <w:abstractNumId w:val="3"/>
  </w:num>
  <w:num w:numId="13">
    <w:abstractNumId w:val="14"/>
  </w:num>
  <w:num w:numId="14">
    <w:abstractNumId w:val="10"/>
  </w:num>
  <w:num w:numId="15">
    <w:abstractNumId w:val="18"/>
  </w:num>
  <w:num w:numId="16">
    <w:abstractNumId w:val="13"/>
  </w:num>
  <w:num w:numId="17">
    <w:abstractNumId w:val="26"/>
  </w:num>
  <w:num w:numId="18">
    <w:abstractNumId w:val="1"/>
  </w:num>
  <w:num w:numId="19">
    <w:abstractNumId w:val="23"/>
  </w:num>
  <w:num w:numId="20">
    <w:abstractNumId w:val="5"/>
  </w:num>
  <w:num w:numId="21">
    <w:abstractNumId w:val="12"/>
  </w:num>
  <w:num w:numId="22">
    <w:abstractNumId w:val="9"/>
  </w:num>
  <w:num w:numId="23">
    <w:abstractNumId w:val="16"/>
  </w:num>
  <w:num w:numId="24">
    <w:abstractNumId w:val="8"/>
  </w:num>
  <w:num w:numId="25">
    <w:abstractNumId w:val="25"/>
  </w:num>
  <w:num w:numId="26">
    <w:abstractNumId w:val="19"/>
  </w:num>
  <w:num w:numId="27">
    <w:abstractNumId w:val="29"/>
  </w:num>
  <w:num w:numId="28">
    <w:abstractNumId w:val="6"/>
  </w:num>
  <w:num w:numId="29">
    <w:abstractNumId w:val="0"/>
  </w:num>
  <w:num w:numId="30">
    <w:abstractNumId w:val="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BA"/>
    <w:rsid w:val="00000DEE"/>
    <w:rsid w:val="00004939"/>
    <w:rsid w:val="00007DF0"/>
    <w:rsid w:val="00023CE8"/>
    <w:rsid w:val="0004386F"/>
    <w:rsid w:val="00050E44"/>
    <w:rsid w:val="00065A8F"/>
    <w:rsid w:val="00070DCD"/>
    <w:rsid w:val="00090DF4"/>
    <w:rsid w:val="0009326F"/>
    <w:rsid w:val="000E4026"/>
    <w:rsid w:val="00101945"/>
    <w:rsid w:val="00123996"/>
    <w:rsid w:val="00125C97"/>
    <w:rsid w:val="00130754"/>
    <w:rsid w:val="001734F5"/>
    <w:rsid w:val="00181484"/>
    <w:rsid w:val="001862E7"/>
    <w:rsid w:val="00187330"/>
    <w:rsid w:val="001A1A2D"/>
    <w:rsid w:val="001A26D4"/>
    <w:rsid w:val="001A30EE"/>
    <w:rsid w:val="001B2A4D"/>
    <w:rsid w:val="001B4A4F"/>
    <w:rsid w:val="001C32A7"/>
    <w:rsid w:val="001C5F4C"/>
    <w:rsid w:val="001D027F"/>
    <w:rsid w:val="00222FB2"/>
    <w:rsid w:val="0022504C"/>
    <w:rsid w:val="002320EF"/>
    <w:rsid w:val="00236BFB"/>
    <w:rsid w:val="002531F4"/>
    <w:rsid w:val="0025368B"/>
    <w:rsid w:val="002555D9"/>
    <w:rsid w:val="00262BF4"/>
    <w:rsid w:val="00266E44"/>
    <w:rsid w:val="00285634"/>
    <w:rsid w:val="002A67BC"/>
    <w:rsid w:val="002A6AEA"/>
    <w:rsid w:val="002B22FA"/>
    <w:rsid w:val="002D3F53"/>
    <w:rsid w:val="002E6437"/>
    <w:rsid w:val="00314A5A"/>
    <w:rsid w:val="003234CE"/>
    <w:rsid w:val="00327372"/>
    <w:rsid w:val="00342401"/>
    <w:rsid w:val="0034333A"/>
    <w:rsid w:val="0034451B"/>
    <w:rsid w:val="00351062"/>
    <w:rsid w:val="00354246"/>
    <w:rsid w:val="00362FC1"/>
    <w:rsid w:val="003673FB"/>
    <w:rsid w:val="00385B47"/>
    <w:rsid w:val="00395DF3"/>
    <w:rsid w:val="0039716A"/>
    <w:rsid w:val="003D791C"/>
    <w:rsid w:val="00436652"/>
    <w:rsid w:val="00466F92"/>
    <w:rsid w:val="004B0B7C"/>
    <w:rsid w:val="004B418A"/>
    <w:rsid w:val="004C255D"/>
    <w:rsid w:val="004D6256"/>
    <w:rsid w:val="004F1B86"/>
    <w:rsid w:val="004F5CFF"/>
    <w:rsid w:val="004F77A6"/>
    <w:rsid w:val="0050652D"/>
    <w:rsid w:val="00506FC5"/>
    <w:rsid w:val="00512D71"/>
    <w:rsid w:val="0053031F"/>
    <w:rsid w:val="005352C2"/>
    <w:rsid w:val="00543A31"/>
    <w:rsid w:val="00554E85"/>
    <w:rsid w:val="005612EC"/>
    <w:rsid w:val="0056199D"/>
    <w:rsid w:val="0056771E"/>
    <w:rsid w:val="00572370"/>
    <w:rsid w:val="00580FA4"/>
    <w:rsid w:val="00581C5E"/>
    <w:rsid w:val="00581FA1"/>
    <w:rsid w:val="00597036"/>
    <w:rsid w:val="005B6D18"/>
    <w:rsid w:val="005C6F2A"/>
    <w:rsid w:val="005E070C"/>
    <w:rsid w:val="005F6959"/>
    <w:rsid w:val="0060127F"/>
    <w:rsid w:val="0060139B"/>
    <w:rsid w:val="0060225C"/>
    <w:rsid w:val="00605738"/>
    <w:rsid w:val="00605B02"/>
    <w:rsid w:val="006226A7"/>
    <w:rsid w:val="00623D6D"/>
    <w:rsid w:val="0062556F"/>
    <w:rsid w:val="00636E61"/>
    <w:rsid w:val="00645114"/>
    <w:rsid w:val="00650AF8"/>
    <w:rsid w:val="00654EEB"/>
    <w:rsid w:val="00666126"/>
    <w:rsid w:val="00673C12"/>
    <w:rsid w:val="006870F5"/>
    <w:rsid w:val="00692C37"/>
    <w:rsid w:val="006973EB"/>
    <w:rsid w:val="006A1F3F"/>
    <w:rsid w:val="006B2C38"/>
    <w:rsid w:val="006C542A"/>
    <w:rsid w:val="006C56FF"/>
    <w:rsid w:val="006D3673"/>
    <w:rsid w:val="006D6B3A"/>
    <w:rsid w:val="00701807"/>
    <w:rsid w:val="007251CA"/>
    <w:rsid w:val="007349BA"/>
    <w:rsid w:val="00741607"/>
    <w:rsid w:val="007426C4"/>
    <w:rsid w:val="00743BDD"/>
    <w:rsid w:val="0075523C"/>
    <w:rsid w:val="00773125"/>
    <w:rsid w:val="00786996"/>
    <w:rsid w:val="007A3C15"/>
    <w:rsid w:val="007A48F9"/>
    <w:rsid w:val="007A51EF"/>
    <w:rsid w:val="007B114B"/>
    <w:rsid w:val="007B5D0D"/>
    <w:rsid w:val="007C6BDB"/>
    <w:rsid w:val="007D23A1"/>
    <w:rsid w:val="007D493D"/>
    <w:rsid w:val="007F095B"/>
    <w:rsid w:val="008017E9"/>
    <w:rsid w:val="008168C1"/>
    <w:rsid w:val="008259F3"/>
    <w:rsid w:val="0083113F"/>
    <w:rsid w:val="0083307D"/>
    <w:rsid w:val="00841325"/>
    <w:rsid w:val="00841512"/>
    <w:rsid w:val="00844639"/>
    <w:rsid w:val="008513A1"/>
    <w:rsid w:val="00855461"/>
    <w:rsid w:val="00861DF4"/>
    <w:rsid w:val="00866222"/>
    <w:rsid w:val="008948EB"/>
    <w:rsid w:val="00895D03"/>
    <w:rsid w:val="008A09AB"/>
    <w:rsid w:val="008B4A4D"/>
    <w:rsid w:val="008D10C3"/>
    <w:rsid w:val="008D155E"/>
    <w:rsid w:val="008F40C1"/>
    <w:rsid w:val="008F4C12"/>
    <w:rsid w:val="00903046"/>
    <w:rsid w:val="0092011B"/>
    <w:rsid w:val="00927922"/>
    <w:rsid w:val="00935FFA"/>
    <w:rsid w:val="00936F4D"/>
    <w:rsid w:val="0094249E"/>
    <w:rsid w:val="00942A64"/>
    <w:rsid w:val="00944E82"/>
    <w:rsid w:val="0096386A"/>
    <w:rsid w:val="0099101F"/>
    <w:rsid w:val="009A6497"/>
    <w:rsid w:val="009A7A4F"/>
    <w:rsid w:val="009B0A32"/>
    <w:rsid w:val="009B67CB"/>
    <w:rsid w:val="009C1C3A"/>
    <w:rsid w:val="009E3AB9"/>
    <w:rsid w:val="009F5BCB"/>
    <w:rsid w:val="00A02982"/>
    <w:rsid w:val="00A033F1"/>
    <w:rsid w:val="00A055F1"/>
    <w:rsid w:val="00A114DD"/>
    <w:rsid w:val="00A11EAA"/>
    <w:rsid w:val="00A262CD"/>
    <w:rsid w:val="00A30346"/>
    <w:rsid w:val="00A34013"/>
    <w:rsid w:val="00A43905"/>
    <w:rsid w:val="00A45576"/>
    <w:rsid w:val="00A61731"/>
    <w:rsid w:val="00A67873"/>
    <w:rsid w:val="00A94C21"/>
    <w:rsid w:val="00AA1EAE"/>
    <w:rsid w:val="00AB0644"/>
    <w:rsid w:val="00AC11E7"/>
    <w:rsid w:val="00AC4D8B"/>
    <w:rsid w:val="00AF7F47"/>
    <w:rsid w:val="00B000D8"/>
    <w:rsid w:val="00B04EC5"/>
    <w:rsid w:val="00B05AA0"/>
    <w:rsid w:val="00B0799A"/>
    <w:rsid w:val="00B10644"/>
    <w:rsid w:val="00B1335C"/>
    <w:rsid w:val="00B20127"/>
    <w:rsid w:val="00B37927"/>
    <w:rsid w:val="00B55486"/>
    <w:rsid w:val="00B5601D"/>
    <w:rsid w:val="00B57781"/>
    <w:rsid w:val="00B57B26"/>
    <w:rsid w:val="00B74322"/>
    <w:rsid w:val="00B90C74"/>
    <w:rsid w:val="00BA4A5C"/>
    <w:rsid w:val="00BA5676"/>
    <w:rsid w:val="00BA6A25"/>
    <w:rsid w:val="00BB5AE7"/>
    <w:rsid w:val="00BF1A14"/>
    <w:rsid w:val="00BF27C6"/>
    <w:rsid w:val="00C001F9"/>
    <w:rsid w:val="00C477B0"/>
    <w:rsid w:val="00C52A32"/>
    <w:rsid w:val="00C6087E"/>
    <w:rsid w:val="00C92B14"/>
    <w:rsid w:val="00CA11A6"/>
    <w:rsid w:val="00CA124D"/>
    <w:rsid w:val="00CC1A13"/>
    <w:rsid w:val="00CC2180"/>
    <w:rsid w:val="00CC2398"/>
    <w:rsid w:val="00CD10C7"/>
    <w:rsid w:val="00CD4165"/>
    <w:rsid w:val="00CD7668"/>
    <w:rsid w:val="00CE0D14"/>
    <w:rsid w:val="00CF65D3"/>
    <w:rsid w:val="00D315EC"/>
    <w:rsid w:val="00D3774A"/>
    <w:rsid w:val="00D44EFA"/>
    <w:rsid w:val="00D73C36"/>
    <w:rsid w:val="00D833D5"/>
    <w:rsid w:val="00D9214A"/>
    <w:rsid w:val="00D92DC4"/>
    <w:rsid w:val="00D95948"/>
    <w:rsid w:val="00D97E09"/>
    <w:rsid w:val="00DA1A36"/>
    <w:rsid w:val="00DC0FB0"/>
    <w:rsid w:val="00DE5E94"/>
    <w:rsid w:val="00E0037C"/>
    <w:rsid w:val="00E21A4F"/>
    <w:rsid w:val="00E370C4"/>
    <w:rsid w:val="00E414FD"/>
    <w:rsid w:val="00E510B1"/>
    <w:rsid w:val="00E67104"/>
    <w:rsid w:val="00E81D12"/>
    <w:rsid w:val="00E81E60"/>
    <w:rsid w:val="00E8575C"/>
    <w:rsid w:val="00E86ABC"/>
    <w:rsid w:val="00E93963"/>
    <w:rsid w:val="00EA134E"/>
    <w:rsid w:val="00EB17DA"/>
    <w:rsid w:val="00ED1026"/>
    <w:rsid w:val="00ED408E"/>
    <w:rsid w:val="00ED5E7E"/>
    <w:rsid w:val="00ED7844"/>
    <w:rsid w:val="00EE06E6"/>
    <w:rsid w:val="00EE1875"/>
    <w:rsid w:val="00EE6ECF"/>
    <w:rsid w:val="00F03444"/>
    <w:rsid w:val="00F3054F"/>
    <w:rsid w:val="00F32293"/>
    <w:rsid w:val="00F34B05"/>
    <w:rsid w:val="00F351AF"/>
    <w:rsid w:val="00F443B4"/>
    <w:rsid w:val="00F50A67"/>
    <w:rsid w:val="00F52D9B"/>
    <w:rsid w:val="00F67AB9"/>
    <w:rsid w:val="00F75FCC"/>
    <w:rsid w:val="00F83450"/>
    <w:rsid w:val="00F90DFF"/>
    <w:rsid w:val="00FD21BA"/>
    <w:rsid w:val="00FD2663"/>
    <w:rsid w:val="00FD399F"/>
    <w:rsid w:val="00FD6BBE"/>
    <w:rsid w:val="00FF49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1D70C2-41C0-453B-A9E1-C5C40912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1A6"/>
    <w:rPr>
      <w:rFonts w:ascii="Microsoft Sans Serif" w:eastAsia="Calibri" w:hAnsi="Microsoft Sans Serif"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875"/>
    <w:pPr>
      <w:ind w:left="720"/>
      <w:contextualSpacing/>
    </w:pPr>
  </w:style>
  <w:style w:type="paragraph" w:styleId="Header">
    <w:name w:val="header"/>
    <w:basedOn w:val="Normal"/>
    <w:link w:val="HeaderChar"/>
    <w:uiPriority w:val="99"/>
    <w:unhideWhenUsed/>
    <w:rsid w:val="0009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DF4"/>
  </w:style>
  <w:style w:type="paragraph" w:styleId="Footer">
    <w:name w:val="footer"/>
    <w:basedOn w:val="Normal"/>
    <w:link w:val="FooterChar"/>
    <w:uiPriority w:val="99"/>
    <w:unhideWhenUsed/>
    <w:rsid w:val="0009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F4"/>
  </w:style>
  <w:style w:type="paragraph" w:styleId="BalloonText">
    <w:name w:val="Balloon Text"/>
    <w:basedOn w:val="Normal"/>
    <w:link w:val="BalloonTextChar"/>
    <w:uiPriority w:val="99"/>
    <w:semiHidden/>
    <w:unhideWhenUsed/>
    <w:rsid w:val="00090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DF4"/>
    <w:rPr>
      <w:rFonts w:ascii="Tahoma" w:hAnsi="Tahoma" w:cs="Tahoma"/>
      <w:sz w:val="16"/>
      <w:szCs w:val="16"/>
    </w:rPr>
  </w:style>
  <w:style w:type="paragraph" w:styleId="FootnoteText">
    <w:name w:val="footnote text"/>
    <w:basedOn w:val="Normal"/>
    <w:link w:val="FootnoteTextChar"/>
    <w:uiPriority w:val="99"/>
    <w:semiHidden/>
    <w:unhideWhenUsed/>
    <w:rsid w:val="003445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51B"/>
    <w:rPr>
      <w:rFonts w:ascii="Microsoft Sans Serif" w:eastAsia="Calibri" w:hAnsi="Microsoft Sans Serif" w:cs="Times New Roman"/>
      <w:sz w:val="20"/>
      <w:szCs w:val="20"/>
    </w:rPr>
  </w:style>
  <w:style w:type="character" w:styleId="FootnoteReference">
    <w:name w:val="footnote reference"/>
    <w:basedOn w:val="DefaultParagraphFont"/>
    <w:uiPriority w:val="99"/>
    <w:semiHidden/>
    <w:unhideWhenUsed/>
    <w:rsid w:val="00344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8733">
      <w:bodyDiv w:val="1"/>
      <w:marLeft w:val="0"/>
      <w:marRight w:val="0"/>
      <w:marTop w:val="0"/>
      <w:marBottom w:val="0"/>
      <w:divBdr>
        <w:top w:val="none" w:sz="0" w:space="0" w:color="auto"/>
        <w:left w:val="none" w:sz="0" w:space="0" w:color="auto"/>
        <w:bottom w:val="none" w:sz="0" w:space="0" w:color="auto"/>
        <w:right w:val="none" w:sz="0" w:space="0" w:color="auto"/>
      </w:divBdr>
    </w:div>
    <w:div w:id="229853071">
      <w:bodyDiv w:val="1"/>
      <w:marLeft w:val="0"/>
      <w:marRight w:val="0"/>
      <w:marTop w:val="0"/>
      <w:marBottom w:val="0"/>
      <w:divBdr>
        <w:top w:val="none" w:sz="0" w:space="0" w:color="auto"/>
        <w:left w:val="none" w:sz="0" w:space="0" w:color="auto"/>
        <w:bottom w:val="none" w:sz="0" w:space="0" w:color="auto"/>
        <w:right w:val="none" w:sz="0" w:space="0" w:color="auto"/>
      </w:divBdr>
    </w:div>
    <w:div w:id="615913763">
      <w:bodyDiv w:val="1"/>
      <w:marLeft w:val="0"/>
      <w:marRight w:val="0"/>
      <w:marTop w:val="0"/>
      <w:marBottom w:val="0"/>
      <w:divBdr>
        <w:top w:val="none" w:sz="0" w:space="0" w:color="auto"/>
        <w:left w:val="none" w:sz="0" w:space="0" w:color="auto"/>
        <w:bottom w:val="none" w:sz="0" w:space="0" w:color="auto"/>
        <w:right w:val="none" w:sz="0" w:space="0" w:color="auto"/>
      </w:divBdr>
    </w:div>
    <w:div w:id="651568584">
      <w:bodyDiv w:val="1"/>
      <w:marLeft w:val="0"/>
      <w:marRight w:val="0"/>
      <w:marTop w:val="0"/>
      <w:marBottom w:val="0"/>
      <w:divBdr>
        <w:top w:val="none" w:sz="0" w:space="0" w:color="auto"/>
        <w:left w:val="none" w:sz="0" w:space="0" w:color="auto"/>
        <w:bottom w:val="none" w:sz="0" w:space="0" w:color="auto"/>
        <w:right w:val="none" w:sz="0" w:space="0" w:color="auto"/>
      </w:divBdr>
    </w:div>
    <w:div w:id="1371758824">
      <w:bodyDiv w:val="1"/>
      <w:marLeft w:val="0"/>
      <w:marRight w:val="0"/>
      <w:marTop w:val="0"/>
      <w:marBottom w:val="0"/>
      <w:divBdr>
        <w:top w:val="none" w:sz="0" w:space="0" w:color="auto"/>
        <w:left w:val="none" w:sz="0" w:space="0" w:color="auto"/>
        <w:bottom w:val="none" w:sz="0" w:space="0" w:color="auto"/>
        <w:right w:val="none" w:sz="0" w:space="0" w:color="auto"/>
      </w:divBdr>
    </w:div>
    <w:div w:id="1476411602">
      <w:bodyDiv w:val="1"/>
      <w:marLeft w:val="0"/>
      <w:marRight w:val="0"/>
      <w:marTop w:val="0"/>
      <w:marBottom w:val="0"/>
      <w:divBdr>
        <w:top w:val="none" w:sz="0" w:space="0" w:color="auto"/>
        <w:left w:val="none" w:sz="0" w:space="0" w:color="auto"/>
        <w:bottom w:val="none" w:sz="0" w:space="0" w:color="auto"/>
        <w:right w:val="none" w:sz="0" w:space="0" w:color="auto"/>
      </w:divBdr>
    </w:div>
    <w:div w:id="1803380504">
      <w:bodyDiv w:val="1"/>
      <w:marLeft w:val="0"/>
      <w:marRight w:val="0"/>
      <w:marTop w:val="0"/>
      <w:marBottom w:val="0"/>
      <w:divBdr>
        <w:top w:val="none" w:sz="0" w:space="0" w:color="auto"/>
        <w:left w:val="none" w:sz="0" w:space="0" w:color="auto"/>
        <w:bottom w:val="none" w:sz="0" w:space="0" w:color="auto"/>
        <w:right w:val="none" w:sz="0" w:space="0" w:color="auto"/>
      </w:divBdr>
    </w:div>
    <w:div w:id="1834485539">
      <w:bodyDiv w:val="1"/>
      <w:marLeft w:val="0"/>
      <w:marRight w:val="0"/>
      <w:marTop w:val="0"/>
      <w:marBottom w:val="0"/>
      <w:divBdr>
        <w:top w:val="none" w:sz="0" w:space="0" w:color="auto"/>
        <w:left w:val="none" w:sz="0" w:space="0" w:color="auto"/>
        <w:bottom w:val="none" w:sz="0" w:space="0" w:color="auto"/>
        <w:right w:val="none" w:sz="0" w:space="0" w:color="auto"/>
      </w:divBdr>
    </w:div>
    <w:div w:id="1868759757">
      <w:bodyDiv w:val="1"/>
      <w:marLeft w:val="0"/>
      <w:marRight w:val="0"/>
      <w:marTop w:val="0"/>
      <w:marBottom w:val="0"/>
      <w:divBdr>
        <w:top w:val="none" w:sz="0" w:space="0" w:color="auto"/>
        <w:left w:val="none" w:sz="0" w:space="0" w:color="auto"/>
        <w:bottom w:val="none" w:sz="0" w:space="0" w:color="auto"/>
        <w:right w:val="none" w:sz="0" w:space="0" w:color="auto"/>
      </w:divBdr>
    </w:div>
    <w:div w:id="18758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76B4-5B68-450C-9728-95C90CFD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8768</Characters>
  <Application>Microsoft Office Word</Application>
  <DocSecurity>0</DocSecurity>
  <Lines>2192</Lines>
  <Paragraphs>696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dc:creator>
  <cp:lastModifiedBy>Dwayne Quinn</cp:lastModifiedBy>
  <cp:revision>2</cp:revision>
  <dcterms:created xsi:type="dcterms:W3CDTF">2018-08-08T20:39:00Z</dcterms:created>
  <dcterms:modified xsi:type="dcterms:W3CDTF">2018-08-08T20:39:00Z</dcterms:modified>
</cp:coreProperties>
</file>