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E6F" w:rsidRDefault="00362E6F" w:rsidP="00362E6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</w:rPr>
        <w:t>TABLE 1</w:t>
      </w:r>
    </w:p>
    <w:p w:rsidR="00362E6F" w:rsidRPr="00362E6F" w:rsidRDefault="00362E6F" w:rsidP="00362E6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3331" w:type="dxa"/>
        <w:tblLook w:val="04A0" w:firstRow="1" w:lastRow="0" w:firstColumn="1" w:lastColumn="0" w:noHBand="0" w:noVBand="1"/>
      </w:tblPr>
      <w:tblGrid>
        <w:gridCol w:w="620"/>
        <w:gridCol w:w="5225"/>
        <w:gridCol w:w="1380"/>
        <w:gridCol w:w="1050"/>
        <w:gridCol w:w="990"/>
        <w:gridCol w:w="1080"/>
        <w:gridCol w:w="1080"/>
        <w:gridCol w:w="968"/>
        <w:gridCol w:w="938"/>
      </w:tblGrid>
      <w:tr w:rsidR="000E6844" w:rsidRPr="00E21A4F" w:rsidTr="000E6844">
        <w:trPr>
          <w:trHeight w:val="353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RATE YEAR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3113F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83113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Line</w:t>
            </w:r>
          </w:p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No.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WINTER DESIGN PERIOD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2013/14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2014/15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2015/16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2016/17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2017/18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2018/19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Capacity in Base Rates (TJ/d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ay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PDO Capacity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from Temporarily Available Capacity 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in In-franchise Rates (TJ/d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ay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PDO Capacity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from Dawn-Kirkwall Turnback 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in In-franchise Rates (TJ/day)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PDO Capacity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from Customers with M12 service 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in In-franchise Rates (TJ/day)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bookmarkStart w:id="1" w:name="_Hlk521063129"/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Incremental Build Capacity in Rates</w:t>
            </w:r>
            <w:bookmarkEnd w:id="1"/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(TJ/day)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Total Capacity in Rates (TJ/day)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362E6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6=1+2+3+4+5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Other Changes</w:t>
            </w:r>
            <w:r>
              <w:rPr>
                <w:rStyle w:val="FootnoteReference"/>
                <w:rFonts w:ascii="Times New Roman" w:eastAsia="Times New Roman" w:hAnsi="Times New Roman"/>
                <w:color w:val="000000"/>
                <w:lang w:val="en-US"/>
              </w:rPr>
              <w:footnoteReference w:id="1"/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Total Capacity in Rates Net of Other Changes (TJ/day)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8= 6 - 7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bookmarkStart w:id="2" w:name="_Hlk521336816"/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Total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Revenue Requirement of Assets in Base Rates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Style w:val="FootnoteReference"/>
                <w:rFonts w:ascii="Times New Roman" w:eastAsia="Times New Roman" w:hAnsi="Times New Roman"/>
                <w:color w:val="000000"/>
                <w:lang w:val="en-US"/>
              </w:rPr>
              <w:footnoteReference w:id="2"/>
            </w:r>
            <w:r w:rsidR="000E684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$000</w:t>
            </w: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Total Revenue Requirement of PDO ($000)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Build Revenue Requirement ($000)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Total D-P Revenue Requirement ($000)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362E6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62E6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12= 9+10+11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A4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E21A4F" w:rsidTr="000E6844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6F" w:rsidRPr="00E21A4F" w:rsidRDefault="00362E6F" w:rsidP="00AF7E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</w:tbl>
    <w:bookmarkEnd w:id="2"/>
    <w:p w:rsidR="00F66806" w:rsidRPr="000E6844" w:rsidRDefault="00F66806" w:rsidP="00F66806">
      <w:pPr>
        <w:rPr>
          <w:rFonts w:ascii="Times New Roman" w:hAnsi="Times New Roman"/>
        </w:rPr>
      </w:pPr>
      <w:r w:rsidRPr="000E6844">
        <w:rPr>
          <w:rFonts w:ascii="Times New Roman" w:hAnsi="Times New Roman"/>
        </w:rPr>
        <w:t>TOTAL CAPCITY IN REVENUE  REQUIREMENT ALLOCATED BY IN-FRANCHISE DEMANDS NOT SERVICE BY M12 (INCLUDING NORTH), IN-FRANCHISE SERVED WITH M12, EX-FRANCHISE AND PDO</w:t>
      </w:r>
    </w:p>
    <w:p w:rsidR="00F956DA" w:rsidRDefault="00D52F81"/>
    <w:p w:rsidR="000E6844" w:rsidRPr="000E6844" w:rsidRDefault="000E6844" w:rsidP="000E6844">
      <w:pPr>
        <w:rPr>
          <w:rFonts w:ascii="Times New Roman" w:hAnsi="Times New Roman"/>
        </w:rPr>
      </w:pPr>
    </w:p>
    <w:p w:rsidR="000E6844" w:rsidRPr="000E6844" w:rsidRDefault="000E6844" w:rsidP="000E6844">
      <w:pPr>
        <w:jc w:val="center"/>
        <w:rPr>
          <w:rFonts w:ascii="Times New Roman" w:hAnsi="Times New Roman"/>
          <w:b/>
        </w:rPr>
      </w:pPr>
      <w:r w:rsidRPr="000E6844">
        <w:rPr>
          <w:rFonts w:ascii="Times New Roman" w:hAnsi="Times New Roman"/>
          <w:b/>
        </w:rPr>
        <w:t>TABLE 2</w:t>
      </w:r>
    </w:p>
    <w:tbl>
      <w:tblPr>
        <w:tblStyle w:val="TableGrid"/>
        <w:tblW w:w="12950" w:type="dxa"/>
        <w:jc w:val="center"/>
        <w:tblLook w:val="04E0" w:firstRow="1" w:lastRow="1" w:firstColumn="1" w:lastColumn="0" w:noHBand="0" w:noVBand="1"/>
      </w:tblPr>
      <w:tblGrid>
        <w:gridCol w:w="805"/>
        <w:gridCol w:w="4770"/>
        <w:gridCol w:w="1217"/>
        <w:gridCol w:w="990"/>
        <w:gridCol w:w="1080"/>
        <w:gridCol w:w="1080"/>
        <w:gridCol w:w="990"/>
        <w:gridCol w:w="1080"/>
        <w:gridCol w:w="938"/>
      </w:tblGrid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LINE</w:t>
            </w:r>
          </w:p>
        </w:tc>
        <w:tc>
          <w:tcPr>
            <w:tcW w:w="477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RATE YEAR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2014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2015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2016</w:t>
            </w: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2017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2018</w:t>
            </w: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NO.</w:t>
            </w:r>
          </w:p>
        </w:tc>
        <w:tc>
          <w:tcPr>
            <w:tcW w:w="477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DELIVERIES TO PARKWAY FOR </w:t>
            </w:r>
          </w:p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WINTER DESIGN PERIOD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2013/14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2014/15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2015/16</w:t>
            </w: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2016/17</w:t>
            </w: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2017/18</w:t>
            </w: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2018/19</w:t>
            </w: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77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Total Physical Capacity (TJ/day)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477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M12 Contracted (TJ/day)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77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D-P In-franchise Demand w/o PDO (TJ/d)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477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PDO Capacity 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77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Peak Day Capacity Required at Parkway (TJ/day)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5 = 2+3+4</w:t>
            </w:r>
          </w:p>
        </w:tc>
        <w:tc>
          <w:tcPr>
            <w:tcW w:w="99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0E6844" w:rsidRPr="000E6844" w:rsidTr="00AF7EBE">
        <w:trPr>
          <w:trHeight w:val="353"/>
          <w:jc w:val="center"/>
        </w:trPr>
        <w:tc>
          <w:tcPr>
            <w:tcW w:w="805" w:type="dxa"/>
          </w:tcPr>
          <w:p w:rsidR="000E6844" w:rsidRPr="000E6844" w:rsidRDefault="000E6844" w:rsidP="000E6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77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Excess Capacity on Peak Day (TJ/day)</w:t>
            </w:r>
          </w:p>
        </w:tc>
        <w:tc>
          <w:tcPr>
            <w:tcW w:w="1217" w:type="dxa"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6 = 5-1</w:t>
            </w:r>
          </w:p>
        </w:tc>
        <w:tc>
          <w:tcPr>
            <w:tcW w:w="99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E6844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0" w:type="dxa"/>
            <w:noWrap/>
          </w:tcPr>
          <w:p w:rsidR="000E6844" w:rsidRPr="000E6844" w:rsidRDefault="000E6844" w:rsidP="000E6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8" w:type="dxa"/>
            <w:noWrap/>
          </w:tcPr>
          <w:p w:rsidR="000E6844" w:rsidRPr="000E6844" w:rsidRDefault="000E6844" w:rsidP="000E6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</w:tbl>
    <w:p w:rsidR="000E6844" w:rsidRPr="000E6844" w:rsidRDefault="000E6844" w:rsidP="000E6844">
      <w:pPr>
        <w:rPr>
          <w:rFonts w:ascii="Times New Roman" w:hAnsi="Times New Roman"/>
        </w:rPr>
      </w:pPr>
    </w:p>
    <w:p w:rsidR="000E6844" w:rsidRDefault="000E6844"/>
    <w:sectPr w:rsidR="000E6844" w:rsidSect="00362E6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F81" w:rsidRDefault="00D52F81" w:rsidP="00362E6F">
      <w:pPr>
        <w:spacing w:after="0" w:line="240" w:lineRule="auto"/>
      </w:pPr>
      <w:r>
        <w:separator/>
      </w:r>
    </w:p>
  </w:endnote>
  <w:endnote w:type="continuationSeparator" w:id="0">
    <w:p w:rsidR="00D52F81" w:rsidRDefault="00D52F81" w:rsidP="0036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F81" w:rsidRDefault="00D52F81" w:rsidP="00362E6F">
      <w:pPr>
        <w:spacing w:after="0" w:line="240" w:lineRule="auto"/>
      </w:pPr>
      <w:r>
        <w:separator/>
      </w:r>
    </w:p>
  </w:footnote>
  <w:footnote w:type="continuationSeparator" w:id="0">
    <w:p w:rsidR="00D52F81" w:rsidRDefault="00D52F81" w:rsidP="00362E6F">
      <w:pPr>
        <w:spacing w:after="0" w:line="240" w:lineRule="auto"/>
      </w:pPr>
      <w:r>
        <w:continuationSeparator/>
      </w:r>
    </w:p>
  </w:footnote>
  <w:footnote w:id="1">
    <w:p w:rsidR="00362E6F" w:rsidRPr="00266E44" w:rsidRDefault="00362E6F" w:rsidP="00362E6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EB-2017-0306 Exhibit J2.5 line 4</w:t>
      </w:r>
    </w:p>
  </w:footnote>
  <w:footnote w:id="2">
    <w:p w:rsidR="00362E6F" w:rsidRPr="002555D9" w:rsidRDefault="00362E6F" w:rsidP="00362E6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Recognizing Price Cap, please increase Rev. </w:t>
      </w:r>
      <w:proofErr w:type="spellStart"/>
      <w:r>
        <w:rPr>
          <w:rFonts w:ascii="Times New Roman" w:hAnsi="Times New Roman"/>
        </w:rPr>
        <w:t>Reqt</w:t>
      </w:r>
      <w:proofErr w:type="spellEnd"/>
      <w:r>
        <w:rPr>
          <w:rFonts w:ascii="Times New Roman" w:hAnsi="Times New Roman"/>
        </w:rPr>
        <w:t xml:space="preserve"> of Assets in Base Rates by resulting Inflation Factor for each IRM year</w:t>
      </w:r>
      <w:r w:rsidR="000E6844">
        <w:rPr>
          <w:rFonts w:ascii="Times New Roman" w:hAnsi="Times New Roman"/>
        </w:rPr>
        <w:t xml:space="preserve"> netting out Revenue </w:t>
      </w:r>
      <w:proofErr w:type="spellStart"/>
      <w:r w:rsidR="000E6844">
        <w:rPr>
          <w:rFonts w:ascii="Times New Roman" w:hAnsi="Times New Roman"/>
        </w:rPr>
        <w:t>Reqt</w:t>
      </w:r>
      <w:proofErr w:type="spellEnd"/>
      <w:r w:rsidR="000E6844">
        <w:rPr>
          <w:rFonts w:ascii="Times New Roman" w:hAnsi="Times New Roman"/>
        </w:rPr>
        <w:t>. removed with turnback of M12 from customers using M12 for Parkway Obligation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68" w:rsidRDefault="00636F50">
    <w:pPr>
      <w:pStyle w:val="Header"/>
    </w:pPr>
    <w:r w:rsidRPr="00636F50">
      <w:rPr>
        <w:rFonts w:ascii="Times New Roman" w:hAnsi="Times New Roman"/>
        <w:sz w:val="28"/>
        <w:szCs w:val="28"/>
      </w:rPr>
      <w:t>Attachment</w:t>
    </w:r>
    <w:r w:rsidRPr="00636F50">
      <w:rPr>
        <w:rFonts w:ascii="Times New Roman" w:hAnsi="Times New Roman"/>
      </w:rPr>
      <w:t xml:space="preserve"> </w:t>
    </w:r>
    <w:r w:rsidRPr="00636F50"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</w:rPr>
      <w:tab/>
    </w:r>
    <w:r w:rsidR="00F17868" w:rsidRPr="00636F50">
      <w:rPr>
        <w:rFonts w:ascii="Times New Roman" w:hAnsi="Times New Roman"/>
        <w:sz w:val="28"/>
        <w:szCs w:val="28"/>
      </w:rPr>
      <w:ptab w:relativeTo="margin" w:alignment="center" w:leader="none"/>
    </w:r>
    <w:r>
      <w:rPr>
        <w:rFonts w:ascii="Times New Roman" w:hAnsi="Times New Roman"/>
        <w:sz w:val="28"/>
        <w:szCs w:val="28"/>
      </w:rPr>
      <w:t>EB-2018-0105 UNION 2017 DISPOSITIONS</w:t>
    </w:r>
    <w:r w:rsidR="00F17868" w:rsidRPr="00636F50">
      <w:rPr>
        <w:rFonts w:ascii="Times New Roman" w:hAnsi="Times New Roman"/>
        <w:sz w:val="28"/>
        <w:szCs w:val="28"/>
      </w:rPr>
      <w:ptab w:relativeTo="margin" w:alignment="right" w:leader="none"/>
    </w:r>
    <w:r>
      <w:rPr>
        <w:rFonts w:ascii="Times New Roman" w:hAnsi="Times New Roman"/>
        <w:sz w:val="28"/>
        <w:szCs w:val="28"/>
      </w:rPr>
      <w:t>FRPO IR#1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2057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6F"/>
    <w:rsid w:val="000E6844"/>
    <w:rsid w:val="001052FC"/>
    <w:rsid w:val="00362E6F"/>
    <w:rsid w:val="00387A6A"/>
    <w:rsid w:val="003C6903"/>
    <w:rsid w:val="003E2D9F"/>
    <w:rsid w:val="00636F50"/>
    <w:rsid w:val="00643F85"/>
    <w:rsid w:val="006F781E"/>
    <w:rsid w:val="008E6A5F"/>
    <w:rsid w:val="00CC6301"/>
    <w:rsid w:val="00D52F81"/>
    <w:rsid w:val="00F17868"/>
    <w:rsid w:val="00F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D64D0-EE9F-4831-89C4-6E5101F1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E6F"/>
    <w:pPr>
      <w:spacing w:after="200" w:line="276" w:lineRule="auto"/>
    </w:pPr>
    <w:rPr>
      <w:rFonts w:ascii="Microsoft Sans Serif" w:eastAsia="Calibri" w:hAnsi="Microsoft Sans Serif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2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E6F"/>
    <w:rPr>
      <w:rFonts w:ascii="Microsoft Sans Serif" w:eastAsia="Calibri" w:hAnsi="Microsoft Sans Serif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62E6F"/>
    <w:rPr>
      <w:vertAlign w:val="superscript"/>
    </w:rPr>
  </w:style>
  <w:style w:type="table" w:styleId="TableGrid">
    <w:name w:val="Table Grid"/>
    <w:basedOn w:val="TableNormal"/>
    <w:uiPriority w:val="39"/>
    <w:rsid w:val="000E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68"/>
    <w:rPr>
      <w:rFonts w:ascii="Microsoft Sans Serif" w:eastAsia="Calibri" w:hAnsi="Microsoft Sans Serif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1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68"/>
    <w:rPr>
      <w:rFonts w:ascii="Microsoft Sans Serif" w:eastAsia="Calibri" w:hAnsi="Microsoft Sans Serif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1266</Characters>
  <Application>Microsoft Office Word</Application>
  <DocSecurity>0</DocSecurity>
  <Lines>316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Quinn</dc:creator>
  <cp:keywords/>
  <dc:description/>
  <cp:lastModifiedBy>Dwayne Quinn</cp:lastModifiedBy>
  <cp:revision>2</cp:revision>
  <cp:lastPrinted>2018-08-07T20:32:00Z</cp:lastPrinted>
  <dcterms:created xsi:type="dcterms:W3CDTF">2018-08-08T20:42:00Z</dcterms:created>
  <dcterms:modified xsi:type="dcterms:W3CDTF">2018-08-08T20:42:00Z</dcterms:modified>
</cp:coreProperties>
</file>