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378" w:rsidRPr="00E80F9A" w:rsidRDefault="00CD4378" w:rsidP="00CD4378">
      <w:pPr>
        <w:spacing w:after="0" w:line="276" w:lineRule="auto"/>
        <w:rPr>
          <w:rFonts w:ascii="Arial" w:eastAsia="Times New Roman" w:hAnsi="Arial" w:cs="Arial"/>
          <w:b/>
          <w:sz w:val="20"/>
          <w:szCs w:val="20"/>
        </w:rPr>
      </w:pPr>
      <w:bookmarkStart w:id="0" w:name="_Hlk521576038"/>
      <w:r w:rsidRPr="00E80F9A">
        <w:rPr>
          <w:rFonts w:ascii="Arial" w:eastAsia="Times New Roman" w:hAnsi="Arial" w:cs="Arial"/>
          <w:b/>
          <w:sz w:val="20"/>
          <w:szCs w:val="20"/>
        </w:rPr>
        <w:t>Appendix A</w:t>
      </w:r>
    </w:p>
    <w:p w:rsidR="00CD4378" w:rsidRPr="00575A1A" w:rsidRDefault="00CD4378" w:rsidP="00575A1A">
      <w:pPr>
        <w:pStyle w:val="Heading1"/>
        <w:spacing w:before="0"/>
      </w:pPr>
      <w:r w:rsidRPr="00575A1A">
        <w:t xml:space="preserve">GA Methodology Description  </w:t>
      </w:r>
    </w:p>
    <w:p w:rsidR="00CD4378" w:rsidRPr="00575A1A" w:rsidRDefault="00CD4378" w:rsidP="00575A1A">
      <w:pPr>
        <w:pStyle w:val="Heading1"/>
        <w:spacing w:before="0"/>
      </w:pPr>
      <w:r w:rsidRPr="00575A1A">
        <w:t>Questions on Accounts 1588 &amp; 1589</w:t>
      </w:r>
      <w:r w:rsidRPr="00575A1A">
        <w:footnoteReference w:id="1"/>
      </w:r>
    </w:p>
    <w:p w:rsidR="00CD4378" w:rsidRDefault="00CD4378" w:rsidP="00CD4378">
      <w:pPr>
        <w:spacing w:after="0" w:line="276" w:lineRule="auto"/>
        <w:rPr>
          <w:rFonts w:ascii="Arial" w:eastAsia="Times New Roman" w:hAnsi="Arial" w:cs="Arial"/>
          <w:sz w:val="20"/>
          <w:szCs w:val="20"/>
        </w:rPr>
      </w:pPr>
    </w:p>
    <w:p w:rsidR="00575A1A" w:rsidRDefault="001D059A" w:rsidP="00CD4378">
      <w:pPr>
        <w:spacing w:after="0" w:line="276" w:lineRule="auto"/>
        <w:rPr>
          <w:rFonts w:ascii="Arial" w:eastAsia="Times New Roman" w:hAnsi="Arial" w:cs="Arial"/>
          <w:sz w:val="20"/>
          <w:szCs w:val="20"/>
        </w:rPr>
      </w:pPr>
      <w:r w:rsidRPr="001D059A">
        <w:rPr>
          <w:rFonts w:ascii="Arial" w:eastAsia="Times New Roman" w:hAnsi="Arial" w:cs="Arial"/>
          <w:b/>
          <w:sz w:val="20"/>
          <w:szCs w:val="20"/>
        </w:rPr>
        <w:t>NOTE:</w:t>
      </w:r>
      <w:r>
        <w:rPr>
          <w:rFonts w:ascii="Arial" w:eastAsia="Times New Roman" w:hAnsi="Arial" w:cs="Arial"/>
          <w:sz w:val="20"/>
          <w:szCs w:val="20"/>
        </w:rPr>
        <w:t xml:space="preserve"> </w:t>
      </w:r>
      <w:r w:rsidR="00575A1A">
        <w:rPr>
          <w:rFonts w:ascii="Arial" w:eastAsia="Times New Roman" w:hAnsi="Arial" w:cs="Arial"/>
          <w:sz w:val="20"/>
          <w:szCs w:val="20"/>
        </w:rPr>
        <w:t xml:space="preserve">Questions </w:t>
      </w:r>
      <w:r>
        <w:rPr>
          <w:rFonts w:ascii="Arial" w:eastAsia="Times New Roman" w:hAnsi="Arial" w:cs="Arial"/>
          <w:sz w:val="20"/>
          <w:szCs w:val="20"/>
        </w:rPr>
        <w:t xml:space="preserve">shown </w:t>
      </w:r>
      <w:r w:rsidR="00575A1A">
        <w:rPr>
          <w:rFonts w:ascii="Arial" w:eastAsia="Times New Roman" w:hAnsi="Arial" w:cs="Arial"/>
          <w:sz w:val="20"/>
          <w:szCs w:val="20"/>
        </w:rPr>
        <w:t xml:space="preserve">in </w:t>
      </w:r>
      <w:r w:rsidR="00575A1A" w:rsidRPr="001D059A">
        <w:rPr>
          <w:rFonts w:ascii="Arial" w:eastAsia="Times New Roman" w:hAnsi="Arial" w:cs="Arial"/>
          <w:b/>
          <w:sz w:val="20"/>
          <w:szCs w:val="20"/>
          <w:u w:val="single"/>
        </w:rPr>
        <w:t>BLACK</w:t>
      </w:r>
      <w:r w:rsidRPr="001D059A">
        <w:rPr>
          <w:rFonts w:ascii="Arial" w:eastAsia="Times New Roman" w:hAnsi="Arial" w:cs="Arial"/>
          <w:b/>
          <w:sz w:val="20"/>
          <w:szCs w:val="20"/>
        </w:rPr>
        <w:t>.</w:t>
      </w:r>
      <w:r>
        <w:rPr>
          <w:rFonts w:ascii="Arial" w:eastAsia="Times New Roman" w:hAnsi="Arial" w:cs="Arial"/>
          <w:color w:val="00B0F0"/>
          <w:sz w:val="20"/>
          <w:szCs w:val="20"/>
        </w:rPr>
        <w:t xml:space="preserve"> A</w:t>
      </w:r>
      <w:r w:rsidR="00575A1A" w:rsidRPr="00575A1A">
        <w:rPr>
          <w:rFonts w:ascii="Arial" w:eastAsia="Times New Roman" w:hAnsi="Arial" w:cs="Arial"/>
          <w:color w:val="00B0F0"/>
          <w:sz w:val="20"/>
          <w:szCs w:val="20"/>
        </w:rPr>
        <w:t xml:space="preserve">nswers </w:t>
      </w:r>
      <w:r>
        <w:rPr>
          <w:rFonts w:ascii="Arial" w:eastAsia="Times New Roman" w:hAnsi="Arial" w:cs="Arial"/>
          <w:color w:val="00B0F0"/>
          <w:sz w:val="20"/>
          <w:szCs w:val="20"/>
        </w:rPr>
        <w:t xml:space="preserve">shown </w:t>
      </w:r>
      <w:r w:rsidR="00575A1A" w:rsidRPr="00575A1A">
        <w:rPr>
          <w:rFonts w:ascii="Arial" w:eastAsia="Times New Roman" w:hAnsi="Arial" w:cs="Arial"/>
          <w:color w:val="00B0F0"/>
          <w:sz w:val="20"/>
          <w:szCs w:val="20"/>
        </w:rPr>
        <w:t xml:space="preserve">in </w:t>
      </w:r>
      <w:r w:rsidR="00575A1A" w:rsidRPr="001D059A">
        <w:rPr>
          <w:rFonts w:ascii="Arial" w:eastAsia="Times New Roman" w:hAnsi="Arial" w:cs="Arial"/>
          <w:b/>
          <w:color w:val="00B0F0"/>
          <w:sz w:val="20"/>
          <w:szCs w:val="20"/>
          <w:u w:val="single"/>
        </w:rPr>
        <w:t>BLUE</w:t>
      </w:r>
      <w:r w:rsidRPr="001D059A">
        <w:rPr>
          <w:rFonts w:ascii="Arial" w:eastAsia="Times New Roman" w:hAnsi="Arial" w:cs="Arial"/>
          <w:color w:val="00B0F0"/>
          <w:sz w:val="20"/>
          <w:szCs w:val="20"/>
        </w:rPr>
        <w:t>. Charts may be shown in black.</w:t>
      </w:r>
    </w:p>
    <w:p w:rsidR="00575A1A" w:rsidRPr="00E80F9A" w:rsidRDefault="00575A1A" w:rsidP="00CD4378">
      <w:pPr>
        <w:spacing w:after="0" w:line="276" w:lineRule="auto"/>
        <w:rPr>
          <w:rFonts w:ascii="Arial" w:eastAsia="Times New Roman" w:hAnsi="Arial" w:cs="Arial"/>
          <w:sz w:val="20"/>
          <w:szCs w:val="20"/>
        </w:rPr>
      </w:pPr>
    </w:p>
    <w:p w:rsidR="00CD4378" w:rsidRPr="00E80F9A" w:rsidRDefault="00CD4378" w:rsidP="00CD4378">
      <w:pPr>
        <w:spacing w:after="0" w:line="276" w:lineRule="auto"/>
        <w:rPr>
          <w:rFonts w:ascii="Arial" w:eastAsia="Times New Roman" w:hAnsi="Arial" w:cs="Arial"/>
          <w:i/>
          <w:sz w:val="20"/>
          <w:szCs w:val="20"/>
        </w:rPr>
      </w:pPr>
    </w:p>
    <w:p w:rsidR="00CD4378" w:rsidRPr="00575A1A" w:rsidRDefault="00CD4378" w:rsidP="00575A1A">
      <w:pPr>
        <w:pStyle w:val="ListParagraph"/>
        <w:numPr>
          <w:ilvl w:val="0"/>
          <w:numId w:val="1"/>
        </w:numPr>
        <w:spacing w:after="0" w:line="276" w:lineRule="auto"/>
        <w:ind w:left="360"/>
        <w:rPr>
          <w:rFonts w:ascii="Arial" w:eastAsia="Times New Roman" w:hAnsi="Arial" w:cs="Arial"/>
          <w:b/>
          <w:sz w:val="24"/>
          <w:szCs w:val="20"/>
        </w:rPr>
      </w:pPr>
      <w:r w:rsidRPr="00575A1A">
        <w:rPr>
          <w:rFonts w:ascii="Arial" w:eastAsia="Times New Roman" w:hAnsi="Arial" w:cs="Arial"/>
          <w:b/>
          <w:sz w:val="24"/>
          <w:szCs w:val="20"/>
        </w:rPr>
        <w:t>In booking expense journal entries for Charge Type (CT) 1142 and CT 148 from the IESO invoice, please confirm which of the following approaches is used:</w:t>
      </w:r>
    </w:p>
    <w:p w:rsidR="00CD4378" w:rsidRPr="00E80F9A" w:rsidRDefault="00CD4378" w:rsidP="00575A1A">
      <w:pPr>
        <w:pStyle w:val="ListParagraph"/>
        <w:numPr>
          <w:ilvl w:val="0"/>
          <w:numId w:val="2"/>
        </w:numPr>
        <w:spacing w:after="0" w:line="276" w:lineRule="auto"/>
        <w:ind w:left="720"/>
        <w:rPr>
          <w:rFonts w:ascii="Arial" w:hAnsi="Arial" w:cs="Arial"/>
          <w:sz w:val="20"/>
          <w:szCs w:val="20"/>
        </w:rPr>
      </w:pPr>
      <w:r w:rsidRPr="00E80F9A">
        <w:rPr>
          <w:rFonts w:ascii="Arial" w:eastAsia="Times New Roman" w:hAnsi="Arial" w:cs="Arial"/>
          <w:sz w:val="20"/>
          <w:szCs w:val="20"/>
        </w:rPr>
        <w:t>CT 1142 is booked into Account 1588. CT 148 is pro-rated based on RPP/non-RPP consumption and then booked into Account 1588 and 1589 respectively.</w:t>
      </w:r>
    </w:p>
    <w:p w:rsidR="00CD4378" w:rsidRPr="00575A1A" w:rsidRDefault="00CD4378" w:rsidP="00575A1A">
      <w:pPr>
        <w:pStyle w:val="ListParagraph"/>
        <w:numPr>
          <w:ilvl w:val="0"/>
          <w:numId w:val="2"/>
        </w:numPr>
        <w:spacing w:after="0" w:line="276" w:lineRule="auto"/>
        <w:ind w:left="720"/>
        <w:rPr>
          <w:rFonts w:ascii="Arial" w:eastAsia="Times New Roman" w:hAnsi="Arial" w:cs="Arial"/>
          <w:i/>
          <w:color w:val="808080" w:themeColor="background1" w:themeShade="80"/>
          <w:sz w:val="20"/>
          <w:szCs w:val="20"/>
        </w:rPr>
      </w:pPr>
      <w:r w:rsidRPr="00575A1A">
        <w:rPr>
          <w:rFonts w:ascii="Arial" w:eastAsia="Times New Roman" w:hAnsi="Arial" w:cs="Arial"/>
          <w:i/>
          <w:color w:val="808080" w:themeColor="background1" w:themeShade="80"/>
          <w:sz w:val="20"/>
          <w:szCs w:val="20"/>
        </w:rPr>
        <w:t>CT 148 is booked into Account 1589. The portion of CT 1142 equaling RPP minus HOEP for RPP consumption is booked into Account 1588. The portion of CT 1142 equaling GA RPP is credited into Account 1589.</w:t>
      </w:r>
    </w:p>
    <w:p w:rsidR="00CD4378" w:rsidRPr="00575A1A" w:rsidRDefault="00CD4378" w:rsidP="00575A1A">
      <w:pPr>
        <w:pStyle w:val="ListParagraph"/>
        <w:numPr>
          <w:ilvl w:val="0"/>
          <w:numId w:val="2"/>
        </w:numPr>
        <w:spacing w:after="0" w:line="276" w:lineRule="auto"/>
        <w:ind w:left="720"/>
        <w:rPr>
          <w:rFonts w:ascii="Arial" w:eastAsia="Times New Roman" w:hAnsi="Arial" w:cs="Arial"/>
          <w:sz w:val="20"/>
          <w:szCs w:val="20"/>
        </w:rPr>
      </w:pPr>
      <w:r w:rsidRPr="00E80F9A">
        <w:rPr>
          <w:rFonts w:ascii="Arial" w:eastAsia="Times New Roman" w:hAnsi="Arial" w:cs="Arial"/>
          <w:sz w:val="20"/>
          <w:szCs w:val="20"/>
        </w:rPr>
        <w:t>If another approach is used, please explain in detail.</w:t>
      </w:r>
    </w:p>
    <w:p w:rsidR="00CD4378" w:rsidRPr="00575A1A" w:rsidRDefault="00CD4378" w:rsidP="00575A1A">
      <w:pPr>
        <w:spacing w:after="0" w:line="276" w:lineRule="auto"/>
        <w:ind w:left="-360" w:firstLine="720"/>
        <w:rPr>
          <w:rFonts w:ascii="Arial" w:eastAsia="Times New Roman" w:hAnsi="Arial" w:cs="Arial"/>
          <w:b/>
          <w:color w:val="2E74B5" w:themeColor="accent5" w:themeShade="BF"/>
          <w:sz w:val="24"/>
          <w:szCs w:val="20"/>
        </w:rPr>
      </w:pPr>
      <w:r w:rsidRPr="00575A1A">
        <w:rPr>
          <w:rFonts w:ascii="Arial" w:eastAsia="Times New Roman" w:hAnsi="Arial" w:cs="Arial"/>
          <w:b/>
          <w:color w:val="0070C0"/>
          <w:sz w:val="24"/>
          <w:szCs w:val="20"/>
        </w:rPr>
        <w:t>Niagara-on-the-Lake Hydro uses approach B</w:t>
      </w:r>
    </w:p>
    <w:p w:rsidR="00CD4378" w:rsidRPr="00E80F9A" w:rsidRDefault="00CD4378" w:rsidP="00CD4378">
      <w:pPr>
        <w:spacing w:after="0" w:line="276" w:lineRule="auto"/>
        <w:ind w:left="720" w:firstLine="360"/>
        <w:rPr>
          <w:rFonts w:ascii="Arial" w:eastAsia="Times New Roman" w:hAnsi="Arial" w:cs="Arial"/>
          <w:sz w:val="20"/>
          <w:szCs w:val="20"/>
          <w:u w:val="single"/>
        </w:rPr>
      </w:pPr>
    </w:p>
    <w:p w:rsidR="00CD4378" w:rsidRPr="00575A1A" w:rsidRDefault="00CD4378" w:rsidP="00575A1A">
      <w:pPr>
        <w:pStyle w:val="ListParagraph"/>
        <w:numPr>
          <w:ilvl w:val="0"/>
          <w:numId w:val="1"/>
        </w:numPr>
        <w:spacing w:after="0" w:line="276" w:lineRule="auto"/>
        <w:ind w:left="360"/>
        <w:rPr>
          <w:rFonts w:ascii="Arial" w:eastAsia="Times New Roman" w:hAnsi="Arial" w:cs="Arial"/>
          <w:b/>
          <w:sz w:val="24"/>
          <w:szCs w:val="20"/>
          <w:u w:val="single"/>
        </w:rPr>
      </w:pPr>
      <w:r w:rsidRPr="00575A1A">
        <w:rPr>
          <w:rFonts w:ascii="Arial" w:eastAsia="Times New Roman" w:hAnsi="Arial" w:cs="Arial"/>
          <w:b/>
          <w:sz w:val="24"/>
          <w:szCs w:val="20"/>
          <w:u w:val="single"/>
        </w:rPr>
        <w:t>Questions on CT 1142</w:t>
      </w:r>
    </w:p>
    <w:p w:rsidR="00CD4378" w:rsidRPr="00575A1A" w:rsidRDefault="00CD4378" w:rsidP="00575A1A">
      <w:pPr>
        <w:pStyle w:val="ListParagraph"/>
        <w:numPr>
          <w:ilvl w:val="1"/>
          <w:numId w:val="1"/>
        </w:numPr>
        <w:spacing w:after="0" w:line="276" w:lineRule="auto"/>
        <w:ind w:left="720"/>
        <w:rPr>
          <w:rFonts w:ascii="Arial" w:eastAsia="Times New Roman" w:hAnsi="Arial" w:cs="Arial"/>
          <w:b/>
          <w:sz w:val="24"/>
          <w:szCs w:val="20"/>
        </w:rPr>
      </w:pPr>
      <w:r w:rsidRPr="00575A1A">
        <w:rPr>
          <w:rFonts w:ascii="Arial" w:eastAsia="Times New Roman" w:hAnsi="Arial" w:cs="Arial"/>
          <w:b/>
          <w:sz w:val="24"/>
          <w:szCs w:val="20"/>
        </w:rPr>
        <w:t>Please describe how the initial RPP related GA is determined for settlement forms submitted by day 4 after the month-end (resulting in CT 1142 on the IESO invoice).</w:t>
      </w:r>
    </w:p>
    <w:p w:rsidR="001626FD" w:rsidRPr="00575A1A" w:rsidRDefault="007117EB" w:rsidP="00575A1A">
      <w:pPr>
        <w:pStyle w:val="ListParagraph"/>
        <w:spacing w:after="0" w:line="276" w:lineRule="auto"/>
        <w:rPr>
          <w:rFonts w:ascii="Arial" w:eastAsia="Times New Roman" w:hAnsi="Arial" w:cs="Arial"/>
          <w:b/>
          <w:color w:val="0070C0"/>
          <w:sz w:val="24"/>
          <w:szCs w:val="20"/>
        </w:rPr>
      </w:pPr>
      <w:r w:rsidRPr="00575A1A">
        <w:rPr>
          <w:rFonts w:ascii="Arial" w:eastAsia="Times New Roman" w:hAnsi="Arial" w:cs="Arial"/>
          <w:b/>
          <w:color w:val="0070C0"/>
          <w:sz w:val="24"/>
          <w:szCs w:val="20"/>
        </w:rPr>
        <w:t xml:space="preserve">Refer to </w:t>
      </w:r>
      <w:r w:rsidR="00575A1A">
        <w:rPr>
          <w:rFonts w:ascii="Arial" w:eastAsia="Times New Roman" w:hAnsi="Arial" w:cs="Arial"/>
          <w:b/>
          <w:color w:val="0070C0"/>
          <w:sz w:val="24"/>
          <w:szCs w:val="20"/>
        </w:rPr>
        <w:t>A</w:t>
      </w:r>
      <w:r w:rsidRPr="00575A1A">
        <w:rPr>
          <w:rFonts w:ascii="Arial" w:eastAsia="Times New Roman" w:hAnsi="Arial" w:cs="Arial"/>
          <w:b/>
          <w:color w:val="0070C0"/>
          <w:sz w:val="24"/>
          <w:szCs w:val="20"/>
        </w:rPr>
        <w:t>ppendix 2</w:t>
      </w:r>
      <w:r w:rsidR="00575A1A">
        <w:rPr>
          <w:rFonts w:ascii="Arial" w:eastAsia="Times New Roman" w:hAnsi="Arial" w:cs="Arial"/>
          <w:b/>
          <w:color w:val="0070C0"/>
          <w:sz w:val="24"/>
          <w:szCs w:val="20"/>
        </w:rPr>
        <w:t>B</w:t>
      </w:r>
    </w:p>
    <w:p w:rsidR="00CD4378" w:rsidRPr="00E80F9A" w:rsidRDefault="00CD4378" w:rsidP="00575A1A">
      <w:pPr>
        <w:pStyle w:val="ListParagraph"/>
        <w:spacing w:after="0" w:line="276" w:lineRule="auto"/>
        <w:rPr>
          <w:rFonts w:ascii="Arial" w:eastAsia="Times New Roman" w:hAnsi="Arial" w:cs="Arial"/>
          <w:sz w:val="20"/>
          <w:szCs w:val="20"/>
        </w:rPr>
      </w:pPr>
    </w:p>
    <w:p w:rsidR="00CD4378" w:rsidRPr="00575A1A" w:rsidRDefault="00CD4378" w:rsidP="00575A1A">
      <w:pPr>
        <w:pStyle w:val="ListParagraph"/>
        <w:numPr>
          <w:ilvl w:val="1"/>
          <w:numId w:val="1"/>
        </w:numPr>
        <w:spacing w:after="0" w:line="276" w:lineRule="auto"/>
        <w:ind w:left="720"/>
        <w:rPr>
          <w:rFonts w:ascii="Arial" w:eastAsia="Times New Roman" w:hAnsi="Arial" w:cs="Arial"/>
          <w:b/>
          <w:sz w:val="24"/>
          <w:szCs w:val="20"/>
        </w:rPr>
      </w:pPr>
      <w:r w:rsidRPr="00575A1A">
        <w:rPr>
          <w:rFonts w:ascii="Arial" w:eastAsia="Times New Roman" w:hAnsi="Arial" w:cs="Arial"/>
          <w:b/>
          <w:sz w:val="24"/>
          <w:szCs w:val="20"/>
        </w:rPr>
        <w:t>Please describe the process for truing up CT 1142 to actual RPP kWh, including which data is used for each TOU/Tier 1&amp;2 prices, as well as the timing of the true up.</w:t>
      </w:r>
    </w:p>
    <w:p w:rsidR="007117EB" w:rsidRPr="00575A1A" w:rsidRDefault="007117EB" w:rsidP="00575A1A">
      <w:pPr>
        <w:pStyle w:val="ListParagraph"/>
        <w:spacing w:after="0" w:line="276" w:lineRule="auto"/>
        <w:ind w:left="0" w:firstLine="720"/>
        <w:rPr>
          <w:rFonts w:ascii="Arial" w:eastAsia="Times New Roman" w:hAnsi="Arial" w:cs="Arial"/>
          <w:b/>
          <w:color w:val="0070C0"/>
          <w:sz w:val="24"/>
          <w:szCs w:val="20"/>
        </w:rPr>
      </w:pPr>
      <w:r w:rsidRPr="00575A1A">
        <w:rPr>
          <w:rFonts w:ascii="Arial" w:eastAsia="Times New Roman" w:hAnsi="Arial" w:cs="Arial"/>
          <w:b/>
          <w:color w:val="0070C0"/>
          <w:sz w:val="24"/>
          <w:szCs w:val="20"/>
        </w:rPr>
        <w:t xml:space="preserve">Refer to </w:t>
      </w:r>
      <w:r w:rsidR="00575A1A">
        <w:rPr>
          <w:rFonts w:ascii="Arial" w:eastAsia="Times New Roman" w:hAnsi="Arial" w:cs="Arial"/>
          <w:b/>
          <w:color w:val="0070C0"/>
          <w:sz w:val="24"/>
          <w:szCs w:val="20"/>
        </w:rPr>
        <w:t>A</w:t>
      </w:r>
      <w:r w:rsidRPr="00575A1A">
        <w:rPr>
          <w:rFonts w:ascii="Arial" w:eastAsia="Times New Roman" w:hAnsi="Arial" w:cs="Arial"/>
          <w:b/>
          <w:color w:val="0070C0"/>
          <w:sz w:val="24"/>
          <w:szCs w:val="20"/>
        </w:rPr>
        <w:t>ppendix 2</w:t>
      </w:r>
      <w:r w:rsidR="00575A1A">
        <w:rPr>
          <w:rFonts w:ascii="Arial" w:eastAsia="Times New Roman" w:hAnsi="Arial" w:cs="Arial"/>
          <w:b/>
          <w:color w:val="0070C0"/>
          <w:sz w:val="24"/>
          <w:szCs w:val="20"/>
        </w:rPr>
        <w:t>C</w:t>
      </w:r>
    </w:p>
    <w:p w:rsidR="00EC368B" w:rsidRPr="00575A1A" w:rsidRDefault="00EC368B" w:rsidP="00575A1A">
      <w:pPr>
        <w:pStyle w:val="ListParagraph"/>
        <w:spacing w:after="0" w:line="276" w:lineRule="auto"/>
        <w:rPr>
          <w:rFonts w:ascii="Arial" w:eastAsia="Times New Roman" w:hAnsi="Arial" w:cs="Arial"/>
          <w:b/>
          <w:sz w:val="24"/>
          <w:szCs w:val="20"/>
        </w:rPr>
      </w:pPr>
    </w:p>
    <w:p w:rsidR="00CD4378" w:rsidRPr="00575A1A" w:rsidRDefault="00CD4378" w:rsidP="00575A1A">
      <w:pPr>
        <w:pStyle w:val="ListParagraph"/>
        <w:numPr>
          <w:ilvl w:val="1"/>
          <w:numId w:val="1"/>
        </w:numPr>
        <w:spacing w:after="0" w:line="276" w:lineRule="auto"/>
        <w:ind w:left="720"/>
        <w:rPr>
          <w:rFonts w:ascii="Arial" w:eastAsia="Times New Roman" w:hAnsi="Arial" w:cs="Arial"/>
          <w:b/>
          <w:sz w:val="24"/>
          <w:szCs w:val="20"/>
        </w:rPr>
      </w:pPr>
      <w:r w:rsidRPr="00575A1A">
        <w:rPr>
          <w:rFonts w:ascii="Arial" w:eastAsia="Times New Roman" w:hAnsi="Arial" w:cs="Arial"/>
          <w:b/>
          <w:sz w:val="24"/>
          <w:szCs w:val="20"/>
        </w:rPr>
        <w:t xml:space="preserve">Has CT 1142 been trued up for with the IESO for all of 2017? </w:t>
      </w:r>
    </w:p>
    <w:p w:rsidR="00CD4378" w:rsidRDefault="00CD4378" w:rsidP="00575A1A">
      <w:pPr>
        <w:pStyle w:val="ListParagraph"/>
        <w:spacing w:after="0" w:line="276" w:lineRule="auto"/>
        <w:rPr>
          <w:rFonts w:ascii="Arial" w:eastAsia="Times New Roman" w:hAnsi="Arial" w:cs="Arial"/>
          <w:b/>
          <w:color w:val="0070C0"/>
          <w:sz w:val="24"/>
          <w:szCs w:val="20"/>
        </w:rPr>
      </w:pPr>
      <w:r w:rsidRPr="00575A1A">
        <w:rPr>
          <w:rFonts w:ascii="Arial" w:eastAsia="Times New Roman" w:hAnsi="Arial" w:cs="Arial"/>
          <w:b/>
          <w:color w:val="0070C0"/>
          <w:sz w:val="24"/>
          <w:szCs w:val="20"/>
        </w:rPr>
        <w:t>Yes</w:t>
      </w:r>
    </w:p>
    <w:p w:rsidR="00575A1A" w:rsidRPr="00575A1A" w:rsidRDefault="00575A1A" w:rsidP="00575A1A">
      <w:pPr>
        <w:pStyle w:val="ListParagraph"/>
        <w:spacing w:after="0" w:line="276" w:lineRule="auto"/>
        <w:rPr>
          <w:rFonts w:ascii="Arial" w:eastAsia="Times New Roman" w:hAnsi="Arial" w:cs="Arial"/>
          <w:b/>
          <w:color w:val="0070C0"/>
          <w:sz w:val="24"/>
          <w:szCs w:val="20"/>
        </w:rPr>
      </w:pPr>
    </w:p>
    <w:p w:rsidR="00CD4378" w:rsidRPr="00575A1A" w:rsidRDefault="00CD4378" w:rsidP="00575A1A">
      <w:pPr>
        <w:pStyle w:val="ListParagraph"/>
        <w:numPr>
          <w:ilvl w:val="1"/>
          <w:numId w:val="1"/>
        </w:numPr>
        <w:spacing w:after="0" w:line="276" w:lineRule="auto"/>
        <w:ind w:left="720"/>
        <w:rPr>
          <w:rFonts w:ascii="Arial" w:eastAsia="Times New Roman" w:hAnsi="Arial" w:cs="Arial"/>
          <w:b/>
          <w:sz w:val="24"/>
          <w:szCs w:val="20"/>
        </w:rPr>
      </w:pPr>
      <w:r w:rsidRPr="00575A1A">
        <w:rPr>
          <w:rFonts w:ascii="Arial" w:eastAsia="Times New Roman" w:hAnsi="Arial" w:cs="Arial"/>
          <w:b/>
          <w:sz w:val="24"/>
          <w:szCs w:val="20"/>
        </w:rPr>
        <w:t>Which months from 2017 were trued up in 2018?</w:t>
      </w:r>
    </w:p>
    <w:p w:rsidR="00CD4378" w:rsidRDefault="00CD4378" w:rsidP="00575A1A">
      <w:pPr>
        <w:pStyle w:val="ListParagraph"/>
        <w:spacing w:after="0" w:line="276" w:lineRule="auto"/>
        <w:rPr>
          <w:rFonts w:ascii="Arial" w:eastAsia="Times New Roman" w:hAnsi="Arial" w:cs="Arial"/>
          <w:b/>
          <w:color w:val="0070C0"/>
          <w:sz w:val="24"/>
          <w:szCs w:val="20"/>
        </w:rPr>
      </w:pPr>
      <w:r w:rsidRPr="00575A1A">
        <w:rPr>
          <w:rFonts w:ascii="Arial" w:eastAsia="Times New Roman" w:hAnsi="Arial" w:cs="Arial"/>
          <w:b/>
          <w:color w:val="0070C0"/>
          <w:sz w:val="24"/>
          <w:szCs w:val="20"/>
        </w:rPr>
        <w:t>None</w:t>
      </w:r>
    </w:p>
    <w:p w:rsidR="00575A1A" w:rsidRPr="00575A1A" w:rsidRDefault="00575A1A" w:rsidP="00575A1A">
      <w:pPr>
        <w:pStyle w:val="ListParagraph"/>
        <w:spacing w:after="0" w:line="276" w:lineRule="auto"/>
        <w:rPr>
          <w:rFonts w:ascii="Arial" w:eastAsia="Times New Roman" w:hAnsi="Arial" w:cs="Arial"/>
          <w:b/>
          <w:color w:val="0070C0"/>
          <w:sz w:val="24"/>
          <w:szCs w:val="20"/>
        </w:rPr>
      </w:pPr>
    </w:p>
    <w:p w:rsidR="00CD4378" w:rsidRPr="00575A1A" w:rsidRDefault="00CD4378" w:rsidP="00575A1A">
      <w:pPr>
        <w:pStyle w:val="ListParagraph"/>
        <w:numPr>
          <w:ilvl w:val="1"/>
          <w:numId w:val="1"/>
        </w:numPr>
        <w:spacing w:after="0" w:line="276" w:lineRule="auto"/>
        <w:ind w:left="720"/>
        <w:rPr>
          <w:rFonts w:ascii="Arial" w:eastAsia="Times New Roman" w:hAnsi="Arial" w:cs="Arial"/>
          <w:b/>
          <w:sz w:val="24"/>
          <w:szCs w:val="20"/>
        </w:rPr>
      </w:pPr>
      <w:r w:rsidRPr="00575A1A">
        <w:rPr>
          <w:rFonts w:ascii="Arial" w:eastAsia="Times New Roman" w:hAnsi="Arial" w:cs="Arial"/>
          <w:b/>
          <w:sz w:val="24"/>
          <w:szCs w:val="20"/>
        </w:rPr>
        <w:t>Have all of the 2017 related true-up been reflected in the applicant’s DVA Continuity Schedule in this proceeding?</w:t>
      </w:r>
    </w:p>
    <w:p w:rsidR="00CD4378" w:rsidRPr="00575A1A" w:rsidRDefault="00CD4378" w:rsidP="00575A1A">
      <w:pPr>
        <w:pStyle w:val="ListParagraph"/>
        <w:spacing w:after="0" w:line="276" w:lineRule="auto"/>
        <w:rPr>
          <w:rFonts w:ascii="Arial" w:eastAsia="Times New Roman" w:hAnsi="Arial" w:cs="Arial"/>
          <w:b/>
          <w:color w:val="0070C0"/>
          <w:sz w:val="24"/>
          <w:szCs w:val="20"/>
        </w:rPr>
      </w:pPr>
      <w:r w:rsidRPr="00575A1A">
        <w:rPr>
          <w:rFonts w:ascii="Arial" w:eastAsia="Times New Roman" w:hAnsi="Arial" w:cs="Arial"/>
          <w:b/>
          <w:color w:val="0070C0"/>
          <w:sz w:val="24"/>
          <w:szCs w:val="20"/>
        </w:rPr>
        <w:t>Yes</w:t>
      </w:r>
    </w:p>
    <w:p w:rsidR="00CD4378" w:rsidRPr="00575A1A" w:rsidRDefault="00CD4378" w:rsidP="00575A1A">
      <w:pPr>
        <w:pStyle w:val="ListParagraph"/>
        <w:numPr>
          <w:ilvl w:val="1"/>
          <w:numId w:val="1"/>
        </w:numPr>
        <w:spacing w:after="0" w:line="276" w:lineRule="auto"/>
        <w:ind w:left="720"/>
        <w:rPr>
          <w:rFonts w:ascii="Arial" w:eastAsia="Times New Roman" w:hAnsi="Arial" w:cs="Arial"/>
          <w:b/>
          <w:sz w:val="24"/>
          <w:szCs w:val="20"/>
        </w:rPr>
      </w:pPr>
      <w:r w:rsidRPr="00575A1A">
        <w:rPr>
          <w:rFonts w:ascii="Arial" w:eastAsia="Times New Roman" w:hAnsi="Arial" w:cs="Arial"/>
          <w:b/>
          <w:sz w:val="24"/>
          <w:szCs w:val="20"/>
        </w:rPr>
        <w:t>Please quantify the amount reflected in the DVA Continuity Schedule, and the column where it is included.</w:t>
      </w:r>
    </w:p>
    <w:p w:rsidR="00770A47" w:rsidRPr="00575A1A" w:rsidRDefault="00770A47" w:rsidP="00575A1A">
      <w:pPr>
        <w:pStyle w:val="ListParagraph"/>
        <w:spacing w:after="0" w:line="276" w:lineRule="auto"/>
        <w:rPr>
          <w:rFonts w:ascii="Arial" w:eastAsia="Times New Roman" w:hAnsi="Arial" w:cs="Arial"/>
          <w:b/>
          <w:color w:val="0070C0"/>
          <w:sz w:val="24"/>
          <w:szCs w:val="20"/>
        </w:rPr>
      </w:pPr>
      <w:r w:rsidRPr="00575A1A">
        <w:rPr>
          <w:rFonts w:ascii="Arial" w:eastAsia="Times New Roman" w:hAnsi="Arial" w:cs="Arial"/>
          <w:b/>
          <w:color w:val="0070C0"/>
          <w:sz w:val="24"/>
          <w:szCs w:val="20"/>
        </w:rPr>
        <w:lastRenderedPageBreak/>
        <w:t>Credit to account 4705 in the amount of $525,938 is included in the DVA Continuity Schedule in Sheet 2a column BD – Transactions Debit/(Credit) during 2017.</w:t>
      </w:r>
    </w:p>
    <w:p w:rsidR="001626FD" w:rsidRPr="00E80F9A" w:rsidRDefault="001626FD" w:rsidP="00575A1A">
      <w:pPr>
        <w:pStyle w:val="ListParagraph"/>
        <w:spacing w:after="0" w:line="276" w:lineRule="auto"/>
        <w:ind w:left="1080"/>
        <w:rPr>
          <w:rFonts w:ascii="Arial" w:eastAsia="Times New Roman" w:hAnsi="Arial" w:cs="Arial"/>
          <w:sz w:val="20"/>
          <w:szCs w:val="20"/>
        </w:rPr>
      </w:pPr>
    </w:p>
    <w:p w:rsidR="00CD4378" w:rsidRPr="00E80F9A" w:rsidRDefault="00CD4378" w:rsidP="00575A1A">
      <w:pPr>
        <w:spacing w:after="0" w:line="276" w:lineRule="auto"/>
        <w:rPr>
          <w:rFonts w:ascii="Arial" w:eastAsia="Times New Roman" w:hAnsi="Arial" w:cs="Arial"/>
          <w:sz w:val="20"/>
          <w:szCs w:val="20"/>
        </w:rPr>
      </w:pPr>
    </w:p>
    <w:p w:rsidR="00CD4378" w:rsidRPr="00575A1A" w:rsidRDefault="00CD4378" w:rsidP="00575A1A">
      <w:pPr>
        <w:pStyle w:val="ListParagraph"/>
        <w:numPr>
          <w:ilvl w:val="0"/>
          <w:numId w:val="1"/>
        </w:numPr>
        <w:spacing w:after="0" w:line="276" w:lineRule="auto"/>
        <w:ind w:left="426"/>
        <w:rPr>
          <w:rFonts w:ascii="Arial" w:eastAsia="Times New Roman" w:hAnsi="Arial" w:cs="Arial"/>
          <w:b/>
          <w:sz w:val="24"/>
          <w:szCs w:val="20"/>
        </w:rPr>
      </w:pPr>
      <w:r w:rsidRPr="00575A1A">
        <w:rPr>
          <w:rFonts w:ascii="Arial" w:eastAsia="Times New Roman" w:hAnsi="Arial" w:cs="Arial"/>
          <w:b/>
          <w:sz w:val="24"/>
          <w:szCs w:val="20"/>
          <w:u w:val="single"/>
        </w:rPr>
        <w:t>Questions on CT 148</w:t>
      </w:r>
    </w:p>
    <w:p w:rsidR="00CD4378" w:rsidRPr="00575A1A" w:rsidRDefault="00CD4378" w:rsidP="00575A1A">
      <w:pPr>
        <w:pStyle w:val="ListParagraph"/>
        <w:numPr>
          <w:ilvl w:val="0"/>
          <w:numId w:val="4"/>
        </w:numPr>
        <w:spacing w:after="0" w:line="276" w:lineRule="auto"/>
        <w:ind w:left="786"/>
        <w:rPr>
          <w:rFonts w:ascii="Arial" w:eastAsia="Times New Roman" w:hAnsi="Arial" w:cs="Arial"/>
          <w:b/>
          <w:sz w:val="24"/>
          <w:szCs w:val="20"/>
        </w:rPr>
      </w:pPr>
      <w:r w:rsidRPr="00575A1A">
        <w:rPr>
          <w:rFonts w:ascii="Arial" w:eastAsia="Times New Roman" w:hAnsi="Arial" w:cs="Arial"/>
          <w:b/>
          <w:sz w:val="24"/>
          <w:szCs w:val="20"/>
        </w:rPr>
        <w:t>Please describe the process for the initial recording of CT 148 in the accounts (i.e. 1588 and 1589)</w:t>
      </w:r>
    </w:p>
    <w:p w:rsidR="007117EB" w:rsidRDefault="007117EB" w:rsidP="00575A1A">
      <w:pPr>
        <w:pStyle w:val="ListParagraph"/>
        <w:spacing w:after="0" w:line="276" w:lineRule="auto"/>
        <w:ind w:left="786"/>
        <w:rPr>
          <w:rFonts w:ascii="Arial" w:eastAsia="Times New Roman" w:hAnsi="Arial" w:cs="Arial"/>
          <w:b/>
          <w:color w:val="0070C0"/>
          <w:sz w:val="24"/>
          <w:szCs w:val="20"/>
        </w:rPr>
      </w:pPr>
      <w:r w:rsidRPr="00575A1A">
        <w:rPr>
          <w:rFonts w:ascii="Arial" w:eastAsia="Times New Roman" w:hAnsi="Arial" w:cs="Arial"/>
          <w:b/>
          <w:color w:val="0070C0"/>
          <w:sz w:val="24"/>
          <w:szCs w:val="20"/>
        </w:rPr>
        <w:t xml:space="preserve">Refer to </w:t>
      </w:r>
      <w:r w:rsidR="00575A1A">
        <w:rPr>
          <w:rFonts w:ascii="Arial" w:eastAsia="Times New Roman" w:hAnsi="Arial" w:cs="Arial"/>
          <w:b/>
          <w:color w:val="0070C0"/>
          <w:sz w:val="24"/>
          <w:szCs w:val="20"/>
        </w:rPr>
        <w:t>A</w:t>
      </w:r>
      <w:r w:rsidRPr="00575A1A">
        <w:rPr>
          <w:rFonts w:ascii="Arial" w:eastAsia="Times New Roman" w:hAnsi="Arial" w:cs="Arial"/>
          <w:b/>
          <w:color w:val="0070C0"/>
          <w:sz w:val="24"/>
          <w:szCs w:val="20"/>
        </w:rPr>
        <w:t>ppendix 2</w:t>
      </w:r>
      <w:r w:rsidR="00575A1A">
        <w:rPr>
          <w:rFonts w:ascii="Arial" w:eastAsia="Times New Roman" w:hAnsi="Arial" w:cs="Arial"/>
          <w:b/>
          <w:color w:val="0070C0"/>
          <w:sz w:val="24"/>
          <w:szCs w:val="20"/>
        </w:rPr>
        <w:t>B</w:t>
      </w:r>
    </w:p>
    <w:p w:rsidR="00575A1A" w:rsidRPr="00575A1A" w:rsidRDefault="00575A1A" w:rsidP="00575A1A">
      <w:pPr>
        <w:spacing w:after="0" w:line="276" w:lineRule="auto"/>
        <w:rPr>
          <w:rFonts w:ascii="Arial" w:eastAsia="Times New Roman" w:hAnsi="Arial" w:cs="Arial"/>
          <w:b/>
          <w:sz w:val="24"/>
          <w:szCs w:val="20"/>
        </w:rPr>
      </w:pPr>
    </w:p>
    <w:p w:rsidR="00CD4378" w:rsidRPr="00575A1A" w:rsidRDefault="00CD4378" w:rsidP="00575A1A">
      <w:pPr>
        <w:pStyle w:val="ListParagraph"/>
        <w:numPr>
          <w:ilvl w:val="0"/>
          <w:numId w:val="4"/>
        </w:numPr>
        <w:spacing w:after="0" w:line="276" w:lineRule="auto"/>
        <w:ind w:left="786"/>
        <w:rPr>
          <w:rFonts w:ascii="Arial" w:eastAsia="Times New Roman" w:hAnsi="Arial" w:cs="Arial"/>
          <w:b/>
          <w:sz w:val="24"/>
          <w:szCs w:val="20"/>
        </w:rPr>
      </w:pPr>
      <w:r w:rsidRPr="00575A1A">
        <w:rPr>
          <w:rFonts w:ascii="Arial" w:eastAsia="Times New Roman" w:hAnsi="Arial" w:cs="Arial"/>
          <w:b/>
          <w:sz w:val="24"/>
          <w:szCs w:val="20"/>
        </w:rPr>
        <w:t xml:space="preserve">Please describe the process for true up of the GA related cost to ensure that the amounts reflected in Account 1588 are related to RPP GA costs and amounts in 1589 are related to only non-RPP GA costs. </w:t>
      </w:r>
    </w:p>
    <w:p w:rsidR="007117EB" w:rsidRDefault="007117EB" w:rsidP="00575A1A">
      <w:pPr>
        <w:pStyle w:val="ListParagraph"/>
        <w:spacing w:after="0" w:line="276" w:lineRule="auto"/>
        <w:ind w:left="786"/>
        <w:rPr>
          <w:rFonts w:ascii="Arial" w:eastAsia="Times New Roman" w:hAnsi="Arial" w:cs="Arial"/>
          <w:b/>
          <w:color w:val="0070C0"/>
          <w:sz w:val="24"/>
          <w:szCs w:val="20"/>
        </w:rPr>
      </w:pPr>
      <w:r w:rsidRPr="00575A1A">
        <w:rPr>
          <w:rFonts w:ascii="Arial" w:eastAsia="Times New Roman" w:hAnsi="Arial" w:cs="Arial"/>
          <w:b/>
          <w:color w:val="0070C0"/>
          <w:sz w:val="24"/>
          <w:szCs w:val="20"/>
        </w:rPr>
        <w:t xml:space="preserve">Refer to </w:t>
      </w:r>
      <w:r w:rsidR="00575A1A">
        <w:rPr>
          <w:rFonts w:ascii="Arial" w:eastAsia="Times New Roman" w:hAnsi="Arial" w:cs="Arial"/>
          <w:b/>
          <w:color w:val="0070C0"/>
          <w:sz w:val="24"/>
          <w:szCs w:val="20"/>
        </w:rPr>
        <w:t>A</w:t>
      </w:r>
      <w:r w:rsidRPr="00575A1A">
        <w:rPr>
          <w:rFonts w:ascii="Arial" w:eastAsia="Times New Roman" w:hAnsi="Arial" w:cs="Arial"/>
          <w:b/>
          <w:color w:val="0070C0"/>
          <w:sz w:val="24"/>
          <w:szCs w:val="20"/>
        </w:rPr>
        <w:t>ppendix 2</w:t>
      </w:r>
      <w:r w:rsidR="00575A1A">
        <w:rPr>
          <w:rFonts w:ascii="Arial" w:eastAsia="Times New Roman" w:hAnsi="Arial" w:cs="Arial"/>
          <w:b/>
          <w:color w:val="0070C0"/>
          <w:sz w:val="24"/>
          <w:szCs w:val="20"/>
        </w:rPr>
        <w:t>C</w:t>
      </w:r>
    </w:p>
    <w:p w:rsidR="00575A1A" w:rsidRPr="00575A1A" w:rsidRDefault="00575A1A" w:rsidP="00575A1A">
      <w:pPr>
        <w:pStyle w:val="ListParagraph"/>
        <w:spacing w:after="0" w:line="276" w:lineRule="auto"/>
        <w:ind w:left="786"/>
        <w:rPr>
          <w:rFonts w:ascii="Arial" w:eastAsia="Times New Roman" w:hAnsi="Arial" w:cs="Arial"/>
          <w:b/>
          <w:sz w:val="24"/>
          <w:szCs w:val="20"/>
        </w:rPr>
      </w:pPr>
    </w:p>
    <w:p w:rsidR="00CD4378" w:rsidRPr="00575A1A" w:rsidRDefault="00CD4378" w:rsidP="00575A1A">
      <w:pPr>
        <w:pStyle w:val="ListParagraph"/>
        <w:numPr>
          <w:ilvl w:val="0"/>
          <w:numId w:val="4"/>
        </w:numPr>
        <w:spacing w:after="0" w:line="276" w:lineRule="auto"/>
        <w:ind w:left="786"/>
        <w:rPr>
          <w:rFonts w:ascii="Arial" w:eastAsia="Times New Roman" w:hAnsi="Arial" w:cs="Arial"/>
          <w:b/>
          <w:sz w:val="24"/>
          <w:szCs w:val="20"/>
        </w:rPr>
      </w:pPr>
      <w:r w:rsidRPr="00575A1A">
        <w:rPr>
          <w:rFonts w:ascii="Arial" w:eastAsia="Times New Roman" w:hAnsi="Arial" w:cs="Arial"/>
          <w:b/>
          <w:sz w:val="24"/>
          <w:szCs w:val="20"/>
        </w:rPr>
        <w:t>What data is used to determine the non-RPP kWh volume that is multiplied with the actual GA per kWh rate (based on CT 148) for recording as expense in Account 1589 for initial recording of the GA expense?</w:t>
      </w:r>
    </w:p>
    <w:p w:rsidR="0070383A" w:rsidRDefault="00AD33AF" w:rsidP="00575A1A">
      <w:pPr>
        <w:pStyle w:val="ListParagraph"/>
        <w:spacing w:after="0" w:line="276" w:lineRule="auto"/>
        <w:ind w:left="786"/>
        <w:rPr>
          <w:rFonts w:ascii="Arial" w:eastAsia="Times New Roman" w:hAnsi="Arial" w:cs="Arial"/>
          <w:b/>
          <w:color w:val="0070C0"/>
          <w:sz w:val="24"/>
          <w:szCs w:val="20"/>
        </w:rPr>
      </w:pPr>
      <w:r w:rsidRPr="00575A1A">
        <w:rPr>
          <w:rFonts w:ascii="Arial" w:eastAsia="Times New Roman" w:hAnsi="Arial" w:cs="Arial"/>
          <w:b/>
          <w:color w:val="0070C0"/>
          <w:sz w:val="24"/>
          <w:szCs w:val="20"/>
        </w:rPr>
        <w:t>The initial amount recorded in account 1589 is the total GA (exc</w:t>
      </w:r>
      <w:r w:rsidR="00575A1A">
        <w:rPr>
          <w:rFonts w:ascii="Arial" w:eastAsia="Times New Roman" w:hAnsi="Arial" w:cs="Arial"/>
          <w:b/>
          <w:color w:val="0070C0"/>
          <w:sz w:val="24"/>
          <w:szCs w:val="20"/>
        </w:rPr>
        <w:t>l</w:t>
      </w:r>
      <w:r w:rsidRPr="00575A1A">
        <w:rPr>
          <w:rFonts w:ascii="Arial" w:eastAsia="Times New Roman" w:hAnsi="Arial" w:cs="Arial"/>
          <w:b/>
          <w:color w:val="0070C0"/>
          <w:sz w:val="24"/>
          <w:szCs w:val="20"/>
        </w:rPr>
        <w:t>uding Class A customers) less Estimated RPP GA</w:t>
      </w:r>
    </w:p>
    <w:p w:rsidR="00575A1A" w:rsidRPr="00575A1A" w:rsidRDefault="00575A1A" w:rsidP="00575A1A">
      <w:pPr>
        <w:pStyle w:val="ListParagraph"/>
        <w:spacing w:after="0" w:line="276" w:lineRule="auto"/>
        <w:ind w:left="786"/>
        <w:rPr>
          <w:rFonts w:ascii="Arial" w:eastAsia="Times New Roman" w:hAnsi="Arial" w:cs="Arial"/>
          <w:b/>
          <w:color w:val="0070C0"/>
          <w:sz w:val="24"/>
          <w:szCs w:val="20"/>
        </w:rPr>
      </w:pPr>
    </w:p>
    <w:p w:rsidR="00CD4378" w:rsidRPr="00575A1A" w:rsidRDefault="00CD4378" w:rsidP="00575A1A">
      <w:pPr>
        <w:pStyle w:val="ListParagraph"/>
        <w:numPr>
          <w:ilvl w:val="0"/>
          <w:numId w:val="4"/>
        </w:numPr>
        <w:spacing w:after="0" w:line="276" w:lineRule="auto"/>
        <w:ind w:left="786"/>
        <w:rPr>
          <w:rFonts w:ascii="Arial" w:eastAsia="Times New Roman" w:hAnsi="Arial" w:cs="Arial"/>
          <w:b/>
          <w:sz w:val="24"/>
          <w:szCs w:val="20"/>
        </w:rPr>
      </w:pPr>
      <w:r w:rsidRPr="00575A1A">
        <w:rPr>
          <w:rFonts w:ascii="Arial" w:eastAsia="Times New Roman" w:hAnsi="Arial" w:cs="Arial"/>
          <w:b/>
          <w:sz w:val="24"/>
          <w:szCs w:val="20"/>
        </w:rPr>
        <w:t>Does the utility true up the initial recording of CT 148 in Accounts 1588 and 1589 based on estimated proportions to actuals based on actual consumption proportions for RPP and non-RPP?</w:t>
      </w:r>
    </w:p>
    <w:p w:rsidR="00CD4378" w:rsidRDefault="00CD4378" w:rsidP="00575A1A">
      <w:pPr>
        <w:pStyle w:val="ListParagraph"/>
        <w:spacing w:after="0" w:line="276" w:lineRule="auto"/>
        <w:ind w:left="786"/>
        <w:rPr>
          <w:rFonts w:ascii="Arial" w:eastAsia="Times New Roman" w:hAnsi="Arial" w:cs="Arial"/>
          <w:b/>
          <w:color w:val="0070C0"/>
          <w:sz w:val="24"/>
          <w:szCs w:val="20"/>
        </w:rPr>
      </w:pPr>
      <w:r w:rsidRPr="00575A1A">
        <w:rPr>
          <w:rFonts w:ascii="Arial" w:eastAsia="Times New Roman" w:hAnsi="Arial" w:cs="Arial"/>
          <w:b/>
          <w:color w:val="0070C0"/>
          <w:sz w:val="24"/>
          <w:szCs w:val="20"/>
        </w:rPr>
        <w:t>Yes</w:t>
      </w:r>
    </w:p>
    <w:p w:rsidR="00575A1A" w:rsidRPr="00575A1A" w:rsidRDefault="00575A1A" w:rsidP="00575A1A">
      <w:pPr>
        <w:pStyle w:val="ListParagraph"/>
        <w:spacing w:after="0" w:line="276" w:lineRule="auto"/>
        <w:ind w:left="786"/>
        <w:rPr>
          <w:rFonts w:ascii="Arial" w:eastAsia="Times New Roman" w:hAnsi="Arial" w:cs="Arial"/>
          <w:b/>
          <w:color w:val="0070C0"/>
          <w:sz w:val="24"/>
          <w:szCs w:val="20"/>
        </w:rPr>
      </w:pPr>
    </w:p>
    <w:p w:rsidR="00CD4378" w:rsidRPr="00575A1A" w:rsidRDefault="00CD4378" w:rsidP="00575A1A">
      <w:pPr>
        <w:pStyle w:val="ListParagraph"/>
        <w:numPr>
          <w:ilvl w:val="0"/>
          <w:numId w:val="4"/>
        </w:numPr>
        <w:spacing w:after="0" w:line="276" w:lineRule="auto"/>
        <w:ind w:left="786"/>
        <w:rPr>
          <w:rFonts w:ascii="Arial" w:eastAsia="Times New Roman" w:hAnsi="Arial" w:cs="Arial"/>
          <w:b/>
          <w:sz w:val="24"/>
          <w:szCs w:val="20"/>
        </w:rPr>
      </w:pPr>
      <w:r w:rsidRPr="00575A1A">
        <w:rPr>
          <w:rFonts w:ascii="Arial" w:eastAsia="Times New Roman" w:hAnsi="Arial" w:cs="Arial"/>
          <w:b/>
          <w:sz w:val="24"/>
          <w:szCs w:val="20"/>
        </w:rPr>
        <w:t>Please indicate which months from 2017 were trued up in 2018 for CT 148 proportions between RPP and non-RPP.</w:t>
      </w:r>
    </w:p>
    <w:p w:rsidR="00CD4378" w:rsidRDefault="00CD4378" w:rsidP="00575A1A">
      <w:pPr>
        <w:pStyle w:val="ListParagraph"/>
        <w:spacing w:after="0" w:line="276" w:lineRule="auto"/>
        <w:ind w:left="786"/>
        <w:rPr>
          <w:rFonts w:ascii="Arial" w:eastAsia="Times New Roman" w:hAnsi="Arial" w:cs="Arial"/>
          <w:b/>
          <w:color w:val="0070C0"/>
          <w:sz w:val="24"/>
          <w:szCs w:val="20"/>
        </w:rPr>
      </w:pPr>
      <w:r w:rsidRPr="00575A1A">
        <w:rPr>
          <w:rFonts w:ascii="Arial" w:eastAsia="Times New Roman" w:hAnsi="Arial" w:cs="Arial"/>
          <w:b/>
          <w:color w:val="0070C0"/>
          <w:sz w:val="24"/>
          <w:szCs w:val="20"/>
        </w:rPr>
        <w:t>None</w:t>
      </w:r>
    </w:p>
    <w:p w:rsidR="00575A1A" w:rsidRPr="00575A1A" w:rsidRDefault="00575A1A" w:rsidP="00575A1A">
      <w:pPr>
        <w:pStyle w:val="ListParagraph"/>
        <w:spacing w:after="0" w:line="276" w:lineRule="auto"/>
        <w:ind w:left="786"/>
        <w:rPr>
          <w:rFonts w:ascii="Arial" w:eastAsia="Times New Roman" w:hAnsi="Arial" w:cs="Arial"/>
          <w:b/>
          <w:color w:val="0070C0"/>
          <w:sz w:val="24"/>
          <w:szCs w:val="20"/>
        </w:rPr>
      </w:pPr>
    </w:p>
    <w:p w:rsidR="00CD4378" w:rsidRPr="00575A1A" w:rsidRDefault="00CD4378" w:rsidP="00575A1A">
      <w:pPr>
        <w:pStyle w:val="ListParagraph"/>
        <w:numPr>
          <w:ilvl w:val="0"/>
          <w:numId w:val="4"/>
        </w:numPr>
        <w:spacing w:after="0" w:line="276" w:lineRule="auto"/>
        <w:ind w:left="786"/>
        <w:rPr>
          <w:rFonts w:ascii="Arial" w:eastAsia="Times New Roman" w:hAnsi="Arial" w:cs="Arial"/>
          <w:b/>
          <w:sz w:val="24"/>
          <w:szCs w:val="20"/>
        </w:rPr>
      </w:pPr>
      <w:r w:rsidRPr="00575A1A">
        <w:rPr>
          <w:rFonts w:ascii="Arial" w:eastAsia="Times New Roman" w:hAnsi="Arial" w:cs="Arial"/>
          <w:b/>
          <w:sz w:val="24"/>
          <w:szCs w:val="20"/>
        </w:rPr>
        <w:t>Are all true-ups for 2017 consumption reflected in the DVA Continuity Schedule under 2017.</w:t>
      </w:r>
    </w:p>
    <w:p w:rsidR="00CD4378" w:rsidRDefault="00CD4378" w:rsidP="00575A1A">
      <w:pPr>
        <w:pStyle w:val="ListParagraph"/>
        <w:spacing w:after="0" w:line="276" w:lineRule="auto"/>
        <w:ind w:left="786"/>
        <w:rPr>
          <w:rFonts w:ascii="Arial" w:eastAsia="Times New Roman" w:hAnsi="Arial" w:cs="Arial"/>
          <w:b/>
          <w:color w:val="0070C0"/>
          <w:sz w:val="24"/>
          <w:szCs w:val="20"/>
        </w:rPr>
      </w:pPr>
      <w:r w:rsidRPr="00575A1A">
        <w:rPr>
          <w:rFonts w:ascii="Arial" w:eastAsia="Times New Roman" w:hAnsi="Arial" w:cs="Arial"/>
          <w:b/>
          <w:color w:val="0070C0"/>
          <w:sz w:val="24"/>
          <w:szCs w:val="20"/>
        </w:rPr>
        <w:t>Yes</w:t>
      </w:r>
    </w:p>
    <w:p w:rsidR="00575A1A" w:rsidRPr="00575A1A" w:rsidRDefault="00575A1A" w:rsidP="00575A1A">
      <w:pPr>
        <w:pStyle w:val="ListParagraph"/>
        <w:spacing w:after="0" w:line="276" w:lineRule="auto"/>
        <w:ind w:left="786"/>
        <w:rPr>
          <w:rFonts w:ascii="Arial" w:eastAsia="Times New Roman" w:hAnsi="Arial" w:cs="Arial"/>
          <w:b/>
          <w:color w:val="0070C0"/>
          <w:sz w:val="24"/>
          <w:szCs w:val="20"/>
        </w:rPr>
      </w:pPr>
    </w:p>
    <w:p w:rsidR="00CD4378" w:rsidRPr="00575A1A" w:rsidRDefault="00CD4378" w:rsidP="00575A1A">
      <w:pPr>
        <w:pStyle w:val="ListParagraph"/>
        <w:numPr>
          <w:ilvl w:val="0"/>
          <w:numId w:val="4"/>
        </w:numPr>
        <w:spacing w:after="0" w:line="276" w:lineRule="auto"/>
        <w:ind w:left="786"/>
        <w:rPr>
          <w:rFonts w:ascii="Arial" w:eastAsia="Times New Roman" w:hAnsi="Arial" w:cs="Arial"/>
          <w:b/>
          <w:sz w:val="24"/>
          <w:szCs w:val="20"/>
        </w:rPr>
      </w:pPr>
      <w:r w:rsidRPr="00575A1A">
        <w:rPr>
          <w:rFonts w:ascii="Arial" w:eastAsia="Times New Roman" w:hAnsi="Arial" w:cs="Arial"/>
          <w:b/>
          <w:sz w:val="24"/>
          <w:szCs w:val="20"/>
        </w:rPr>
        <w:t>Please quantify the amount reflected in the DVA Continuity Schedule, and the column where it is included.</w:t>
      </w:r>
    </w:p>
    <w:p w:rsidR="00770A47" w:rsidRPr="00575A1A" w:rsidRDefault="00770A47" w:rsidP="00575A1A">
      <w:pPr>
        <w:pStyle w:val="ListParagraph"/>
        <w:spacing w:after="0" w:line="276" w:lineRule="auto"/>
        <w:ind w:left="786"/>
        <w:rPr>
          <w:rFonts w:ascii="Arial" w:eastAsia="Times New Roman" w:hAnsi="Arial" w:cs="Arial"/>
          <w:b/>
          <w:color w:val="0070C0"/>
          <w:sz w:val="24"/>
          <w:szCs w:val="20"/>
        </w:rPr>
      </w:pPr>
      <w:r w:rsidRPr="00575A1A">
        <w:rPr>
          <w:rFonts w:ascii="Arial" w:eastAsia="Times New Roman" w:hAnsi="Arial" w:cs="Arial"/>
          <w:b/>
          <w:color w:val="0070C0"/>
          <w:sz w:val="24"/>
          <w:szCs w:val="20"/>
        </w:rPr>
        <w:t>Debit to account 4707 in the amount of $678,907.98 is included in the DVA Continuity Schedule in Sheet 2a column BD – Transactions Debit/(Credit) during 2017.</w:t>
      </w:r>
    </w:p>
    <w:p w:rsidR="00770A47" w:rsidRPr="00E80F9A" w:rsidRDefault="00770A47" w:rsidP="00770A47">
      <w:pPr>
        <w:pStyle w:val="ListParagraph"/>
        <w:spacing w:after="0" w:line="276" w:lineRule="auto"/>
        <w:ind w:left="1440"/>
        <w:rPr>
          <w:rFonts w:ascii="Arial" w:eastAsia="Times New Roman" w:hAnsi="Arial" w:cs="Arial"/>
          <w:sz w:val="20"/>
          <w:szCs w:val="20"/>
        </w:rPr>
      </w:pPr>
    </w:p>
    <w:p w:rsidR="001626FD" w:rsidRPr="00E80F9A" w:rsidRDefault="001626FD" w:rsidP="001626FD">
      <w:pPr>
        <w:pStyle w:val="ListParagraph"/>
        <w:spacing w:after="0" w:line="276" w:lineRule="auto"/>
        <w:ind w:left="1440"/>
        <w:rPr>
          <w:rFonts w:ascii="Arial" w:eastAsia="Times New Roman" w:hAnsi="Arial" w:cs="Arial"/>
          <w:sz w:val="20"/>
          <w:szCs w:val="20"/>
        </w:rPr>
      </w:pPr>
    </w:p>
    <w:p w:rsidR="00CD4378" w:rsidRPr="00E80F9A" w:rsidRDefault="00CD4378" w:rsidP="00CD4378">
      <w:pPr>
        <w:pStyle w:val="ListParagraph"/>
        <w:spacing w:after="0" w:line="276" w:lineRule="auto"/>
        <w:ind w:left="1440"/>
        <w:rPr>
          <w:rFonts w:ascii="Arial" w:eastAsia="Times New Roman" w:hAnsi="Arial" w:cs="Arial"/>
          <w:sz w:val="20"/>
          <w:szCs w:val="20"/>
        </w:rPr>
      </w:pPr>
    </w:p>
    <w:p w:rsidR="00CD4378" w:rsidRPr="00575A1A" w:rsidRDefault="00CD4378" w:rsidP="00575A1A">
      <w:pPr>
        <w:pStyle w:val="ListParagraph"/>
        <w:numPr>
          <w:ilvl w:val="0"/>
          <w:numId w:val="1"/>
        </w:numPr>
        <w:spacing w:after="0" w:line="276" w:lineRule="auto"/>
        <w:ind w:left="426"/>
        <w:rPr>
          <w:rFonts w:ascii="Arial" w:eastAsia="Times New Roman" w:hAnsi="Arial" w:cs="Arial"/>
          <w:b/>
          <w:sz w:val="24"/>
          <w:szCs w:val="20"/>
        </w:rPr>
      </w:pPr>
      <w:r w:rsidRPr="00575A1A">
        <w:rPr>
          <w:rFonts w:ascii="Arial" w:eastAsia="Times New Roman" w:hAnsi="Arial" w:cs="Arial"/>
          <w:b/>
          <w:sz w:val="24"/>
          <w:szCs w:val="20"/>
        </w:rPr>
        <w:t>Questions regarding principal adjustments and reversals on the DVA Continuity Schedule:</w:t>
      </w:r>
    </w:p>
    <w:p w:rsidR="00CD4378" w:rsidRPr="00E80F9A" w:rsidRDefault="00CD4378" w:rsidP="00575A1A">
      <w:pPr>
        <w:spacing w:after="0" w:line="276" w:lineRule="auto"/>
        <w:ind w:left="426"/>
        <w:rPr>
          <w:rFonts w:ascii="Arial" w:eastAsia="Times New Roman" w:hAnsi="Arial" w:cs="Arial"/>
          <w:sz w:val="20"/>
          <w:szCs w:val="20"/>
        </w:rPr>
      </w:pPr>
    </w:p>
    <w:p w:rsidR="00CD4378" w:rsidRPr="00E80F9A" w:rsidRDefault="00CD4378" w:rsidP="00575A1A">
      <w:pPr>
        <w:spacing w:after="0" w:line="276" w:lineRule="auto"/>
        <w:ind w:left="426"/>
        <w:rPr>
          <w:rFonts w:ascii="Arial" w:eastAsia="Times New Roman" w:hAnsi="Arial" w:cs="Arial"/>
          <w:sz w:val="20"/>
          <w:szCs w:val="20"/>
          <w:u w:val="single"/>
        </w:rPr>
      </w:pPr>
      <w:r w:rsidRPr="00E80F9A">
        <w:rPr>
          <w:rFonts w:ascii="Arial" w:eastAsia="Times New Roman" w:hAnsi="Arial" w:cs="Arial"/>
          <w:sz w:val="20"/>
          <w:szCs w:val="20"/>
          <w:u w:val="single"/>
        </w:rPr>
        <w:t>Questions on Principal Adjustments - Accounts 1588 and 1589</w:t>
      </w:r>
    </w:p>
    <w:p w:rsidR="00CD4378" w:rsidRPr="00575A1A" w:rsidRDefault="00CD4378" w:rsidP="00575A1A">
      <w:pPr>
        <w:pStyle w:val="ListParagraph"/>
        <w:numPr>
          <w:ilvl w:val="0"/>
          <w:numId w:val="3"/>
        </w:numPr>
        <w:spacing w:after="0" w:line="276" w:lineRule="auto"/>
        <w:ind w:left="786"/>
        <w:rPr>
          <w:rFonts w:ascii="Arial" w:eastAsia="Times New Roman" w:hAnsi="Arial" w:cs="Arial"/>
          <w:b/>
          <w:sz w:val="24"/>
          <w:szCs w:val="24"/>
        </w:rPr>
      </w:pPr>
      <w:r w:rsidRPr="00575A1A">
        <w:rPr>
          <w:rFonts w:ascii="Arial" w:eastAsia="Times New Roman" w:hAnsi="Arial" w:cs="Arial"/>
          <w:b/>
          <w:sz w:val="24"/>
          <w:szCs w:val="24"/>
        </w:rPr>
        <w:t>Did the applicant have principal adjustments in its 2018 rate proceeding which were approved for disposition?</w:t>
      </w:r>
    </w:p>
    <w:p w:rsidR="007E6862" w:rsidRDefault="007E6862" w:rsidP="00575A1A">
      <w:pPr>
        <w:pStyle w:val="ListParagraph"/>
        <w:spacing w:after="0" w:line="276" w:lineRule="auto"/>
        <w:ind w:left="786"/>
        <w:rPr>
          <w:rFonts w:ascii="Arial" w:eastAsia="Times New Roman" w:hAnsi="Arial" w:cs="Arial"/>
          <w:b/>
          <w:color w:val="2E74B5" w:themeColor="accent5" w:themeShade="BF"/>
          <w:sz w:val="24"/>
          <w:szCs w:val="24"/>
        </w:rPr>
      </w:pPr>
      <w:r w:rsidRPr="00575A1A">
        <w:rPr>
          <w:rFonts w:ascii="Arial" w:eastAsia="Times New Roman" w:hAnsi="Arial" w:cs="Arial"/>
          <w:b/>
          <w:color w:val="2E74B5" w:themeColor="accent5" w:themeShade="BF"/>
          <w:sz w:val="24"/>
          <w:szCs w:val="24"/>
        </w:rPr>
        <w:t>Yes</w:t>
      </w:r>
    </w:p>
    <w:p w:rsidR="00575A1A" w:rsidRPr="00575A1A" w:rsidRDefault="00575A1A" w:rsidP="00575A1A">
      <w:pPr>
        <w:pStyle w:val="ListParagraph"/>
        <w:spacing w:after="0" w:line="276" w:lineRule="auto"/>
        <w:ind w:left="786"/>
        <w:rPr>
          <w:rFonts w:ascii="Arial" w:eastAsia="Times New Roman" w:hAnsi="Arial" w:cs="Arial"/>
          <w:b/>
          <w:color w:val="2E74B5" w:themeColor="accent5" w:themeShade="BF"/>
          <w:sz w:val="24"/>
          <w:szCs w:val="24"/>
        </w:rPr>
      </w:pPr>
    </w:p>
    <w:p w:rsidR="00CD4378" w:rsidRPr="00575A1A" w:rsidRDefault="00CD4378" w:rsidP="00575A1A">
      <w:pPr>
        <w:pStyle w:val="ListParagraph"/>
        <w:numPr>
          <w:ilvl w:val="0"/>
          <w:numId w:val="3"/>
        </w:numPr>
        <w:spacing w:after="0" w:line="276" w:lineRule="auto"/>
        <w:ind w:left="786"/>
        <w:rPr>
          <w:rFonts w:ascii="Arial" w:eastAsia="Times New Roman" w:hAnsi="Arial" w:cs="Arial"/>
          <w:b/>
          <w:sz w:val="24"/>
          <w:szCs w:val="24"/>
        </w:rPr>
      </w:pPr>
      <w:r w:rsidRPr="00575A1A">
        <w:rPr>
          <w:rFonts w:ascii="Arial" w:eastAsia="Times New Roman" w:hAnsi="Arial" w:cs="Arial"/>
          <w:b/>
          <w:sz w:val="24"/>
          <w:szCs w:val="24"/>
        </w:rPr>
        <w:t>Please provide a break-down of the total amount of principal adjustments that were approved (e.g. true-up of unbilled (for 1589 only), true up of CT 1142, true up of CT 148 etc.).</w:t>
      </w:r>
    </w:p>
    <w:p w:rsidR="007E6862" w:rsidRPr="00575A1A" w:rsidRDefault="007E6862" w:rsidP="00575A1A">
      <w:pPr>
        <w:pStyle w:val="ListParagraph"/>
        <w:spacing w:after="0" w:line="276" w:lineRule="auto"/>
        <w:ind w:left="786"/>
        <w:rPr>
          <w:rFonts w:ascii="Arial" w:eastAsia="Times New Roman" w:hAnsi="Arial" w:cs="Arial"/>
          <w:b/>
          <w:color w:val="2E74B5" w:themeColor="accent5" w:themeShade="BF"/>
          <w:sz w:val="24"/>
          <w:szCs w:val="24"/>
          <w:u w:val="single"/>
        </w:rPr>
      </w:pPr>
      <w:r w:rsidRPr="00575A1A">
        <w:rPr>
          <w:rFonts w:ascii="Arial" w:eastAsia="Times New Roman" w:hAnsi="Arial" w:cs="Arial"/>
          <w:b/>
          <w:color w:val="0070C0"/>
          <w:sz w:val="24"/>
          <w:szCs w:val="24"/>
          <w:u w:val="single"/>
        </w:rPr>
        <w:t>15</w:t>
      </w:r>
      <w:r w:rsidRPr="00575A1A">
        <w:rPr>
          <w:rFonts w:ascii="Arial" w:eastAsia="Times New Roman" w:hAnsi="Arial" w:cs="Arial"/>
          <w:b/>
          <w:color w:val="2E74B5" w:themeColor="accent5" w:themeShade="BF"/>
          <w:sz w:val="24"/>
          <w:szCs w:val="24"/>
          <w:u w:val="single"/>
        </w:rPr>
        <w:t>88</w:t>
      </w:r>
    </w:p>
    <w:p w:rsidR="00EE216F" w:rsidRPr="00575A1A" w:rsidRDefault="00EE216F" w:rsidP="00575A1A">
      <w:pPr>
        <w:pStyle w:val="ListParagraph"/>
        <w:spacing w:after="0" w:line="276" w:lineRule="auto"/>
        <w:ind w:left="786"/>
        <w:rPr>
          <w:rFonts w:ascii="Arial" w:eastAsia="Times New Roman" w:hAnsi="Arial" w:cs="Arial"/>
          <w:b/>
          <w:color w:val="2E74B5" w:themeColor="accent5" w:themeShade="BF"/>
          <w:sz w:val="24"/>
          <w:szCs w:val="24"/>
          <w:u w:val="single"/>
        </w:rPr>
      </w:pPr>
      <w:r w:rsidRPr="00575A1A">
        <w:rPr>
          <w:rFonts w:ascii="Arial" w:eastAsia="Times New Roman" w:hAnsi="Arial" w:cs="Arial"/>
          <w:b/>
          <w:color w:val="2E74B5" w:themeColor="accent5" w:themeShade="BF"/>
          <w:sz w:val="24"/>
          <w:szCs w:val="24"/>
          <w:u w:val="single"/>
        </w:rPr>
        <w:t>2016 Adjustments</w:t>
      </w:r>
    </w:p>
    <w:p w:rsidR="007E6862" w:rsidRPr="00575A1A" w:rsidRDefault="007E6862" w:rsidP="00575A1A">
      <w:pPr>
        <w:pStyle w:val="ListParagraph"/>
        <w:numPr>
          <w:ilvl w:val="0"/>
          <w:numId w:val="5"/>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2E74B5" w:themeColor="accent5" w:themeShade="BF"/>
          <w:sz w:val="24"/>
          <w:szCs w:val="24"/>
        </w:rPr>
        <w:t>True-up of unbilled revenue</w:t>
      </w:r>
      <w:r w:rsidR="00567BE2" w:rsidRPr="00575A1A">
        <w:rPr>
          <w:rFonts w:ascii="Arial" w:eastAsia="Times New Roman" w:hAnsi="Arial" w:cs="Arial"/>
          <w:color w:val="2E74B5" w:themeColor="accent5" w:themeShade="BF"/>
          <w:sz w:val="24"/>
          <w:szCs w:val="24"/>
        </w:rPr>
        <w:t xml:space="preserve"> for Dec 2016</w:t>
      </w:r>
      <w:r w:rsidR="00B533D2" w:rsidRPr="00575A1A">
        <w:rPr>
          <w:rFonts w:ascii="Arial" w:eastAsia="Times New Roman" w:hAnsi="Arial" w:cs="Arial"/>
          <w:color w:val="2E74B5" w:themeColor="accent5" w:themeShade="BF"/>
          <w:sz w:val="24"/>
          <w:szCs w:val="24"/>
        </w:rPr>
        <w:t>:</w:t>
      </w:r>
      <w:r w:rsidRPr="00575A1A">
        <w:rPr>
          <w:rFonts w:ascii="Arial" w:eastAsia="Times New Roman" w:hAnsi="Arial" w:cs="Arial"/>
          <w:color w:val="2E74B5" w:themeColor="accent5" w:themeShade="BF"/>
          <w:sz w:val="24"/>
          <w:szCs w:val="24"/>
        </w:rPr>
        <w:t xml:space="preserve"> </w:t>
      </w:r>
      <w:r w:rsidR="00567BE2" w:rsidRPr="00575A1A">
        <w:rPr>
          <w:rFonts w:ascii="Arial" w:eastAsia="Times New Roman" w:hAnsi="Arial" w:cs="Arial"/>
          <w:color w:val="2E74B5" w:themeColor="accent5" w:themeShade="BF"/>
          <w:sz w:val="24"/>
          <w:szCs w:val="24"/>
        </w:rPr>
        <w:t>(</w:t>
      </w:r>
      <w:r w:rsidRPr="00575A1A">
        <w:rPr>
          <w:rFonts w:ascii="Arial" w:eastAsia="Times New Roman" w:hAnsi="Arial" w:cs="Arial"/>
          <w:color w:val="2E74B5" w:themeColor="accent5" w:themeShade="BF"/>
          <w:sz w:val="24"/>
          <w:szCs w:val="24"/>
        </w:rPr>
        <w:t>$237,386.16</w:t>
      </w:r>
      <w:r w:rsidR="00567BE2" w:rsidRPr="00575A1A">
        <w:rPr>
          <w:rFonts w:ascii="Arial" w:eastAsia="Times New Roman" w:hAnsi="Arial" w:cs="Arial"/>
          <w:color w:val="2E74B5" w:themeColor="accent5" w:themeShade="BF"/>
          <w:sz w:val="24"/>
          <w:szCs w:val="24"/>
        </w:rPr>
        <w:t>)</w:t>
      </w:r>
      <w:r w:rsidR="00B533D2" w:rsidRPr="00575A1A">
        <w:rPr>
          <w:rFonts w:ascii="Arial" w:eastAsia="Times New Roman" w:hAnsi="Arial" w:cs="Arial"/>
          <w:color w:val="2E74B5" w:themeColor="accent5" w:themeShade="BF"/>
          <w:sz w:val="24"/>
          <w:szCs w:val="24"/>
        </w:rPr>
        <w:t>.</w:t>
      </w:r>
    </w:p>
    <w:p w:rsidR="007E6862" w:rsidRPr="00575A1A" w:rsidRDefault="00EE216F" w:rsidP="00575A1A">
      <w:pPr>
        <w:pStyle w:val="ListParagraph"/>
        <w:numPr>
          <w:ilvl w:val="0"/>
          <w:numId w:val="5"/>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2E74B5" w:themeColor="accent5" w:themeShade="BF"/>
          <w:sz w:val="24"/>
          <w:szCs w:val="24"/>
        </w:rPr>
        <w:t>Estimate for impact of 2016 IESO Notice of Dispute (NOD)</w:t>
      </w:r>
      <w:r w:rsidR="00B533D2" w:rsidRPr="00575A1A">
        <w:rPr>
          <w:rFonts w:ascii="Arial" w:eastAsia="Times New Roman" w:hAnsi="Arial" w:cs="Arial"/>
          <w:color w:val="2E74B5" w:themeColor="accent5" w:themeShade="BF"/>
          <w:sz w:val="24"/>
          <w:szCs w:val="24"/>
        </w:rPr>
        <w:t>:</w:t>
      </w:r>
      <w:r w:rsidR="007E6862" w:rsidRPr="00575A1A">
        <w:rPr>
          <w:rFonts w:ascii="Arial" w:eastAsia="Times New Roman" w:hAnsi="Arial" w:cs="Arial"/>
          <w:color w:val="2E74B5" w:themeColor="accent5" w:themeShade="BF"/>
          <w:sz w:val="24"/>
          <w:szCs w:val="24"/>
        </w:rPr>
        <w:t xml:space="preserve"> ($6,947</w:t>
      </w:r>
      <w:r w:rsidR="00B533D2" w:rsidRPr="00575A1A">
        <w:rPr>
          <w:rFonts w:ascii="Arial" w:eastAsia="Times New Roman" w:hAnsi="Arial" w:cs="Arial"/>
          <w:color w:val="2E74B5" w:themeColor="accent5" w:themeShade="BF"/>
          <w:sz w:val="24"/>
          <w:szCs w:val="24"/>
        </w:rPr>
        <w:t>.29</w:t>
      </w:r>
      <w:r w:rsidR="007E6862" w:rsidRPr="00575A1A">
        <w:rPr>
          <w:rFonts w:ascii="Arial" w:eastAsia="Times New Roman" w:hAnsi="Arial" w:cs="Arial"/>
          <w:color w:val="2E74B5" w:themeColor="accent5" w:themeShade="BF"/>
          <w:sz w:val="24"/>
          <w:szCs w:val="24"/>
        </w:rPr>
        <w:t>)</w:t>
      </w:r>
      <w:r w:rsidR="00B533D2" w:rsidRPr="00575A1A">
        <w:rPr>
          <w:rFonts w:ascii="Arial" w:eastAsia="Times New Roman" w:hAnsi="Arial" w:cs="Arial"/>
          <w:color w:val="2E74B5" w:themeColor="accent5" w:themeShade="BF"/>
          <w:sz w:val="24"/>
          <w:szCs w:val="24"/>
        </w:rPr>
        <w:t xml:space="preserve"> </w:t>
      </w:r>
    </w:p>
    <w:p w:rsidR="00EE216F" w:rsidRPr="00575A1A" w:rsidRDefault="00EE216F" w:rsidP="00575A1A">
      <w:pPr>
        <w:pStyle w:val="ListParagraph"/>
        <w:numPr>
          <w:ilvl w:val="0"/>
          <w:numId w:val="5"/>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2E74B5" w:themeColor="accent5" w:themeShade="BF"/>
          <w:sz w:val="24"/>
          <w:szCs w:val="24"/>
        </w:rPr>
        <w:t>Adjust 2015 NOD from estimate to settlement amount:</w:t>
      </w:r>
      <w:r w:rsidR="00B533D2" w:rsidRPr="00575A1A">
        <w:rPr>
          <w:rFonts w:ascii="Arial" w:eastAsia="Times New Roman" w:hAnsi="Arial" w:cs="Arial"/>
          <w:color w:val="2E74B5" w:themeColor="accent5" w:themeShade="BF"/>
          <w:sz w:val="24"/>
          <w:szCs w:val="24"/>
        </w:rPr>
        <w:t xml:space="preserve"> $12,445.39</w:t>
      </w:r>
    </w:p>
    <w:p w:rsidR="00B533D2" w:rsidRPr="00575A1A" w:rsidRDefault="00EE216F" w:rsidP="00575A1A">
      <w:pPr>
        <w:pStyle w:val="ListParagraph"/>
        <w:numPr>
          <w:ilvl w:val="0"/>
          <w:numId w:val="5"/>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2E74B5" w:themeColor="accent5" w:themeShade="BF"/>
          <w:sz w:val="24"/>
          <w:szCs w:val="24"/>
        </w:rPr>
        <w:t>Adjust 2016 NOD from estimate to settlement amount:</w:t>
      </w:r>
      <w:r w:rsidR="00B533D2" w:rsidRPr="00575A1A">
        <w:rPr>
          <w:rFonts w:ascii="Arial" w:eastAsia="Times New Roman" w:hAnsi="Arial" w:cs="Arial"/>
          <w:color w:val="2E74B5" w:themeColor="accent5" w:themeShade="BF"/>
          <w:sz w:val="24"/>
          <w:szCs w:val="24"/>
        </w:rPr>
        <w:t xml:space="preserve"> </w:t>
      </w:r>
      <w:r w:rsidR="00567BE2" w:rsidRPr="00575A1A">
        <w:rPr>
          <w:rFonts w:ascii="Arial" w:eastAsia="Times New Roman" w:hAnsi="Arial" w:cs="Arial"/>
          <w:color w:val="2E74B5" w:themeColor="accent5" w:themeShade="BF"/>
          <w:sz w:val="24"/>
          <w:szCs w:val="24"/>
        </w:rPr>
        <w:t>(</w:t>
      </w:r>
      <w:r w:rsidR="00B533D2" w:rsidRPr="00575A1A">
        <w:rPr>
          <w:rFonts w:ascii="Arial" w:eastAsia="Times New Roman" w:hAnsi="Arial" w:cs="Arial"/>
          <w:color w:val="2E74B5" w:themeColor="accent5" w:themeShade="BF"/>
          <w:sz w:val="24"/>
          <w:szCs w:val="24"/>
        </w:rPr>
        <w:t>$892.44</w:t>
      </w:r>
      <w:r w:rsidR="00567BE2" w:rsidRPr="00575A1A">
        <w:rPr>
          <w:rFonts w:ascii="Arial" w:eastAsia="Times New Roman" w:hAnsi="Arial" w:cs="Arial"/>
          <w:color w:val="2E74B5" w:themeColor="accent5" w:themeShade="BF"/>
          <w:sz w:val="24"/>
          <w:szCs w:val="24"/>
        </w:rPr>
        <w:t>)</w:t>
      </w:r>
    </w:p>
    <w:p w:rsidR="00567BE2" w:rsidRPr="00575A1A" w:rsidRDefault="00567BE2" w:rsidP="00575A1A">
      <w:pPr>
        <w:pStyle w:val="ListParagraph"/>
        <w:spacing w:after="0" w:line="276" w:lineRule="auto"/>
        <w:ind w:left="786"/>
        <w:rPr>
          <w:rFonts w:ascii="Arial" w:eastAsia="Times New Roman" w:hAnsi="Arial" w:cs="Arial"/>
          <w:color w:val="2E74B5" w:themeColor="accent5" w:themeShade="BF"/>
          <w:sz w:val="24"/>
          <w:szCs w:val="24"/>
        </w:rPr>
      </w:pPr>
      <w:r w:rsidRPr="00B302E6">
        <w:rPr>
          <w:rFonts w:ascii="Arial" w:eastAsia="Times New Roman" w:hAnsi="Arial" w:cs="Arial"/>
          <w:b/>
          <w:color w:val="2E74B5" w:themeColor="accent5" w:themeShade="BF"/>
          <w:sz w:val="24"/>
          <w:szCs w:val="24"/>
        </w:rPr>
        <w:t>Total 2016 Principal Adjustments</w:t>
      </w:r>
      <w:r w:rsidRPr="00575A1A">
        <w:rPr>
          <w:rFonts w:ascii="Arial" w:eastAsia="Times New Roman" w:hAnsi="Arial" w:cs="Arial"/>
          <w:color w:val="2E74B5" w:themeColor="accent5" w:themeShade="BF"/>
          <w:sz w:val="24"/>
          <w:szCs w:val="24"/>
        </w:rPr>
        <w:t xml:space="preserve">: -$237,386.16 - $6,947.29 + $12,445.39 - $892.44 = </w:t>
      </w:r>
      <w:r w:rsidR="00580F0B" w:rsidRPr="00575A1A">
        <w:rPr>
          <w:rFonts w:ascii="Arial" w:eastAsia="Times New Roman" w:hAnsi="Arial" w:cs="Arial"/>
          <w:color w:val="2E74B5" w:themeColor="accent5" w:themeShade="BF"/>
          <w:sz w:val="24"/>
          <w:szCs w:val="24"/>
        </w:rPr>
        <w:t>-</w:t>
      </w:r>
      <w:r w:rsidRPr="00575A1A">
        <w:rPr>
          <w:rFonts w:ascii="Arial" w:eastAsia="Times New Roman" w:hAnsi="Arial" w:cs="Arial"/>
          <w:color w:val="2E74B5" w:themeColor="accent5" w:themeShade="BF"/>
          <w:sz w:val="24"/>
          <w:szCs w:val="24"/>
        </w:rPr>
        <w:t>$232,780.50</w:t>
      </w:r>
    </w:p>
    <w:p w:rsidR="00567BE2" w:rsidRPr="00575A1A" w:rsidRDefault="00567BE2" w:rsidP="00575A1A">
      <w:pPr>
        <w:pStyle w:val="ListParagraph"/>
        <w:spacing w:after="0" w:line="276" w:lineRule="auto"/>
        <w:ind w:left="786"/>
        <w:rPr>
          <w:rFonts w:ascii="Arial" w:eastAsia="Times New Roman" w:hAnsi="Arial" w:cs="Arial"/>
          <w:b/>
          <w:color w:val="2E74B5" w:themeColor="accent5" w:themeShade="BF"/>
          <w:sz w:val="24"/>
          <w:szCs w:val="24"/>
        </w:rPr>
      </w:pPr>
    </w:p>
    <w:p w:rsidR="00EE216F" w:rsidRPr="00575A1A" w:rsidRDefault="00EE216F" w:rsidP="00575A1A">
      <w:pPr>
        <w:pStyle w:val="ListParagraph"/>
        <w:spacing w:after="0" w:line="276" w:lineRule="auto"/>
        <w:ind w:left="786"/>
        <w:rPr>
          <w:rFonts w:ascii="Arial" w:eastAsia="Times New Roman" w:hAnsi="Arial" w:cs="Arial"/>
          <w:b/>
          <w:color w:val="2E74B5" w:themeColor="accent5" w:themeShade="BF"/>
          <w:sz w:val="24"/>
          <w:szCs w:val="24"/>
          <w:u w:val="single"/>
        </w:rPr>
      </w:pPr>
      <w:r w:rsidRPr="00575A1A">
        <w:rPr>
          <w:rFonts w:ascii="Arial" w:eastAsia="Times New Roman" w:hAnsi="Arial" w:cs="Arial"/>
          <w:b/>
          <w:color w:val="2E74B5" w:themeColor="accent5" w:themeShade="BF"/>
          <w:sz w:val="24"/>
          <w:szCs w:val="24"/>
          <w:u w:val="single"/>
        </w:rPr>
        <w:t>2015 Adjustments</w:t>
      </w:r>
    </w:p>
    <w:p w:rsidR="00B533D2" w:rsidRPr="00575A1A" w:rsidRDefault="00EE216F" w:rsidP="00575A1A">
      <w:pPr>
        <w:pStyle w:val="ListParagraph"/>
        <w:numPr>
          <w:ilvl w:val="0"/>
          <w:numId w:val="6"/>
        </w:numPr>
        <w:spacing w:after="0" w:line="276" w:lineRule="auto"/>
        <w:ind w:left="1506"/>
        <w:rPr>
          <w:rFonts w:ascii="Arial" w:eastAsia="Times New Roman" w:hAnsi="Arial" w:cs="Arial"/>
          <w:color w:val="0070C0"/>
          <w:sz w:val="24"/>
          <w:szCs w:val="24"/>
        </w:rPr>
      </w:pPr>
      <w:r w:rsidRPr="00575A1A">
        <w:rPr>
          <w:rFonts w:ascii="Arial" w:eastAsia="Times New Roman" w:hAnsi="Arial" w:cs="Arial"/>
          <w:color w:val="0070C0"/>
          <w:sz w:val="24"/>
          <w:szCs w:val="24"/>
        </w:rPr>
        <w:t>Estimate for impact of 2015 NOD:</w:t>
      </w:r>
      <w:r w:rsidR="00B533D2" w:rsidRPr="00575A1A">
        <w:rPr>
          <w:rFonts w:ascii="Arial" w:eastAsia="Times New Roman" w:hAnsi="Arial" w:cs="Arial"/>
          <w:color w:val="0070C0"/>
          <w:sz w:val="24"/>
          <w:szCs w:val="24"/>
        </w:rPr>
        <w:t xml:space="preserve"> ($35,790.65)</w:t>
      </w:r>
    </w:p>
    <w:p w:rsidR="00567BE2" w:rsidRPr="00575A1A" w:rsidRDefault="00567BE2" w:rsidP="00575A1A">
      <w:pPr>
        <w:pStyle w:val="ListParagraph"/>
        <w:spacing w:after="0" w:line="276" w:lineRule="auto"/>
        <w:ind w:left="786"/>
        <w:rPr>
          <w:rFonts w:ascii="Arial" w:eastAsia="Times New Roman" w:hAnsi="Arial" w:cs="Arial"/>
          <w:b/>
          <w:color w:val="0070C0"/>
          <w:sz w:val="24"/>
          <w:szCs w:val="24"/>
        </w:rPr>
      </w:pPr>
    </w:p>
    <w:p w:rsidR="00567BE2" w:rsidRPr="00575A1A" w:rsidRDefault="00567BE2" w:rsidP="00575A1A">
      <w:pPr>
        <w:pStyle w:val="ListParagraph"/>
        <w:spacing w:after="0" w:line="276" w:lineRule="auto"/>
        <w:ind w:left="786"/>
        <w:rPr>
          <w:rFonts w:ascii="Arial" w:eastAsia="Times New Roman" w:hAnsi="Arial" w:cs="Arial"/>
          <w:b/>
          <w:color w:val="0070C0"/>
          <w:sz w:val="24"/>
          <w:szCs w:val="24"/>
          <w:u w:val="single"/>
        </w:rPr>
      </w:pPr>
      <w:r w:rsidRPr="00575A1A">
        <w:rPr>
          <w:rFonts w:ascii="Arial" w:eastAsia="Times New Roman" w:hAnsi="Arial" w:cs="Arial"/>
          <w:b/>
          <w:color w:val="0070C0"/>
          <w:sz w:val="24"/>
          <w:szCs w:val="24"/>
          <w:u w:val="single"/>
        </w:rPr>
        <w:t>1589</w:t>
      </w:r>
    </w:p>
    <w:p w:rsidR="00870414" w:rsidRPr="00575A1A" w:rsidRDefault="00870414" w:rsidP="00575A1A">
      <w:pPr>
        <w:pStyle w:val="ListParagraph"/>
        <w:spacing w:after="0" w:line="276" w:lineRule="auto"/>
        <w:ind w:left="786"/>
        <w:rPr>
          <w:rFonts w:ascii="Arial" w:eastAsia="Times New Roman" w:hAnsi="Arial" w:cs="Arial"/>
          <w:b/>
          <w:color w:val="0070C0"/>
          <w:sz w:val="24"/>
          <w:szCs w:val="24"/>
          <w:u w:val="single"/>
        </w:rPr>
      </w:pPr>
      <w:r w:rsidRPr="00575A1A">
        <w:rPr>
          <w:rFonts w:ascii="Arial" w:eastAsia="Times New Roman" w:hAnsi="Arial" w:cs="Arial"/>
          <w:b/>
          <w:color w:val="0070C0"/>
          <w:sz w:val="24"/>
          <w:szCs w:val="24"/>
          <w:u w:val="single"/>
        </w:rPr>
        <w:t>2016 Adjustments</w:t>
      </w:r>
    </w:p>
    <w:p w:rsidR="00870414" w:rsidRPr="00575A1A" w:rsidRDefault="00870414" w:rsidP="00575A1A">
      <w:pPr>
        <w:pStyle w:val="ListParagraph"/>
        <w:numPr>
          <w:ilvl w:val="0"/>
          <w:numId w:val="7"/>
        </w:numPr>
        <w:spacing w:after="0" w:line="276" w:lineRule="auto"/>
        <w:ind w:left="1506"/>
        <w:rPr>
          <w:rFonts w:ascii="Arial" w:eastAsia="Times New Roman" w:hAnsi="Arial" w:cs="Arial"/>
          <w:color w:val="0070C0"/>
          <w:sz w:val="24"/>
          <w:szCs w:val="24"/>
        </w:rPr>
      </w:pPr>
      <w:r w:rsidRPr="00575A1A">
        <w:rPr>
          <w:rFonts w:ascii="Arial" w:eastAsia="Times New Roman" w:hAnsi="Arial" w:cs="Arial"/>
          <w:color w:val="0070C0"/>
          <w:sz w:val="24"/>
          <w:szCs w:val="24"/>
        </w:rPr>
        <w:t>True-up of unbilled revenue for Dec 2016: $231,90</w:t>
      </w:r>
      <w:r w:rsidR="00AF7D94" w:rsidRPr="00575A1A">
        <w:rPr>
          <w:rFonts w:ascii="Arial" w:eastAsia="Times New Roman" w:hAnsi="Arial" w:cs="Arial"/>
          <w:color w:val="0070C0"/>
          <w:sz w:val="24"/>
          <w:szCs w:val="24"/>
        </w:rPr>
        <w:t>2</w:t>
      </w:r>
      <w:r w:rsidRPr="00575A1A">
        <w:rPr>
          <w:rFonts w:ascii="Arial" w:eastAsia="Times New Roman" w:hAnsi="Arial" w:cs="Arial"/>
          <w:color w:val="0070C0"/>
          <w:sz w:val="24"/>
          <w:szCs w:val="24"/>
        </w:rPr>
        <w:t>.02</w:t>
      </w:r>
    </w:p>
    <w:p w:rsidR="00567BE2" w:rsidRPr="00575A1A" w:rsidRDefault="00870414" w:rsidP="00575A1A">
      <w:pPr>
        <w:pStyle w:val="ListParagraph"/>
        <w:numPr>
          <w:ilvl w:val="0"/>
          <w:numId w:val="7"/>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2E74B5" w:themeColor="accent5" w:themeShade="BF"/>
          <w:sz w:val="24"/>
          <w:szCs w:val="24"/>
        </w:rPr>
        <w:t xml:space="preserve">Estimate for impact of </w:t>
      </w:r>
      <w:r w:rsidR="00567BE2" w:rsidRPr="00575A1A">
        <w:rPr>
          <w:rFonts w:ascii="Arial" w:eastAsia="Times New Roman" w:hAnsi="Arial" w:cs="Arial"/>
          <w:color w:val="2E74B5" w:themeColor="accent5" w:themeShade="BF"/>
          <w:sz w:val="24"/>
          <w:szCs w:val="24"/>
        </w:rPr>
        <w:t>2016</w:t>
      </w:r>
      <w:r w:rsidRPr="00575A1A">
        <w:rPr>
          <w:rFonts w:ascii="Arial" w:eastAsia="Times New Roman" w:hAnsi="Arial" w:cs="Arial"/>
          <w:color w:val="2E74B5" w:themeColor="accent5" w:themeShade="BF"/>
          <w:sz w:val="24"/>
          <w:szCs w:val="24"/>
        </w:rPr>
        <w:t xml:space="preserve"> NOD</w:t>
      </w:r>
      <w:r w:rsidR="00567BE2" w:rsidRPr="00575A1A">
        <w:rPr>
          <w:rFonts w:ascii="Arial" w:eastAsia="Times New Roman" w:hAnsi="Arial" w:cs="Arial"/>
          <w:color w:val="2E74B5" w:themeColor="accent5" w:themeShade="BF"/>
          <w:sz w:val="24"/>
          <w:szCs w:val="24"/>
        </w:rPr>
        <w:t xml:space="preserve">: </w:t>
      </w:r>
      <w:r w:rsidRPr="00575A1A">
        <w:rPr>
          <w:rFonts w:ascii="Arial" w:eastAsia="Times New Roman" w:hAnsi="Arial" w:cs="Arial"/>
          <w:color w:val="2E74B5" w:themeColor="accent5" w:themeShade="BF"/>
          <w:sz w:val="24"/>
          <w:szCs w:val="24"/>
        </w:rPr>
        <w:t>(</w:t>
      </w:r>
      <w:r w:rsidR="00567BE2" w:rsidRPr="00575A1A">
        <w:rPr>
          <w:rFonts w:ascii="Arial" w:eastAsia="Times New Roman" w:hAnsi="Arial" w:cs="Arial"/>
          <w:color w:val="2E74B5" w:themeColor="accent5" w:themeShade="BF"/>
          <w:sz w:val="24"/>
          <w:szCs w:val="24"/>
        </w:rPr>
        <w:t>$125,029.94)</w:t>
      </w:r>
    </w:p>
    <w:p w:rsidR="00870414" w:rsidRPr="00575A1A" w:rsidRDefault="00870414" w:rsidP="00575A1A">
      <w:pPr>
        <w:pStyle w:val="ListParagraph"/>
        <w:numPr>
          <w:ilvl w:val="0"/>
          <w:numId w:val="7"/>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2E74B5" w:themeColor="accent5" w:themeShade="BF"/>
          <w:sz w:val="24"/>
          <w:szCs w:val="24"/>
        </w:rPr>
        <w:t>Adjust 2015 NOD from estimate to settlement amount</w:t>
      </w:r>
      <w:r w:rsidR="00567BE2" w:rsidRPr="00575A1A">
        <w:rPr>
          <w:rFonts w:ascii="Arial" w:eastAsia="Times New Roman" w:hAnsi="Arial" w:cs="Arial"/>
          <w:color w:val="2E74B5" w:themeColor="accent5" w:themeShade="BF"/>
          <w:sz w:val="24"/>
          <w:szCs w:val="24"/>
        </w:rPr>
        <w:t>: $64,312.16</w:t>
      </w:r>
    </w:p>
    <w:p w:rsidR="00870414" w:rsidRPr="00575A1A" w:rsidRDefault="00870414" w:rsidP="00575A1A">
      <w:pPr>
        <w:pStyle w:val="ListParagraph"/>
        <w:numPr>
          <w:ilvl w:val="0"/>
          <w:numId w:val="7"/>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2E74B5" w:themeColor="accent5" w:themeShade="BF"/>
          <w:sz w:val="24"/>
          <w:szCs w:val="24"/>
        </w:rPr>
        <w:t>Adjust 2016 NOD from estimate to settlement amount:</w:t>
      </w:r>
      <w:r w:rsidR="00567BE2" w:rsidRPr="00575A1A">
        <w:rPr>
          <w:rFonts w:ascii="Arial" w:eastAsia="Times New Roman" w:hAnsi="Arial" w:cs="Arial"/>
          <w:color w:val="2E74B5" w:themeColor="accent5" w:themeShade="BF"/>
          <w:sz w:val="24"/>
          <w:szCs w:val="24"/>
        </w:rPr>
        <w:t xml:space="preserve"> $2,822.86</w:t>
      </w:r>
    </w:p>
    <w:p w:rsidR="00870414" w:rsidRPr="00575A1A" w:rsidRDefault="00870414" w:rsidP="00575A1A">
      <w:pPr>
        <w:pStyle w:val="ListParagraph"/>
        <w:numPr>
          <w:ilvl w:val="0"/>
          <w:numId w:val="7"/>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2E74B5" w:themeColor="accent5" w:themeShade="BF"/>
          <w:sz w:val="24"/>
          <w:szCs w:val="24"/>
        </w:rPr>
        <w:t xml:space="preserve">Remove legal fees related to NOD included in balance: </w:t>
      </w:r>
      <w:r w:rsidR="00EE216F" w:rsidRPr="00575A1A">
        <w:rPr>
          <w:rFonts w:ascii="Arial" w:eastAsia="Times New Roman" w:hAnsi="Arial" w:cs="Arial"/>
          <w:color w:val="2E74B5" w:themeColor="accent5" w:themeShade="BF"/>
          <w:sz w:val="24"/>
          <w:szCs w:val="24"/>
        </w:rPr>
        <w:t>(</w:t>
      </w:r>
      <w:r w:rsidRPr="00575A1A">
        <w:rPr>
          <w:rFonts w:ascii="Arial" w:eastAsia="Times New Roman" w:hAnsi="Arial" w:cs="Arial"/>
          <w:color w:val="2E74B5" w:themeColor="accent5" w:themeShade="BF"/>
          <w:sz w:val="24"/>
          <w:szCs w:val="24"/>
        </w:rPr>
        <w:t>$5,042.37</w:t>
      </w:r>
      <w:r w:rsidR="00EE216F" w:rsidRPr="00575A1A">
        <w:rPr>
          <w:rFonts w:ascii="Arial" w:eastAsia="Times New Roman" w:hAnsi="Arial" w:cs="Arial"/>
          <w:color w:val="2E74B5" w:themeColor="accent5" w:themeShade="BF"/>
          <w:sz w:val="24"/>
          <w:szCs w:val="24"/>
        </w:rPr>
        <w:t>)</w:t>
      </w:r>
    </w:p>
    <w:p w:rsidR="00567BE2" w:rsidRPr="00575A1A" w:rsidRDefault="00870414" w:rsidP="00575A1A">
      <w:pPr>
        <w:pStyle w:val="ListParagraph"/>
        <w:numPr>
          <w:ilvl w:val="0"/>
          <w:numId w:val="7"/>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2E74B5" w:themeColor="accent5" w:themeShade="BF"/>
          <w:sz w:val="24"/>
          <w:szCs w:val="24"/>
        </w:rPr>
        <w:t>Adjustment for billing error in July 2016: $72,099.66</w:t>
      </w:r>
    </w:p>
    <w:p w:rsidR="00870414" w:rsidRPr="00575A1A" w:rsidRDefault="00870414" w:rsidP="00575A1A">
      <w:pPr>
        <w:pStyle w:val="ListParagraph"/>
        <w:numPr>
          <w:ilvl w:val="0"/>
          <w:numId w:val="7"/>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2E74B5" w:themeColor="accent5" w:themeShade="BF"/>
          <w:sz w:val="24"/>
          <w:szCs w:val="24"/>
        </w:rPr>
        <w:t>Adjustment for Generation Estimates provided to IESO: $35,661.43</w:t>
      </w:r>
    </w:p>
    <w:p w:rsidR="00870414" w:rsidRPr="00575A1A" w:rsidRDefault="00870414" w:rsidP="00575A1A">
      <w:pPr>
        <w:pStyle w:val="ListParagraph"/>
        <w:spacing w:after="0" w:line="276" w:lineRule="auto"/>
        <w:ind w:left="786"/>
        <w:rPr>
          <w:rFonts w:ascii="Arial" w:eastAsia="Times New Roman" w:hAnsi="Arial" w:cs="Arial"/>
          <w:color w:val="2E74B5" w:themeColor="accent5" w:themeShade="BF"/>
          <w:sz w:val="24"/>
          <w:szCs w:val="24"/>
        </w:rPr>
      </w:pPr>
      <w:r w:rsidRPr="00B302E6">
        <w:rPr>
          <w:rFonts w:ascii="Arial" w:eastAsia="Times New Roman" w:hAnsi="Arial" w:cs="Arial"/>
          <w:b/>
          <w:color w:val="2E74B5" w:themeColor="accent5" w:themeShade="BF"/>
          <w:sz w:val="24"/>
          <w:szCs w:val="24"/>
        </w:rPr>
        <w:t>Total 2016 Principal Adjustments</w:t>
      </w:r>
      <w:r w:rsidRPr="00575A1A">
        <w:rPr>
          <w:rFonts w:ascii="Arial" w:eastAsia="Times New Roman" w:hAnsi="Arial" w:cs="Arial"/>
          <w:color w:val="2E74B5" w:themeColor="accent5" w:themeShade="BF"/>
          <w:sz w:val="24"/>
          <w:szCs w:val="24"/>
        </w:rPr>
        <w:t xml:space="preserve">:  </w:t>
      </w:r>
      <w:r w:rsidR="00EE216F" w:rsidRPr="00575A1A">
        <w:rPr>
          <w:rFonts w:ascii="Arial" w:eastAsia="Times New Roman" w:hAnsi="Arial" w:cs="Arial"/>
          <w:color w:val="2E74B5" w:themeColor="accent5" w:themeShade="BF"/>
          <w:sz w:val="24"/>
          <w:szCs w:val="24"/>
        </w:rPr>
        <w:t>$231,90</w:t>
      </w:r>
      <w:r w:rsidR="00AF7D94" w:rsidRPr="00575A1A">
        <w:rPr>
          <w:rFonts w:ascii="Arial" w:eastAsia="Times New Roman" w:hAnsi="Arial" w:cs="Arial"/>
          <w:color w:val="2E74B5" w:themeColor="accent5" w:themeShade="BF"/>
          <w:sz w:val="24"/>
          <w:szCs w:val="24"/>
        </w:rPr>
        <w:t>2</w:t>
      </w:r>
      <w:r w:rsidR="00EE216F" w:rsidRPr="00575A1A">
        <w:rPr>
          <w:rFonts w:ascii="Arial" w:eastAsia="Times New Roman" w:hAnsi="Arial" w:cs="Arial"/>
          <w:color w:val="2E74B5" w:themeColor="accent5" w:themeShade="BF"/>
          <w:sz w:val="24"/>
          <w:szCs w:val="24"/>
        </w:rPr>
        <w:t xml:space="preserve">.02 </w:t>
      </w:r>
      <w:r w:rsidRPr="00575A1A">
        <w:rPr>
          <w:rFonts w:ascii="Arial" w:eastAsia="Times New Roman" w:hAnsi="Arial" w:cs="Arial"/>
          <w:color w:val="2E74B5" w:themeColor="accent5" w:themeShade="BF"/>
          <w:sz w:val="24"/>
          <w:szCs w:val="24"/>
        </w:rPr>
        <w:t>-</w:t>
      </w:r>
      <w:r w:rsidR="00EE216F" w:rsidRPr="00575A1A">
        <w:rPr>
          <w:rFonts w:ascii="Arial" w:eastAsia="Times New Roman" w:hAnsi="Arial" w:cs="Arial"/>
          <w:color w:val="2E74B5" w:themeColor="accent5" w:themeShade="BF"/>
          <w:sz w:val="24"/>
          <w:szCs w:val="24"/>
        </w:rPr>
        <w:t xml:space="preserve"> </w:t>
      </w:r>
      <w:r w:rsidRPr="00575A1A">
        <w:rPr>
          <w:rFonts w:ascii="Arial" w:eastAsia="Times New Roman" w:hAnsi="Arial" w:cs="Arial"/>
          <w:color w:val="2E74B5" w:themeColor="accent5" w:themeShade="BF"/>
          <w:sz w:val="24"/>
          <w:szCs w:val="24"/>
        </w:rPr>
        <w:t xml:space="preserve">125,029.94 </w:t>
      </w:r>
      <w:r w:rsidR="00EE216F" w:rsidRPr="00575A1A">
        <w:rPr>
          <w:rFonts w:ascii="Arial" w:eastAsia="Times New Roman" w:hAnsi="Arial" w:cs="Arial"/>
          <w:color w:val="2E74B5" w:themeColor="accent5" w:themeShade="BF"/>
          <w:sz w:val="24"/>
          <w:szCs w:val="24"/>
        </w:rPr>
        <w:t>+</w:t>
      </w:r>
      <w:r w:rsidRPr="00575A1A">
        <w:rPr>
          <w:rFonts w:ascii="Arial" w:eastAsia="Times New Roman" w:hAnsi="Arial" w:cs="Arial"/>
          <w:color w:val="2E74B5" w:themeColor="accent5" w:themeShade="BF"/>
          <w:sz w:val="24"/>
          <w:szCs w:val="24"/>
        </w:rPr>
        <w:t xml:space="preserve"> 64,312.16 + </w:t>
      </w:r>
      <w:r w:rsidR="00EE216F" w:rsidRPr="00575A1A">
        <w:rPr>
          <w:rFonts w:ascii="Arial" w:eastAsia="Times New Roman" w:hAnsi="Arial" w:cs="Arial"/>
          <w:color w:val="2E74B5" w:themeColor="accent5" w:themeShade="BF"/>
          <w:sz w:val="24"/>
          <w:szCs w:val="24"/>
        </w:rPr>
        <w:t>$2,822.86 - $5,042.37 + $72,099.66 + 35,661.43 = $276,72</w:t>
      </w:r>
      <w:r w:rsidR="00AF7D94" w:rsidRPr="00575A1A">
        <w:rPr>
          <w:rFonts w:ascii="Arial" w:eastAsia="Times New Roman" w:hAnsi="Arial" w:cs="Arial"/>
          <w:color w:val="2E74B5" w:themeColor="accent5" w:themeShade="BF"/>
          <w:sz w:val="24"/>
          <w:szCs w:val="24"/>
        </w:rPr>
        <w:t>5</w:t>
      </w:r>
      <w:r w:rsidR="00EE216F" w:rsidRPr="00575A1A">
        <w:rPr>
          <w:rFonts w:ascii="Arial" w:eastAsia="Times New Roman" w:hAnsi="Arial" w:cs="Arial"/>
          <w:color w:val="2E74B5" w:themeColor="accent5" w:themeShade="BF"/>
          <w:sz w:val="24"/>
          <w:szCs w:val="24"/>
        </w:rPr>
        <w:t>.82</w:t>
      </w:r>
    </w:p>
    <w:p w:rsidR="00EE216F" w:rsidRPr="00575A1A" w:rsidRDefault="00EE216F" w:rsidP="00575A1A">
      <w:pPr>
        <w:pStyle w:val="ListParagraph"/>
        <w:spacing w:after="0" w:line="276" w:lineRule="auto"/>
        <w:ind w:left="786"/>
        <w:rPr>
          <w:rFonts w:ascii="Arial" w:eastAsia="Times New Roman" w:hAnsi="Arial" w:cs="Arial"/>
          <w:b/>
          <w:color w:val="0070C0"/>
          <w:sz w:val="24"/>
          <w:szCs w:val="24"/>
          <w:u w:val="single"/>
        </w:rPr>
      </w:pPr>
    </w:p>
    <w:p w:rsidR="00EE216F" w:rsidRPr="00575A1A" w:rsidRDefault="00EE216F" w:rsidP="00575A1A">
      <w:pPr>
        <w:pStyle w:val="ListParagraph"/>
        <w:spacing w:after="0" w:line="276" w:lineRule="auto"/>
        <w:ind w:left="786"/>
        <w:rPr>
          <w:rFonts w:ascii="Arial" w:eastAsia="Times New Roman" w:hAnsi="Arial" w:cs="Arial"/>
          <w:b/>
          <w:color w:val="0070C0"/>
          <w:sz w:val="24"/>
          <w:szCs w:val="24"/>
          <w:u w:val="single"/>
        </w:rPr>
      </w:pPr>
      <w:r w:rsidRPr="00575A1A">
        <w:rPr>
          <w:rFonts w:ascii="Arial" w:eastAsia="Times New Roman" w:hAnsi="Arial" w:cs="Arial"/>
          <w:b/>
          <w:color w:val="0070C0"/>
          <w:sz w:val="24"/>
          <w:szCs w:val="24"/>
          <w:u w:val="single"/>
        </w:rPr>
        <w:t>2015 Adjustments</w:t>
      </w:r>
    </w:p>
    <w:p w:rsidR="007E6862" w:rsidRPr="00575A1A" w:rsidRDefault="00EE216F" w:rsidP="00575A1A">
      <w:pPr>
        <w:pStyle w:val="ListParagraph"/>
        <w:numPr>
          <w:ilvl w:val="0"/>
          <w:numId w:val="8"/>
        </w:numPr>
        <w:spacing w:after="0" w:line="276" w:lineRule="auto"/>
        <w:ind w:left="1506"/>
        <w:rPr>
          <w:rFonts w:ascii="Arial" w:eastAsia="Times New Roman" w:hAnsi="Arial" w:cs="Arial"/>
          <w:color w:val="2E74B5" w:themeColor="accent5" w:themeShade="BF"/>
          <w:sz w:val="24"/>
          <w:szCs w:val="24"/>
        </w:rPr>
      </w:pPr>
      <w:r w:rsidRPr="00575A1A">
        <w:rPr>
          <w:rFonts w:ascii="Arial" w:eastAsia="Times New Roman" w:hAnsi="Arial" w:cs="Arial"/>
          <w:color w:val="0070C0"/>
          <w:sz w:val="24"/>
          <w:szCs w:val="24"/>
        </w:rPr>
        <w:t>Estimate for impact of 2015 NOD:</w:t>
      </w:r>
      <w:r w:rsidR="00567BE2" w:rsidRPr="00575A1A">
        <w:rPr>
          <w:rFonts w:ascii="Arial" w:eastAsia="Times New Roman" w:hAnsi="Arial" w:cs="Arial"/>
          <w:color w:val="0070C0"/>
          <w:sz w:val="24"/>
          <w:szCs w:val="24"/>
        </w:rPr>
        <w:t xml:space="preserve"> ($435,410.61)</w:t>
      </w:r>
    </w:p>
    <w:p w:rsidR="007E6862" w:rsidRPr="00575A1A" w:rsidRDefault="007E6862" w:rsidP="00575A1A">
      <w:pPr>
        <w:pStyle w:val="ListParagraph"/>
        <w:spacing w:after="0" w:line="276" w:lineRule="auto"/>
        <w:ind w:left="786"/>
        <w:rPr>
          <w:rFonts w:ascii="Arial" w:eastAsia="Times New Roman" w:hAnsi="Arial" w:cs="Arial"/>
          <w:b/>
          <w:sz w:val="24"/>
          <w:szCs w:val="24"/>
        </w:rPr>
      </w:pPr>
    </w:p>
    <w:p w:rsidR="00CD4378" w:rsidRPr="00575A1A" w:rsidRDefault="00CD4378" w:rsidP="00575A1A">
      <w:pPr>
        <w:pStyle w:val="ListParagraph"/>
        <w:numPr>
          <w:ilvl w:val="0"/>
          <w:numId w:val="3"/>
        </w:numPr>
        <w:spacing w:after="0" w:line="276" w:lineRule="auto"/>
        <w:ind w:left="786"/>
        <w:rPr>
          <w:rFonts w:ascii="Arial" w:eastAsia="Times New Roman" w:hAnsi="Arial" w:cs="Arial"/>
          <w:b/>
          <w:sz w:val="24"/>
          <w:szCs w:val="24"/>
        </w:rPr>
      </w:pPr>
      <w:r w:rsidRPr="00575A1A">
        <w:rPr>
          <w:rFonts w:ascii="Arial" w:eastAsia="Times New Roman" w:hAnsi="Arial" w:cs="Arial"/>
          <w:b/>
          <w:sz w:val="24"/>
          <w:szCs w:val="24"/>
        </w:rPr>
        <w:t>Has the applicant reversed the adjustment approved in 2018 in its current proposed amount for disposition?</w:t>
      </w:r>
    </w:p>
    <w:p w:rsidR="00580F0B" w:rsidRPr="00575A1A" w:rsidRDefault="00580F0B" w:rsidP="00575A1A">
      <w:pPr>
        <w:pStyle w:val="ListParagraph"/>
        <w:spacing w:after="0" w:line="276" w:lineRule="auto"/>
        <w:ind w:left="786"/>
        <w:rPr>
          <w:rFonts w:ascii="Arial" w:eastAsia="Times New Roman" w:hAnsi="Arial" w:cs="Arial"/>
          <w:b/>
          <w:color w:val="0070C0"/>
          <w:sz w:val="24"/>
          <w:szCs w:val="24"/>
          <w:u w:val="single"/>
        </w:rPr>
      </w:pPr>
      <w:r w:rsidRPr="00575A1A">
        <w:rPr>
          <w:rFonts w:ascii="Arial" w:eastAsia="Times New Roman" w:hAnsi="Arial" w:cs="Arial"/>
          <w:b/>
          <w:color w:val="0070C0"/>
          <w:sz w:val="24"/>
          <w:szCs w:val="24"/>
          <w:u w:val="single"/>
        </w:rPr>
        <w:lastRenderedPageBreak/>
        <w:t>1588</w:t>
      </w:r>
    </w:p>
    <w:p w:rsidR="00580F0B" w:rsidRPr="00575A1A" w:rsidRDefault="00580F0B" w:rsidP="00575A1A">
      <w:pPr>
        <w:pStyle w:val="ListParagraph"/>
        <w:spacing w:after="0" w:line="276" w:lineRule="auto"/>
        <w:ind w:left="786"/>
        <w:rPr>
          <w:rFonts w:ascii="Arial" w:eastAsia="Times New Roman" w:hAnsi="Arial" w:cs="Arial"/>
          <w:color w:val="0070C0"/>
          <w:sz w:val="24"/>
          <w:szCs w:val="24"/>
        </w:rPr>
      </w:pPr>
      <w:r w:rsidRPr="00575A1A">
        <w:rPr>
          <w:rFonts w:ascii="Arial" w:eastAsia="Times New Roman" w:hAnsi="Arial" w:cs="Arial"/>
          <w:color w:val="0070C0"/>
          <w:sz w:val="24"/>
          <w:szCs w:val="24"/>
        </w:rPr>
        <w:t>Yes, the total 2016 amount of $232,780.50 and 2015 amount of $35,790.65 are reversed in 2017 for a total of $268,571.15.</w:t>
      </w:r>
    </w:p>
    <w:p w:rsidR="00580F0B" w:rsidRPr="00575A1A" w:rsidRDefault="00580F0B" w:rsidP="00575A1A">
      <w:pPr>
        <w:pStyle w:val="ListParagraph"/>
        <w:spacing w:after="0" w:line="276" w:lineRule="auto"/>
        <w:ind w:left="786"/>
        <w:rPr>
          <w:rFonts w:ascii="Arial" w:eastAsia="Times New Roman" w:hAnsi="Arial" w:cs="Arial"/>
          <w:b/>
          <w:color w:val="0070C0"/>
          <w:sz w:val="24"/>
          <w:szCs w:val="24"/>
        </w:rPr>
      </w:pPr>
    </w:p>
    <w:p w:rsidR="00580F0B" w:rsidRPr="00575A1A" w:rsidRDefault="00580F0B" w:rsidP="00575A1A">
      <w:pPr>
        <w:pStyle w:val="ListParagraph"/>
        <w:spacing w:after="0" w:line="276" w:lineRule="auto"/>
        <w:ind w:left="786"/>
        <w:rPr>
          <w:rFonts w:ascii="Arial" w:eastAsia="Times New Roman" w:hAnsi="Arial" w:cs="Arial"/>
          <w:b/>
          <w:color w:val="0070C0"/>
          <w:sz w:val="24"/>
          <w:szCs w:val="24"/>
          <w:u w:val="single"/>
        </w:rPr>
      </w:pPr>
      <w:r w:rsidRPr="00575A1A">
        <w:rPr>
          <w:rFonts w:ascii="Arial" w:eastAsia="Times New Roman" w:hAnsi="Arial" w:cs="Arial"/>
          <w:b/>
          <w:color w:val="0070C0"/>
          <w:sz w:val="24"/>
          <w:szCs w:val="24"/>
          <w:u w:val="single"/>
        </w:rPr>
        <w:t>1589</w:t>
      </w:r>
    </w:p>
    <w:p w:rsidR="00874E43" w:rsidRDefault="00580F0B" w:rsidP="00575A1A">
      <w:pPr>
        <w:pStyle w:val="ListParagraph"/>
        <w:spacing w:after="0" w:line="276" w:lineRule="auto"/>
        <w:ind w:left="786"/>
        <w:rPr>
          <w:rFonts w:ascii="Arial" w:eastAsia="Times New Roman" w:hAnsi="Arial" w:cs="Arial"/>
          <w:color w:val="0070C0"/>
          <w:sz w:val="24"/>
          <w:szCs w:val="24"/>
        </w:rPr>
      </w:pPr>
      <w:r w:rsidRPr="00575A1A">
        <w:rPr>
          <w:rFonts w:ascii="Arial" w:eastAsia="Times New Roman" w:hAnsi="Arial" w:cs="Arial"/>
          <w:color w:val="0070C0"/>
          <w:sz w:val="24"/>
          <w:szCs w:val="24"/>
        </w:rPr>
        <w:t xml:space="preserve">No, the amounts related to </w:t>
      </w:r>
      <w:r w:rsidR="00874E43" w:rsidRPr="00575A1A">
        <w:rPr>
          <w:rFonts w:ascii="Arial" w:eastAsia="Times New Roman" w:hAnsi="Arial" w:cs="Arial"/>
          <w:color w:val="0070C0"/>
          <w:sz w:val="24"/>
          <w:szCs w:val="24"/>
        </w:rPr>
        <w:t>Generation Estimates are not reversed in 2017.  At the conclusion of our Cost of Service application NOTL Hydro will undertake a historical review of generation estimates provided to IESO to determine the total impact.</w:t>
      </w:r>
    </w:p>
    <w:p w:rsidR="00575A1A" w:rsidRPr="00575A1A" w:rsidRDefault="00575A1A" w:rsidP="00575A1A">
      <w:pPr>
        <w:pStyle w:val="ListParagraph"/>
        <w:spacing w:after="0" w:line="276" w:lineRule="auto"/>
        <w:ind w:left="786"/>
        <w:rPr>
          <w:rFonts w:ascii="Arial" w:eastAsia="Times New Roman" w:hAnsi="Arial" w:cs="Arial"/>
          <w:color w:val="0070C0"/>
          <w:sz w:val="24"/>
          <w:szCs w:val="24"/>
        </w:rPr>
      </w:pPr>
    </w:p>
    <w:p w:rsidR="00874E43" w:rsidRPr="00575A1A" w:rsidRDefault="00874E43" w:rsidP="00575A1A">
      <w:pPr>
        <w:pStyle w:val="ListParagraph"/>
        <w:spacing w:after="0" w:line="276" w:lineRule="auto"/>
        <w:ind w:left="786"/>
        <w:rPr>
          <w:rFonts w:ascii="Arial" w:eastAsia="Times New Roman" w:hAnsi="Arial" w:cs="Arial"/>
          <w:color w:val="0070C0"/>
          <w:sz w:val="24"/>
          <w:szCs w:val="24"/>
        </w:rPr>
      </w:pPr>
      <w:r w:rsidRPr="00575A1A">
        <w:rPr>
          <w:rFonts w:ascii="Arial" w:eastAsia="Times New Roman" w:hAnsi="Arial" w:cs="Arial"/>
          <w:color w:val="0070C0"/>
          <w:sz w:val="24"/>
          <w:szCs w:val="24"/>
        </w:rPr>
        <w:t>All other amounts were reversed.  2016 amount of ($241,063.39) (total $276,724.82 less Generation Estimates $35,661.43) and total 2015 amount of $435,410.61 for a total of $194,347.22</w:t>
      </w:r>
    </w:p>
    <w:p w:rsidR="00580F0B" w:rsidRPr="00575A1A" w:rsidRDefault="00580F0B" w:rsidP="00575A1A">
      <w:pPr>
        <w:pStyle w:val="ListParagraph"/>
        <w:spacing w:after="0" w:line="276" w:lineRule="auto"/>
        <w:ind w:left="786"/>
        <w:rPr>
          <w:rFonts w:ascii="Arial" w:eastAsia="Times New Roman" w:hAnsi="Arial" w:cs="Arial"/>
          <w:b/>
          <w:sz w:val="24"/>
          <w:szCs w:val="24"/>
        </w:rPr>
      </w:pPr>
    </w:p>
    <w:p w:rsidR="00CD4378" w:rsidRPr="00575A1A" w:rsidRDefault="00CD4378" w:rsidP="00575A1A">
      <w:pPr>
        <w:pStyle w:val="ListParagraph"/>
        <w:numPr>
          <w:ilvl w:val="0"/>
          <w:numId w:val="3"/>
        </w:numPr>
        <w:spacing w:after="0" w:line="276" w:lineRule="auto"/>
        <w:ind w:left="786"/>
        <w:rPr>
          <w:rFonts w:ascii="Arial" w:eastAsia="Times New Roman" w:hAnsi="Arial" w:cs="Arial"/>
          <w:b/>
          <w:sz w:val="24"/>
          <w:szCs w:val="24"/>
        </w:rPr>
      </w:pPr>
      <w:r w:rsidRPr="00575A1A">
        <w:rPr>
          <w:rFonts w:ascii="Arial" w:eastAsia="Times New Roman" w:hAnsi="Arial" w:cs="Arial"/>
          <w:b/>
          <w:sz w:val="24"/>
          <w:szCs w:val="24"/>
        </w:rPr>
        <w:t>Please provide a breakdown of the amounts shown under principal adjustments in the DVA Continuity Schedule filed in the current proceeding, including the reversals and the new true up amounts regarding 2017 true ups.</w:t>
      </w:r>
    </w:p>
    <w:p w:rsidR="00874E43" w:rsidRPr="00575A1A" w:rsidRDefault="00874E43" w:rsidP="00575A1A">
      <w:pPr>
        <w:pStyle w:val="ListParagraph"/>
        <w:spacing w:after="0" w:line="276" w:lineRule="auto"/>
        <w:ind w:left="786"/>
        <w:rPr>
          <w:rFonts w:ascii="Arial" w:eastAsia="Times New Roman" w:hAnsi="Arial" w:cs="Arial"/>
          <w:b/>
          <w:color w:val="2E74B5" w:themeColor="accent5" w:themeShade="BF"/>
          <w:sz w:val="24"/>
          <w:szCs w:val="24"/>
          <w:u w:val="single"/>
        </w:rPr>
      </w:pPr>
      <w:r w:rsidRPr="00575A1A">
        <w:rPr>
          <w:rFonts w:ascii="Arial" w:eastAsia="Times New Roman" w:hAnsi="Arial" w:cs="Arial"/>
          <w:b/>
          <w:color w:val="0070C0"/>
          <w:sz w:val="24"/>
          <w:szCs w:val="24"/>
          <w:u w:val="single"/>
        </w:rPr>
        <w:t>15</w:t>
      </w:r>
      <w:r w:rsidRPr="00575A1A">
        <w:rPr>
          <w:rFonts w:ascii="Arial" w:eastAsia="Times New Roman" w:hAnsi="Arial" w:cs="Arial"/>
          <w:b/>
          <w:color w:val="2E74B5" w:themeColor="accent5" w:themeShade="BF"/>
          <w:sz w:val="24"/>
          <w:szCs w:val="24"/>
          <w:u w:val="single"/>
        </w:rPr>
        <w:t>88</w:t>
      </w:r>
    </w:p>
    <w:p w:rsidR="00874E43" w:rsidRPr="00575A1A" w:rsidRDefault="00874E43" w:rsidP="00575A1A">
      <w:pPr>
        <w:pStyle w:val="ListParagraph"/>
        <w:spacing w:after="0" w:line="276" w:lineRule="auto"/>
        <w:ind w:left="786"/>
        <w:rPr>
          <w:rFonts w:ascii="Arial" w:eastAsia="Times New Roman" w:hAnsi="Arial" w:cs="Arial"/>
          <w:b/>
          <w:color w:val="2E74B5" w:themeColor="accent5" w:themeShade="BF"/>
          <w:sz w:val="24"/>
          <w:szCs w:val="24"/>
          <w:u w:val="single"/>
        </w:rPr>
      </w:pPr>
      <w:r w:rsidRPr="00575A1A">
        <w:rPr>
          <w:rFonts w:ascii="Arial" w:eastAsia="Times New Roman" w:hAnsi="Arial" w:cs="Arial"/>
          <w:b/>
          <w:color w:val="2E74B5" w:themeColor="accent5" w:themeShade="BF"/>
          <w:sz w:val="24"/>
          <w:szCs w:val="24"/>
          <w:u w:val="single"/>
        </w:rPr>
        <w:t>2017 Adjustments</w:t>
      </w:r>
    </w:p>
    <w:p w:rsidR="00874E43" w:rsidRPr="00B302E6" w:rsidRDefault="00874E43" w:rsidP="00575A1A">
      <w:pPr>
        <w:pStyle w:val="ListParagraph"/>
        <w:numPr>
          <w:ilvl w:val="0"/>
          <w:numId w:val="9"/>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2E74B5" w:themeColor="accent5" w:themeShade="BF"/>
          <w:sz w:val="24"/>
          <w:szCs w:val="24"/>
        </w:rPr>
        <w:t>Reversal of True-up of unbilled revenue for Dec 2016: $237,386.16</w:t>
      </w:r>
    </w:p>
    <w:p w:rsidR="00874E43" w:rsidRPr="00B302E6" w:rsidRDefault="00874E43" w:rsidP="00575A1A">
      <w:pPr>
        <w:pStyle w:val="ListParagraph"/>
        <w:numPr>
          <w:ilvl w:val="0"/>
          <w:numId w:val="9"/>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2E74B5" w:themeColor="accent5" w:themeShade="BF"/>
          <w:sz w:val="24"/>
          <w:szCs w:val="24"/>
        </w:rPr>
        <w:t>Reversal of Estimate for impact of 2016 IESO Notice of Dispute (NOD): $6,947.29</w:t>
      </w:r>
    </w:p>
    <w:p w:rsidR="00874E43" w:rsidRPr="00B302E6" w:rsidRDefault="00874E43" w:rsidP="00575A1A">
      <w:pPr>
        <w:pStyle w:val="ListParagraph"/>
        <w:numPr>
          <w:ilvl w:val="0"/>
          <w:numId w:val="9"/>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2E74B5" w:themeColor="accent5" w:themeShade="BF"/>
          <w:sz w:val="24"/>
          <w:szCs w:val="24"/>
        </w:rPr>
        <w:t>Reversal of Adjustment for 2015 NOD from estimate to settlement amount: ($12,445.39)</w:t>
      </w:r>
    </w:p>
    <w:p w:rsidR="00874E43" w:rsidRPr="00B302E6" w:rsidRDefault="00874E43" w:rsidP="00575A1A">
      <w:pPr>
        <w:pStyle w:val="ListParagraph"/>
        <w:numPr>
          <w:ilvl w:val="0"/>
          <w:numId w:val="9"/>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2E74B5" w:themeColor="accent5" w:themeShade="BF"/>
          <w:sz w:val="24"/>
          <w:szCs w:val="24"/>
        </w:rPr>
        <w:t>Reversal of Adjustment 2016 NOD from estimate to settlement amount: $892.44</w:t>
      </w:r>
    </w:p>
    <w:p w:rsidR="00874E43" w:rsidRPr="00B302E6" w:rsidRDefault="00874E43" w:rsidP="00575A1A">
      <w:pPr>
        <w:pStyle w:val="ListParagraph"/>
        <w:numPr>
          <w:ilvl w:val="0"/>
          <w:numId w:val="9"/>
        </w:numPr>
        <w:spacing w:after="0" w:line="276" w:lineRule="auto"/>
        <w:ind w:left="1506"/>
        <w:rPr>
          <w:rFonts w:ascii="Arial" w:eastAsia="Times New Roman" w:hAnsi="Arial" w:cs="Arial"/>
          <w:color w:val="0070C0"/>
          <w:sz w:val="24"/>
          <w:szCs w:val="24"/>
        </w:rPr>
      </w:pPr>
      <w:r w:rsidRPr="00B302E6">
        <w:rPr>
          <w:rFonts w:ascii="Arial" w:eastAsia="Times New Roman" w:hAnsi="Arial" w:cs="Arial"/>
          <w:color w:val="2E74B5" w:themeColor="accent5" w:themeShade="BF"/>
          <w:sz w:val="24"/>
          <w:szCs w:val="24"/>
        </w:rPr>
        <w:t xml:space="preserve">Reversal of </w:t>
      </w:r>
      <w:r w:rsidRPr="00B302E6">
        <w:rPr>
          <w:rFonts w:ascii="Arial" w:eastAsia="Times New Roman" w:hAnsi="Arial" w:cs="Arial"/>
          <w:color w:val="0070C0"/>
          <w:sz w:val="24"/>
          <w:szCs w:val="24"/>
        </w:rPr>
        <w:t>Estimate for impact of 2015 NOD: $35,790.65</w:t>
      </w:r>
    </w:p>
    <w:p w:rsidR="00874E43" w:rsidRPr="00B302E6" w:rsidRDefault="00874E43" w:rsidP="00575A1A">
      <w:pPr>
        <w:pStyle w:val="ListParagraph"/>
        <w:spacing w:after="0" w:line="276" w:lineRule="auto"/>
        <w:ind w:left="1506"/>
        <w:rPr>
          <w:rFonts w:ascii="Arial" w:eastAsia="Times New Roman" w:hAnsi="Arial" w:cs="Arial"/>
          <w:color w:val="2E74B5" w:themeColor="accent5" w:themeShade="BF"/>
          <w:sz w:val="24"/>
          <w:szCs w:val="24"/>
        </w:rPr>
      </w:pPr>
    </w:p>
    <w:p w:rsidR="00874E43" w:rsidRPr="00B302E6" w:rsidRDefault="00874E43" w:rsidP="00575A1A">
      <w:pPr>
        <w:pStyle w:val="ListParagraph"/>
        <w:spacing w:after="0" w:line="276" w:lineRule="auto"/>
        <w:ind w:left="786"/>
        <w:rPr>
          <w:rFonts w:ascii="Arial" w:eastAsia="Times New Roman" w:hAnsi="Arial" w:cs="Arial"/>
          <w:color w:val="2E74B5" w:themeColor="accent5" w:themeShade="BF"/>
          <w:sz w:val="24"/>
          <w:szCs w:val="24"/>
        </w:rPr>
      </w:pPr>
      <w:r w:rsidRPr="00B302E6">
        <w:rPr>
          <w:rFonts w:ascii="Arial" w:eastAsia="Times New Roman" w:hAnsi="Arial" w:cs="Arial"/>
          <w:b/>
          <w:color w:val="2E74B5" w:themeColor="accent5" w:themeShade="BF"/>
          <w:sz w:val="24"/>
          <w:szCs w:val="24"/>
        </w:rPr>
        <w:t>Total 2017 Principal Adjustments:</w:t>
      </w:r>
      <w:r w:rsidRPr="00B302E6">
        <w:rPr>
          <w:rFonts w:ascii="Arial" w:eastAsia="Times New Roman" w:hAnsi="Arial" w:cs="Arial"/>
          <w:color w:val="2E74B5" w:themeColor="accent5" w:themeShade="BF"/>
          <w:sz w:val="24"/>
          <w:szCs w:val="24"/>
        </w:rPr>
        <w:t xml:space="preserve"> $237,386.16 + $6,947.29 - $12,445.39 + $892.44 + $35,790.65 = $2</w:t>
      </w:r>
      <w:r w:rsidR="008A54BA" w:rsidRPr="00B302E6">
        <w:rPr>
          <w:rFonts w:ascii="Arial" w:eastAsia="Times New Roman" w:hAnsi="Arial" w:cs="Arial"/>
          <w:color w:val="2E74B5" w:themeColor="accent5" w:themeShade="BF"/>
          <w:sz w:val="24"/>
          <w:szCs w:val="24"/>
        </w:rPr>
        <w:t>68</w:t>
      </w:r>
      <w:r w:rsidRPr="00B302E6">
        <w:rPr>
          <w:rFonts w:ascii="Arial" w:eastAsia="Times New Roman" w:hAnsi="Arial" w:cs="Arial"/>
          <w:color w:val="2E74B5" w:themeColor="accent5" w:themeShade="BF"/>
          <w:sz w:val="24"/>
          <w:szCs w:val="24"/>
        </w:rPr>
        <w:t>,</w:t>
      </w:r>
      <w:r w:rsidR="008A54BA" w:rsidRPr="00B302E6">
        <w:rPr>
          <w:rFonts w:ascii="Arial" w:eastAsia="Times New Roman" w:hAnsi="Arial" w:cs="Arial"/>
          <w:color w:val="2E74B5" w:themeColor="accent5" w:themeShade="BF"/>
          <w:sz w:val="24"/>
          <w:szCs w:val="24"/>
        </w:rPr>
        <w:t>571.15</w:t>
      </w:r>
    </w:p>
    <w:p w:rsidR="00874E43" w:rsidRPr="00575A1A" w:rsidRDefault="00874E43" w:rsidP="00575A1A">
      <w:pPr>
        <w:pStyle w:val="ListParagraph"/>
        <w:spacing w:after="0" w:line="276" w:lineRule="auto"/>
        <w:ind w:left="786"/>
        <w:rPr>
          <w:rFonts w:ascii="Arial" w:eastAsia="Times New Roman" w:hAnsi="Arial" w:cs="Arial"/>
          <w:b/>
          <w:color w:val="2E74B5" w:themeColor="accent5" w:themeShade="BF"/>
          <w:sz w:val="24"/>
          <w:szCs w:val="24"/>
        </w:rPr>
      </w:pPr>
    </w:p>
    <w:p w:rsidR="00AF7D94" w:rsidRPr="00575A1A" w:rsidRDefault="00AF7D94" w:rsidP="00575A1A">
      <w:pPr>
        <w:pStyle w:val="ListParagraph"/>
        <w:spacing w:after="0" w:line="276" w:lineRule="auto"/>
        <w:ind w:left="786"/>
        <w:rPr>
          <w:rFonts w:ascii="Arial" w:eastAsia="Times New Roman" w:hAnsi="Arial" w:cs="Arial"/>
          <w:b/>
          <w:color w:val="0070C0"/>
          <w:sz w:val="24"/>
          <w:szCs w:val="24"/>
          <w:u w:val="single"/>
        </w:rPr>
      </w:pPr>
      <w:r w:rsidRPr="00575A1A">
        <w:rPr>
          <w:rFonts w:ascii="Arial" w:eastAsia="Times New Roman" w:hAnsi="Arial" w:cs="Arial"/>
          <w:b/>
          <w:color w:val="0070C0"/>
          <w:sz w:val="24"/>
          <w:szCs w:val="24"/>
          <w:u w:val="single"/>
        </w:rPr>
        <w:t>1589</w:t>
      </w:r>
    </w:p>
    <w:p w:rsidR="00AF7D94" w:rsidRPr="00575A1A" w:rsidRDefault="00AF7D94" w:rsidP="00575A1A">
      <w:pPr>
        <w:pStyle w:val="ListParagraph"/>
        <w:spacing w:after="0" w:line="276" w:lineRule="auto"/>
        <w:ind w:left="786"/>
        <w:rPr>
          <w:rFonts w:ascii="Arial" w:eastAsia="Times New Roman" w:hAnsi="Arial" w:cs="Arial"/>
          <w:b/>
          <w:color w:val="0070C0"/>
          <w:sz w:val="24"/>
          <w:szCs w:val="24"/>
          <w:u w:val="single"/>
        </w:rPr>
      </w:pPr>
      <w:r w:rsidRPr="00575A1A">
        <w:rPr>
          <w:rFonts w:ascii="Arial" w:eastAsia="Times New Roman" w:hAnsi="Arial" w:cs="Arial"/>
          <w:b/>
          <w:color w:val="0070C0"/>
          <w:sz w:val="24"/>
          <w:szCs w:val="24"/>
          <w:u w:val="single"/>
        </w:rPr>
        <w:t>2017 Adjustments</w:t>
      </w:r>
    </w:p>
    <w:p w:rsidR="00AF7D94" w:rsidRPr="00B302E6" w:rsidRDefault="00AF7D94" w:rsidP="00575A1A">
      <w:pPr>
        <w:pStyle w:val="ListParagraph"/>
        <w:numPr>
          <w:ilvl w:val="0"/>
          <w:numId w:val="10"/>
        </w:numPr>
        <w:spacing w:after="0" w:line="276" w:lineRule="auto"/>
        <w:ind w:left="1506"/>
        <w:rPr>
          <w:rFonts w:ascii="Arial" w:eastAsia="Times New Roman" w:hAnsi="Arial" w:cs="Arial"/>
          <w:color w:val="0070C0"/>
          <w:sz w:val="24"/>
          <w:szCs w:val="24"/>
        </w:rPr>
      </w:pPr>
      <w:r w:rsidRPr="00B302E6">
        <w:rPr>
          <w:rFonts w:ascii="Arial" w:eastAsia="Times New Roman" w:hAnsi="Arial" w:cs="Arial"/>
          <w:color w:val="0070C0"/>
          <w:sz w:val="24"/>
          <w:szCs w:val="24"/>
        </w:rPr>
        <w:t>Reversal of True-up of unbilled revenue for Dec 2016: ($231,902.02)</w:t>
      </w:r>
    </w:p>
    <w:p w:rsidR="00AF7D94" w:rsidRPr="00B302E6" w:rsidRDefault="00AF7D94" w:rsidP="00575A1A">
      <w:pPr>
        <w:pStyle w:val="ListParagraph"/>
        <w:numPr>
          <w:ilvl w:val="0"/>
          <w:numId w:val="10"/>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2E74B5" w:themeColor="accent5" w:themeShade="BF"/>
          <w:sz w:val="24"/>
          <w:szCs w:val="24"/>
        </w:rPr>
        <w:t>Reversal of Estimate for impact of 2016 NOD: $125,029.94</w:t>
      </w:r>
    </w:p>
    <w:p w:rsidR="00AF7D94" w:rsidRPr="00B302E6" w:rsidRDefault="00AF7D94" w:rsidP="00575A1A">
      <w:pPr>
        <w:pStyle w:val="ListParagraph"/>
        <w:numPr>
          <w:ilvl w:val="0"/>
          <w:numId w:val="10"/>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2E74B5" w:themeColor="accent5" w:themeShade="BF"/>
          <w:sz w:val="24"/>
          <w:szCs w:val="24"/>
        </w:rPr>
        <w:t>Reversal of Adjustment for 2015 NOD from estimate to settlement amount: ($64,312.16)</w:t>
      </w:r>
    </w:p>
    <w:p w:rsidR="00AF7D94" w:rsidRPr="00B302E6" w:rsidRDefault="00AF7D94" w:rsidP="00575A1A">
      <w:pPr>
        <w:pStyle w:val="ListParagraph"/>
        <w:numPr>
          <w:ilvl w:val="0"/>
          <w:numId w:val="10"/>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2E74B5" w:themeColor="accent5" w:themeShade="BF"/>
          <w:sz w:val="24"/>
          <w:szCs w:val="24"/>
        </w:rPr>
        <w:t>Reversal of Adjustment for 2016 NOD from estimate to settlement amount: ($2,822.86)</w:t>
      </w:r>
    </w:p>
    <w:p w:rsidR="00AF7D94" w:rsidRPr="00B302E6" w:rsidRDefault="00AF7D94" w:rsidP="00575A1A">
      <w:pPr>
        <w:pStyle w:val="ListParagraph"/>
        <w:numPr>
          <w:ilvl w:val="0"/>
          <w:numId w:val="10"/>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2E74B5" w:themeColor="accent5" w:themeShade="BF"/>
          <w:sz w:val="24"/>
          <w:szCs w:val="24"/>
        </w:rPr>
        <w:lastRenderedPageBreak/>
        <w:t>Reversal of legal fees related to NOD included in balance: $5,042.37</w:t>
      </w:r>
    </w:p>
    <w:p w:rsidR="00AF7D94" w:rsidRPr="00B302E6" w:rsidRDefault="00AF7D94" w:rsidP="00575A1A">
      <w:pPr>
        <w:pStyle w:val="ListParagraph"/>
        <w:numPr>
          <w:ilvl w:val="0"/>
          <w:numId w:val="10"/>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2E74B5" w:themeColor="accent5" w:themeShade="BF"/>
          <w:sz w:val="24"/>
          <w:szCs w:val="24"/>
        </w:rPr>
        <w:t>Reversal of Adjustment for billing error in July 2016: ($72,099.66)</w:t>
      </w:r>
    </w:p>
    <w:p w:rsidR="00AF7D94" w:rsidRPr="00B302E6" w:rsidRDefault="00AF7D94" w:rsidP="00575A1A">
      <w:pPr>
        <w:pStyle w:val="ListParagraph"/>
        <w:numPr>
          <w:ilvl w:val="0"/>
          <w:numId w:val="10"/>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0070C0"/>
          <w:sz w:val="24"/>
          <w:szCs w:val="24"/>
        </w:rPr>
        <w:t>Reversal of Estimate for impact of 2015 NOD: $435,410.61</w:t>
      </w:r>
    </w:p>
    <w:p w:rsidR="00AF7D94" w:rsidRPr="00B302E6" w:rsidRDefault="00AF7D94" w:rsidP="00575A1A">
      <w:pPr>
        <w:pStyle w:val="ListParagraph"/>
        <w:numPr>
          <w:ilvl w:val="0"/>
          <w:numId w:val="10"/>
        </w:numPr>
        <w:spacing w:after="0" w:line="276" w:lineRule="auto"/>
        <w:ind w:left="1506"/>
        <w:rPr>
          <w:rFonts w:ascii="Arial" w:eastAsia="Times New Roman" w:hAnsi="Arial" w:cs="Arial"/>
          <w:color w:val="2E74B5" w:themeColor="accent5" w:themeShade="BF"/>
          <w:sz w:val="24"/>
          <w:szCs w:val="24"/>
        </w:rPr>
      </w:pPr>
      <w:r w:rsidRPr="00B302E6">
        <w:rPr>
          <w:rFonts w:ascii="Arial" w:eastAsia="Times New Roman" w:hAnsi="Arial" w:cs="Arial"/>
          <w:color w:val="2E74B5" w:themeColor="accent5" w:themeShade="BF"/>
          <w:sz w:val="24"/>
          <w:szCs w:val="24"/>
        </w:rPr>
        <w:t>Adjustment for Generation Estimates provided to IESO 2017: $42,891.11</w:t>
      </w:r>
    </w:p>
    <w:p w:rsidR="00AF7D94" w:rsidRPr="00B302E6" w:rsidRDefault="00AF7D94" w:rsidP="00575A1A">
      <w:pPr>
        <w:pStyle w:val="ListParagraph"/>
        <w:spacing w:after="0" w:line="276" w:lineRule="auto"/>
        <w:ind w:left="1506"/>
        <w:rPr>
          <w:rFonts w:ascii="Arial" w:eastAsia="Times New Roman" w:hAnsi="Arial" w:cs="Arial"/>
          <w:color w:val="2E74B5" w:themeColor="accent5" w:themeShade="BF"/>
          <w:sz w:val="24"/>
          <w:szCs w:val="24"/>
        </w:rPr>
      </w:pPr>
    </w:p>
    <w:p w:rsidR="00AF7D94" w:rsidRPr="00B302E6" w:rsidRDefault="00AF7D94" w:rsidP="00575A1A">
      <w:pPr>
        <w:pStyle w:val="ListParagraph"/>
        <w:spacing w:after="0" w:line="276" w:lineRule="auto"/>
        <w:ind w:left="786"/>
        <w:rPr>
          <w:rFonts w:ascii="Arial" w:eastAsia="Times New Roman" w:hAnsi="Arial" w:cs="Arial"/>
          <w:color w:val="2E74B5" w:themeColor="accent5" w:themeShade="BF"/>
          <w:sz w:val="24"/>
          <w:szCs w:val="24"/>
        </w:rPr>
      </w:pPr>
      <w:r w:rsidRPr="00B302E6">
        <w:rPr>
          <w:rFonts w:ascii="Arial" w:eastAsia="Times New Roman" w:hAnsi="Arial" w:cs="Arial"/>
          <w:b/>
          <w:color w:val="2E74B5" w:themeColor="accent5" w:themeShade="BF"/>
          <w:sz w:val="24"/>
          <w:szCs w:val="24"/>
        </w:rPr>
        <w:t>Total 2017 Principal Adjustments:</w:t>
      </w:r>
      <w:r w:rsidRPr="00B302E6">
        <w:rPr>
          <w:rFonts w:ascii="Arial" w:eastAsia="Times New Roman" w:hAnsi="Arial" w:cs="Arial"/>
          <w:color w:val="2E74B5" w:themeColor="accent5" w:themeShade="BF"/>
          <w:sz w:val="24"/>
          <w:szCs w:val="24"/>
        </w:rPr>
        <w:t xml:space="preserve">  -$231,902.02 + 125,029.94 - 64,312.16 - $2,822.86 + $5,042.37 - $72,099.66 + 435,410.61 + 42,891.11 = $237,237.33.</w:t>
      </w:r>
    </w:p>
    <w:p w:rsidR="00874E43" w:rsidRPr="00575A1A" w:rsidRDefault="00874E43" w:rsidP="00575A1A">
      <w:pPr>
        <w:pStyle w:val="ListParagraph"/>
        <w:spacing w:after="0" w:line="276" w:lineRule="auto"/>
        <w:ind w:left="786"/>
        <w:rPr>
          <w:rFonts w:ascii="Arial" w:eastAsia="Times New Roman" w:hAnsi="Arial" w:cs="Arial"/>
          <w:b/>
          <w:sz w:val="24"/>
          <w:szCs w:val="24"/>
        </w:rPr>
      </w:pPr>
    </w:p>
    <w:p w:rsidR="00CD4378" w:rsidRPr="00575A1A" w:rsidRDefault="00CD4378" w:rsidP="00575A1A">
      <w:pPr>
        <w:pStyle w:val="ListParagraph"/>
        <w:numPr>
          <w:ilvl w:val="0"/>
          <w:numId w:val="3"/>
        </w:numPr>
        <w:spacing w:after="0" w:line="276" w:lineRule="auto"/>
        <w:ind w:left="786"/>
        <w:rPr>
          <w:rFonts w:ascii="Arial" w:eastAsia="Times New Roman" w:hAnsi="Arial" w:cs="Arial"/>
          <w:b/>
          <w:sz w:val="24"/>
          <w:szCs w:val="24"/>
        </w:rPr>
      </w:pPr>
      <w:proofErr w:type="gramStart"/>
      <w:r w:rsidRPr="00575A1A">
        <w:rPr>
          <w:rFonts w:ascii="Arial" w:eastAsia="Times New Roman" w:hAnsi="Arial" w:cs="Arial"/>
          <w:b/>
          <w:sz w:val="24"/>
          <w:szCs w:val="24"/>
        </w:rPr>
        <w:t>Do</w:t>
      </w:r>
      <w:proofErr w:type="gramEnd"/>
      <w:r w:rsidRPr="00575A1A">
        <w:rPr>
          <w:rFonts w:ascii="Arial" w:eastAsia="Times New Roman" w:hAnsi="Arial" w:cs="Arial"/>
          <w:b/>
          <w:sz w:val="24"/>
          <w:szCs w:val="24"/>
        </w:rPr>
        <w:t xml:space="preserve"> the amount calculated in part d. above reconcile to the applicant’s principal adjustments shown in the DVA Continuity Schedule for the current proceeding? If not, please provide an explanation.</w:t>
      </w:r>
    </w:p>
    <w:p w:rsidR="00D72273" w:rsidRDefault="00D72273" w:rsidP="00575A1A">
      <w:pPr>
        <w:pStyle w:val="ListParagraph"/>
        <w:spacing w:after="0" w:line="276" w:lineRule="auto"/>
        <w:ind w:left="786"/>
        <w:rPr>
          <w:rFonts w:ascii="Arial" w:eastAsia="Times New Roman" w:hAnsi="Arial" w:cs="Arial"/>
          <w:b/>
          <w:color w:val="0070C0"/>
          <w:sz w:val="24"/>
          <w:szCs w:val="24"/>
        </w:rPr>
      </w:pPr>
      <w:r w:rsidRPr="00575A1A">
        <w:rPr>
          <w:rFonts w:ascii="Arial" w:eastAsia="Times New Roman" w:hAnsi="Arial" w:cs="Arial"/>
          <w:b/>
          <w:color w:val="0070C0"/>
          <w:sz w:val="24"/>
          <w:szCs w:val="24"/>
        </w:rPr>
        <w:t>Yes</w:t>
      </w:r>
    </w:p>
    <w:p w:rsidR="00B302E6" w:rsidRPr="00575A1A" w:rsidRDefault="00B302E6" w:rsidP="00575A1A">
      <w:pPr>
        <w:pStyle w:val="ListParagraph"/>
        <w:spacing w:after="0" w:line="276" w:lineRule="auto"/>
        <w:ind w:left="786"/>
        <w:rPr>
          <w:rFonts w:ascii="Arial" w:eastAsia="Times New Roman" w:hAnsi="Arial" w:cs="Arial"/>
          <w:b/>
          <w:color w:val="0070C0"/>
          <w:sz w:val="24"/>
          <w:szCs w:val="24"/>
        </w:rPr>
      </w:pPr>
    </w:p>
    <w:p w:rsidR="00CD4378" w:rsidRPr="00575A1A" w:rsidRDefault="00CD4378" w:rsidP="00575A1A">
      <w:pPr>
        <w:pStyle w:val="ListParagraph"/>
        <w:numPr>
          <w:ilvl w:val="0"/>
          <w:numId w:val="3"/>
        </w:numPr>
        <w:ind w:left="786"/>
        <w:rPr>
          <w:rFonts w:ascii="Arial" w:eastAsia="Times New Roman" w:hAnsi="Arial" w:cs="Arial"/>
          <w:b/>
          <w:sz w:val="24"/>
          <w:szCs w:val="24"/>
        </w:rPr>
      </w:pPr>
      <w:r w:rsidRPr="00575A1A">
        <w:rPr>
          <w:rFonts w:ascii="Arial" w:eastAsia="Times New Roman" w:hAnsi="Arial" w:cs="Arial"/>
          <w:b/>
          <w:sz w:val="24"/>
          <w:szCs w:val="24"/>
        </w:rPr>
        <w:t>Please confirm that the principal adjustments approved for disposition in 2018 were not recorded in the applicant’s GL as adjustments (they would be recorded as OEB approved dispositions in the GL and shown as such on the DVA Continuity Schedule under 2018).</w:t>
      </w:r>
    </w:p>
    <w:p w:rsidR="00874E43" w:rsidRPr="00575A1A" w:rsidRDefault="00874E43" w:rsidP="00575A1A">
      <w:pPr>
        <w:pStyle w:val="ListParagraph"/>
        <w:ind w:left="786"/>
        <w:rPr>
          <w:rFonts w:ascii="Arial" w:eastAsia="Times New Roman" w:hAnsi="Arial" w:cs="Arial"/>
          <w:b/>
          <w:color w:val="0070C0"/>
          <w:sz w:val="24"/>
          <w:szCs w:val="24"/>
        </w:rPr>
      </w:pPr>
      <w:r w:rsidRPr="00575A1A">
        <w:rPr>
          <w:rFonts w:ascii="Arial" w:eastAsia="Times New Roman" w:hAnsi="Arial" w:cs="Arial"/>
          <w:b/>
          <w:color w:val="0070C0"/>
          <w:sz w:val="24"/>
          <w:szCs w:val="24"/>
        </w:rPr>
        <w:t>Confirmed</w:t>
      </w:r>
    </w:p>
    <w:p w:rsidR="00B302E6" w:rsidRDefault="00B302E6" w:rsidP="00AD33AF">
      <w:pPr>
        <w:spacing w:line="360" w:lineRule="auto"/>
        <w:ind w:left="360"/>
        <w:rPr>
          <w:rFonts w:ascii="Arial" w:hAnsi="Arial" w:cs="Arial"/>
          <w:b/>
          <w:color w:val="0070C0"/>
          <w:sz w:val="20"/>
          <w:szCs w:val="20"/>
          <w:u w:val="single"/>
        </w:rPr>
      </w:pPr>
    </w:p>
    <w:p w:rsidR="00B302E6" w:rsidRDefault="00B302E6" w:rsidP="00AD33AF">
      <w:pPr>
        <w:spacing w:line="360" w:lineRule="auto"/>
        <w:ind w:left="360"/>
        <w:rPr>
          <w:rFonts w:ascii="Arial" w:hAnsi="Arial" w:cs="Arial"/>
          <w:b/>
          <w:color w:val="0070C0"/>
          <w:sz w:val="20"/>
          <w:szCs w:val="20"/>
          <w:u w:val="single"/>
        </w:rPr>
      </w:pPr>
    </w:p>
    <w:p w:rsidR="00A413D7" w:rsidRDefault="00A413D7">
      <w:pPr>
        <w:rPr>
          <w:rFonts w:ascii="Arial" w:eastAsiaTheme="majorEastAsia" w:hAnsi="Arial" w:cstheme="majorBidi"/>
          <w:b/>
          <w:sz w:val="36"/>
          <w:szCs w:val="32"/>
        </w:rPr>
      </w:pPr>
      <w:r>
        <w:br w:type="page"/>
      </w:r>
    </w:p>
    <w:p w:rsidR="00AD33AF" w:rsidRPr="00B302E6" w:rsidRDefault="00AD33AF" w:rsidP="00B302E6">
      <w:pPr>
        <w:pStyle w:val="Heading1"/>
        <w:spacing w:before="0"/>
      </w:pPr>
      <w:r w:rsidRPr="00B302E6">
        <w:lastRenderedPageBreak/>
        <w:t>Appendix 2</w:t>
      </w:r>
      <w:r w:rsidR="00B302E6">
        <w:t>A</w:t>
      </w:r>
      <w:r w:rsidRPr="00B302E6">
        <w:t xml:space="preserve"> – RPP Settlement</w:t>
      </w:r>
    </w:p>
    <w:p w:rsidR="00AD33AF" w:rsidRPr="00E80F9A" w:rsidRDefault="00AD33AF" w:rsidP="00AD33AF">
      <w:pPr>
        <w:spacing w:line="360" w:lineRule="auto"/>
        <w:ind w:left="360"/>
        <w:rPr>
          <w:rFonts w:ascii="Arial" w:hAnsi="Arial" w:cs="Arial"/>
          <w:b/>
          <w:color w:val="0070C0"/>
          <w:sz w:val="20"/>
          <w:szCs w:val="20"/>
          <w:u w:val="single"/>
        </w:rPr>
      </w:pPr>
    </w:p>
    <w:p w:rsidR="00AD33AF" w:rsidRPr="00A413D7" w:rsidRDefault="00AD33AF" w:rsidP="00A413D7">
      <w:pPr>
        <w:spacing w:line="360" w:lineRule="auto"/>
        <w:rPr>
          <w:rFonts w:ascii="Arial" w:hAnsi="Arial" w:cs="Arial"/>
          <w:b/>
          <w:color w:val="0070C0"/>
          <w:sz w:val="24"/>
          <w:szCs w:val="20"/>
          <w:u w:val="single"/>
        </w:rPr>
      </w:pPr>
      <w:r w:rsidRPr="00A413D7">
        <w:rPr>
          <w:rFonts w:ascii="Arial" w:hAnsi="Arial" w:cs="Arial"/>
          <w:b/>
          <w:color w:val="0070C0"/>
          <w:sz w:val="24"/>
          <w:szCs w:val="20"/>
          <w:u w:val="single"/>
        </w:rPr>
        <w:t>Determine Estimated RPP kWh for the reporting month</w:t>
      </w:r>
    </w:p>
    <w:p w:rsidR="00AD33AF" w:rsidRPr="00A413D7" w:rsidRDefault="00AD33AF" w:rsidP="00A413D7">
      <w:pPr>
        <w:spacing w:line="360" w:lineRule="auto"/>
        <w:rPr>
          <w:rFonts w:ascii="Arial" w:hAnsi="Arial" w:cs="Arial"/>
          <w:b/>
          <w:color w:val="0070C0"/>
          <w:sz w:val="24"/>
          <w:szCs w:val="20"/>
        </w:rPr>
      </w:pPr>
      <w:r w:rsidRPr="00A413D7">
        <w:rPr>
          <w:rFonts w:ascii="Arial" w:hAnsi="Arial" w:cs="Arial"/>
          <w:b/>
          <w:color w:val="0070C0"/>
          <w:sz w:val="24"/>
          <w:szCs w:val="20"/>
        </w:rPr>
        <w:t>Actual amounts consumed by RPP customers for the reporting month are not available at the time that the 1598 submission is due to the IESO.  Due to this fact, NOTL Hydro estimates RPP consumption by applying a scaling factor to the kWhs billed to RPP customers in the reporting month.  This is calculated as follows:</w:t>
      </w:r>
    </w:p>
    <w:p w:rsidR="00AD33AF" w:rsidRPr="00A413D7" w:rsidRDefault="00AD33AF" w:rsidP="00A413D7">
      <w:pPr>
        <w:numPr>
          <w:ilvl w:val="0"/>
          <w:numId w:val="11"/>
        </w:numPr>
        <w:spacing w:after="120" w:line="360" w:lineRule="auto"/>
        <w:rPr>
          <w:rFonts w:ascii="Arial" w:hAnsi="Arial" w:cs="Arial"/>
          <w:b/>
          <w:color w:val="0070C0"/>
          <w:sz w:val="24"/>
          <w:szCs w:val="20"/>
          <w:u w:val="single"/>
        </w:rPr>
      </w:pPr>
      <w:r w:rsidRPr="00A413D7">
        <w:rPr>
          <w:rFonts w:ascii="Arial" w:hAnsi="Arial" w:cs="Arial"/>
          <w:b/>
          <w:color w:val="0070C0"/>
          <w:sz w:val="24"/>
          <w:szCs w:val="20"/>
        </w:rPr>
        <w:t>Scaling Factor</w:t>
      </w:r>
    </w:p>
    <w:p w:rsidR="00AD33AF" w:rsidRPr="00E80F9A" w:rsidRDefault="00AD33AF" w:rsidP="00A413D7">
      <w:pPr>
        <w:numPr>
          <w:ilvl w:val="1"/>
          <w:numId w:val="11"/>
        </w:numPr>
        <w:spacing w:after="120" w:line="360" w:lineRule="auto"/>
        <w:ind w:left="720"/>
        <w:rPr>
          <w:rFonts w:ascii="Arial" w:hAnsi="Arial" w:cs="Arial"/>
          <w:color w:val="0070C0"/>
          <w:sz w:val="20"/>
          <w:szCs w:val="20"/>
          <w:u w:val="single"/>
        </w:rPr>
      </w:pPr>
      <w:r w:rsidRPr="00E80F9A">
        <w:rPr>
          <w:rFonts w:ascii="Arial" w:hAnsi="Arial" w:cs="Arial"/>
          <w:color w:val="0070C0"/>
          <w:sz w:val="20"/>
          <w:szCs w:val="20"/>
        </w:rPr>
        <w:t xml:space="preserve">‘Totalized Meter Data with losses for MMP’ reports for each day are downloaded from the IESO </w:t>
      </w:r>
      <w:r w:rsidR="0057782E">
        <w:rPr>
          <w:rFonts w:ascii="Arial" w:hAnsi="Arial" w:cs="Arial"/>
          <w:color w:val="0070C0"/>
          <w:sz w:val="20"/>
          <w:szCs w:val="20"/>
        </w:rPr>
        <w:t xml:space="preserve">Reports </w:t>
      </w:r>
      <w:r w:rsidRPr="00E80F9A">
        <w:rPr>
          <w:rFonts w:ascii="Arial" w:hAnsi="Arial" w:cs="Arial"/>
          <w:color w:val="0070C0"/>
          <w:sz w:val="20"/>
          <w:szCs w:val="20"/>
        </w:rPr>
        <w:t>website.  Daily information is consolidated for NOTL Hydro’s 2 transformer stations to determine the Total Grid Supplied Consumption.</w:t>
      </w:r>
    </w:p>
    <w:p w:rsidR="00AD33AF" w:rsidRPr="00E80F9A" w:rsidRDefault="00AD33AF" w:rsidP="00A413D7">
      <w:pPr>
        <w:numPr>
          <w:ilvl w:val="1"/>
          <w:numId w:val="11"/>
        </w:numPr>
        <w:spacing w:after="120" w:line="360" w:lineRule="auto"/>
        <w:ind w:left="720"/>
        <w:rPr>
          <w:rFonts w:ascii="Arial" w:hAnsi="Arial" w:cs="Arial"/>
          <w:color w:val="0070C0"/>
          <w:sz w:val="20"/>
          <w:szCs w:val="20"/>
        </w:rPr>
      </w:pPr>
      <w:r w:rsidRPr="00E80F9A">
        <w:rPr>
          <w:rFonts w:ascii="Arial" w:hAnsi="Arial" w:cs="Arial"/>
          <w:color w:val="0070C0"/>
          <w:sz w:val="20"/>
          <w:szCs w:val="20"/>
        </w:rPr>
        <w:t>Actual Embedded Generation for the month is added to the Total Grid Supplied Consumption to determine the Total System Consumption for the reporting month.</w:t>
      </w:r>
    </w:p>
    <w:p w:rsidR="00AD33AF" w:rsidRPr="00E80F9A" w:rsidRDefault="00AD33AF" w:rsidP="00A413D7">
      <w:pPr>
        <w:spacing w:after="120" w:line="360" w:lineRule="auto"/>
        <w:ind w:left="360"/>
        <w:jc w:val="center"/>
        <w:rPr>
          <w:rFonts w:ascii="Arial" w:hAnsi="Arial" w:cs="Arial"/>
          <w:color w:val="0070C0"/>
          <w:sz w:val="20"/>
          <w:szCs w:val="20"/>
        </w:rPr>
      </w:pPr>
      <w:r w:rsidRPr="00E80F9A">
        <w:rPr>
          <w:rFonts w:ascii="Arial" w:hAnsi="Arial" w:cs="Arial"/>
          <w:noProof/>
          <w:color w:val="0070C0"/>
          <w:sz w:val="20"/>
          <w:szCs w:val="20"/>
        </w:rPr>
        <w:drawing>
          <wp:inline distT="0" distB="0" distL="0" distR="0" wp14:anchorId="13804337" wp14:editId="3A9F52A6">
            <wp:extent cx="6025607" cy="45542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2129" cy="457429"/>
                    </a:xfrm>
                    <a:prstGeom prst="rect">
                      <a:avLst/>
                    </a:prstGeom>
                    <a:noFill/>
                    <a:ln>
                      <a:noFill/>
                    </a:ln>
                  </pic:spPr>
                </pic:pic>
              </a:graphicData>
            </a:graphic>
          </wp:inline>
        </w:drawing>
      </w:r>
    </w:p>
    <w:p w:rsidR="00AD33AF" w:rsidRPr="00E80F9A" w:rsidRDefault="00AD33AF" w:rsidP="00A413D7">
      <w:pPr>
        <w:numPr>
          <w:ilvl w:val="1"/>
          <w:numId w:val="11"/>
        </w:numPr>
        <w:spacing w:after="120" w:line="360" w:lineRule="auto"/>
        <w:ind w:left="720"/>
        <w:rPr>
          <w:rFonts w:ascii="Arial" w:hAnsi="Arial" w:cs="Arial"/>
          <w:color w:val="0070C0"/>
          <w:sz w:val="20"/>
          <w:szCs w:val="20"/>
        </w:rPr>
      </w:pPr>
      <w:r w:rsidRPr="00E80F9A">
        <w:rPr>
          <w:rFonts w:ascii="Arial" w:hAnsi="Arial" w:cs="Arial"/>
          <w:color w:val="0070C0"/>
          <w:sz w:val="20"/>
          <w:szCs w:val="20"/>
        </w:rPr>
        <w:t>The total kWhs billed for all customers (RPP and non-RPP) for the reporting month is obtained from NOTL Hydro’s Harris Northstar billing system.  The Total System Consumption / Total Billed kWh = Scaling Factor</w:t>
      </w:r>
    </w:p>
    <w:p w:rsidR="00AD33AF" w:rsidRDefault="00AD33AF" w:rsidP="00A413D7">
      <w:pPr>
        <w:spacing w:after="120" w:line="360" w:lineRule="auto"/>
        <w:ind w:left="360"/>
        <w:rPr>
          <w:rFonts w:ascii="Arial" w:hAnsi="Arial" w:cs="Arial"/>
          <w:color w:val="0070C0"/>
          <w:sz w:val="20"/>
          <w:szCs w:val="20"/>
        </w:rPr>
      </w:pPr>
      <w:r w:rsidRPr="00E80F9A">
        <w:rPr>
          <w:rFonts w:ascii="Arial" w:hAnsi="Arial" w:cs="Arial"/>
          <w:noProof/>
          <w:color w:val="0070C0"/>
          <w:sz w:val="20"/>
          <w:szCs w:val="20"/>
        </w:rPr>
        <w:drawing>
          <wp:inline distT="0" distB="0" distL="0" distR="0" wp14:anchorId="0D327097" wp14:editId="631612DE">
            <wp:extent cx="5943600" cy="44922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9226"/>
                    </a:xfrm>
                    <a:prstGeom prst="rect">
                      <a:avLst/>
                    </a:prstGeom>
                    <a:noFill/>
                    <a:ln>
                      <a:noFill/>
                    </a:ln>
                  </pic:spPr>
                </pic:pic>
              </a:graphicData>
            </a:graphic>
          </wp:inline>
        </w:drawing>
      </w:r>
    </w:p>
    <w:p w:rsidR="00A413D7" w:rsidRPr="00E80F9A" w:rsidRDefault="00A413D7" w:rsidP="00A413D7">
      <w:pPr>
        <w:spacing w:after="120" w:line="360" w:lineRule="auto"/>
        <w:ind w:left="360"/>
        <w:rPr>
          <w:rFonts w:ascii="Arial" w:hAnsi="Arial" w:cs="Arial"/>
          <w:color w:val="0070C0"/>
          <w:sz w:val="20"/>
          <w:szCs w:val="20"/>
        </w:rPr>
      </w:pPr>
    </w:p>
    <w:p w:rsidR="00AD33AF" w:rsidRPr="00A413D7" w:rsidRDefault="00AD33AF" w:rsidP="00AD33AF">
      <w:pPr>
        <w:pStyle w:val="ListParagraph"/>
        <w:numPr>
          <w:ilvl w:val="0"/>
          <w:numId w:val="11"/>
        </w:numPr>
        <w:spacing w:after="120" w:line="360" w:lineRule="auto"/>
        <w:rPr>
          <w:rFonts w:ascii="Arial" w:hAnsi="Arial" w:cs="Arial"/>
          <w:b/>
          <w:color w:val="0070C0"/>
          <w:sz w:val="24"/>
          <w:szCs w:val="20"/>
        </w:rPr>
      </w:pPr>
      <w:r w:rsidRPr="00A413D7">
        <w:rPr>
          <w:rFonts w:ascii="Arial" w:hAnsi="Arial" w:cs="Arial"/>
          <w:b/>
          <w:color w:val="0070C0"/>
          <w:sz w:val="24"/>
          <w:szCs w:val="20"/>
        </w:rPr>
        <w:t>Energy billed for the reporting month to RPP customers (kWh) in Block 1 and 2 for conventional meters OFF/MID/ON PEAK periods for smart meters are obtained from Northstar.  Since these are the billed amounts and not the actual consumption for the month, the scaling factor is applied to estimate the RPP Block 1 &amp; 2 and ON/OFF/MID Peak consumption for the reporting month.</w:t>
      </w:r>
    </w:p>
    <w:p w:rsidR="00AD33AF" w:rsidRPr="00E80F9A" w:rsidRDefault="00AD33AF" w:rsidP="00AD33AF">
      <w:pPr>
        <w:pStyle w:val="ListParagraph"/>
        <w:spacing w:after="120" w:line="360" w:lineRule="auto"/>
        <w:ind w:left="1080"/>
        <w:rPr>
          <w:rFonts w:ascii="Arial" w:hAnsi="Arial" w:cs="Arial"/>
          <w:color w:val="0070C0"/>
          <w:sz w:val="20"/>
          <w:szCs w:val="20"/>
        </w:rPr>
      </w:pPr>
      <w:r w:rsidRPr="00E80F9A">
        <w:rPr>
          <w:rFonts w:ascii="Arial" w:hAnsi="Arial" w:cs="Arial"/>
          <w:noProof/>
          <w:color w:val="0070C0"/>
          <w:sz w:val="20"/>
          <w:szCs w:val="20"/>
        </w:rPr>
        <w:lastRenderedPageBreak/>
        <w:drawing>
          <wp:inline distT="0" distB="0" distL="0" distR="0" wp14:anchorId="60DEA976" wp14:editId="5917F366">
            <wp:extent cx="4895850" cy="1304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1304925"/>
                    </a:xfrm>
                    <a:prstGeom prst="rect">
                      <a:avLst/>
                    </a:prstGeom>
                    <a:noFill/>
                    <a:ln>
                      <a:noFill/>
                    </a:ln>
                  </pic:spPr>
                </pic:pic>
              </a:graphicData>
            </a:graphic>
          </wp:inline>
        </w:drawing>
      </w:r>
    </w:p>
    <w:p w:rsidR="00AD33AF" w:rsidRPr="00E80F9A" w:rsidRDefault="00AD33AF" w:rsidP="00AD33AF">
      <w:pPr>
        <w:pStyle w:val="ListParagraph"/>
        <w:spacing w:after="120" w:line="360" w:lineRule="auto"/>
        <w:ind w:left="1080"/>
        <w:rPr>
          <w:rFonts w:ascii="Arial" w:hAnsi="Arial" w:cs="Arial"/>
          <w:color w:val="0070C0"/>
          <w:sz w:val="20"/>
          <w:szCs w:val="20"/>
        </w:rPr>
      </w:pPr>
    </w:p>
    <w:p w:rsidR="00AD33AF" w:rsidRPr="00A413D7" w:rsidRDefault="00AD33AF" w:rsidP="00AD33AF">
      <w:pPr>
        <w:spacing w:line="360" w:lineRule="auto"/>
        <w:rPr>
          <w:rFonts w:ascii="Arial" w:hAnsi="Arial" w:cs="Arial"/>
          <w:b/>
          <w:color w:val="0070C0"/>
          <w:sz w:val="24"/>
          <w:szCs w:val="20"/>
          <w:u w:val="single"/>
        </w:rPr>
      </w:pPr>
      <w:r w:rsidRPr="00A413D7">
        <w:rPr>
          <w:rFonts w:ascii="Arial" w:hAnsi="Arial" w:cs="Arial"/>
          <w:b/>
          <w:color w:val="0070C0"/>
          <w:sz w:val="24"/>
          <w:szCs w:val="20"/>
          <w:u w:val="single"/>
        </w:rPr>
        <w:t>Determine Estimated Weighted Average Price for the reporting month</w:t>
      </w:r>
    </w:p>
    <w:p w:rsidR="00AD33AF" w:rsidRPr="00A413D7" w:rsidRDefault="0057782E" w:rsidP="00AD33AF">
      <w:pPr>
        <w:numPr>
          <w:ilvl w:val="0"/>
          <w:numId w:val="12"/>
        </w:numPr>
        <w:spacing w:after="120" w:line="360" w:lineRule="auto"/>
        <w:rPr>
          <w:rFonts w:ascii="Arial" w:hAnsi="Arial" w:cs="Arial"/>
          <w:b/>
          <w:color w:val="0070C0"/>
          <w:sz w:val="24"/>
          <w:szCs w:val="20"/>
          <w:u w:val="single"/>
        </w:rPr>
      </w:pPr>
      <w:r>
        <w:rPr>
          <w:rFonts w:ascii="Arial" w:hAnsi="Arial" w:cs="Arial"/>
          <w:b/>
          <w:color w:val="0070C0"/>
          <w:sz w:val="24"/>
          <w:szCs w:val="20"/>
        </w:rPr>
        <w:t>At the time of submission, p</w:t>
      </w:r>
      <w:r w:rsidR="00AD33AF" w:rsidRPr="00A413D7">
        <w:rPr>
          <w:rFonts w:ascii="Arial" w:hAnsi="Arial" w:cs="Arial"/>
          <w:b/>
          <w:color w:val="0070C0"/>
          <w:sz w:val="24"/>
          <w:szCs w:val="20"/>
        </w:rPr>
        <w:t>ricing is normally available in Northstar for the first 19 – 22 days of the reporting month.</w:t>
      </w:r>
    </w:p>
    <w:p w:rsidR="00AD33AF" w:rsidRPr="00E80F9A" w:rsidRDefault="00AD33AF" w:rsidP="00AD33AF">
      <w:pPr>
        <w:numPr>
          <w:ilvl w:val="1"/>
          <w:numId w:val="12"/>
        </w:numPr>
        <w:spacing w:after="120" w:line="360" w:lineRule="auto"/>
        <w:rPr>
          <w:rFonts w:ascii="Arial" w:hAnsi="Arial" w:cs="Arial"/>
          <w:color w:val="0070C0"/>
          <w:sz w:val="20"/>
          <w:szCs w:val="20"/>
          <w:u w:val="single"/>
        </w:rPr>
      </w:pPr>
      <w:r w:rsidRPr="00E80F9A">
        <w:rPr>
          <w:rFonts w:ascii="Arial" w:hAnsi="Arial" w:cs="Arial"/>
          <w:color w:val="0070C0"/>
          <w:sz w:val="20"/>
          <w:szCs w:val="20"/>
        </w:rPr>
        <w:t>For the period that pricing is available in Northstar an estimate of the IESO invoice is generated utilizing a 3</w:t>
      </w:r>
      <w:r w:rsidRPr="00E80F9A">
        <w:rPr>
          <w:rFonts w:ascii="Arial" w:hAnsi="Arial" w:cs="Arial"/>
          <w:color w:val="0070C0"/>
          <w:sz w:val="20"/>
          <w:szCs w:val="20"/>
          <w:vertAlign w:val="superscript"/>
        </w:rPr>
        <w:t>rd</w:t>
      </w:r>
      <w:r w:rsidRPr="00E80F9A">
        <w:rPr>
          <w:rFonts w:ascii="Arial" w:hAnsi="Arial" w:cs="Arial"/>
          <w:color w:val="0070C0"/>
          <w:sz w:val="20"/>
          <w:szCs w:val="20"/>
        </w:rPr>
        <w:t xml:space="preserve"> party software</w:t>
      </w:r>
      <w:r w:rsidR="0057782E">
        <w:rPr>
          <w:rFonts w:ascii="Arial" w:hAnsi="Arial" w:cs="Arial"/>
          <w:color w:val="0070C0"/>
          <w:sz w:val="20"/>
          <w:szCs w:val="20"/>
        </w:rPr>
        <w:t xml:space="preserve"> provided by Kinetiq</w:t>
      </w:r>
      <w:r w:rsidRPr="00E80F9A">
        <w:rPr>
          <w:rFonts w:ascii="Arial" w:hAnsi="Arial" w:cs="Arial"/>
          <w:color w:val="0070C0"/>
          <w:sz w:val="20"/>
          <w:szCs w:val="20"/>
        </w:rPr>
        <w:t>. This software uses NOTL Hydro’s load, net system load shape and pricing for the period to determine IESO Charge Type 101 – Net energy market settlement for non-dispatchable load.  In the example below</w:t>
      </w:r>
      <w:r w:rsidR="0057782E">
        <w:rPr>
          <w:rFonts w:ascii="Arial" w:hAnsi="Arial" w:cs="Arial"/>
          <w:color w:val="0070C0"/>
          <w:sz w:val="20"/>
          <w:szCs w:val="20"/>
        </w:rPr>
        <w:t xml:space="preserve">, pricing in Northstar was available up to and including June 21, 2018.  </w:t>
      </w:r>
      <w:proofErr w:type="gramStart"/>
      <w:r w:rsidR="0057782E">
        <w:rPr>
          <w:rFonts w:ascii="Arial" w:hAnsi="Arial" w:cs="Arial"/>
          <w:color w:val="0070C0"/>
          <w:sz w:val="20"/>
          <w:szCs w:val="20"/>
        </w:rPr>
        <w:t>Therefore</w:t>
      </w:r>
      <w:proofErr w:type="gramEnd"/>
      <w:r w:rsidR="0057782E">
        <w:rPr>
          <w:rFonts w:ascii="Arial" w:hAnsi="Arial" w:cs="Arial"/>
          <w:color w:val="0070C0"/>
          <w:sz w:val="20"/>
          <w:szCs w:val="20"/>
        </w:rPr>
        <w:t xml:space="preserve"> the estimate invoice cover the period from</w:t>
      </w:r>
      <w:r w:rsidRPr="00E80F9A">
        <w:rPr>
          <w:rFonts w:ascii="Arial" w:hAnsi="Arial" w:cs="Arial"/>
          <w:color w:val="0070C0"/>
          <w:sz w:val="20"/>
          <w:szCs w:val="20"/>
        </w:rPr>
        <w:t xml:space="preserve"> June 1 – 21, 2018.</w:t>
      </w:r>
    </w:p>
    <w:p w:rsidR="00AD33AF" w:rsidRPr="00E80F9A" w:rsidRDefault="00AD33AF" w:rsidP="00AD33AF">
      <w:pPr>
        <w:spacing w:after="120" w:line="360" w:lineRule="auto"/>
        <w:ind w:left="1080"/>
        <w:rPr>
          <w:rFonts w:ascii="Arial" w:hAnsi="Arial" w:cs="Arial"/>
          <w:color w:val="0070C0"/>
          <w:sz w:val="20"/>
          <w:szCs w:val="20"/>
          <w:u w:val="single"/>
        </w:rPr>
      </w:pPr>
      <w:r w:rsidRPr="00E80F9A">
        <w:rPr>
          <w:rFonts w:ascii="Arial" w:hAnsi="Arial" w:cs="Arial"/>
          <w:noProof/>
          <w:color w:val="0070C0"/>
          <w:sz w:val="20"/>
          <w:szCs w:val="20"/>
        </w:rPr>
        <w:drawing>
          <wp:inline distT="0" distB="0" distL="0" distR="0" wp14:anchorId="06E1809A" wp14:editId="140F40AE">
            <wp:extent cx="4488133" cy="3884930"/>
            <wp:effectExtent l="19050" t="19050" r="27305" b="203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4703" cy="3899273"/>
                    </a:xfrm>
                    <a:prstGeom prst="rect">
                      <a:avLst/>
                    </a:prstGeom>
                    <a:noFill/>
                    <a:ln>
                      <a:solidFill>
                        <a:schemeClr val="tx1"/>
                      </a:solidFill>
                    </a:ln>
                  </pic:spPr>
                </pic:pic>
              </a:graphicData>
            </a:graphic>
          </wp:inline>
        </w:drawing>
      </w:r>
    </w:p>
    <w:p w:rsidR="00AD33AF" w:rsidRPr="001862F9" w:rsidRDefault="00AD33AF" w:rsidP="00AD33AF">
      <w:pPr>
        <w:numPr>
          <w:ilvl w:val="0"/>
          <w:numId w:val="12"/>
        </w:numPr>
        <w:spacing w:after="120" w:line="360" w:lineRule="auto"/>
        <w:rPr>
          <w:rFonts w:ascii="Arial" w:hAnsi="Arial" w:cs="Arial"/>
          <w:b/>
          <w:color w:val="0070C0"/>
          <w:sz w:val="24"/>
          <w:szCs w:val="20"/>
          <w:u w:val="single"/>
        </w:rPr>
      </w:pPr>
      <w:r w:rsidRPr="001862F9">
        <w:rPr>
          <w:rFonts w:ascii="Arial" w:hAnsi="Arial" w:cs="Arial"/>
          <w:b/>
          <w:color w:val="0070C0"/>
          <w:sz w:val="24"/>
          <w:szCs w:val="20"/>
        </w:rPr>
        <w:lastRenderedPageBreak/>
        <w:t>For the remainder of the reporting month when pricing is not available in Northstar pricing is determined using the following</w:t>
      </w:r>
      <w:r w:rsidR="0057782E">
        <w:rPr>
          <w:rFonts w:ascii="Arial" w:hAnsi="Arial" w:cs="Arial"/>
          <w:b/>
          <w:color w:val="0070C0"/>
          <w:sz w:val="24"/>
          <w:szCs w:val="20"/>
        </w:rPr>
        <w:t xml:space="preserve"> method</w:t>
      </w:r>
      <w:r w:rsidRPr="001862F9">
        <w:rPr>
          <w:rFonts w:ascii="Arial" w:hAnsi="Arial" w:cs="Arial"/>
          <w:b/>
          <w:color w:val="0070C0"/>
          <w:sz w:val="24"/>
          <w:szCs w:val="20"/>
        </w:rPr>
        <w:t>:</w:t>
      </w:r>
    </w:p>
    <w:p w:rsidR="00AD33AF" w:rsidRPr="00E80F9A" w:rsidRDefault="00AD33AF" w:rsidP="00AD33AF">
      <w:pPr>
        <w:numPr>
          <w:ilvl w:val="1"/>
          <w:numId w:val="12"/>
        </w:numPr>
        <w:spacing w:after="120" w:line="360" w:lineRule="auto"/>
        <w:rPr>
          <w:rFonts w:ascii="Arial" w:hAnsi="Arial" w:cs="Arial"/>
          <w:color w:val="0070C0"/>
          <w:sz w:val="20"/>
          <w:szCs w:val="20"/>
        </w:rPr>
      </w:pPr>
      <w:r w:rsidRPr="00E80F9A">
        <w:rPr>
          <w:rFonts w:ascii="Arial" w:hAnsi="Arial" w:cs="Arial"/>
          <w:color w:val="0070C0"/>
          <w:sz w:val="20"/>
          <w:szCs w:val="20"/>
        </w:rPr>
        <w:t xml:space="preserve">kWhs </w:t>
      </w:r>
      <w:r w:rsidR="0057782E">
        <w:rPr>
          <w:rFonts w:ascii="Arial" w:hAnsi="Arial" w:cs="Arial"/>
          <w:color w:val="0070C0"/>
          <w:sz w:val="20"/>
          <w:szCs w:val="20"/>
        </w:rPr>
        <w:t xml:space="preserve">are obtained </w:t>
      </w:r>
      <w:r w:rsidRPr="00E80F9A">
        <w:rPr>
          <w:rFonts w:ascii="Arial" w:hAnsi="Arial" w:cs="Arial"/>
          <w:color w:val="0070C0"/>
          <w:sz w:val="20"/>
          <w:szCs w:val="20"/>
        </w:rPr>
        <w:t xml:space="preserve">from the ‘Totalized Meter Data with losses for MMP’ </w:t>
      </w:r>
      <w:r w:rsidR="0057782E">
        <w:rPr>
          <w:rFonts w:ascii="Arial" w:hAnsi="Arial" w:cs="Arial"/>
          <w:color w:val="0070C0"/>
          <w:sz w:val="20"/>
          <w:szCs w:val="20"/>
        </w:rPr>
        <w:t xml:space="preserve">reports mentioned above </w:t>
      </w:r>
      <w:r w:rsidRPr="00E80F9A">
        <w:rPr>
          <w:rFonts w:ascii="Arial" w:hAnsi="Arial" w:cs="Arial"/>
          <w:color w:val="0070C0"/>
          <w:sz w:val="20"/>
          <w:szCs w:val="20"/>
        </w:rPr>
        <w:t xml:space="preserve">and Ontario Zone HOEP On Peak and </w:t>
      </w:r>
      <w:proofErr w:type="gramStart"/>
      <w:r w:rsidRPr="00E80F9A">
        <w:rPr>
          <w:rFonts w:ascii="Arial" w:hAnsi="Arial" w:cs="Arial"/>
          <w:color w:val="0070C0"/>
          <w:sz w:val="20"/>
          <w:szCs w:val="20"/>
        </w:rPr>
        <w:t>Off Peak</w:t>
      </w:r>
      <w:proofErr w:type="gramEnd"/>
      <w:r w:rsidRPr="00E80F9A">
        <w:rPr>
          <w:rFonts w:ascii="Arial" w:hAnsi="Arial" w:cs="Arial"/>
          <w:color w:val="0070C0"/>
          <w:sz w:val="20"/>
          <w:szCs w:val="20"/>
        </w:rPr>
        <w:t xml:space="preserve"> prices </w:t>
      </w:r>
      <w:r w:rsidR="0057782E">
        <w:rPr>
          <w:rFonts w:ascii="Arial" w:hAnsi="Arial" w:cs="Arial"/>
          <w:color w:val="0070C0"/>
          <w:sz w:val="20"/>
          <w:szCs w:val="20"/>
        </w:rPr>
        <w:t xml:space="preserve">are </w:t>
      </w:r>
      <w:r w:rsidRPr="00E80F9A">
        <w:rPr>
          <w:rFonts w:ascii="Arial" w:hAnsi="Arial" w:cs="Arial"/>
          <w:color w:val="0070C0"/>
          <w:sz w:val="20"/>
          <w:szCs w:val="20"/>
        </w:rPr>
        <w:t xml:space="preserve">obtained from the Daily Market Summary reports available on the IESO website. </w:t>
      </w:r>
      <w:r w:rsidR="0057782E">
        <w:rPr>
          <w:rFonts w:ascii="Arial" w:hAnsi="Arial" w:cs="Arial"/>
          <w:color w:val="0070C0"/>
          <w:sz w:val="20"/>
          <w:szCs w:val="20"/>
        </w:rPr>
        <w:t>A sample of the Daily Market Summary is provided below.</w:t>
      </w:r>
      <w:bookmarkStart w:id="1" w:name="_GoBack"/>
      <w:bookmarkEnd w:id="1"/>
    </w:p>
    <w:p w:rsidR="00AD33AF" w:rsidRPr="00E80F9A" w:rsidRDefault="00AD33AF" w:rsidP="001862F9">
      <w:pPr>
        <w:spacing w:after="120" w:line="360" w:lineRule="auto"/>
        <w:jc w:val="center"/>
        <w:rPr>
          <w:rFonts w:ascii="Arial" w:hAnsi="Arial" w:cs="Arial"/>
          <w:color w:val="0070C0"/>
          <w:sz w:val="20"/>
          <w:szCs w:val="20"/>
        </w:rPr>
      </w:pPr>
      <w:r w:rsidRPr="00E80F9A">
        <w:rPr>
          <w:rFonts w:ascii="Arial" w:hAnsi="Arial" w:cs="Arial"/>
          <w:noProof/>
          <w:color w:val="0070C0"/>
          <w:sz w:val="20"/>
          <w:szCs w:val="20"/>
        </w:rPr>
        <w:drawing>
          <wp:inline distT="0" distB="0" distL="0" distR="0" wp14:anchorId="2831178C" wp14:editId="7E612282">
            <wp:extent cx="5943600" cy="44132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413250"/>
                    </a:xfrm>
                    <a:prstGeom prst="rect">
                      <a:avLst/>
                    </a:prstGeom>
                  </pic:spPr>
                </pic:pic>
              </a:graphicData>
            </a:graphic>
          </wp:inline>
        </w:drawing>
      </w:r>
    </w:p>
    <w:p w:rsidR="00AD33AF" w:rsidRPr="00E80F9A" w:rsidRDefault="00AD33AF" w:rsidP="00AD33AF">
      <w:pPr>
        <w:numPr>
          <w:ilvl w:val="1"/>
          <w:numId w:val="12"/>
        </w:numPr>
        <w:spacing w:after="120" w:line="360" w:lineRule="auto"/>
        <w:rPr>
          <w:rFonts w:ascii="Arial" w:hAnsi="Arial" w:cs="Arial"/>
          <w:color w:val="0070C0"/>
          <w:sz w:val="20"/>
          <w:szCs w:val="20"/>
          <w:u w:val="single"/>
        </w:rPr>
      </w:pPr>
      <w:r w:rsidRPr="00E80F9A">
        <w:rPr>
          <w:rFonts w:ascii="Arial" w:hAnsi="Arial" w:cs="Arial"/>
          <w:color w:val="0070C0"/>
          <w:sz w:val="20"/>
          <w:szCs w:val="20"/>
        </w:rPr>
        <w:t xml:space="preserve">For the purpose of determining the Net energy market settlement for non-dispatchable load for each day that pricing is not available it is assumed that 75% of the consumption is at the ON Peak price and 25% is at the </w:t>
      </w:r>
      <w:proofErr w:type="gramStart"/>
      <w:r w:rsidRPr="00E80F9A">
        <w:rPr>
          <w:rFonts w:ascii="Arial" w:hAnsi="Arial" w:cs="Arial"/>
          <w:color w:val="0070C0"/>
          <w:sz w:val="20"/>
          <w:szCs w:val="20"/>
        </w:rPr>
        <w:t>OFF peak</w:t>
      </w:r>
      <w:proofErr w:type="gramEnd"/>
      <w:r w:rsidRPr="00E80F9A">
        <w:rPr>
          <w:rFonts w:ascii="Arial" w:hAnsi="Arial" w:cs="Arial"/>
          <w:color w:val="0070C0"/>
          <w:sz w:val="20"/>
          <w:szCs w:val="20"/>
        </w:rPr>
        <w:t xml:space="preserve"> price.</w:t>
      </w:r>
    </w:p>
    <w:p w:rsidR="00AD33AF" w:rsidRPr="00E80F9A" w:rsidRDefault="00AD33AF" w:rsidP="00AD33AF">
      <w:pPr>
        <w:spacing w:after="120" w:line="360" w:lineRule="auto"/>
        <w:ind w:left="1080"/>
        <w:rPr>
          <w:rFonts w:ascii="Arial" w:hAnsi="Arial" w:cs="Arial"/>
          <w:color w:val="0070C0"/>
          <w:sz w:val="20"/>
          <w:szCs w:val="20"/>
          <w:u w:val="single"/>
        </w:rPr>
      </w:pPr>
      <w:r w:rsidRPr="00E80F9A">
        <w:rPr>
          <w:rFonts w:ascii="Arial" w:hAnsi="Arial" w:cs="Arial"/>
          <w:noProof/>
          <w:color w:val="0070C0"/>
          <w:sz w:val="20"/>
          <w:szCs w:val="20"/>
        </w:rPr>
        <w:lastRenderedPageBreak/>
        <w:drawing>
          <wp:inline distT="0" distB="0" distL="0" distR="0" wp14:anchorId="6F75CE75" wp14:editId="157E5AD0">
            <wp:extent cx="5019675" cy="2457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9675" cy="2457450"/>
                    </a:xfrm>
                    <a:prstGeom prst="rect">
                      <a:avLst/>
                    </a:prstGeom>
                    <a:noFill/>
                    <a:ln>
                      <a:noFill/>
                    </a:ln>
                  </pic:spPr>
                </pic:pic>
              </a:graphicData>
            </a:graphic>
          </wp:inline>
        </w:drawing>
      </w:r>
    </w:p>
    <w:p w:rsidR="00AD33AF" w:rsidRPr="00E80F9A" w:rsidRDefault="00AD33AF" w:rsidP="00AD33AF">
      <w:pPr>
        <w:numPr>
          <w:ilvl w:val="1"/>
          <w:numId w:val="12"/>
        </w:numPr>
        <w:spacing w:after="120" w:line="360" w:lineRule="auto"/>
        <w:rPr>
          <w:rFonts w:ascii="Arial" w:hAnsi="Arial" w:cs="Arial"/>
          <w:color w:val="0070C0"/>
          <w:sz w:val="20"/>
          <w:szCs w:val="20"/>
        </w:rPr>
      </w:pPr>
      <w:r w:rsidRPr="00E80F9A">
        <w:rPr>
          <w:rFonts w:ascii="Arial" w:hAnsi="Arial" w:cs="Arial"/>
          <w:color w:val="0070C0"/>
          <w:sz w:val="20"/>
          <w:szCs w:val="20"/>
        </w:rPr>
        <w:t>The amount found on Line 101 of the estimated invoice plus the daily total cost estimate are used as the estimate of the commodity cost for the month purchased from the grid.  This amount is then divided by the Grid Supplied Consumption to arrive at the weighted average price for the month.</w:t>
      </w:r>
    </w:p>
    <w:p w:rsidR="00AD33AF" w:rsidRPr="00E80F9A" w:rsidRDefault="00AD33AF" w:rsidP="00AD33AF">
      <w:pPr>
        <w:spacing w:after="120" w:line="360" w:lineRule="auto"/>
        <w:ind w:left="1080"/>
        <w:rPr>
          <w:rFonts w:ascii="Arial" w:hAnsi="Arial" w:cs="Arial"/>
          <w:color w:val="0070C0"/>
          <w:sz w:val="20"/>
          <w:szCs w:val="20"/>
        </w:rPr>
      </w:pPr>
      <w:r w:rsidRPr="00E80F9A">
        <w:rPr>
          <w:rFonts w:ascii="Arial" w:hAnsi="Arial" w:cs="Arial"/>
          <w:noProof/>
          <w:color w:val="0070C0"/>
          <w:sz w:val="20"/>
          <w:szCs w:val="20"/>
        </w:rPr>
        <w:drawing>
          <wp:inline distT="0" distB="0" distL="0" distR="0" wp14:anchorId="2B6E9E3A" wp14:editId="4DB8E78B">
            <wp:extent cx="4133850" cy="819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3850" cy="819150"/>
                    </a:xfrm>
                    <a:prstGeom prst="rect">
                      <a:avLst/>
                    </a:prstGeom>
                    <a:noFill/>
                    <a:ln>
                      <a:noFill/>
                    </a:ln>
                  </pic:spPr>
                </pic:pic>
              </a:graphicData>
            </a:graphic>
          </wp:inline>
        </w:drawing>
      </w:r>
    </w:p>
    <w:p w:rsidR="00AD33AF" w:rsidRPr="001862F9" w:rsidRDefault="00AD33AF" w:rsidP="00AD33AF">
      <w:pPr>
        <w:numPr>
          <w:ilvl w:val="0"/>
          <w:numId w:val="12"/>
        </w:numPr>
        <w:spacing w:after="120" w:line="360" w:lineRule="auto"/>
        <w:rPr>
          <w:rFonts w:ascii="Arial" w:hAnsi="Arial" w:cs="Arial"/>
          <w:b/>
          <w:color w:val="0070C0"/>
          <w:sz w:val="24"/>
          <w:szCs w:val="20"/>
          <w:u w:val="single"/>
        </w:rPr>
      </w:pPr>
      <w:r w:rsidRPr="001862F9">
        <w:rPr>
          <w:rFonts w:ascii="Arial" w:hAnsi="Arial" w:cs="Arial"/>
          <w:b/>
          <w:color w:val="0070C0"/>
          <w:sz w:val="24"/>
          <w:szCs w:val="20"/>
        </w:rPr>
        <w:t>Since the actual Global Adjustment rate for the month is not available at the time of the submission, the 2</w:t>
      </w:r>
      <w:r w:rsidRPr="001862F9">
        <w:rPr>
          <w:rFonts w:ascii="Arial" w:hAnsi="Arial" w:cs="Arial"/>
          <w:b/>
          <w:color w:val="0070C0"/>
          <w:sz w:val="24"/>
          <w:szCs w:val="20"/>
          <w:vertAlign w:val="superscript"/>
        </w:rPr>
        <w:t>nd</w:t>
      </w:r>
      <w:r w:rsidRPr="001862F9">
        <w:rPr>
          <w:rFonts w:ascii="Arial" w:hAnsi="Arial" w:cs="Arial"/>
          <w:b/>
          <w:color w:val="0070C0"/>
          <w:sz w:val="24"/>
          <w:szCs w:val="20"/>
        </w:rPr>
        <w:t xml:space="preserve"> Estimate of the Global adjustment rates for Class B customers for the month is used for estimating RPP cost of power.  The rate is obtained from the IESO website.</w:t>
      </w:r>
    </w:p>
    <w:p w:rsidR="00AD33AF" w:rsidRPr="00E80F9A" w:rsidRDefault="00AD33AF" w:rsidP="00AD33AF">
      <w:pPr>
        <w:spacing w:after="120" w:line="360" w:lineRule="auto"/>
        <w:rPr>
          <w:rFonts w:ascii="Arial" w:hAnsi="Arial" w:cs="Arial"/>
          <w:color w:val="0070C0"/>
          <w:sz w:val="20"/>
          <w:szCs w:val="20"/>
          <w:u w:val="single"/>
        </w:rPr>
      </w:pPr>
      <w:r w:rsidRPr="00E80F9A">
        <w:rPr>
          <w:rFonts w:ascii="Arial" w:hAnsi="Arial" w:cs="Arial"/>
          <w:noProof/>
          <w:color w:val="0070C0"/>
          <w:sz w:val="20"/>
          <w:szCs w:val="20"/>
        </w:rPr>
        <w:lastRenderedPageBreak/>
        <w:drawing>
          <wp:inline distT="0" distB="0" distL="0" distR="0" wp14:anchorId="49979C7B" wp14:editId="585B047B">
            <wp:extent cx="5943600" cy="2978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978150"/>
                    </a:xfrm>
                    <a:prstGeom prst="rect">
                      <a:avLst/>
                    </a:prstGeom>
                  </pic:spPr>
                </pic:pic>
              </a:graphicData>
            </a:graphic>
          </wp:inline>
        </w:drawing>
      </w:r>
    </w:p>
    <w:p w:rsidR="00AD33AF" w:rsidRPr="00E80F9A" w:rsidRDefault="00AD33AF" w:rsidP="00AD33AF">
      <w:pPr>
        <w:spacing w:after="120" w:line="360" w:lineRule="auto"/>
        <w:rPr>
          <w:rFonts w:ascii="Arial" w:hAnsi="Arial" w:cs="Arial"/>
          <w:color w:val="0070C0"/>
          <w:sz w:val="20"/>
          <w:szCs w:val="20"/>
          <w:u w:val="single"/>
        </w:rPr>
      </w:pPr>
      <w:r w:rsidRPr="00E80F9A">
        <w:rPr>
          <w:rFonts w:ascii="Arial" w:hAnsi="Arial" w:cs="Arial"/>
          <w:noProof/>
          <w:color w:val="0070C0"/>
          <w:sz w:val="20"/>
          <w:szCs w:val="20"/>
        </w:rPr>
        <w:drawing>
          <wp:inline distT="0" distB="0" distL="0" distR="0" wp14:anchorId="36C7CECE" wp14:editId="2A5592CC">
            <wp:extent cx="3314700" cy="495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495300"/>
                    </a:xfrm>
                    <a:prstGeom prst="rect">
                      <a:avLst/>
                    </a:prstGeom>
                    <a:noFill/>
                    <a:ln>
                      <a:noFill/>
                    </a:ln>
                  </pic:spPr>
                </pic:pic>
              </a:graphicData>
            </a:graphic>
          </wp:inline>
        </w:drawing>
      </w:r>
    </w:p>
    <w:p w:rsidR="00AD33AF" w:rsidRPr="00E80F9A" w:rsidRDefault="00AD33AF" w:rsidP="00AD33AF">
      <w:pPr>
        <w:spacing w:after="120" w:line="360" w:lineRule="auto"/>
        <w:ind w:left="720"/>
        <w:rPr>
          <w:rFonts w:ascii="Arial" w:hAnsi="Arial" w:cs="Arial"/>
          <w:color w:val="0070C0"/>
          <w:sz w:val="20"/>
          <w:szCs w:val="20"/>
        </w:rPr>
      </w:pPr>
    </w:p>
    <w:p w:rsidR="00AD33AF" w:rsidRPr="00E80F9A" w:rsidRDefault="00AD33AF" w:rsidP="00AD33AF">
      <w:pPr>
        <w:spacing w:after="120" w:line="360" w:lineRule="auto"/>
        <w:rPr>
          <w:rFonts w:ascii="Arial" w:hAnsi="Arial" w:cs="Arial"/>
          <w:color w:val="0070C0"/>
          <w:sz w:val="20"/>
          <w:szCs w:val="20"/>
        </w:rPr>
      </w:pPr>
    </w:p>
    <w:p w:rsidR="00AD33AF" w:rsidRPr="001862F9" w:rsidRDefault="00AD33AF" w:rsidP="00AD33AF">
      <w:pPr>
        <w:spacing w:after="120" w:line="360" w:lineRule="auto"/>
        <w:rPr>
          <w:rFonts w:ascii="Arial" w:hAnsi="Arial" w:cs="Arial"/>
          <w:b/>
          <w:color w:val="0070C0"/>
          <w:sz w:val="24"/>
          <w:szCs w:val="20"/>
          <w:u w:val="single"/>
        </w:rPr>
      </w:pPr>
      <w:r w:rsidRPr="001862F9">
        <w:rPr>
          <w:rFonts w:ascii="Arial" w:hAnsi="Arial" w:cs="Arial"/>
          <w:b/>
          <w:color w:val="0070C0"/>
          <w:sz w:val="24"/>
          <w:szCs w:val="20"/>
          <w:u w:val="single"/>
        </w:rPr>
        <w:t>Estimate and submit RPP Variances</w:t>
      </w:r>
    </w:p>
    <w:p w:rsidR="00AD33AF" w:rsidRPr="00E80F9A" w:rsidRDefault="00AD33AF" w:rsidP="001862F9">
      <w:pPr>
        <w:spacing w:after="120" w:line="360" w:lineRule="auto"/>
        <w:rPr>
          <w:rFonts w:ascii="Arial" w:hAnsi="Arial" w:cs="Arial"/>
          <w:color w:val="0070C0"/>
          <w:sz w:val="20"/>
          <w:szCs w:val="20"/>
        </w:rPr>
      </w:pPr>
      <w:r w:rsidRPr="00E80F9A">
        <w:rPr>
          <w:rFonts w:ascii="Arial" w:hAnsi="Arial" w:cs="Arial"/>
          <w:color w:val="0070C0"/>
          <w:sz w:val="20"/>
          <w:szCs w:val="20"/>
        </w:rPr>
        <w:t>The estimated/scaled RPP energy consumption is multiplied by the RPP rates to estimate the amount NOTL Hydro will receive from RPP customers for the reporting month.</w:t>
      </w:r>
    </w:p>
    <w:p w:rsidR="00AD33AF" w:rsidRPr="00E80F9A" w:rsidRDefault="00AD33AF" w:rsidP="001862F9">
      <w:pPr>
        <w:spacing w:after="120" w:line="360" w:lineRule="auto"/>
        <w:rPr>
          <w:rFonts w:ascii="Arial" w:hAnsi="Arial" w:cs="Arial"/>
          <w:color w:val="0070C0"/>
          <w:sz w:val="20"/>
          <w:szCs w:val="20"/>
        </w:rPr>
      </w:pPr>
      <w:r w:rsidRPr="00E80F9A">
        <w:rPr>
          <w:rFonts w:ascii="Arial" w:hAnsi="Arial" w:cs="Arial"/>
          <w:noProof/>
          <w:color w:val="0070C0"/>
          <w:sz w:val="20"/>
          <w:szCs w:val="20"/>
        </w:rPr>
        <w:drawing>
          <wp:inline distT="0" distB="0" distL="0" distR="0" wp14:anchorId="2FED6D68" wp14:editId="428B0BB1">
            <wp:extent cx="5943600" cy="10439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043940"/>
                    </a:xfrm>
                    <a:prstGeom prst="rect">
                      <a:avLst/>
                    </a:prstGeom>
                    <a:noFill/>
                    <a:ln>
                      <a:noFill/>
                    </a:ln>
                  </pic:spPr>
                </pic:pic>
              </a:graphicData>
            </a:graphic>
          </wp:inline>
        </w:drawing>
      </w:r>
    </w:p>
    <w:p w:rsidR="00AD33AF" w:rsidRPr="00E80F9A" w:rsidRDefault="00AD33AF" w:rsidP="001862F9">
      <w:pPr>
        <w:spacing w:after="120" w:line="360" w:lineRule="auto"/>
        <w:rPr>
          <w:rFonts w:ascii="Arial" w:hAnsi="Arial" w:cs="Arial"/>
          <w:color w:val="0070C0"/>
          <w:sz w:val="20"/>
          <w:szCs w:val="20"/>
        </w:rPr>
      </w:pPr>
      <w:r w:rsidRPr="00E80F9A">
        <w:rPr>
          <w:rFonts w:ascii="Arial" w:hAnsi="Arial" w:cs="Arial"/>
          <w:color w:val="0070C0"/>
          <w:sz w:val="20"/>
          <w:szCs w:val="20"/>
        </w:rPr>
        <w:t>The estimated/scaled RPP energy consumption is multiplied by the estimated weighted average price and GA 2</w:t>
      </w:r>
      <w:r w:rsidRPr="00E80F9A">
        <w:rPr>
          <w:rFonts w:ascii="Arial" w:hAnsi="Arial" w:cs="Arial"/>
          <w:color w:val="0070C0"/>
          <w:sz w:val="20"/>
          <w:szCs w:val="20"/>
          <w:vertAlign w:val="superscript"/>
        </w:rPr>
        <w:t>nd</w:t>
      </w:r>
      <w:r w:rsidRPr="00E80F9A">
        <w:rPr>
          <w:rFonts w:ascii="Arial" w:hAnsi="Arial" w:cs="Arial"/>
          <w:color w:val="0070C0"/>
          <w:sz w:val="20"/>
          <w:szCs w:val="20"/>
        </w:rPr>
        <w:t xml:space="preserve"> estimate to determine the total cost of power.</w:t>
      </w:r>
    </w:p>
    <w:p w:rsidR="00AD33AF" w:rsidRPr="00E80F9A" w:rsidRDefault="00AD33AF" w:rsidP="001862F9">
      <w:pPr>
        <w:spacing w:after="120" w:line="360" w:lineRule="auto"/>
        <w:rPr>
          <w:rFonts w:ascii="Arial" w:hAnsi="Arial" w:cs="Arial"/>
          <w:color w:val="0070C0"/>
          <w:sz w:val="20"/>
          <w:szCs w:val="20"/>
        </w:rPr>
      </w:pPr>
      <w:r w:rsidRPr="00E80F9A">
        <w:rPr>
          <w:rFonts w:ascii="Arial" w:hAnsi="Arial" w:cs="Arial"/>
          <w:noProof/>
          <w:color w:val="0070C0"/>
          <w:sz w:val="20"/>
          <w:szCs w:val="20"/>
        </w:rPr>
        <w:drawing>
          <wp:inline distT="0" distB="0" distL="0" distR="0" wp14:anchorId="6B4C6821" wp14:editId="6D43AA3A">
            <wp:extent cx="5943600" cy="90356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903568"/>
                    </a:xfrm>
                    <a:prstGeom prst="rect">
                      <a:avLst/>
                    </a:prstGeom>
                    <a:noFill/>
                    <a:ln>
                      <a:noFill/>
                    </a:ln>
                  </pic:spPr>
                </pic:pic>
              </a:graphicData>
            </a:graphic>
          </wp:inline>
        </w:drawing>
      </w:r>
    </w:p>
    <w:p w:rsidR="00AD33AF" w:rsidRPr="00E80F9A" w:rsidRDefault="00AD33AF" w:rsidP="00AD33AF">
      <w:pPr>
        <w:spacing w:after="120" w:line="360" w:lineRule="auto"/>
        <w:ind w:left="720"/>
        <w:rPr>
          <w:rFonts w:ascii="Arial" w:hAnsi="Arial" w:cs="Arial"/>
          <w:color w:val="0070C0"/>
          <w:sz w:val="20"/>
          <w:szCs w:val="20"/>
        </w:rPr>
      </w:pPr>
    </w:p>
    <w:p w:rsidR="00AD33AF" w:rsidRPr="00E80F9A" w:rsidRDefault="00AD33AF" w:rsidP="001862F9">
      <w:pPr>
        <w:spacing w:after="120" w:line="360" w:lineRule="auto"/>
        <w:rPr>
          <w:rFonts w:ascii="Arial" w:hAnsi="Arial" w:cs="Arial"/>
          <w:color w:val="0070C0"/>
          <w:sz w:val="20"/>
          <w:szCs w:val="20"/>
        </w:rPr>
      </w:pPr>
      <w:r w:rsidRPr="00E80F9A">
        <w:rPr>
          <w:rFonts w:ascii="Arial" w:hAnsi="Arial" w:cs="Arial"/>
          <w:color w:val="0070C0"/>
          <w:sz w:val="20"/>
          <w:szCs w:val="20"/>
        </w:rPr>
        <w:lastRenderedPageBreak/>
        <w:t>The differences between dollars received and cost for each of blocks 1 and 2 for conventional meters and OFF/MID/ON PEAK periods for smart meters are the RPP variances submitted to the IESO in the Form 1598.</w:t>
      </w:r>
    </w:p>
    <w:p w:rsidR="00AD33AF" w:rsidRPr="00E80F9A" w:rsidRDefault="00AD33AF" w:rsidP="00AD33AF">
      <w:pPr>
        <w:spacing w:after="120" w:line="360" w:lineRule="auto"/>
        <w:ind w:left="720"/>
        <w:rPr>
          <w:rFonts w:ascii="Arial" w:hAnsi="Arial" w:cs="Arial"/>
          <w:color w:val="0070C0"/>
          <w:sz w:val="20"/>
          <w:szCs w:val="20"/>
        </w:rPr>
      </w:pPr>
      <w:r w:rsidRPr="00E80F9A">
        <w:rPr>
          <w:rFonts w:ascii="Arial" w:hAnsi="Arial" w:cs="Arial"/>
          <w:noProof/>
          <w:color w:val="0070C0"/>
          <w:sz w:val="20"/>
          <w:szCs w:val="20"/>
        </w:rPr>
        <w:drawing>
          <wp:inline distT="0" distB="0" distL="0" distR="0" wp14:anchorId="57E6772B" wp14:editId="3F768F74">
            <wp:extent cx="4895850" cy="1304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5850" cy="1304925"/>
                    </a:xfrm>
                    <a:prstGeom prst="rect">
                      <a:avLst/>
                    </a:prstGeom>
                    <a:noFill/>
                    <a:ln>
                      <a:noFill/>
                    </a:ln>
                  </pic:spPr>
                </pic:pic>
              </a:graphicData>
            </a:graphic>
          </wp:inline>
        </w:drawing>
      </w:r>
      <w:r w:rsidRPr="00E80F9A">
        <w:rPr>
          <w:rFonts w:ascii="Arial" w:hAnsi="Arial" w:cs="Arial"/>
          <w:color w:val="0070C0"/>
          <w:sz w:val="20"/>
          <w:szCs w:val="20"/>
        </w:rPr>
        <w:t xml:space="preserve"> </w:t>
      </w:r>
    </w:p>
    <w:p w:rsidR="001862F9" w:rsidRDefault="001862F9" w:rsidP="001862F9">
      <w:pPr>
        <w:spacing w:after="120" w:line="360" w:lineRule="auto"/>
        <w:rPr>
          <w:rFonts w:ascii="Arial" w:hAnsi="Arial" w:cs="Arial"/>
          <w:b/>
          <w:color w:val="0070C0"/>
          <w:sz w:val="24"/>
          <w:szCs w:val="20"/>
          <w:u w:val="single"/>
        </w:rPr>
      </w:pPr>
    </w:p>
    <w:p w:rsidR="00AD33AF" w:rsidRPr="001862F9" w:rsidRDefault="00AD33AF" w:rsidP="001862F9">
      <w:pPr>
        <w:spacing w:after="120" w:line="360" w:lineRule="auto"/>
        <w:rPr>
          <w:rFonts w:ascii="Arial" w:hAnsi="Arial" w:cs="Arial"/>
          <w:b/>
          <w:color w:val="0070C0"/>
          <w:sz w:val="24"/>
          <w:szCs w:val="20"/>
          <w:u w:val="single"/>
        </w:rPr>
      </w:pPr>
      <w:r w:rsidRPr="001862F9">
        <w:rPr>
          <w:rFonts w:ascii="Arial" w:hAnsi="Arial" w:cs="Arial"/>
          <w:b/>
          <w:color w:val="0070C0"/>
          <w:sz w:val="24"/>
          <w:szCs w:val="20"/>
          <w:u w:val="single"/>
        </w:rPr>
        <w:t>Determine Accounting Entries</w:t>
      </w:r>
    </w:p>
    <w:p w:rsidR="00AD33AF" w:rsidRPr="00E80F9A" w:rsidRDefault="00AD33AF" w:rsidP="001862F9">
      <w:pPr>
        <w:spacing w:after="120" w:line="360" w:lineRule="auto"/>
        <w:rPr>
          <w:rFonts w:ascii="Arial" w:hAnsi="Arial" w:cs="Arial"/>
          <w:color w:val="0070C0"/>
          <w:sz w:val="20"/>
          <w:szCs w:val="20"/>
        </w:rPr>
      </w:pPr>
      <w:r w:rsidRPr="00E80F9A">
        <w:rPr>
          <w:rFonts w:ascii="Arial" w:hAnsi="Arial" w:cs="Arial"/>
          <w:color w:val="0070C0"/>
          <w:sz w:val="20"/>
          <w:szCs w:val="20"/>
        </w:rPr>
        <w:t xml:space="preserve">When the IESO invoice for the reporting month is received, an accounting entry is made to reflect the components of the total RPP variance amount in Charge Type 1142.  For each of blocks 1 and 2 for conventional meters and OFF/MID/ON PEAK periods for smart meters, the entry to OEB Account 4705 is to reflect passing on to the IESO the RPP dollars received by NOTL Hydro from customers less NOTL Hydro’s energy cost at the weighted average price. The entry to Account 4707 is to reflect NOTL Hydro’s energy cost at the GA rate for non-RPP customers. </w:t>
      </w:r>
    </w:p>
    <w:p w:rsidR="00AD33AF" w:rsidRPr="00E80F9A" w:rsidRDefault="00AD33AF" w:rsidP="001862F9">
      <w:pPr>
        <w:spacing w:after="120" w:line="360" w:lineRule="auto"/>
        <w:rPr>
          <w:rFonts w:ascii="Arial" w:hAnsi="Arial" w:cs="Arial"/>
          <w:color w:val="0070C0"/>
          <w:sz w:val="20"/>
          <w:szCs w:val="20"/>
        </w:rPr>
      </w:pPr>
      <w:r w:rsidRPr="00E80F9A">
        <w:rPr>
          <w:rFonts w:ascii="Arial" w:hAnsi="Arial" w:cs="Arial"/>
          <w:noProof/>
          <w:color w:val="0070C0"/>
          <w:sz w:val="20"/>
          <w:szCs w:val="20"/>
        </w:rPr>
        <w:drawing>
          <wp:inline distT="0" distB="0" distL="0" distR="0" wp14:anchorId="426A1F05" wp14:editId="7C34E066">
            <wp:extent cx="4895850" cy="13049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5850" cy="1304925"/>
                    </a:xfrm>
                    <a:prstGeom prst="rect">
                      <a:avLst/>
                    </a:prstGeom>
                    <a:noFill/>
                    <a:ln>
                      <a:noFill/>
                    </a:ln>
                  </pic:spPr>
                </pic:pic>
              </a:graphicData>
            </a:graphic>
          </wp:inline>
        </w:drawing>
      </w:r>
    </w:p>
    <w:p w:rsidR="00AD33AF" w:rsidRPr="00E80F9A" w:rsidRDefault="00AD33AF" w:rsidP="001862F9">
      <w:pPr>
        <w:spacing w:after="120" w:line="360" w:lineRule="auto"/>
        <w:rPr>
          <w:rFonts w:ascii="Arial" w:hAnsi="Arial" w:cs="Arial"/>
          <w:color w:val="0070C0"/>
          <w:sz w:val="20"/>
          <w:szCs w:val="20"/>
        </w:rPr>
      </w:pPr>
      <w:r w:rsidRPr="00E80F9A">
        <w:rPr>
          <w:rFonts w:ascii="Arial" w:hAnsi="Arial" w:cs="Arial"/>
          <w:noProof/>
          <w:color w:val="0070C0"/>
          <w:sz w:val="20"/>
          <w:szCs w:val="20"/>
        </w:rPr>
        <w:drawing>
          <wp:inline distT="0" distB="0" distL="0" distR="0" wp14:anchorId="1391A43D" wp14:editId="55568350">
            <wp:extent cx="5943600" cy="93974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939748"/>
                    </a:xfrm>
                    <a:prstGeom prst="rect">
                      <a:avLst/>
                    </a:prstGeom>
                    <a:noFill/>
                    <a:ln>
                      <a:noFill/>
                    </a:ln>
                  </pic:spPr>
                </pic:pic>
              </a:graphicData>
            </a:graphic>
          </wp:inline>
        </w:drawing>
      </w:r>
    </w:p>
    <w:p w:rsidR="00AD33AF" w:rsidRPr="00E80F9A" w:rsidRDefault="00AD33AF" w:rsidP="00AD33AF">
      <w:pPr>
        <w:spacing w:after="120" w:line="360" w:lineRule="auto"/>
        <w:ind w:left="720"/>
        <w:rPr>
          <w:rFonts w:ascii="Arial" w:hAnsi="Arial" w:cs="Arial"/>
          <w:color w:val="0070C0"/>
          <w:sz w:val="20"/>
          <w:szCs w:val="20"/>
        </w:rPr>
      </w:pPr>
    </w:p>
    <w:p w:rsidR="001862F9" w:rsidRDefault="001862F9">
      <w:pPr>
        <w:rPr>
          <w:rFonts w:ascii="Arial" w:hAnsi="Arial" w:cs="Arial"/>
          <w:b/>
          <w:color w:val="0070C0"/>
          <w:sz w:val="24"/>
          <w:szCs w:val="20"/>
          <w:u w:val="single"/>
        </w:rPr>
      </w:pPr>
      <w:r>
        <w:rPr>
          <w:rFonts w:ascii="Arial" w:hAnsi="Arial" w:cs="Arial"/>
          <w:b/>
          <w:color w:val="0070C0"/>
          <w:sz w:val="24"/>
          <w:szCs w:val="20"/>
          <w:u w:val="single"/>
        </w:rPr>
        <w:br w:type="page"/>
      </w:r>
    </w:p>
    <w:p w:rsidR="00AD33AF" w:rsidRPr="001862F9" w:rsidRDefault="00AD33AF" w:rsidP="001862F9">
      <w:pPr>
        <w:spacing w:after="120" w:line="360" w:lineRule="auto"/>
        <w:rPr>
          <w:rFonts w:ascii="Arial" w:hAnsi="Arial" w:cs="Arial"/>
          <w:b/>
          <w:color w:val="0070C0"/>
          <w:sz w:val="24"/>
          <w:szCs w:val="20"/>
          <w:u w:val="single"/>
        </w:rPr>
      </w:pPr>
      <w:r w:rsidRPr="001862F9">
        <w:rPr>
          <w:rFonts w:ascii="Arial" w:hAnsi="Arial" w:cs="Arial"/>
          <w:b/>
          <w:color w:val="0070C0"/>
          <w:sz w:val="24"/>
          <w:szCs w:val="20"/>
          <w:u w:val="single"/>
        </w:rPr>
        <w:lastRenderedPageBreak/>
        <w:t>Appendix 2c - 1598 True-up Process</w:t>
      </w:r>
    </w:p>
    <w:p w:rsidR="00AD33AF" w:rsidRPr="00E80F9A" w:rsidRDefault="00AD33AF" w:rsidP="001862F9">
      <w:pPr>
        <w:pStyle w:val="ListParagraph"/>
        <w:numPr>
          <w:ilvl w:val="0"/>
          <w:numId w:val="13"/>
        </w:numPr>
        <w:spacing w:after="120" w:line="360" w:lineRule="auto"/>
        <w:ind w:left="360"/>
        <w:rPr>
          <w:rFonts w:ascii="Arial" w:hAnsi="Arial" w:cs="Arial"/>
          <w:color w:val="0070C0"/>
          <w:sz w:val="20"/>
          <w:szCs w:val="20"/>
        </w:rPr>
      </w:pPr>
      <w:r w:rsidRPr="00E80F9A">
        <w:rPr>
          <w:rFonts w:ascii="Arial" w:hAnsi="Arial" w:cs="Arial"/>
          <w:color w:val="0070C0"/>
          <w:sz w:val="20"/>
          <w:szCs w:val="20"/>
        </w:rPr>
        <w:t>The true-up process is completed once all billings for the reporting period have been processed through the billing system.  The last billings for 2017 were completed in mid-February 2018.  While the true-up was competed in 2018 all entries were booked in 2017</w:t>
      </w:r>
      <w:r w:rsidR="001862F9">
        <w:rPr>
          <w:rFonts w:ascii="Arial" w:hAnsi="Arial" w:cs="Arial"/>
          <w:color w:val="0070C0"/>
          <w:sz w:val="20"/>
          <w:szCs w:val="20"/>
        </w:rPr>
        <w:t>.</w:t>
      </w:r>
    </w:p>
    <w:p w:rsidR="00AD33AF" w:rsidRPr="00E80F9A" w:rsidRDefault="00AD33AF" w:rsidP="001862F9">
      <w:pPr>
        <w:pStyle w:val="ListParagraph"/>
        <w:numPr>
          <w:ilvl w:val="0"/>
          <w:numId w:val="13"/>
        </w:numPr>
        <w:spacing w:after="120" w:line="360" w:lineRule="auto"/>
        <w:ind w:left="360"/>
        <w:rPr>
          <w:rFonts w:ascii="Arial" w:hAnsi="Arial" w:cs="Arial"/>
          <w:color w:val="0070C0"/>
          <w:sz w:val="20"/>
          <w:szCs w:val="20"/>
        </w:rPr>
      </w:pPr>
      <w:r w:rsidRPr="00E80F9A">
        <w:rPr>
          <w:rFonts w:ascii="Arial" w:hAnsi="Arial" w:cs="Arial"/>
          <w:color w:val="0070C0"/>
          <w:sz w:val="20"/>
          <w:szCs w:val="20"/>
        </w:rPr>
        <w:t>Actual billed usage data and weighted average price is extracted from the NOTL Hydro’s Northstar Reporting Database using SQL Server Management Studio.  Data includes:</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Read from Date</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Read to Date</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Billed Days</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Usage (kwh)</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Rate</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Rate Type (Block 1, Block 2, On, Off, Mid Peak)</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Weighted Average Price (WAP)</w:t>
      </w:r>
    </w:p>
    <w:p w:rsidR="00AD33AF" w:rsidRPr="00E80F9A" w:rsidRDefault="00AD33AF" w:rsidP="001862F9">
      <w:pPr>
        <w:pStyle w:val="ListParagraph"/>
        <w:numPr>
          <w:ilvl w:val="0"/>
          <w:numId w:val="13"/>
        </w:numPr>
        <w:spacing w:after="120" w:line="360" w:lineRule="auto"/>
        <w:ind w:left="360"/>
        <w:rPr>
          <w:rFonts w:ascii="Arial" w:hAnsi="Arial" w:cs="Arial"/>
          <w:color w:val="0070C0"/>
          <w:sz w:val="20"/>
          <w:szCs w:val="20"/>
        </w:rPr>
      </w:pPr>
      <w:r w:rsidRPr="00E80F9A">
        <w:rPr>
          <w:rFonts w:ascii="Arial" w:hAnsi="Arial" w:cs="Arial"/>
          <w:color w:val="0070C0"/>
          <w:sz w:val="20"/>
          <w:szCs w:val="20"/>
        </w:rPr>
        <w:t>The data is consolidated and sorted to determine the following by Rate Type and month of consumption:</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kWh consumed (including losses)</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RPP amount received</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Cost (WAP) amount.</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Global Adjustment (GA) Cost is calculated by multiplying kWh consumed is multiplied by the actual GA for each month to determine the total GA attributable to RPP customers</w:t>
      </w:r>
    </w:p>
    <w:p w:rsidR="00AD33AF" w:rsidRPr="00E80F9A" w:rsidRDefault="00AD33AF" w:rsidP="001862F9">
      <w:pPr>
        <w:pStyle w:val="ListParagraph"/>
        <w:numPr>
          <w:ilvl w:val="0"/>
          <w:numId w:val="13"/>
        </w:numPr>
        <w:spacing w:after="120" w:line="360" w:lineRule="auto"/>
        <w:ind w:left="360"/>
        <w:rPr>
          <w:rFonts w:ascii="Arial" w:hAnsi="Arial" w:cs="Arial"/>
          <w:color w:val="0070C0"/>
          <w:sz w:val="20"/>
          <w:szCs w:val="20"/>
        </w:rPr>
      </w:pPr>
      <w:r w:rsidRPr="00E80F9A">
        <w:rPr>
          <w:rFonts w:ascii="Arial" w:hAnsi="Arial" w:cs="Arial"/>
          <w:color w:val="0070C0"/>
          <w:sz w:val="20"/>
          <w:szCs w:val="20"/>
        </w:rPr>
        <w:t>Actual settlement amounts are calculated for 4705 and 4707:</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4705 = RPP Received – Cost (WAP)</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4707 = GA Cost</w:t>
      </w:r>
    </w:p>
    <w:p w:rsidR="00AD33AF" w:rsidRPr="00E80F9A" w:rsidRDefault="00AD33AF" w:rsidP="001862F9">
      <w:pPr>
        <w:pStyle w:val="ListParagraph"/>
        <w:numPr>
          <w:ilvl w:val="0"/>
          <w:numId w:val="13"/>
        </w:numPr>
        <w:spacing w:after="120" w:line="360" w:lineRule="auto"/>
        <w:ind w:left="360"/>
        <w:rPr>
          <w:rFonts w:ascii="Arial" w:hAnsi="Arial" w:cs="Arial"/>
          <w:color w:val="0070C0"/>
          <w:sz w:val="20"/>
          <w:szCs w:val="20"/>
        </w:rPr>
      </w:pPr>
      <w:r w:rsidRPr="00E80F9A">
        <w:rPr>
          <w:rFonts w:ascii="Arial" w:hAnsi="Arial" w:cs="Arial"/>
          <w:color w:val="0070C0"/>
          <w:sz w:val="20"/>
          <w:szCs w:val="20"/>
        </w:rPr>
        <w:t>The Actual settlement amounts are compared to the monthly 1598 submissions</w:t>
      </w:r>
    </w:p>
    <w:p w:rsidR="00AD33AF" w:rsidRPr="00E80F9A" w:rsidRDefault="00AD33AF" w:rsidP="001862F9">
      <w:pPr>
        <w:pStyle w:val="ListParagraph"/>
        <w:numPr>
          <w:ilvl w:val="1"/>
          <w:numId w:val="13"/>
        </w:numPr>
        <w:spacing w:after="120" w:line="360" w:lineRule="auto"/>
        <w:ind w:left="1080"/>
        <w:rPr>
          <w:rFonts w:ascii="Arial" w:hAnsi="Arial" w:cs="Arial"/>
          <w:color w:val="0070C0"/>
          <w:sz w:val="20"/>
          <w:szCs w:val="20"/>
        </w:rPr>
      </w:pPr>
      <w:r w:rsidRPr="00E80F9A">
        <w:rPr>
          <w:rFonts w:ascii="Arial" w:hAnsi="Arial" w:cs="Arial"/>
          <w:color w:val="0070C0"/>
          <w:sz w:val="20"/>
          <w:szCs w:val="20"/>
        </w:rPr>
        <w:t>The variance between the 2 amounts is the True-up entry.</w:t>
      </w:r>
    </w:p>
    <w:bookmarkEnd w:id="0"/>
    <w:p w:rsidR="00884455" w:rsidRPr="00E80F9A" w:rsidRDefault="00884455" w:rsidP="001862F9">
      <w:pPr>
        <w:rPr>
          <w:rFonts w:ascii="Arial" w:hAnsi="Arial" w:cs="Arial"/>
          <w:color w:val="0070C0"/>
          <w:sz w:val="20"/>
          <w:szCs w:val="20"/>
        </w:rPr>
      </w:pPr>
    </w:p>
    <w:sectPr w:rsidR="00884455" w:rsidRPr="00E80F9A" w:rsidSect="00A413D7">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0D0" w:rsidRDefault="003A00D0" w:rsidP="00CD4378">
      <w:pPr>
        <w:spacing w:after="0" w:line="240" w:lineRule="auto"/>
      </w:pPr>
      <w:r>
        <w:separator/>
      </w:r>
    </w:p>
  </w:endnote>
  <w:endnote w:type="continuationSeparator" w:id="0">
    <w:p w:rsidR="003A00D0" w:rsidRDefault="003A00D0" w:rsidP="00CD4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0D0" w:rsidRDefault="003A00D0" w:rsidP="00CD4378">
      <w:pPr>
        <w:spacing w:after="0" w:line="240" w:lineRule="auto"/>
      </w:pPr>
      <w:r>
        <w:separator/>
      </w:r>
    </w:p>
  </w:footnote>
  <w:footnote w:type="continuationSeparator" w:id="0">
    <w:p w:rsidR="003A00D0" w:rsidRDefault="003A00D0" w:rsidP="00CD4378">
      <w:pPr>
        <w:spacing w:after="0" w:line="240" w:lineRule="auto"/>
      </w:pPr>
      <w:r>
        <w:continuationSeparator/>
      </w:r>
    </w:p>
  </w:footnote>
  <w:footnote w:id="1">
    <w:p w:rsidR="00CD4378" w:rsidRPr="00CD4378" w:rsidRDefault="00CD4378" w:rsidP="00CD43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3D7" w:rsidRPr="00A413D7" w:rsidRDefault="00A413D7" w:rsidP="00A413D7">
    <w:pPr>
      <w:pStyle w:val="NoSpacing"/>
      <w:jc w:val="right"/>
      <w:rPr>
        <w:rFonts w:ascii="Arial" w:hAnsi="Arial" w:cs="Arial"/>
        <w:color w:val="000000" w:themeColor="text1"/>
        <w:sz w:val="22"/>
        <w:szCs w:val="22"/>
      </w:rPr>
    </w:pPr>
    <w:r w:rsidRPr="00A413D7">
      <w:rPr>
        <w:rFonts w:ascii="Arial" w:hAnsi="Arial" w:cs="Arial"/>
        <w:color w:val="000000" w:themeColor="text1"/>
        <w:sz w:val="22"/>
        <w:szCs w:val="22"/>
      </w:rPr>
      <w:t xml:space="preserve">Niagara-on-the-Lake Hydro Inc. | </w:t>
    </w:r>
    <w:r w:rsidRPr="00A413D7">
      <w:rPr>
        <w:rFonts w:ascii="Arial" w:hAnsi="Arial" w:cs="Arial"/>
        <w:b/>
        <w:color w:val="000000" w:themeColor="text1"/>
        <w:sz w:val="22"/>
        <w:szCs w:val="22"/>
      </w:rPr>
      <w:t xml:space="preserve">GA </w:t>
    </w:r>
    <w:proofErr w:type="spellStart"/>
    <w:r w:rsidRPr="00A413D7">
      <w:rPr>
        <w:rFonts w:ascii="Arial" w:hAnsi="Arial" w:cs="Arial"/>
        <w:b/>
        <w:color w:val="000000" w:themeColor="text1"/>
        <w:sz w:val="22"/>
        <w:szCs w:val="22"/>
      </w:rPr>
      <w:t>Workform</w:t>
    </w:r>
    <w:proofErr w:type="spellEnd"/>
  </w:p>
  <w:p w:rsidR="00202194" w:rsidRPr="00A413D7" w:rsidRDefault="00A413D7" w:rsidP="00A413D7">
    <w:pPr>
      <w:pStyle w:val="Footer"/>
      <w:jc w:val="right"/>
      <w:rPr>
        <w:rFonts w:ascii="Arial" w:hAnsi="Arial" w:cs="Arial"/>
        <w:i/>
        <w:color w:val="808080" w:themeColor="background1" w:themeShade="80"/>
        <w:sz w:val="20"/>
        <w:szCs w:val="20"/>
      </w:rPr>
    </w:pPr>
    <w:r w:rsidRPr="00A413D7">
      <w:rPr>
        <w:rFonts w:ascii="Arial" w:hAnsi="Arial" w:cs="Arial"/>
        <w:i/>
        <w:color w:val="808080" w:themeColor="background1" w:themeShade="80"/>
      </w:rPr>
      <w:t xml:space="preserve">EB-2018-0056 </w:t>
    </w:r>
    <w:sdt>
      <w:sdtPr>
        <w:rPr>
          <w:i/>
          <w:color w:val="808080" w:themeColor="background1" w:themeShade="80"/>
        </w:rPr>
        <w:id w:val="-456251544"/>
        <w:docPartObj>
          <w:docPartGallery w:val="Page Numbers (Top of Page)"/>
          <w:docPartUnique/>
        </w:docPartObj>
      </w:sdtPr>
      <w:sdtEndPr>
        <w:rPr>
          <w:rFonts w:ascii="Arial" w:hAnsi="Arial" w:cs="Arial"/>
          <w:sz w:val="20"/>
          <w:szCs w:val="20"/>
        </w:rPr>
      </w:sdtEndPr>
      <w:sdtContent>
        <w:r w:rsidRPr="00A413D7">
          <w:rPr>
            <w:i/>
            <w:color w:val="808080" w:themeColor="background1" w:themeShade="80"/>
          </w:rPr>
          <w:t xml:space="preserve">| </w:t>
        </w:r>
        <w:r w:rsidRPr="00A413D7">
          <w:rPr>
            <w:rFonts w:ascii="Arial" w:hAnsi="Arial" w:cs="Arial"/>
            <w:i/>
            <w:color w:val="808080" w:themeColor="background1" w:themeShade="80"/>
            <w:sz w:val="20"/>
            <w:szCs w:val="20"/>
          </w:rPr>
          <w:t>Page</w:t>
        </w:r>
        <w:r w:rsidRPr="00A413D7">
          <w:rPr>
            <w:rFonts w:ascii="Arial" w:hAnsi="Arial" w:cs="Arial"/>
            <w:bCs/>
            <w:i/>
            <w:color w:val="808080" w:themeColor="background1" w:themeShade="80"/>
            <w:sz w:val="20"/>
            <w:szCs w:val="20"/>
          </w:rPr>
          <w:t xml:space="preserve"> </w:t>
        </w:r>
        <w:r w:rsidRPr="00A413D7">
          <w:rPr>
            <w:rFonts w:ascii="Arial" w:hAnsi="Arial" w:cs="Arial"/>
            <w:bCs/>
            <w:i/>
            <w:caps/>
            <w:color w:val="808080" w:themeColor="background1" w:themeShade="80"/>
            <w:sz w:val="20"/>
            <w:szCs w:val="20"/>
          </w:rPr>
          <w:fldChar w:fldCharType="begin"/>
        </w:r>
        <w:r w:rsidRPr="00A413D7">
          <w:rPr>
            <w:rFonts w:ascii="Arial" w:hAnsi="Arial" w:cs="Arial"/>
            <w:bCs/>
            <w:i/>
            <w:color w:val="808080" w:themeColor="background1" w:themeShade="80"/>
            <w:sz w:val="20"/>
            <w:szCs w:val="20"/>
          </w:rPr>
          <w:instrText xml:space="preserve"> PAGE </w:instrText>
        </w:r>
        <w:r w:rsidRPr="00A413D7">
          <w:rPr>
            <w:rFonts w:ascii="Arial" w:hAnsi="Arial" w:cs="Arial"/>
            <w:bCs/>
            <w:i/>
            <w:caps/>
            <w:color w:val="808080" w:themeColor="background1" w:themeShade="80"/>
            <w:sz w:val="20"/>
            <w:szCs w:val="20"/>
          </w:rPr>
          <w:fldChar w:fldCharType="separate"/>
        </w:r>
        <w:r w:rsidRPr="00A413D7">
          <w:rPr>
            <w:rFonts w:ascii="Arial" w:hAnsi="Arial" w:cs="Arial"/>
            <w:bCs/>
            <w:i/>
            <w:caps/>
            <w:color w:val="808080" w:themeColor="background1" w:themeShade="80"/>
            <w:sz w:val="20"/>
            <w:szCs w:val="20"/>
          </w:rPr>
          <w:t>- 7 -</w:t>
        </w:r>
        <w:r w:rsidRPr="00A413D7">
          <w:rPr>
            <w:rFonts w:ascii="Arial" w:hAnsi="Arial" w:cs="Arial"/>
            <w:bCs/>
            <w:i/>
            <w:caps/>
            <w:color w:val="808080" w:themeColor="background1" w:themeShade="80"/>
            <w:sz w:val="20"/>
            <w:szCs w:val="20"/>
          </w:rPr>
          <w:fldChar w:fldCharType="end"/>
        </w:r>
        <w:r w:rsidRPr="00A413D7">
          <w:rPr>
            <w:rFonts w:ascii="Arial" w:hAnsi="Arial" w:cs="Arial"/>
            <w:bCs/>
            <w:i/>
            <w:caps/>
            <w:color w:val="808080" w:themeColor="background1" w:themeShade="80"/>
            <w:sz w:val="20"/>
            <w:szCs w:val="20"/>
          </w:rPr>
          <w:t xml:space="preserve"> </w:t>
        </w:r>
        <w:r w:rsidRPr="00A413D7">
          <w:rPr>
            <w:rFonts w:ascii="Arial" w:hAnsi="Arial" w:cs="Arial"/>
            <w:i/>
            <w:color w:val="808080" w:themeColor="background1" w:themeShade="80"/>
            <w:sz w:val="20"/>
            <w:szCs w:val="20"/>
          </w:rPr>
          <w:t xml:space="preserve">of </w:t>
        </w:r>
        <w:r w:rsidRPr="00A413D7">
          <w:rPr>
            <w:rFonts w:ascii="Arial" w:hAnsi="Arial" w:cs="Arial"/>
            <w:bCs/>
            <w:i/>
            <w:caps/>
            <w:color w:val="808080" w:themeColor="background1" w:themeShade="80"/>
            <w:sz w:val="20"/>
            <w:szCs w:val="20"/>
          </w:rPr>
          <w:fldChar w:fldCharType="begin"/>
        </w:r>
        <w:r w:rsidRPr="00A413D7">
          <w:rPr>
            <w:rFonts w:ascii="Arial" w:hAnsi="Arial" w:cs="Arial"/>
            <w:bCs/>
            <w:i/>
            <w:color w:val="808080" w:themeColor="background1" w:themeShade="80"/>
            <w:sz w:val="20"/>
            <w:szCs w:val="20"/>
          </w:rPr>
          <w:instrText xml:space="preserve"> NUMPAGES  </w:instrText>
        </w:r>
        <w:r w:rsidRPr="00A413D7">
          <w:rPr>
            <w:rFonts w:ascii="Arial" w:hAnsi="Arial" w:cs="Arial"/>
            <w:bCs/>
            <w:i/>
            <w:caps/>
            <w:color w:val="808080" w:themeColor="background1" w:themeShade="80"/>
            <w:sz w:val="20"/>
            <w:szCs w:val="20"/>
          </w:rPr>
          <w:fldChar w:fldCharType="separate"/>
        </w:r>
        <w:r w:rsidRPr="00A413D7">
          <w:rPr>
            <w:rFonts w:ascii="Arial" w:hAnsi="Arial" w:cs="Arial"/>
            <w:bCs/>
            <w:i/>
            <w:caps/>
            <w:color w:val="808080" w:themeColor="background1" w:themeShade="80"/>
            <w:sz w:val="20"/>
            <w:szCs w:val="20"/>
          </w:rPr>
          <w:t>12</w:t>
        </w:r>
        <w:r w:rsidRPr="00A413D7">
          <w:rPr>
            <w:rFonts w:ascii="Arial" w:hAnsi="Arial" w:cs="Arial"/>
            <w:bCs/>
            <w:i/>
            <w:caps/>
            <w:color w:val="808080" w:themeColor="background1" w:themeShade="80"/>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E5B"/>
    <w:multiLevelType w:val="hybridMultilevel"/>
    <w:tmpl w:val="6B10B910"/>
    <w:lvl w:ilvl="0" w:tplc="77B4B6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65D17"/>
    <w:multiLevelType w:val="hybridMultilevel"/>
    <w:tmpl w:val="8BE08B94"/>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15:restartNumberingAfterBreak="0">
    <w:nsid w:val="0C024873"/>
    <w:multiLevelType w:val="hybridMultilevel"/>
    <w:tmpl w:val="CF5E0830"/>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10DB5093"/>
    <w:multiLevelType w:val="hybridMultilevel"/>
    <w:tmpl w:val="BFACD356"/>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4" w15:restartNumberingAfterBreak="0">
    <w:nsid w:val="23023245"/>
    <w:multiLevelType w:val="hybridMultilevel"/>
    <w:tmpl w:val="8278ACFE"/>
    <w:lvl w:ilvl="0" w:tplc="1009000F">
      <w:start w:val="1"/>
      <w:numFmt w:val="decimal"/>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417019F5"/>
    <w:multiLevelType w:val="hybridMultilevel"/>
    <w:tmpl w:val="A03809E8"/>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431363B7"/>
    <w:multiLevelType w:val="hybridMultilevel"/>
    <w:tmpl w:val="9C7E3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D1FA1"/>
    <w:multiLevelType w:val="hybridMultilevel"/>
    <w:tmpl w:val="053E7F6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8" w15:restartNumberingAfterBreak="0">
    <w:nsid w:val="4C3A241F"/>
    <w:multiLevelType w:val="hybridMultilevel"/>
    <w:tmpl w:val="7E4231D0"/>
    <w:lvl w:ilvl="0" w:tplc="77B4B6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5B0166"/>
    <w:multiLevelType w:val="hybridMultilevel"/>
    <w:tmpl w:val="4436434E"/>
    <w:lvl w:ilvl="0" w:tplc="9A986532">
      <w:start w:val="1"/>
      <w:numFmt w:val="lowerLetter"/>
      <w:lvlText w:val="%1."/>
      <w:lvlJc w:val="left"/>
      <w:pPr>
        <w:ind w:left="1080" w:hanging="360"/>
      </w:pPr>
      <w:rPr>
        <w:rFonts w:ascii="Arial" w:hAnsi="Arial" w:cs="Arial"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CD11F3"/>
    <w:multiLevelType w:val="hybridMultilevel"/>
    <w:tmpl w:val="A0A6ACF0"/>
    <w:lvl w:ilvl="0" w:tplc="04090019">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BD26B2"/>
    <w:multiLevelType w:val="hybridMultilevel"/>
    <w:tmpl w:val="7C6242C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9D649B9"/>
    <w:multiLevelType w:val="hybridMultilevel"/>
    <w:tmpl w:val="8BE08B94"/>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abstractNumId w:val="6"/>
  </w:num>
  <w:num w:numId="2">
    <w:abstractNumId w:val="9"/>
  </w:num>
  <w:num w:numId="3">
    <w:abstractNumId w:val="11"/>
  </w:num>
  <w:num w:numId="4">
    <w:abstractNumId w:val="10"/>
  </w:num>
  <w:num w:numId="5">
    <w:abstractNumId w:val="2"/>
  </w:num>
  <w:num w:numId="6">
    <w:abstractNumId w:val="7"/>
  </w:num>
  <w:num w:numId="7">
    <w:abstractNumId w:val="12"/>
  </w:num>
  <w:num w:numId="8">
    <w:abstractNumId w:val="3"/>
  </w:num>
  <w:num w:numId="9">
    <w:abstractNumId w:val="5"/>
  </w:num>
  <w:num w:numId="10">
    <w:abstractNumId w:val="1"/>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378"/>
    <w:rsid w:val="000E093A"/>
    <w:rsid w:val="001626FD"/>
    <w:rsid w:val="001862F9"/>
    <w:rsid w:val="001D059A"/>
    <w:rsid w:val="00302366"/>
    <w:rsid w:val="003A00D0"/>
    <w:rsid w:val="00567BE2"/>
    <w:rsid w:val="00575A1A"/>
    <w:rsid w:val="0057782E"/>
    <w:rsid w:val="00580F0B"/>
    <w:rsid w:val="00585E4C"/>
    <w:rsid w:val="0070383A"/>
    <w:rsid w:val="007117EB"/>
    <w:rsid w:val="00770A47"/>
    <w:rsid w:val="007E6862"/>
    <w:rsid w:val="00870414"/>
    <w:rsid w:val="00874E43"/>
    <w:rsid w:val="00884455"/>
    <w:rsid w:val="008A54BA"/>
    <w:rsid w:val="00A413D7"/>
    <w:rsid w:val="00AD33AF"/>
    <w:rsid w:val="00AF7D94"/>
    <w:rsid w:val="00B302E6"/>
    <w:rsid w:val="00B533D2"/>
    <w:rsid w:val="00B80525"/>
    <w:rsid w:val="00CD4378"/>
    <w:rsid w:val="00D72273"/>
    <w:rsid w:val="00E80F9A"/>
    <w:rsid w:val="00EC368B"/>
    <w:rsid w:val="00EE21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495B29"/>
  <w15:chartTrackingRefBased/>
  <w15:docId w15:val="{74EC0A60-C9FA-42F0-AE30-22829DAC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378"/>
    <w:rPr>
      <w:lang w:val="en-US"/>
    </w:rPr>
  </w:style>
  <w:style w:type="paragraph" w:styleId="Heading1">
    <w:name w:val="heading 1"/>
    <w:basedOn w:val="Normal"/>
    <w:next w:val="Normal"/>
    <w:link w:val="Heading1Char"/>
    <w:uiPriority w:val="9"/>
    <w:qFormat/>
    <w:rsid w:val="00575A1A"/>
    <w:pPr>
      <w:keepNext/>
      <w:keepLines/>
      <w:spacing w:before="240" w:after="0" w:line="240" w:lineRule="auto"/>
      <w:outlineLvl w:val="0"/>
    </w:pPr>
    <w:rPr>
      <w:rFonts w:ascii="Arial" w:eastAsiaTheme="majorEastAsia" w:hAnsi="Arial"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378"/>
    <w:rPr>
      <w:lang w:val="en-US"/>
    </w:rPr>
  </w:style>
  <w:style w:type="paragraph" w:styleId="Footer">
    <w:name w:val="footer"/>
    <w:basedOn w:val="Normal"/>
    <w:link w:val="FooterChar"/>
    <w:uiPriority w:val="99"/>
    <w:unhideWhenUsed/>
    <w:qFormat/>
    <w:rsid w:val="00CD4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378"/>
    <w:rPr>
      <w:lang w:val="en-US"/>
    </w:rPr>
  </w:style>
  <w:style w:type="paragraph" w:styleId="ListParagraph">
    <w:name w:val="List Paragraph"/>
    <w:basedOn w:val="Normal"/>
    <w:uiPriority w:val="34"/>
    <w:qFormat/>
    <w:rsid w:val="00CD4378"/>
    <w:pPr>
      <w:ind w:left="720"/>
      <w:contextualSpacing/>
    </w:pPr>
  </w:style>
  <w:style w:type="paragraph" w:styleId="FootnoteText">
    <w:name w:val="footnote text"/>
    <w:basedOn w:val="Normal"/>
    <w:link w:val="FootnoteTextChar"/>
    <w:unhideWhenUsed/>
    <w:rsid w:val="00CD4378"/>
    <w:pPr>
      <w:spacing w:after="0" w:line="240" w:lineRule="auto"/>
    </w:pPr>
    <w:rPr>
      <w:sz w:val="20"/>
      <w:szCs w:val="20"/>
    </w:rPr>
  </w:style>
  <w:style w:type="character" w:customStyle="1" w:styleId="FootnoteTextChar">
    <w:name w:val="Footnote Text Char"/>
    <w:basedOn w:val="DefaultParagraphFont"/>
    <w:link w:val="FootnoteText"/>
    <w:rsid w:val="00CD4378"/>
    <w:rPr>
      <w:sz w:val="20"/>
      <w:szCs w:val="20"/>
      <w:lang w:val="en-US"/>
    </w:rPr>
  </w:style>
  <w:style w:type="character" w:styleId="FootnoteReference">
    <w:name w:val="footnote reference"/>
    <w:basedOn w:val="DefaultParagraphFont"/>
    <w:unhideWhenUsed/>
    <w:rsid w:val="00CD4378"/>
    <w:rPr>
      <w:vertAlign w:val="superscript"/>
    </w:rPr>
  </w:style>
  <w:style w:type="character" w:customStyle="1" w:styleId="Heading1Char">
    <w:name w:val="Heading 1 Char"/>
    <w:basedOn w:val="DefaultParagraphFont"/>
    <w:link w:val="Heading1"/>
    <w:uiPriority w:val="9"/>
    <w:rsid w:val="00575A1A"/>
    <w:rPr>
      <w:rFonts w:ascii="Arial" w:eastAsiaTheme="majorEastAsia" w:hAnsi="Arial" w:cstheme="majorBidi"/>
      <w:b/>
      <w:sz w:val="36"/>
      <w:szCs w:val="32"/>
      <w:lang w:val="en-US"/>
    </w:rPr>
  </w:style>
  <w:style w:type="paragraph" w:styleId="NoSpacing">
    <w:name w:val="No Spacing"/>
    <w:uiPriority w:val="1"/>
    <w:qFormat/>
    <w:rsid w:val="00A413D7"/>
    <w:pPr>
      <w:spacing w:after="0" w:line="240" w:lineRule="auto"/>
    </w:pPr>
    <w:rPr>
      <w:rFonts w:eastAsiaTheme="minorEastAsia"/>
      <w:color w:val="44546A" w:themeColor="text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Klassen</dc:creator>
  <cp:keywords/>
  <dc:description/>
  <cp:lastModifiedBy>Jeff Klassen</cp:lastModifiedBy>
  <cp:revision>3</cp:revision>
  <dcterms:created xsi:type="dcterms:W3CDTF">2018-08-10T01:29:00Z</dcterms:created>
  <dcterms:modified xsi:type="dcterms:W3CDTF">2018-08-10T17:36:00Z</dcterms:modified>
</cp:coreProperties>
</file>