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9A" w:rsidRDefault="001B699F" w:rsidP="001B699F">
      <w:pPr>
        <w:spacing w:after="0" w:line="276" w:lineRule="auto"/>
        <w:rPr>
          <w:rFonts w:ascii="Arial" w:eastAsia="Times New Roman" w:hAnsi="Arial" w:cs="Arial"/>
          <w:b/>
          <w:sz w:val="24"/>
          <w:szCs w:val="24"/>
        </w:rPr>
      </w:pPr>
      <w:bookmarkStart w:id="0" w:name="_GoBack"/>
      <w:bookmarkEnd w:id="0"/>
      <w:r>
        <w:rPr>
          <w:rFonts w:ascii="Arial" w:eastAsia="Times New Roman" w:hAnsi="Arial" w:cs="Arial"/>
          <w:b/>
          <w:sz w:val="24"/>
          <w:szCs w:val="24"/>
        </w:rPr>
        <w:t>Appendix A</w:t>
      </w:r>
      <w:r w:rsidR="005A539A">
        <w:rPr>
          <w:rFonts w:ascii="Arial" w:eastAsia="Times New Roman" w:hAnsi="Arial" w:cs="Arial"/>
          <w:b/>
          <w:sz w:val="24"/>
          <w:szCs w:val="24"/>
        </w:rPr>
        <w:t xml:space="preserve"> </w:t>
      </w:r>
    </w:p>
    <w:p w:rsidR="001B699F"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rsidR="001B699F" w:rsidRDefault="001B699F" w:rsidP="001B699F">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sidR="00CF0A8B">
        <w:rPr>
          <w:rStyle w:val="FootnoteReference"/>
          <w:rFonts w:ascii="Arial" w:eastAsia="Times New Roman" w:hAnsi="Arial" w:cs="Arial"/>
          <w:b/>
          <w:sz w:val="24"/>
          <w:szCs w:val="24"/>
        </w:rPr>
        <w:footnoteReference w:id="1"/>
      </w:r>
    </w:p>
    <w:p w:rsidR="00CF0A8B" w:rsidRPr="00CF0A8B" w:rsidRDefault="00CF0A8B" w:rsidP="001B699F">
      <w:pPr>
        <w:spacing w:after="0" w:line="276" w:lineRule="auto"/>
        <w:rPr>
          <w:rFonts w:ascii="Arial" w:eastAsia="Times New Roman" w:hAnsi="Arial" w:cs="Arial"/>
          <w:i/>
          <w:sz w:val="24"/>
          <w:szCs w:val="24"/>
        </w:rPr>
      </w:pPr>
    </w:p>
    <w:p w:rsidR="001B699F" w:rsidRDefault="001B699F" w:rsidP="001B699F">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5930BC" w:rsidRDefault="00673822" w:rsidP="00BE05F6">
      <w:pPr>
        <w:pStyle w:val="ListParagraph"/>
        <w:numPr>
          <w:ilvl w:val="0"/>
          <w:numId w:val="16"/>
        </w:numPr>
        <w:spacing w:after="0" w:line="276" w:lineRule="auto"/>
      </w:pPr>
      <w:r>
        <w:rPr>
          <w:rFonts w:ascii="Arial" w:eastAsia="Times New Roman" w:hAnsi="Arial" w:cs="Arial"/>
          <w:sz w:val="24"/>
          <w:szCs w:val="24"/>
        </w:rPr>
        <w:t>CT 1142 is booked into Account 1588. CT 148 is pro-rated based on RPP/non-RPP consumption and then booked into Account 1588 and 1589 respectively.</w:t>
      </w:r>
    </w:p>
    <w:p w:rsidR="005930BC" w:rsidRPr="001A7190" w:rsidRDefault="005930BC" w:rsidP="00993A79">
      <w:pPr>
        <w:pStyle w:val="ListParagraph"/>
        <w:numPr>
          <w:ilvl w:val="0"/>
          <w:numId w:val="16"/>
        </w:numPr>
        <w:spacing w:after="0" w:line="276" w:lineRule="auto"/>
        <w:rPr>
          <w:rFonts w:ascii="Arial" w:eastAsia="Times New Roman" w:hAnsi="Arial" w:cs="Arial"/>
          <w:sz w:val="24"/>
          <w:szCs w:val="24"/>
          <w:highlight w:val="yellow"/>
        </w:rPr>
      </w:pPr>
      <w:r w:rsidRPr="001A7190">
        <w:rPr>
          <w:rFonts w:ascii="Arial" w:eastAsia="Times New Roman" w:hAnsi="Arial" w:cs="Arial"/>
          <w:sz w:val="24"/>
          <w:szCs w:val="24"/>
          <w:highlight w:val="yellow"/>
        </w:rPr>
        <w:t xml:space="preserve">CT </w:t>
      </w:r>
      <w:r w:rsidR="005705A7" w:rsidRPr="001A7190">
        <w:rPr>
          <w:rFonts w:ascii="Arial" w:eastAsia="Times New Roman" w:hAnsi="Arial" w:cs="Arial"/>
          <w:sz w:val="24"/>
          <w:szCs w:val="24"/>
          <w:highlight w:val="yellow"/>
        </w:rPr>
        <w:t>148 is booked into Account 1589. The portion of CT 1142 equaling RPP minus HOEP for RPP consumption is booked into Account 1588. The portion of CT 1142 equaling GA RPP is credited into Account 1589.</w:t>
      </w:r>
    </w:p>
    <w:p w:rsidR="00EF651D" w:rsidRDefault="005705A7" w:rsidP="005705A7">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152EE3" w:rsidRDefault="00152EE3" w:rsidP="00152EE3">
      <w:pPr>
        <w:spacing w:after="0" w:line="276" w:lineRule="auto"/>
        <w:ind w:left="720" w:firstLine="360"/>
        <w:rPr>
          <w:rFonts w:ascii="Arial" w:eastAsia="Times New Roman" w:hAnsi="Arial" w:cs="Arial"/>
          <w:sz w:val="24"/>
          <w:szCs w:val="24"/>
          <w:u w:val="single"/>
        </w:rPr>
      </w:pPr>
    </w:p>
    <w:p w:rsidR="00152EE3" w:rsidRPr="00BE05F6" w:rsidRDefault="00152EE3" w:rsidP="00BE05F6">
      <w:pPr>
        <w:pStyle w:val="ListParagraph"/>
        <w:numPr>
          <w:ilvl w:val="0"/>
          <w:numId w:val="15"/>
        </w:numPr>
        <w:spacing w:after="0" w:line="276" w:lineRule="auto"/>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ED5436" w:rsidRDefault="00ED5436" w:rsidP="00ED5436">
      <w:pPr>
        <w:pStyle w:val="ListParagraph"/>
        <w:spacing w:after="0" w:line="276" w:lineRule="auto"/>
        <w:ind w:left="1440"/>
        <w:rPr>
          <w:rFonts w:ascii="Arial" w:eastAsia="Times New Roman" w:hAnsi="Arial" w:cs="Arial"/>
          <w:sz w:val="24"/>
          <w:szCs w:val="24"/>
        </w:rPr>
      </w:pPr>
    </w:p>
    <w:p w:rsidR="00ED5436" w:rsidRPr="00C46CD8" w:rsidRDefault="00ED5436" w:rsidP="00C46CD8">
      <w:pPr>
        <w:spacing w:after="0" w:line="276" w:lineRule="auto"/>
        <w:rPr>
          <w:rFonts w:ascii="Arial" w:eastAsia="Times New Roman" w:hAnsi="Arial" w:cs="Arial"/>
          <w:sz w:val="24"/>
          <w:szCs w:val="24"/>
        </w:rPr>
      </w:pPr>
      <w:r w:rsidRPr="00C46CD8">
        <w:rPr>
          <w:rFonts w:ascii="Arial" w:eastAsia="Times New Roman" w:hAnsi="Arial" w:cs="Arial"/>
          <w:sz w:val="24"/>
          <w:szCs w:val="24"/>
          <w:highlight w:val="yellow"/>
        </w:rPr>
        <w:t>The final Global Adjustment rate is multiplied by the RPP and TOU consumption values to determine the amount receivable from the IESO (referred to as the Global Adjustment “GA” variance).</w:t>
      </w:r>
    </w:p>
    <w:p w:rsidR="00ED5436" w:rsidRPr="00ED5436" w:rsidRDefault="00ED5436" w:rsidP="00ED5436">
      <w:pPr>
        <w:pStyle w:val="ListParagraph"/>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ED5436" w:rsidRDefault="00ED5436" w:rsidP="00ED5436">
      <w:pPr>
        <w:spacing w:after="0" w:line="276" w:lineRule="auto"/>
        <w:rPr>
          <w:rFonts w:ascii="Arial" w:eastAsia="Times New Roman" w:hAnsi="Arial" w:cs="Arial"/>
          <w:sz w:val="24"/>
          <w:szCs w:val="24"/>
        </w:rPr>
      </w:pPr>
    </w:p>
    <w:p w:rsidR="00ED5436" w:rsidRPr="00F27DF1" w:rsidRDefault="00F27DF1" w:rsidP="00F27DF1">
      <w:pPr>
        <w:spacing w:after="0" w:line="276" w:lineRule="auto"/>
        <w:rPr>
          <w:rFonts w:ascii="Arial" w:hAnsi="Arial" w:cs="Arial"/>
          <w:sz w:val="24"/>
          <w:szCs w:val="24"/>
          <w:highlight w:val="yellow"/>
        </w:rPr>
      </w:pPr>
      <w:r w:rsidRPr="00F27DF1">
        <w:rPr>
          <w:rFonts w:ascii="Arial" w:hAnsi="Arial" w:cs="Arial"/>
          <w:sz w:val="24"/>
          <w:szCs w:val="24"/>
          <w:highlight w:val="yellow"/>
        </w:rPr>
        <w:t>True-ups are completed on an annual basis in conjunction with the preparation of IRM and/or CoS proceedings.  All consumption values are re-run out of the accounting system and all inputs are re-entered to ensure no typographical errors were made or to account for any changes in externally provided inputs (weighted average energy price, final Global Adjustment rate). Any differences that arise as a result of the true-ups are typically due to billing corrections (i.e. consumption value changes) that have occurred after the original IESO settlement submissions were submitted.</w:t>
      </w:r>
    </w:p>
    <w:p w:rsidR="00F27DF1" w:rsidRPr="00F27DF1" w:rsidRDefault="00F27DF1" w:rsidP="00F27DF1">
      <w:pPr>
        <w:spacing w:after="0" w:line="276" w:lineRule="auto"/>
        <w:rPr>
          <w:rFonts w:ascii="Arial" w:eastAsia="Times New Roman" w:hAnsi="Arial" w:cs="Arial"/>
          <w:sz w:val="24"/>
          <w:szCs w:val="24"/>
          <w:highlight w:val="yellow"/>
        </w:rPr>
      </w:pPr>
    </w:p>
    <w:p w:rsidR="00F27DF1" w:rsidRPr="00F27DF1" w:rsidRDefault="00F27DF1" w:rsidP="00F27DF1">
      <w:pPr>
        <w:spacing w:after="0" w:line="276" w:lineRule="auto"/>
        <w:rPr>
          <w:rFonts w:ascii="Arial" w:hAnsi="Arial" w:cs="Arial"/>
          <w:sz w:val="24"/>
          <w:szCs w:val="24"/>
        </w:rPr>
      </w:pPr>
      <w:r w:rsidRPr="00F27DF1">
        <w:rPr>
          <w:rFonts w:ascii="Arial" w:hAnsi="Arial" w:cs="Arial"/>
          <w:sz w:val="24"/>
          <w:szCs w:val="24"/>
          <w:highlight w:val="yellow"/>
        </w:rPr>
        <w:lastRenderedPageBreak/>
        <w:t>In the OEB’s staff submission dated D</w:t>
      </w:r>
      <w:r w:rsidR="00021FC0">
        <w:rPr>
          <w:rFonts w:ascii="Arial" w:hAnsi="Arial" w:cs="Arial"/>
          <w:sz w:val="24"/>
          <w:szCs w:val="24"/>
          <w:highlight w:val="yellow"/>
        </w:rPr>
        <w:t>ecember 12, 2017 in EB-2017-0031</w:t>
      </w:r>
      <w:r w:rsidRPr="00F27DF1">
        <w:rPr>
          <w:rFonts w:ascii="Arial" w:hAnsi="Arial" w:cs="Arial"/>
          <w:sz w:val="24"/>
          <w:szCs w:val="24"/>
          <w:highlight w:val="yellow"/>
        </w:rPr>
        <w:t xml:space="preserve">, a recommendation was made that CNPI modify its current settlement process to better align with IESO requirements.  </w:t>
      </w:r>
      <w:r w:rsidR="009863E0">
        <w:rPr>
          <w:rFonts w:ascii="Arial" w:hAnsi="Arial" w:cs="Arial"/>
          <w:sz w:val="24"/>
          <w:szCs w:val="24"/>
          <w:highlight w:val="yellow"/>
        </w:rPr>
        <w:t>Effective January</w:t>
      </w:r>
      <w:r w:rsidRPr="00F27DF1">
        <w:rPr>
          <w:rFonts w:ascii="Arial" w:hAnsi="Arial" w:cs="Arial"/>
          <w:sz w:val="24"/>
          <w:szCs w:val="24"/>
          <w:highlight w:val="yellow"/>
        </w:rPr>
        <w:t xml:space="preserve"> 2018 consumption</w:t>
      </w:r>
      <w:r w:rsidR="009863E0">
        <w:rPr>
          <w:rFonts w:ascii="Arial" w:hAnsi="Arial" w:cs="Arial"/>
          <w:sz w:val="24"/>
          <w:szCs w:val="24"/>
          <w:highlight w:val="yellow"/>
        </w:rPr>
        <w:t>,</w:t>
      </w:r>
      <w:r w:rsidRPr="00F27DF1">
        <w:rPr>
          <w:rFonts w:ascii="Arial" w:hAnsi="Arial" w:cs="Arial"/>
          <w:sz w:val="24"/>
          <w:szCs w:val="24"/>
          <w:highlight w:val="yellow"/>
        </w:rPr>
        <w:t xml:space="preserve"> CN</w:t>
      </w:r>
      <w:r w:rsidR="009863E0">
        <w:rPr>
          <w:rFonts w:ascii="Arial" w:hAnsi="Arial" w:cs="Arial"/>
          <w:sz w:val="24"/>
          <w:szCs w:val="24"/>
          <w:highlight w:val="yellow"/>
        </w:rPr>
        <w:t xml:space="preserve">PI confirms that these true-ups are being completed on a quarterly </w:t>
      </w:r>
      <w:r w:rsidR="009863E0" w:rsidRPr="009863E0">
        <w:rPr>
          <w:rFonts w:ascii="Arial" w:hAnsi="Arial" w:cs="Arial"/>
          <w:sz w:val="24"/>
          <w:szCs w:val="24"/>
          <w:highlight w:val="yellow"/>
        </w:rPr>
        <w:t xml:space="preserve">basis (as outlined in the </w:t>
      </w:r>
      <w:r w:rsidR="00072E45">
        <w:rPr>
          <w:rFonts w:ascii="Arial" w:hAnsi="Arial" w:cs="Arial"/>
          <w:sz w:val="24"/>
          <w:szCs w:val="24"/>
          <w:highlight w:val="yellow"/>
        </w:rPr>
        <w:t xml:space="preserve">OEB </w:t>
      </w:r>
      <w:r w:rsidR="009863E0" w:rsidRPr="009863E0">
        <w:rPr>
          <w:rFonts w:ascii="Arial" w:hAnsi="Arial" w:cs="Arial"/>
          <w:sz w:val="24"/>
          <w:szCs w:val="24"/>
          <w:highlight w:val="yellow"/>
        </w:rPr>
        <w:t>Guidance on the Disposition of Account 1588 and 1589 dated May 23</w:t>
      </w:r>
      <w:r w:rsidR="009863E0" w:rsidRPr="009863E0">
        <w:rPr>
          <w:rFonts w:ascii="Arial" w:hAnsi="Arial" w:cs="Arial"/>
          <w:sz w:val="24"/>
          <w:szCs w:val="24"/>
          <w:highlight w:val="yellow"/>
          <w:vertAlign w:val="superscript"/>
        </w:rPr>
        <w:t>rd</w:t>
      </w:r>
      <w:r w:rsidR="009863E0" w:rsidRPr="009863E0">
        <w:rPr>
          <w:rFonts w:ascii="Arial" w:hAnsi="Arial" w:cs="Arial"/>
          <w:sz w:val="24"/>
          <w:szCs w:val="24"/>
          <w:highlight w:val="yellow"/>
        </w:rPr>
        <w:t>, 2017).</w:t>
      </w:r>
    </w:p>
    <w:p w:rsidR="00F27DF1" w:rsidRPr="00F27DF1" w:rsidRDefault="00F27DF1" w:rsidP="00F27DF1">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rsidR="00212BC5" w:rsidRDefault="00212BC5" w:rsidP="00212BC5">
      <w:pPr>
        <w:pStyle w:val="ListParagraph"/>
        <w:spacing w:after="0" w:line="276" w:lineRule="auto"/>
        <w:ind w:left="1440"/>
        <w:rPr>
          <w:rFonts w:ascii="Arial" w:eastAsia="Times New Roman" w:hAnsi="Arial" w:cs="Arial"/>
          <w:sz w:val="24"/>
          <w:szCs w:val="24"/>
        </w:rPr>
      </w:pPr>
    </w:p>
    <w:p w:rsidR="00212BC5" w:rsidRDefault="00212BC5" w:rsidP="00212BC5">
      <w:pPr>
        <w:spacing w:after="0" w:line="276" w:lineRule="auto"/>
        <w:rPr>
          <w:rFonts w:ascii="Arial" w:eastAsia="Times New Roman" w:hAnsi="Arial" w:cs="Arial"/>
          <w:sz w:val="24"/>
          <w:szCs w:val="24"/>
        </w:rPr>
      </w:pPr>
      <w:r w:rsidRPr="00212BC5">
        <w:rPr>
          <w:rFonts w:ascii="Arial" w:eastAsia="Times New Roman" w:hAnsi="Arial" w:cs="Arial"/>
          <w:sz w:val="24"/>
          <w:szCs w:val="24"/>
          <w:highlight w:val="yellow"/>
        </w:rPr>
        <w:t>CNPI can confirm CT 1142 has been trued up with the IESO for all of 2017.</w:t>
      </w:r>
    </w:p>
    <w:p w:rsidR="00212BC5" w:rsidRPr="00212BC5" w:rsidRDefault="00212BC5" w:rsidP="00212BC5">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Which months from 2017 were trued up in 2018?</w:t>
      </w:r>
    </w:p>
    <w:p w:rsidR="00451239" w:rsidRDefault="00451239" w:rsidP="00451239">
      <w:pPr>
        <w:pStyle w:val="ListParagraph"/>
        <w:spacing w:after="0" w:line="276" w:lineRule="auto"/>
        <w:ind w:left="1440"/>
        <w:rPr>
          <w:rFonts w:ascii="Arial" w:eastAsia="Times New Roman" w:hAnsi="Arial" w:cs="Arial"/>
          <w:sz w:val="24"/>
          <w:szCs w:val="24"/>
        </w:rPr>
      </w:pPr>
    </w:p>
    <w:p w:rsidR="00451239" w:rsidRDefault="00451239" w:rsidP="00451239">
      <w:pPr>
        <w:spacing w:after="0" w:line="276" w:lineRule="auto"/>
        <w:rPr>
          <w:rFonts w:ascii="Arial" w:eastAsia="Times New Roman" w:hAnsi="Arial" w:cs="Arial"/>
          <w:sz w:val="24"/>
          <w:szCs w:val="24"/>
        </w:rPr>
      </w:pPr>
      <w:r w:rsidRPr="00451239">
        <w:rPr>
          <w:rFonts w:ascii="Arial" w:eastAsia="Times New Roman" w:hAnsi="Arial" w:cs="Arial"/>
          <w:sz w:val="24"/>
          <w:szCs w:val="24"/>
          <w:highlight w:val="yellow"/>
        </w:rPr>
        <w:t>All 12 months of 2017 were trued up in 2018, as described above.</w:t>
      </w:r>
    </w:p>
    <w:p w:rsidR="00451239" w:rsidRPr="00451239" w:rsidRDefault="00451239" w:rsidP="00451239">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Ha</w:t>
      </w:r>
      <w:r w:rsidR="00325817">
        <w:rPr>
          <w:rFonts w:ascii="Arial" w:eastAsia="Times New Roman" w:hAnsi="Arial" w:cs="Arial"/>
          <w:sz w:val="24"/>
          <w:szCs w:val="24"/>
        </w:rPr>
        <w:t>ve</w:t>
      </w:r>
      <w:r>
        <w:rPr>
          <w:rFonts w:ascii="Arial" w:eastAsia="Times New Roman" w:hAnsi="Arial" w:cs="Arial"/>
          <w:sz w:val="24"/>
          <w:szCs w:val="24"/>
        </w:rPr>
        <w:t xml:space="preserve"> all of the 2017 related true-up been reflected in the applicant’s DVA Continuity Schedule in this proceeding?</w:t>
      </w:r>
    </w:p>
    <w:p w:rsidR="00B72969" w:rsidRDefault="00B72969" w:rsidP="00B72969">
      <w:pPr>
        <w:pStyle w:val="ListParagraph"/>
        <w:spacing w:after="0" w:line="276" w:lineRule="auto"/>
        <w:ind w:left="1440"/>
        <w:rPr>
          <w:rFonts w:ascii="Arial" w:eastAsia="Times New Roman" w:hAnsi="Arial" w:cs="Arial"/>
          <w:sz w:val="24"/>
          <w:szCs w:val="24"/>
        </w:rPr>
      </w:pPr>
    </w:p>
    <w:p w:rsidR="00B72969" w:rsidRDefault="00B72969" w:rsidP="00B72969">
      <w:pPr>
        <w:spacing w:after="0" w:line="276" w:lineRule="auto"/>
        <w:rPr>
          <w:rFonts w:ascii="Arial" w:eastAsia="Times New Roman" w:hAnsi="Arial" w:cs="Arial"/>
          <w:sz w:val="24"/>
          <w:szCs w:val="24"/>
        </w:rPr>
      </w:pPr>
      <w:r w:rsidRPr="00B72969">
        <w:rPr>
          <w:rFonts w:ascii="Arial" w:eastAsia="Times New Roman" w:hAnsi="Arial" w:cs="Arial"/>
          <w:sz w:val="24"/>
          <w:szCs w:val="24"/>
          <w:highlight w:val="yellow"/>
        </w:rPr>
        <w:t>CNPI can confirm that the 2017 related true-up has been reflected in their DVA Continuity Schedule in this proceeding.</w:t>
      </w:r>
    </w:p>
    <w:p w:rsidR="00B72969" w:rsidRPr="00B72969" w:rsidRDefault="00B72969" w:rsidP="00B72969">
      <w:pPr>
        <w:spacing w:after="0" w:line="276" w:lineRule="auto"/>
        <w:rPr>
          <w:rFonts w:ascii="Arial" w:eastAsia="Times New Roman" w:hAnsi="Arial" w:cs="Arial"/>
          <w:sz w:val="24"/>
          <w:szCs w:val="24"/>
        </w:rPr>
      </w:pPr>
    </w:p>
    <w:p w:rsidR="0054710F" w:rsidRDefault="00152EE3" w:rsidP="0054710F">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rsidR="003143AF" w:rsidRDefault="003143AF" w:rsidP="003143AF">
      <w:pPr>
        <w:pStyle w:val="ListParagraph"/>
        <w:spacing w:after="0" w:line="276" w:lineRule="auto"/>
        <w:ind w:left="1440"/>
        <w:rPr>
          <w:rFonts w:ascii="Arial" w:eastAsia="Times New Roman" w:hAnsi="Arial" w:cs="Arial"/>
          <w:sz w:val="24"/>
          <w:szCs w:val="24"/>
        </w:rPr>
      </w:pPr>
    </w:p>
    <w:p w:rsidR="0054710F" w:rsidRPr="0054710F" w:rsidRDefault="003B0F9B" w:rsidP="0054710F">
      <w:pPr>
        <w:spacing w:after="0" w:line="276" w:lineRule="auto"/>
        <w:rPr>
          <w:rFonts w:ascii="Arial" w:eastAsia="Times New Roman" w:hAnsi="Arial" w:cs="Arial"/>
          <w:sz w:val="24"/>
          <w:szCs w:val="24"/>
        </w:rPr>
      </w:pPr>
      <w:r w:rsidRPr="00872E63">
        <w:rPr>
          <w:rFonts w:ascii="Arial" w:eastAsia="Times New Roman" w:hAnsi="Arial" w:cs="Arial"/>
          <w:sz w:val="24"/>
          <w:szCs w:val="24"/>
          <w:highlight w:val="yellow"/>
        </w:rPr>
        <w:t xml:space="preserve">The 2017 adjustments </w:t>
      </w:r>
      <w:r w:rsidR="00872E63" w:rsidRPr="00872E63">
        <w:rPr>
          <w:rFonts w:ascii="Arial" w:eastAsia="Times New Roman" w:hAnsi="Arial" w:cs="Arial"/>
          <w:sz w:val="24"/>
          <w:szCs w:val="24"/>
          <w:highlight w:val="yellow"/>
        </w:rPr>
        <w:t>in the DVA Continuity Schedule for account 1588</w:t>
      </w:r>
      <w:r w:rsidR="003E5A3E">
        <w:rPr>
          <w:rFonts w:ascii="Arial" w:eastAsia="Times New Roman" w:hAnsi="Arial" w:cs="Arial"/>
          <w:sz w:val="24"/>
          <w:szCs w:val="24"/>
          <w:highlight w:val="yellow"/>
        </w:rPr>
        <w:t xml:space="preserve"> and 1589 are $1,668,211</w:t>
      </w:r>
      <w:r w:rsidR="00872E63" w:rsidRPr="00872E63">
        <w:rPr>
          <w:rFonts w:ascii="Arial" w:eastAsia="Times New Roman" w:hAnsi="Arial" w:cs="Arial"/>
          <w:sz w:val="24"/>
          <w:szCs w:val="24"/>
          <w:highlight w:val="yellow"/>
        </w:rPr>
        <w:t xml:space="preserve"> and </w:t>
      </w:r>
      <w:r w:rsidR="003E5A3E">
        <w:rPr>
          <w:rFonts w:ascii="Arial" w:eastAsia="Times New Roman" w:hAnsi="Arial" w:cs="Arial"/>
          <w:sz w:val="24"/>
          <w:szCs w:val="24"/>
          <w:highlight w:val="yellow"/>
        </w:rPr>
        <w:t>(</w:t>
      </w:r>
      <w:r w:rsidR="00872E63" w:rsidRPr="00872E63">
        <w:rPr>
          <w:rFonts w:ascii="Arial" w:eastAsia="Times New Roman" w:hAnsi="Arial" w:cs="Arial"/>
          <w:sz w:val="24"/>
          <w:szCs w:val="24"/>
          <w:highlight w:val="yellow"/>
        </w:rPr>
        <w:t>$2,</w:t>
      </w:r>
      <w:r w:rsidR="00730356">
        <w:rPr>
          <w:rFonts w:ascii="Arial" w:eastAsia="Times New Roman" w:hAnsi="Arial" w:cs="Arial"/>
          <w:sz w:val="24"/>
          <w:szCs w:val="24"/>
          <w:highlight w:val="yellow"/>
        </w:rPr>
        <w:t>558,968</w:t>
      </w:r>
      <w:r w:rsidR="003E5A3E">
        <w:rPr>
          <w:rFonts w:ascii="Arial" w:eastAsia="Times New Roman" w:hAnsi="Arial" w:cs="Arial"/>
          <w:sz w:val="24"/>
          <w:szCs w:val="24"/>
          <w:highlight w:val="yellow"/>
        </w:rPr>
        <w:t>)</w:t>
      </w:r>
      <w:r w:rsidR="00872E63" w:rsidRPr="00872E63">
        <w:rPr>
          <w:rFonts w:ascii="Arial" w:eastAsia="Times New Roman" w:hAnsi="Arial" w:cs="Arial"/>
          <w:sz w:val="24"/>
          <w:szCs w:val="24"/>
          <w:highlight w:val="yellow"/>
        </w:rPr>
        <w:t>, respectively</w:t>
      </w:r>
      <w:r w:rsidR="00872E63" w:rsidRPr="00652DFA">
        <w:rPr>
          <w:rFonts w:ascii="Arial" w:eastAsia="Times New Roman" w:hAnsi="Arial" w:cs="Arial"/>
          <w:sz w:val="24"/>
          <w:szCs w:val="24"/>
          <w:highlight w:val="yellow"/>
        </w:rPr>
        <w:t>.</w:t>
      </w:r>
      <w:r w:rsidR="00652DFA" w:rsidRPr="00652DFA">
        <w:rPr>
          <w:rFonts w:ascii="Arial" w:eastAsia="Times New Roman" w:hAnsi="Arial" w:cs="Arial"/>
          <w:sz w:val="24"/>
          <w:szCs w:val="24"/>
          <w:highlight w:val="yellow"/>
        </w:rPr>
        <w:t xml:space="preserve"> These adjustments are included in column “</w:t>
      </w:r>
      <w:r w:rsidR="006505F0">
        <w:rPr>
          <w:rFonts w:ascii="Arial" w:eastAsia="Times New Roman" w:hAnsi="Arial" w:cs="Arial"/>
          <w:sz w:val="24"/>
          <w:szCs w:val="24"/>
          <w:highlight w:val="yellow"/>
        </w:rPr>
        <w:t>Principal Adjustments during 2017</w:t>
      </w:r>
      <w:r w:rsidR="00652DFA" w:rsidRPr="00652DFA">
        <w:rPr>
          <w:rFonts w:ascii="Arial" w:eastAsia="Times New Roman" w:hAnsi="Arial" w:cs="Arial"/>
          <w:sz w:val="24"/>
          <w:szCs w:val="24"/>
          <w:highlight w:val="yellow"/>
        </w:rPr>
        <w:t>” for each respective account.</w:t>
      </w:r>
    </w:p>
    <w:p w:rsidR="00325817" w:rsidRDefault="00325817" w:rsidP="00152EE3">
      <w:pPr>
        <w:spacing w:after="0" w:line="276" w:lineRule="auto"/>
        <w:rPr>
          <w:rFonts w:ascii="Arial" w:eastAsia="Times New Roman" w:hAnsi="Arial" w:cs="Arial"/>
          <w:sz w:val="24"/>
          <w:szCs w:val="24"/>
        </w:rPr>
      </w:pPr>
    </w:p>
    <w:p w:rsidR="00152EE3" w:rsidRPr="00BE05F6" w:rsidRDefault="00152EE3" w:rsidP="00BE05F6">
      <w:pPr>
        <w:pStyle w:val="ListParagraph"/>
        <w:numPr>
          <w:ilvl w:val="0"/>
          <w:numId w:val="15"/>
        </w:numPr>
        <w:spacing w:after="0" w:line="276" w:lineRule="auto"/>
        <w:rPr>
          <w:rFonts w:ascii="Arial" w:eastAsia="Times New Roman" w:hAnsi="Arial" w:cs="Arial"/>
          <w:sz w:val="24"/>
          <w:szCs w:val="24"/>
        </w:rPr>
      </w:pPr>
      <w:r w:rsidRPr="00BE05F6">
        <w:rPr>
          <w:rFonts w:ascii="Arial" w:eastAsia="Times New Roman" w:hAnsi="Arial" w:cs="Arial"/>
          <w:sz w:val="24"/>
          <w:szCs w:val="24"/>
          <w:u w:val="single"/>
        </w:rPr>
        <w:t>Questions on CT 148</w:t>
      </w:r>
    </w:p>
    <w:p w:rsidR="005A539A" w:rsidRDefault="00152EE3" w:rsidP="00D47A33">
      <w:pPr>
        <w:pStyle w:val="ListParagraph"/>
        <w:numPr>
          <w:ilvl w:val="0"/>
          <w:numId w:val="22"/>
        </w:numPr>
        <w:spacing w:after="0" w:line="276" w:lineRule="auto"/>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r w:rsidR="005A539A" w:rsidRPr="005A539A">
        <w:rPr>
          <w:rFonts w:ascii="Arial" w:eastAsia="Times New Roman" w:hAnsi="Arial" w:cs="Arial"/>
          <w:sz w:val="24"/>
          <w:szCs w:val="24"/>
        </w:rPr>
        <w:t>.</w:t>
      </w:r>
    </w:p>
    <w:p w:rsidR="008F435D" w:rsidRDefault="008F435D" w:rsidP="008F435D">
      <w:pPr>
        <w:pStyle w:val="ListParagraph"/>
        <w:spacing w:after="0" w:line="276" w:lineRule="auto"/>
        <w:ind w:left="1440"/>
        <w:rPr>
          <w:rFonts w:ascii="Arial" w:eastAsia="Times New Roman" w:hAnsi="Arial" w:cs="Arial"/>
          <w:sz w:val="24"/>
          <w:szCs w:val="24"/>
        </w:rPr>
      </w:pPr>
    </w:p>
    <w:p w:rsidR="008F435D" w:rsidRDefault="008F435D" w:rsidP="008F435D">
      <w:pPr>
        <w:spacing w:after="0" w:line="276" w:lineRule="auto"/>
        <w:rPr>
          <w:rFonts w:ascii="Arial" w:eastAsia="Times New Roman" w:hAnsi="Arial" w:cs="Arial"/>
          <w:sz w:val="24"/>
          <w:szCs w:val="24"/>
        </w:rPr>
      </w:pPr>
      <w:r w:rsidRPr="00864513">
        <w:rPr>
          <w:rFonts w:ascii="Arial" w:eastAsia="Times New Roman" w:hAnsi="Arial" w:cs="Arial"/>
          <w:sz w:val="24"/>
          <w:szCs w:val="24"/>
          <w:highlight w:val="yellow"/>
        </w:rPr>
        <w:t xml:space="preserve">On a monthly basis, an accrual for CT 148 is </w:t>
      </w:r>
      <w:r w:rsidR="00AE30F6" w:rsidRPr="00864513">
        <w:rPr>
          <w:rFonts w:ascii="Arial" w:eastAsia="Times New Roman" w:hAnsi="Arial" w:cs="Arial"/>
          <w:sz w:val="24"/>
          <w:szCs w:val="24"/>
          <w:highlight w:val="yellow"/>
        </w:rPr>
        <w:t>set</w:t>
      </w:r>
      <w:r w:rsidR="00C13D62" w:rsidRPr="00864513">
        <w:rPr>
          <w:rFonts w:ascii="Arial" w:eastAsia="Times New Roman" w:hAnsi="Arial" w:cs="Arial"/>
          <w:sz w:val="24"/>
          <w:szCs w:val="24"/>
          <w:highlight w:val="yellow"/>
        </w:rPr>
        <w:t xml:space="preserve"> up</w:t>
      </w:r>
      <w:r w:rsidR="00AE30F6" w:rsidRPr="00864513">
        <w:rPr>
          <w:rFonts w:ascii="Arial" w:eastAsia="Times New Roman" w:hAnsi="Arial" w:cs="Arial"/>
          <w:sz w:val="24"/>
          <w:szCs w:val="24"/>
          <w:highlight w:val="yellow"/>
        </w:rPr>
        <w:t xml:space="preserve"> in 1589</w:t>
      </w:r>
      <w:r w:rsidRPr="00864513">
        <w:rPr>
          <w:rFonts w:ascii="Arial" w:eastAsia="Times New Roman" w:hAnsi="Arial" w:cs="Arial"/>
          <w:sz w:val="24"/>
          <w:szCs w:val="24"/>
          <w:highlight w:val="yellow"/>
        </w:rPr>
        <w:t xml:space="preserve"> for the current month using the second GA estimate</w:t>
      </w:r>
      <w:r w:rsidR="00AE30F6" w:rsidRPr="00864513">
        <w:rPr>
          <w:rFonts w:ascii="Arial" w:eastAsia="Times New Roman" w:hAnsi="Arial" w:cs="Arial"/>
          <w:sz w:val="24"/>
          <w:szCs w:val="24"/>
          <w:highlight w:val="yellow"/>
        </w:rPr>
        <w:t xml:space="preserve">. </w:t>
      </w:r>
      <w:r w:rsidR="00C13D62" w:rsidRPr="00864513">
        <w:rPr>
          <w:rFonts w:ascii="Arial" w:eastAsia="Times New Roman" w:hAnsi="Arial" w:cs="Arial"/>
          <w:sz w:val="24"/>
          <w:szCs w:val="24"/>
          <w:highlight w:val="yellow"/>
        </w:rPr>
        <w:t>When the invoice is received in</w:t>
      </w:r>
      <w:r w:rsidRPr="00864513">
        <w:rPr>
          <w:rFonts w:ascii="Arial" w:eastAsia="Times New Roman" w:hAnsi="Arial" w:cs="Arial"/>
          <w:sz w:val="24"/>
          <w:szCs w:val="24"/>
          <w:highlight w:val="yellow"/>
        </w:rPr>
        <w:t xml:space="preserve"> the subsequent month, a true-up is reflected in 1589 to </w:t>
      </w:r>
      <w:r w:rsidR="00C13D62" w:rsidRPr="00864513">
        <w:rPr>
          <w:rFonts w:ascii="Arial" w:eastAsia="Times New Roman" w:hAnsi="Arial" w:cs="Arial"/>
          <w:sz w:val="24"/>
          <w:szCs w:val="24"/>
          <w:highlight w:val="yellow"/>
        </w:rPr>
        <w:t>capture</w:t>
      </w:r>
      <w:r w:rsidRPr="00864513">
        <w:rPr>
          <w:rFonts w:ascii="Arial" w:eastAsia="Times New Roman" w:hAnsi="Arial" w:cs="Arial"/>
          <w:sz w:val="24"/>
          <w:szCs w:val="24"/>
          <w:highlight w:val="yellow"/>
        </w:rPr>
        <w:t xml:space="preserve"> the difference between the accrual and the actual CT 148.</w:t>
      </w:r>
    </w:p>
    <w:p w:rsidR="00152EE3" w:rsidRDefault="00152EE3" w:rsidP="00D47A33">
      <w:pPr>
        <w:pStyle w:val="ListParagraph"/>
        <w:numPr>
          <w:ilvl w:val="0"/>
          <w:numId w:val="22"/>
        </w:numPr>
        <w:spacing w:after="0" w:line="276" w:lineRule="auto"/>
        <w:rPr>
          <w:rFonts w:ascii="Arial" w:eastAsia="Times New Roman" w:hAnsi="Arial" w:cs="Arial"/>
          <w:sz w:val="24"/>
          <w:szCs w:val="24"/>
        </w:rPr>
      </w:pPr>
      <w:r w:rsidRPr="005A539A">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rsidR="00455FC2" w:rsidRDefault="00455FC2" w:rsidP="00455FC2">
      <w:pPr>
        <w:pStyle w:val="ListParagraph"/>
        <w:spacing w:after="0" w:line="276" w:lineRule="auto"/>
        <w:ind w:left="1440"/>
        <w:rPr>
          <w:rFonts w:ascii="Arial" w:eastAsia="Times New Roman" w:hAnsi="Arial" w:cs="Arial"/>
          <w:sz w:val="24"/>
          <w:szCs w:val="24"/>
        </w:rPr>
      </w:pPr>
    </w:p>
    <w:p w:rsidR="00455FC2" w:rsidRPr="00455FC2" w:rsidRDefault="00455FC2" w:rsidP="00455FC2">
      <w:pPr>
        <w:spacing w:after="240" w:line="360" w:lineRule="auto"/>
        <w:jc w:val="both"/>
        <w:rPr>
          <w:rFonts w:ascii="Arial" w:hAnsi="Arial" w:cs="Arial"/>
          <w:sz w:val="24"/>
          <w:szCs w:val="24"/>
          <w:highlight w:val="yellow"/>
        </w:rPr>
      </w:pPr>
      <w:r w:rsidRPr="00455FC2">
        <w:rPr>
          <w:rFonts w:ascii="Arial" w:hAnsi="Arial" w:cs="Arial"/>
          <w:sz w:val="24"/>
          <w:szCs w:val="24"/>
          <w:highlight w:val="yellow"/>
        </w:rPr>
        <w:lastRenderedPageBreak/>
        <w:t xml:space="preserve">The difference between the weighted average energy price and the RPP tiered and TOU pricing is multiplied by the applicable RPP and TOU consumption values (referred to as the Fixed Price Adjustment “FPA” variance).  This variance is treated as a payable back to the IESO and is recorded in OEB account 1588.  The accounting entry consists of a debit to OEB account 1588 and a credit payable to the IESO. </w:t>
      </w:r>
    </w:p>
    <w:p w:rsidR="00455FC2" w:rsidRPr="00455FC2" w:rsidRDefault="00455FC2" w:rsidP="00455FC2">
      <w:pPr>
        <w:spacing w:after="240" w:line="360" w:lineRule="auto"/>
        <w:jc w:val="both"/>
        <w:rPr>
          <w:rFonts w:ascii="Arial" w:hAnsi="Arial" w:cs="Arial"/>
          <w:sz w:val="24"/>
          <w:szCs w:val="24"/>
          <w:highlight w:val="yellow"/>
        </w:rPr>
      </w:pPr>
      <w:r w:rsidRPr="00455FC2">
        <w:rPr>
          <w:rFonts w:ascii="Arial" w:hAnsi="Arial" w:cs="Arial"/>
          <w:sz w:val="24"/>
          <w:szCs w:val="24"/>
          <w:highlight w:val="yellow"/>
        </w:rPr>
        <w:t>The final Global Adjustment rate is multiplied by the RPP and TOU consumption values to determine the amount receivable from the IESO (referred to as the Global Adjustment “GA” variance). This credit is recorded in OEB account 1589. The accounting entry consists of a debit receivable from the IESO and a credit to OEB account 1589</w:t>
      </w:r>
      <w:r w:rsidR="007C3638">
        <w:rPr>
          <w:rFonts w:ascii="Arial" w:hAnsi="Arial" w:cs="Arial"/>
          <w:sz w:val="24"/>
          <w:szCs w:val="24"/>
          <w:highlight w:val="yellow"/>
        </w:rPr>
        <w:t xml:space="preserve"> (offsetting CT 148 total</w:t>
      </w:r>
      <w:r w:rsidR="0085311C">
        <w:rPr>
          <w:rFonts w:ascii="Arial" w:hAnsi="Arial" w:cs="Arial"/>
          <w:sz w:val="24"/>
          <w:szCs w:val="24"/>
          <w:highlight w:val="yellow"/>
        </w:rPr>
        <w:t xml:space="preserve"> GA accrual).</w:t>
      </w:r>
    </w:p>
    <w:p w:rsidR="004A524A" w:rsidRDefault="00152EE3" w:rsidP="004A524A">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rsidR="004A524A" w:rsidRPr="004A524A" w:rsidRDefault="004A524A" w:rsidP="004A524A">
      <w:pPr>
        <w:pStyle w:val="ListParagraph"/>
        <w:spacing w:after="0" w:line="276" w:lineRule="auto"/>
        <w:ind w:left="1440"/>
        <w:rPr>
          <w:rFonts w:ascii="Arial" w:eastAsia="Times New Roman" w:hAnsi="Arial" w:cs="Arial"/>
          <w:sz w:val="24"/>
          <w:szCs w:val="24"/>
        </w:rPr>
      </w:pPr>
    </w:p>
    <w:p w:rsidR="004A524A" w:rsidRDefault="004A524A" w:rsidP="004A524A">
      <w:pPr>
        <w:spacing w:after="0" w:line="276" w:lineRule="auto"/>
        <w:rPr>
          <w:rFonts w:ascii="Arial" w:eastAsia="Times New Roman" w:hAnsi="Arial" w:cs="Arial"/>
          <w:sz w:val="24"/>
          <w:szCs w:val="24"/>
        </w:rPr>
      </w:pPr>
      <w:r w:rsidRPr="00EB3DE8">
        <w:rPr>
          <w:rFonts w:ascii="Arial" w:eastAsia="Times New Roman" w:hAnsi="Arial" w:cs="Arial"/>
          <w:sz w:val="24"/>
          <w:szCs w:val="24"/>
          <w:highlight w:val="yellow"/>
        </w:rPr>
        <w:t>CNPI’s CT 148 accrual is based on the total system load less the embedded generation. The above accrual is reduced by the GA monthly settlement amount accrued in 1589 (reflected in CT 1142).</w:t>
      </w:r>
      <w:r w:rsidR="00EB3DE8" w:rsidRPr="00EB3DE8">
        <w:rPr>
          <w:rFonts w:ascii="Arial" w:eastAsia="Times New Roman" w:hAnsi="Arial" w:cs="Arial"/>
          <w:sz w:val="24"/>
          <w:szCs w:val="24"/>
          <w:highlight w:val="yellow"/>
        </w:rPr>
        <w:t xml:space="preserve"> </w:t>
      </w:r>
    </w:p>
    <w:p w:rsidR="004A524A" w:rsidRPr="004A524A" w:rsidRDefault="004A524A" w:rsidP="004A524A">
      <w:pPr>
        <w:spacing w:after="0" w:line="276" w:lineRule="auto"/>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rsidR="00BE1925" w:rsidRDefault="00BE1925" w:rsidP="00BE1925">
      <w:pPr>
        <w:pStyle w:val="ListParagraph"/>
        <w:spacing w:after="0" w:line="276" w:lineRule="auto"/>
        <w:ind w:left="1440"/>
        <w:rPr>
          <w:rFonts w:ascii="Arial" w:eastAsia="Times New Roman" w:hAnsi="Arial" w:cs="Arial"/>
          <w:sz w:val="24"/>
          <w:szCs w:val="24"/>
        </w:rPr>
      </w:pPr>
    </w:p>
    <w:p w:rsidR="00424B05" w:rsidRPr="00203279" w:rsidRDefault="00BE1925" w:rsidP="00BE1925">
      <w:pPr>
        <w:spacing w:after="0" w:line="276" w:lineRule="auto"/>
        <w:rPr>
          <w:rFonts w:ascii="Arial" w:eastAsia="Times New Roman" w:hAnsi="Arial" w:cs="Arial"/>
          <w:sz w:val="24"/>
          <w:szCs w:val="24"/>
          <w:highlight w:val="yellow"/>
        </w:rPr>
      </w:pPr>
      <w:r w:rsidRPr="00203279">
        <w:rPr>
          <w:rFonts w:ascii="Arial" w:eastAsia="Times New Roman" w:hAnsi="Arial" w:cs="Arial"/>
          <w:sz w:val="24"/>
          <w:szCs w:val="24"/>
          <w:highlight w:val="yellow"/>
        </w:rPr>
        <w:t xml:space="preserve">Please refer to the true up process described above in 3.b. </w:t>
      </w:r>
    </w:p>
    <w:p w:rsidR="00424B05" w:rsidRPr="00203279" w:rsidRDefault="00424B05" w:rsidP="00BE1925">
      <w:pPr>
        <w:spacing w:after="0" w:line="276" w:lineRule="auto"/>
        <w:rPr>
          <w:rFonts w:ascii="Arial" w:eastAsia="Times New Roman" w:hAnsi="Arial" w:cs="Arial"/>
          <w:sz w:val="24"/>
          <w:szCs w:val="24"/>
          <w:highlight w:val="yellow"/>
        </w:rPr>
      </w:pPr>
    </w:p>
    <w:p w:rsidR="00BE1925" w:rsidRPr="00BE1925" w:rsidRDefault="00021FC0" w:rsidP="00BE1925">
      <w:pPr>
        <w:spacing w:after="0" w:line="276" w:lineRule="auto"/>
        <w:rPr>
          <w:rFonts w:ascii="Arial" w:eastAsia="Times New Roman" w:hAnsi="Arial" w:cs="Arial"/>
          <w:sz w:val="24"/>
          <w:szCs w:val="24"/>
        </w:rPr>
      </w:pPr>
      <w:r>
        <w:rPr>
          <w:rFonts w:ascii="Arial" w:eastAsia="Times New Roman" w:hAnsi="Arial" w:cs="Arial"/>
          <w:sz w:val="24"/>
          <w:szCs w:val="24"/>
          <w:highlight w:val="yellow"/>
        </w:rPr>
        <w:t>T</w:t>
      </w:r>
      <w:r w:rsidR="00BE1925" w:rsidRPr="00203279">
        <w:rPr>
          <w:rFonts w:ascii="Arial" w:eastAsia="Times New Roman" w:hAnsi="Arial" w:cs="Arial"/>
          <w:sz w:val="24"/>
          <w:szCs w:val="24"/>
          <w:highlight w:val="yellow"/>
        </w:rPr>
        <w:t>he RPP consumption propo</w:t>
      </w:r>
      <w:r w:rsidR="00136FFE" w:rsidRPr="00203279">
        <w:rPr>
          <w:rFonts w:ascii="Arial" w:eastAsia="Times New Roman" w:hAnsi="Arial" w:cs="Arial"/>
          <w:sz w:val="24"/>
          <w:szCs w:val="24"/>
          <w:highlight w:val="yellow"/>
        </w:rPr>
        <w:t>rtion used to calculate the GA variance is</w:t>
      </w:r>
      <w:r w:rsidR="00BE1925" w:rsidRPr="00203279">
        <w:rPr>
          <w:rFonts w:ascii="Arial" w:eastAsia="Times New Roman" w:hAnsi="Arial" w:cs="Arial"/>
          <w:sz w:val="24"/>
          <w:szCs w:val="24"/>
          <w:highlight w:val="yellow"/>
        </w:rPr>
        <w:t xml:space="preserve"> trued up to reflect actual consumption</w:t>
      </w:r>
      <w:r w:rsidR="00136FFE" w:rsidRPr="00203279">
        <w:rPr>
          <w:rFonts w:ascii="Arial" w:eastAsia="Times New Roman" w:hAnsi="Arial" w:cs="Arial"/>
          <w:sz w:val="24"/>
          <w:szCs w:val="24"/>
          <w:highlight w:val="yellow"/>
        </w:rPr>
        <w:t xml:space="preserve"> (</w:t>
      </w:r>
      <w:r w:rsidR="00AC7A4D" w:rsidRPr="00203279">
        <w:rPr>
          <w:rFonts w:ascii="Arial" w:eastAsia="Times New Roman" w:hAnsi="Arial" w:cs="Arial"/>
          <w:sz w:val="24"/>
          <w:szCs w:val="24"/>
          <w:highlight w:val="yellow"/>
        </w:rPr>
        <w:t>off</w:t>
      </w:r>
      <w:r w:rsidR="00136FFE" w:rsidRPr="00203279">
        <w:rPr>
          <w:rFonts w:ascii="Arial" w:eastAsia="Times New Roman" w:hAnsi="Arial" w:cs="Arial"/>
          <w:sz w:val="24"/>
          <w:szCs w:val="24"/>
          <w:highlight w:val="yellow"/>
        </w:rPr>
        <w:t>setting</w:t>
      </w:r>
      <w:r w:rsidR="00064516">
        <w:rPr>
          <w:rFonts w:ascii="Arial" w:eastAsia="Times New Roman" w:hAnsi="Arial" w:cs="Arial"/>
          <w:sz w:val="24"/>
          <w:szCs w:val="24"/>
          <w:highlight w:val="yellow"/>
        </w:rPr>
        <w:t xml:space="preserve"> the </w:t>
      </w:r>
      <w:r w:rsidR="00AC7A4D" w:rsidRPr="00203279">
        <w:rPr>
          <w:rFonts w:ascii="Arial" w:eastAsia="Times New Roman" w:hAnsi="Arial" w:cs="Arial"/>
          <w:sz w:val="24"/>
          <w:szCs w:val="24"/>
          <w:highlight w:val="yellow"/>
        </w:rPr>
        <w:t>CT 148 accrual recorded in account 1589</w:t>
      </w:r>
      <w:r w:rsidR="00136FFE" w:rsidRPr="00203279">
        <w:rPr>
          <w:rFonts w:ascii="Arial" w:eastAsia="Times New Roman" w:hAnsi="Arial" w:cs="Arial"/>
          <w:sz w:val="24"/>
          <w:szCs w:val="24"/>
          <w:highlight w:val="yellow"/>
        </w:rPr>
        <w:t>)</w:t>
      </w:r>
      <w:r>
        <w:rPr>
          <w:rFonts w:ascii="Arial" w:eastAsia="Times New Roman" w:hAnsi="Arial" w:cs="Arial"/>
          <w:sz w:val="24"/>
          <w:szCs w:val="24"/>
        </w:rPr>
        <w:t>.</w:t>
      </w:r>
    </w:p>
    <w:p w:rsidR="00BE1925" w:rsidRDefault="00BE1925" w:rsidP="00BE1925">
      <w:pPr>
        <w:pStyle w:val="ListParagraph"/>
        <w:spacing w:after="0" w:line="276" w:lineRule="auto"/>
        <w:ind w:left="1440"/>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Please indicate which months from 2017 w</w:t>
      </w:r>
      <w:r w:rsidR="00325817">
        <w:rPr>
          <w:rFonts w:ascii="Arial" w:eastAsia="Times New Roman" w:hAnsi="Arial" w:cs="Arial"/>
          <w:sz w:val="24"/>
          <w:szCs w:val="24"/>
        </w:rPr>
        <w:t>ere</w:t>
      </w:r>
      <w:r>
        <w:rPr>
          <w:rFonts w:ascii="Arial" w:eastAsia="Times New Roman" w:hAnsi="Arial" w:cs="Arial"/>
          <w:sz w:val="24"/>
          <w:szCs w:val="24"/>
        </w:rPr>
        <w:t xml:space="preserve"> trued up in 2018 for CT 148 proportions between RPP and non-RPP.</w:t>
      </w:r>
    </w:p>
    <w:p w:rsidR="00D676D6" w:rsidRDefault="00D676D6" w:rsidP="00D676D6">
      <w:pPr>
        <w:pStyle w:val="ListParagraph"/>
        <w:spacing w:after="0" w:line="276" w:lineRule="auto"/>
        <w:ind w:left="1440"/>
        <w:rPr>
          <w:rFonts w:ascii="Arial" w:eastAsia="Times New Roman" w:hAnsi="Arial" w:cs="Arial"/>
          <w:sz w:val="24"/>
          <w:szCs w:val="24"/>
        </w:rPr>
      </w:pPr>
    </w:p>
    <w:p w:rsidR="00D676D6" w:rsidRPr="00D676D6" w:rsidRDefault="00D676D6" w:rsidP="00D676D6">
      <w:pPr>
        <w:spacing w:after="0" w:line="276" w:lineRule="auto"/>
        <w:rPr>
          <w:rFonts w:ascii="Arial" w:eastAsia="Times New Roman" w:hAnsi="Arial" w:cs="Arial"/>
          <w:sz w:val="24"/>
          <w:szCs w:val="24"/>
          <w:highlight w:val="yellow"/>
        </w:rPr>
      </w:pPr>
      <w:r w:rsidRPr="00D676D6">
        <w:rPr>
          <w:rFonts w:ascii="Arial" w:eastAsia="Times New Roman" w:hAnsi="Arial" w:cs="Arial"/>
          <w:sz w:val="24"/>
          <w:szCs w:val="24"/>
          <w:highlight w:val="yellow"/>
        </w:rPr>
        <w:t xml:space="preserve">Please refer to the true up process described above in </w:t>
      </w:r>
      <w:r>
        <w:rPr>
          <w:rFonts w:ascii="Arial" w:eastAsia="Times New Roman" w:hAnsi="Arial" w:cs="Arial"/>
          <w:sz w:val="24"/>
          <w:szCs w:val="24"/>
          <w:highlight w:val="yellow"/>
        </w:rPr>
        <w:t>2.d</w:t>
      </w:r>
      <w:r w:rsidRPr="00D676D6">
        <w:rPr>
          <w:rFonts w:ascii="Arial" w:eastAsia="Times New Roman" w:hAnsi="Arial" w:cs="Arial"/>
          <w:sz w:val="24"/>
          <w:szCs w:val="24"/>
          <w:highlight w:val="yellow"/>
        </w:rPr>
        <w:t xml:space="preserve">. </w:t>
      </w:r>
    </w:p>
    <w:p w:rsidR="00E04511" w:rsidRPr="00E04511" w:rsidRDefault="00E04511" w:rsidP="00E04511">
      <w:pPr>
        <w:spacing w:after="0" w:line="276" w:lineRule="auto"/>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Are all true-ups for 2017 consumption reflected in the DVA Continuity Schedule under 2017.</w:t>
      </w:r>
    </w:p>
    <w:p w:rsidR="00D676D6" w:rsidRDefault="00D676D6" w:rsidP="00D676D6">
      <w:pPr>
        <w:pStyle w:val="ListParagraph"/>
        <w:spacing w:after="0" w:line="276" w:lineRule="auto"/>
        <w:ind w:left="1440"/>
        <w:rPr>
          <w:rFonts w:ascii="Arial" w:eastAsia="Times New Roman" w:hAnsi="Arial" w:cs="Arial"/>
          <w:sz w:val="24"/>
          <w:szCs w:val="24"/>
        </w:rPr>
      </w:pPr>
    </w:p>
    <w:p w:rsidR="00E04511" w:rsidRPr="00D676D6" w:rsidRDefault="00D676D6" w:rsidP="00D676D6">
      <w:pPr>
        <w:spacing w:after="0" w:line="276" w:lineRule="auto"/>
        <w:rPr>
          <w:rFonts w:ascii="Arial" w:eastAsia="Times New Roman" w:hAnsi="Arial" w:cs="Arial"/>
          <w:sz w:val="24"/>
          <w:szCs w:val="24"/>
          <w:highlight w:val="yellow"/>
        </w:rPr>
      </w:pPr>
      <w:r w:rsidRPr="00D676D6">
        <w:rPr>
          <w:rFonts w:ascii="Arial" w:eastAsia="Times New Roman" w:hAnsi="Arial" w:cs="Arial"/>
          <w:sz w:val="24"/>
          <w:szCs w:val="24"/>
          <w:highlight w:val="yellow"/>
        </w:rPr>
        <w:t>Please refer to the true up process described above in 2</w:t>
      </w:r>
      <w:r>
        <w:rPr>
          <w:rFonts w:ascii="Arial" w:eastAsia="Times New Roman" w:hAnsi="Arial" w:cs="Arial"/>
          <w:sz w:val="24"/>
          <w:szCs w:val="24"/>
          <w:highlight w:val="yellow"/>
        </w:rPr>
        <w:t>.e</w:t>
      </w:r>
      <w:r w:rsidRPr="00D676D6">
        <w:rPr>
          <w:rFonts w:ascii="Arial" w:eastAsia="Times New Roman" w:hAnsi="Arial" w:cs="Arial"/>
          <w:sz w:val="24"/>
          <w:szCs w:val="24"/>
          <w:highlight w:val="yellow"/>
        </w:rPr>
        <w:t xml:space="preserve">. </w:t>
      </w:r>
    </w:p>
    <w:p w:rsidR="00E04511" w:rsidRDefault="00E04511" w:rsidP="00E04511">
      <w:pPr>
        <w:pStyle w:val="ListParagraph"/>
        <w:spacing w:after="0" w:line="276" w:lineRule="auto"/>
        <w:ind w:left="1440"/>
        <w:rPr>
          <w:rFonts w:ascii="Arial" w:eastAsia="Times New Roman" w:hAnsi="Arial" w:cs="Arial"/>
          <w:sz w:val="24"/>
          <w:szCs w:val="24"/>
        </w:rPr>
      </w:pPr>
    </w:p>
    <w:p w:rsidR="005705A7" w:rsidRDefault="00152EE3" w:rsidP="00BE05F6">
      <w:pPr>
        <w:pStyle w:val="ListParagraph"/>
        <w:numPr>
          <w:ilvl w:val="0"/>
          <w:numId w:val="22"/>
        </w:numPr>
        <w:spacing w:after="0" w:line="276" w:lineRule="auto"/>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rsidR="00D676D6" w:rsidRDefault="00D676D6" w:rsidP="00D676D6">
      <w:pPr>
        <w:spacing w:after="0" w:line="276" w:lineRule="auto"/>
        <w:rPr>
          <w:rFonts w:ascii="Arial" w:eastAsia="Times New Roman" w:hAnsi="Arial" w:cs="Arial"/>
          <w:sz w:val="24"/>
          <w:szCs w:val="24"/>
          <w:highlight w:val="yellow"/>
        </w:rPr>
      </w:pPr>
    </w:p>
    <w:p w:rsidR="00D676D6" w:rsidRPr="00D676D6" w:rsidRDefault="00D676D6" w:rsidP="00D676D6">
      <w:pPr>
        <w:spacing w:after="0" w:line="276" w:lineRule="auto"/>
        <w:rPr>
          <w:rFonts w:ascii="Arial" w:eastAsia="Times New Roman" w:hAnsi="Arial" w:cs="Arial"/>
          <w:sz w:val="24"/>
          <w:szCs w:val="24"/>
        </w:rPr>
      </w:pPr>
      <w:r w:rsidRPr="00D676D6">
        <w:rPr>
          <w:rFonts w:ascii="Arial" w:eastAsia="Times New Roman" w:hAnsi="Arial" w:cs="Arial"/>
          <w:sz w:val="24"/>
          <w:szCs w:val="24"/>
          <w:highlight w:val="yellow"/>
        </w:rPr>
        <w:t>Please refer to the true up process described above in 2</w:t>
      </w:r>
      <w:r>
        <w:rPr>
          <w:rFonts w:ascii="Arial" w:eastAsia="Times New Roman" w:hAnsi="Arial" w:cs="Arial"/>
          <w:sz w:val="24"/>
          <w:szCs w:val="24"/>
          <w:highlight w:val="yellow"/>
        </w:rPr>
        <w:t>.f</w:t>
      </w:r>
      <w:r w:rsidRPr="00D676D6">
        <w:rPr>
          <w:rFonts w:ascii="Arial" w:eastAsia="Times New Roman" w:hAnsi="Arial" w:cs="Arial"/>
          <w:sz w:val="24"/>
          <w:szCs w:val="24"/>
          <w:highlight w:val="yellow"/>
        </w:rPr>
        <w:t>.</w:t>
      </w:r>
    </w:p>
    <w:p w:rsidR="00152EE3" w:rsidRPr="00BE05F6" w:rsidRDefault="00152EE3" w:rsidP="00BE05F6">
      <w:pPr>
        <w:pStyle w:val="ListParagraph"/>
        <w:spacing w:after="0" w:line="276" w:lineRule="auto"/>
        <w:ind w:left="1440"/>
        <w:rPr>
          <w:rFonts w:ascii="Arial" w:eastAsia="Times New Roman" w:hAnsi="Arial" w:cs="Arial"/>
          <w:sz w:val="24"/>
          <w:szCs w:val="24"/>
        </w:rPr>
      </w:pPr>
    </w:p>
    <w:p w:rsidR="005705A7" w:rsidRDefault="005705A7" w:rsidP="005705A7">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5705A7" w:rsidRDefault="005705A7" w:rsidP="00550838">
      <w:pPr>
        <w:spacing w:after="0" w:line="276" w:lineRule="auto"/>
        <w:ind w:left="720"/>
        <w:rPr>
          <w:rFonts w:ascii="Arial" w:eastAsia="Times New Roman" w:hAnsi="Arial" w:cs="Arial"/>
          <w:sz w:val="24"/>
          <w:szCs w:val="24"/>
        </w:rPr>
      </w:pPr>
    </w:p>
    <w:p w:rsidR="00550838" w:rsidRPr="00550838" w:rsidRDefault="00550838" w:rsidP="00550838">
      <w:pPr>
        <w:spacing w:after="0"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w:t>
      </w:r>
      <w:r w:rsidR="00A235E0">
        <w:rPr>
          <w:rFonts w:ascii="Arial" w:eastAsia="Times New Roman" w:hAnsi="Arial" w:cs="Arial"/>
          <w:sz w:val="24"/>
          <w:szCs w:val="24"/>
          <w:u w:val="single"/>
        </w:rPr>
        <w:t>s</w:t>
      </w:r>
      <w:r>
        <w:rPr>
          <w:rFonts w:ascii="Arial" w:eastAsia="Times New Roman" w:hAnsi="Arial" w:cs="Arial"/>
          <w:sz w:val="24"/>
          <w:szCs w:val="24"/>
          <w:u w:val="single"/>
        </w:rPr>
        <w:t xml:space="preserve"> 1588</w:t>
      </w:r>
      <w:r w:rsidR="00A235E0">
        <w:rPr>
          <w:rFonts w:ascii="Arial" w:eastAsia="Times New Roman" w:hAnsi="Arial" w:cs="Arial"/>
          <w:sz w:val="24"/>
          <w:szCs w:val="24"/>
          <w:u w:val="single"/>
        </w:rPr>
        <w:t xml:space="preserve"> and 1589</w:t>
      </w:r>
    </w:p>
    <w:p w:rsidR="0000233E"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Did the applicant have principal adjustments</w:t>
      </w:r>
      <w:r w:rsidR="00A235E0">
        <w:rPr>
          <w:rFonts w:ascii="Arial" w:eastAsia="Times New Roman" w:hAnsi="Arial" w:cs="Arial"/>
          <w:sz w:val="24"/>
          <w:szCs w:val="24"/>
        </w:rPr>
        <w:t xml:space="preserve"> </w:t>
      </w:r>
      <w:r>
        <w:rPr>
          <w:rFonts w:ascii="Arial" w:eastAsia="Times New Roman" w:hAnsi="Arial" w:cs="Arial"/>
          <w:sz w:val="24"/>
          <w:szCs w:val="24"/>
        </w:rPr>
        <w:t xml:space="preserve">in its 2018 rate proceeding which </w:t>
      </w:r>
      <w:r w:rsidR="00550838">
        <w:rPr>
          <w:rFonts w:ascii="Arial" w:eastAsia="Times New Roman" w:hAnsi="Arial" w:cs="Arial"/>
          <w:sz w:val="24"/>
          <w:szCs w:val="24"/>
        </w:rPr>
        <w:t>were</w:t>
      </w:r>
      <w:r>
        <w:rPr>
          <w:rFonts w:ascii="Arial" w:eastAsia="Times New Roman" w:hAnsi="Arial" w:cs="Arial"/>
          <w:sz w:val="24"/>
          <w:szCs w:val="24"/>
        </w:rPr>
        <w:t xml:space="preserve"> approved for disposition?</w:t>
      </w:r>
    </w:p>
    <w:p w:rsidR="00796C67" w:rsidRDefault="00796C67" w:rsidP="00796C67">
      <w:pPr>
        <w:pStyle w:val="ListParagraph"/>
        <w:spacing w:after="0" w:line="276" w:lineRule="auto"/>
        <w:ind w:left="1440"/>
        <w:rPr>
          <w:rFonts w:ascii="Arial" w:eastAsia="Times New Roman" w:hAnsi="Arial" w:cs="Arial"/>
          <w:sz w:val="24"/>
          <w:szCs w:val="24"/>
        </w:rPr>
      </w:pPr>
    </w:p>
    <w:p w:rsidR="00D676D6" w:rsidRDefault="006C4D03" w:rsidP="006C4D03">
      <w:pPr>
        <w:spacing w:after="0" w:line="276" w:lineRule="auto"/>
        <w:rPr>
          <w:rFonts w:ascii="Arial" w:eastAsia="Times New Roman" w:hAnsi="Arial" w:cs="Arial"/>
          <w:sz w:val="24"/>
          <w:szCs w:val="24"/>
        </w:rPr>
      </w:pPr>
      <w:r w:rsidRPr="00796C67">
        <w:rPr>
          <w:rFonts w:ascii="Arial" w:eastAsia="Times New Roman" w:hAnsi="Arial" w:cs="Arial"/>
          <w:sz w:val="24"/>
          <w:szCs w:val="24"/>
          <w:highlight w:val="yellow"/>
        </w:rPr>
        <w:t>CNPI had principal adjustments</w:t>
      </w:r>
      <w:r w:rsidR="00796C67" w:rsidRPr="00796C67">
        <w:rPr>
          <w:rFonts w:ascii="Arial" w:eastAsia="Times New Roman" w:hAnsi="Arial" w:cs="Arial"/>
          <w:sz w:val="24"/>
          <w:szCs w:val="24"/>
          <w:highlight w:val="yellow"/>
        </w:rPr>
        <w:t xml:space="preserve"> in its 2018 rate proceeding which were approved for disposition.</w:t>
      </w:r>
    </w:p>
    <w:p w:rsidR="00D676D6" w:rsidRPr="006C4D03" w:rsidRDefault="00D676D6" w:rsidP="006C4D03">
      <w:pPr>
        <w:spacing w:after="0" w:line="276" w:lineRule="auto"/>
        <w:rPr>
          <w:rFonts w:ascii="Arial" w:eastAsia="Times New Roman" w:hAnsi="Arial" w:cs="Arial"/>
          <w:sz w:val="24"/>
          <w:szCs w:val="24"/>
        </w:rPr>
      </w:pPr>
    </w:p>
    <w:p w:rsidR="00316FFC" w:rsidRPr="00D676D6" w:rsidRDefault="0000233E" w:rsidP="00D676D6">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Please provide a break-down of the total amount of principal adjustments that were approved (e.g. </w:t>
      </w:r>
      <w:r w:rsidR="00A235E0">
        <w:rPr>
          <w:rFonts w:ascii="Arial" w:eastAsia="Times New Roman" w:hAnsi="Arial" w:cs="Arial"/>
          <w:sz w:val="24"/>
          <w:szCs w:val="24"/>
        </w:rPr>
        <w:t>true-up of unbilled</w:t>
      </w:r>
      <w:r w:rsidR="000306EA">
        <w:rPr>
          <w:rFonts w:ascii="Arial" w:eastAsia="Times New Roman" w:hAnsi="Arial" w:cs="Arial"/>
          <w:sz w:val="24"/>
          <w:szCs w:val="24"/>
        </w:rPr>
        <w:t xml:space="preserve"> (for 1589 only)</w:t>
      </w:r>
      <w:r w:rsidR="00A235E0">
        <w:rPr>
          <w:rFonts w:ascii="Arial" w:eastAsia="Times New Roman" w:hAnsi="Arial" w:cs="Arial"/>
          <w:sz w:val="24"/>
          <w:szCs w:val="24"/>
        </w:rPr>
        <w:t xml:space="preserve">, </w:t>
      </w:r>
      <w:r>
        <w:rPr>
          <w:rFonts w:ascii="Arial" w:eastAsia="Times New Roman" w:hAnsi="Arial" w:cs="Arial"/>
          <w:sz w:val="24"/>
          <w:szCs w:val="24"/>
        </w:rPr>
        <w:t>true up of CT 1142, true up of CT 148 etc.).</w:t>
      </w:r>
    </w:p>
    <w:p w:rsidR="00796C67" w:rsidRDefault="00316FFC" w:rsidP="00796C67">
      <w:pPr>
        <w:spacing w:after="0" w:line="276" w:lineRule="auto"/>
        <w:rPr>
          <w:rFonts w:ascii="Arial" w:eastAsia="Times New Roman" w:hAnsi="Arial" w:cs="Arial"/>
          <w:sz w:val="24"/>
          <w:szCs w:val="24"/>
        </w:rPr>
      </w:pPr>
      <w:r w:rsidRPr="00316FFC">
        <w:rPr>
          <w:noProof/>
        </w:rPr>
        <w:drawing>
          <wp:inline distT="0" distB="0" distL="0" distR="0">
            <wp:extent cx="4861560" cy="195732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22" cy="2027366"/>
                    </a:xfrm>
                    <a:prstGeom prst="rect">
                      <a:avLst/>
                    </a:prstGeom>
                    <a:noFill/>
                    <a:ln>
                      <a:noFill/>
                    </a:ln>
                  </pic:spPr>
                </pic:pic>
              </a:graphicData>
            </a:graphic>
          </wp:inline>
        </w:drawing>
      </w:r>
    </w:p>
    <w:p w:rsidR="00796C67" w:rsidRDefault="00796C67" w:rsidP="00796C67">
      <w:pPr>
        <w:spacing w:after="0" w:line="276" w:lineRule="auto"/>
        <w:rPr>
          <w:rFonts w:ascii="Arial" w:eastAsia="Times New Roman" w:hAnsi="Arial" w:cs="Arial"/>
          <w:sz w:val="24"/>
          <w:szCs w:val="24"/>
        </w:rPr>
      </w:pPr>
    </w:p>
    <w:p w:rsidR="00316FFC" w:rsidRPr="00796C67" w:rsidRDefault="00316FFC" w:rsidP="00796C67">
      <w:pPr>
        <w:spacing w:after="0" w:line="276" w:lineRule="auto"/>
        <w:rPr>
          <w:rFonts w:ascii="Arial" w:eastAsia="Times New Roman" w:hAnsi="Arial" w:cs="Arial"/>
          <w:sz w:val="24"/>
          <w:szCs w:val="24"/>
        </w:rPr>
      </w:pPr>
    </w:p>
    <w:p w:rsidR="00550838"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Has the applicant </w:t>
      </w:r>
      <w:r w:rsidR="00550838">
        <w:rPr>
          <w:rFonts w:ascii="Arial" w:eastAsia="Times New Roman" w:hAnsi="Arial" w:cs="Arial"/>
          <w:sz w:val="24"/>
          <w:szCs w:val="24"/>
        </w:rPr>
        <w:t>reversed the adjustment approved in 2018 in its current proposed amount for disposition?</w:t>
      </w:r>
    </w:p>
    <w:p w:rsidR="00316FFC" w:rsidRDefault="00316FFC" w:rsidP="00316FFC">
      <w:pPr>
        <w:pStyle w:val="ListParagraph"/>
        <w:spacing w:after="0" w:line="276" w:lineRule="auto"/>
        <w:ind w:left="1440"/>
        <w:rPr>
          <w:rFonts w:ascii="Arial" w:eastAsia="Times New Roman" w:hAnsi="Arial" w:cs="Arial"/>
          <w:sz w:val="24"/>
          <w:szCs w:val="24"/>
        </w:rPr>
      </w:pPr>
    </w:p>
    <w:p w:rsidR="00B47680" w:rsidRDefault="00316FFC" w:rsidP="00316FFC">
      <w:pPr>
        <w:spacing w:after="0" w:line="276" w:lineRule="auto"/>
        <w:rPr>
          <w:rFonts w:ascii="Arial" w:eastAsia="Times New Roman" w:hAnsi="Arial" w:cs="Arial"/>
          <w:sz w:val="24"/>
          <w:szCs w:val="24"/>
          <w:highlight w:val="yellow"/>
        </w:rPr>
      </w:pPr>
      <w:r w:rsidRPr="00316FFC">
        <w:rPr>
          <w:rFonts w:ascii="Arial" w:eastAsia="Times New Roman" w:hAnsi="Arial" w:cs="Arial"/>
          <w:sz w:val="24"/>
          <w:szCs w:val="24"/>
          <w:highlight w:val="yellow"/>
        </w:rPr>
        <w:t xml:space="preserve">The </w:t>
      </w:r>
      <w:r w:rsidRPr="00B47680">
        <w:rPr>
          <w:rFonts w:ascii="Arial" w:eastAsia="Times New Roman" w:hAnsi="Arial" w:cs="Arial"/>
          <w:sz w:val="24"/>
          <w:szCs w:val="24"/>
          <w:highlight w:val="yellow"/>
        </w:rPr>
        <w:t xml:space="preserve">adjustments approved in 2018 </w:t>
      </w:r>
      <w:r w:rsidR="00B47680" w:rsidRPr="00B47680">
        <w:rPr>
          <w:rFonts w:ascii="Arial" w:eastAsia="Times New Roman" w:hAnsi="Arial" w:cs="Arial"/>
          <w:sz w:val="24"/>
          <w:szCs w:val="24"/>
          <w:highlight w:val="yellow"/>
        </w:rPr>
        <w:t>were</w:t>
      </w:r>
      <w:r w:rsidRPr="00B47680">
        <w:rPr>
          <w:rFonts w:ascii="Arial" w:eastAsia="Times New Roman" w:hAnsi="Arial" w:cs="Arial"/>
          <w:sz w:val="24"/>
          <w:szCs w:val="24"/>
          <w:highlight w:val="yellow"/>
        </w:rPr>
        <w:t xml:space="preserve"> appropriately re</w:t>
      </w:r>
      <w:r w:rsidR="001D4557">
        <w:rPr>
          <w:rFonts w:ascii="Arial" w:eastAsia="Times New Roman" w:hAnsi="Arial" w:cs="Arial"/>
          <w:sz w:val="24"/>
          <w:szCs w:val="24"/>
          <w:highlight w:val="yellow"/>
        </w:rPr>
        <w:t>versed</w:t>
      </w:r>
      <w:r w:rsidRPr="00B47680">
        <w:rPr>
          <w:rFonts w:ascii="Arial" w:eastAsia="Times New Roman" w:hAnsi="Arial" w:cs="Arial"/>
          <w:sz w:val="24"/>
          <w:szCs w:val="24"/>
          <w:highlight w:val="yellow"/>
        </w:rPr>
        <w:t xml:space="preserve"> </w:t>
      </w:r>
      <w:r w:rsidR="001D4557">
        <w:rPr>
          <w:rFonts w:ascii="Arial" w:eastAsia="Times New Roman" w:hAnsi="Arial" w:cs="Arial"/>
          <w:sz w:val="24"/>
          <w:szCs w:val="24"/>
          <w:highlight w:val="yellow"/>
        </w:rPr>
        <w:t>in the current proposed amount for disposition.</w:t>
      </w:r>
    </w:p>
    <w:p w:rsidR="00B47680" w:rsidRPr="00B47680" w:rsidRDefault="00B47680" w:rsidP="00316FFC">
      <w:pPr>
        <w:spacing w:after="0" w:line="276" w:lineRule="auto"/>
        <w:rPr>
          <w:rFonts w:ascii="Arial" w:eastAsia="Times New Roman" w:hAnsi="Arial" w:cs="Arial"/>
          <w:sz w:val="24"/>
          <w:szCs w:val="24"/>
          <w:highlight w:val="yellow"/>
        </w:rPr>
      </w:pPr>
    </w:p>
    <w:p w:rsidR="005705A7"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lastRenderedPageBreak/>
        <w:t>Please provide a breakdown of the amounts shown under principal adjustments in the DVA Continuity Schedule filed in the current proceeding, including the reversals and the new true up amounts regarding 2017 true ups.</w:t>
      </w:r>
    </w:p>
    <w:p w:rsidR="00023043" w:rsidRDefault="00023043" w:rsidP="00023043">
      <w:pPr>
        <w:pStyle w:val="ListParagraph"/>
        <w:spacing w:after="0" w:line="276" w:lineRule="auto"/>
        <w:ind w:left="1440"/>
        <w:rPr>
          <w:rFonts w:ascii="Arial" w:eastAsia="Times New Roman" w:hAnsi="Arial" w:cs="Arial"/>
          <w:sz w:val="24"/>
          <w:szCs w:val="24"/>
        </w:rPr>
      </w:pPr>
    </w:p>
    <w:p w:rsidR="00711AF1" w:rsidRDefault="00BF544C" w:rsidP="00711AF1">
      <w:pPr>
        <w:spacing w:after="0" w:line="276" w:lineRule="auto"/>
        <w:rPr>
          <w:rFonts w:ascii="Arial" w:eastAsia="Times New Roman" w:hAnsi="Arial" w:cs="Arial"/>
          <w:sz w:val="24"/>
          <w:szCs w:val="24"/>
        </w:rPr>
      </w:pPr>
      <w:r w:rsidRPr="00BF544C">
        <w:rPr>
          <w:noProof/>
        </w:rPr>
        <w:drawing>
          <wp:inline distT="0" distB="0" distL="0" distR="0">
            <wp:extent cx="5943600" cy="218816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88161"/>
                    </a:xfrm>
                    <a:prstGeom prst="rect">
                      <a:avLst/>
                    </a:prstGeom>
                    <a:noFill/>
                    <a:ln>
                      <a:noFill/>
                    </a:ln>
                  </pic:spPr>
                </pic:pic>
              </a:graphicData>
            </a:graphic>
          </wp:inline>
        </w:drawing>
      </w:r>
    </w:p>
    <w:p w:rsidR="00711AF1" w:rsidRDefault="00711AF1" w:rsidP="00711AF1">
      <w:pPr>
        <w:spacing w:after="0" w:line="276" w:lineRule="auto"/>
        <w:rPr>
          <w:rFonts w:ascii="Arial" w:eastAsia="Times New Roman" w:hAnsi="Arial" w:cs="Arial"/>
          <w:sz w:val="24"/>
          <w:szCs w:val="24"/>
        </w:rPr>
      </w:pPr>
    </w:p>
    <w:p w:rsidR="00711AF1" w:rsidRPr="00735D2D" w:rsidRDefault="00711AF1" w:rsidP="00711AF1">
      <w:pPr>
        <w:spacing w:after="0" w:line="276" w:lineRule="auto"/>
        <w:rPr>
          <w:rFonts w:ascii="Arial" w:eastAsia="Times New Roman" w:hAnsi="Arial" w:cs="Arial"/>
          <w:sz w:val="24"/>
          <w:szCs w:val="24"/>
          <w:highlight w:val="yellow"/>
        </w:rPr>
      </w:pPr>
      <w:r w:rsidRPr="00735D2D">
        <w:rPr>
          <w:rFonts w:ascii="Arial" w:eastAsia="Times New Roman" w:hAnsi="Arial" w:cs="Arial"/>
          <w:sz w:val="24"/>
          <w:szCs w:val="24"/>
          <w:highlight w:val="yellow"/>
        </w:rPr>
        <w:t>The reversals</w:t>
      </w:r>
      <w:r w:rsidR="00177742" w:rsidRPr="00735D2D">
        <w:rPr>
          <w:rFonts w:ascii="Arial" w:eastAsia="Times New Roman" w:hAnsi="Arial" w:cs="Arial"/>
          <w:sz w:val="24"/>
          <w:szCs w:val="24"/>
          <w:highlight w:val="yellow"/>
        </w:rPr>
        <w:t xml:space="preserve"> as described in 4) b. </w:t>
      </w:r>
      <w:r w:rsidRPr="00735D2D">
        <w:rPr>
          <w:rFonts w:ascii="Arial" w:eastAsia="Times New Roman" w:hAnsi="Arial" w:cs="Arial"/>
          <w:sz w:val="24"/>
          <w:szCs w:val="24"/>
          <w:highlight w:val="yellow"/>
        </w:rPr>
        <w:t>have been reflect</w:t>
      </w:r>
      <w:r w:rsidR="00196C5C" w:rsidRPr="00735D2D">
        <w:rPr>
          <w:rFonts w:ascii="Arial" w:eastAsia="Times New Roman" w:hAnsi="Arial" w:cs="Arial"/>
          <w:sz w:val="24"/>
          <w:szCs w:val="24"/>
          <w:highlight w:val="yellow"/>
        </w:rPr>
        <w:t>ed under the column “Transactions Debit/(Credit) during 2017”</w:t>
      </w:r>
      <w:r w:rsidR="00735D2D">
        <w:rPr>
          <w:rFonts w:ascii="Arial" w:eastAsia="Times New Roman" w:hAnsi="Arial" w:cs="Arial"/>
          <w:sz w:val="24"/>
          <w:szCs w:val="24"/>
          <w:highlight w:val="yellow"/>
        </w:rPr>
        <w:t xml:space="preserve"> for each respective account (i.e. 1588 and 1589)</w:t>
      </w:r>
      <w:r w:rsidR="00196C5C" w:rsidRPr="00735D2D">
        <w:rPr>
          <w:rFonts w:ascii="Arial" w:eastAsia="Times New Roman" w:hAnsi="Arial" w:cs="Arial"/>
          <w:sz w:val="24"/>
          <w:szCs w:val="24"/>
          <w:highlight w:val="yellow"/>
        </w:rPr>
        <w:t>.</w:t>
      </w:r>
    </w:p>
    <w:p w:rsidR="00711AF1" w:rsidRPr="00711AF1" w:rsidRDefault="00711AF1" w:rsidP="00711AF1">
      <w:pPr>
        <w:spacing w:after="0" w:line="276" w:lineRule="auto"/>
        <w:rPr>
          <w:rFonts w:ascii="Arial" w:eastAsia="Times New Roman" w:hAnsi="Arial" w:cs="Arial"/>
          <w:sz w:val="24"/>
          <w:szCs w:val="24"/>
        </w:rPr>
      </w:pPr>
    </w:p>
    <w:p w:rsidR="00550838"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rsidR="00E369C1" w:rsidRDefault="00E369C1" w:rsidP="00E369C1">
      <w:pPr>
        <w:pStyle w:val="ListParagraph"/>
        <w:spacing w:after="0" w:line="276" w:lineRule="auto"/>
        <w:ind w:left="1440"/>
        <w:rPr>
          <w:rFonts w:ascii="Arial" w:eastAsia="Times New Roman" w:hAnsi="Arial" w:cs="Arial"/>
          <w:sz w:val="24"/>
          <w:szCs w:val="24"/>
        </w:rPr>
      </w:pPr>
    </w:p>
    <w:p w:rsidR="006505F0" w:rsidRDefault="00E369C1" w:rsidP="006505F0">
      <w:pPr>
        <w:spacing w:after="0" w:line="276" w:lineRule="auto"/>
        <w:rPr>
          <w:rFonts w:ascii="Arial" w:eastAsia="Times New Roman" w:hAnsi="Arial" w:cs="Arial"/>
          <w:sz w:val="24"/>
          <w:szCs w:val="24"/>
        </w:rPr>
      </w:pPr>
      <w:r w:rsidRPr="00E369C1">
        <w:rPr>
          <w:rFonts w:ascii="Arial" w:eastAsia="Times New Roman" w:hAnsi="Arial" w:cs="Arial"/>
          <w:sz w:val="24"/>
          <w:szCs w:val="24"/>
          <w:highlight w:val="yellow"/>
        </w:rPr>
        <w:t>The amount</w:t>
      </w:r>
      <w:r>
        <w:rPr>
          <w:rFonts w:ascii="Arial" w:eastAsia="Times New Roman" w:hAnsi="Arial" w:cs="Arial"/>
          <w:sz w:val="24"/>
          <w:szCs w:val="24"/>
          <w:highlight w:val="yellow"/>
        </w:rPr>
        <w:t>s above reconcile</w:t>
      </w:r>
      <w:r w:rsidRPr="00E369C1">
        <w:rPr>
          <w:rFonts w:ascii="Arial" w:eastAsia="Times New Roman" w:hAnsi="Arial" w:cs="Arial"/>
          <w:sz w:val="24"/>
          <w:szCs w:val="24"/>
          <w:highlight w:val="yellow"/>
        </w:rPr>
        <w:t xml:space="preserve"> to CNPI’s principal adjustments shown in the DVA Continuity Schedule for the current proceeding.</w:t>
      </w:r>
    </w:p>
    <w:p w:rsidR="00D676D6" w:rsidRDefault="00D676D6" w:rsidP="006505F0">
      <w:pPr>
        <w:spacing w:after="0" w:line="276" w:lineRule="auto"/>
        <w:rPr>
          <w:rFonts w:ascii="Arial" w:eastAsia="Times New Roman" w:hAnsi="Arial" w:cs="Arial"/>
          <w:sz w:val="24"/>
          <w:szCs w:val="24"/>
        </w:rPr>
      </w:pPr>
    </w:p>
    <w:p w:rsidR="00D676D6" w:rsidRDefault="00D676D6" w:rsidP="006505F0">
      <w:pPr>
        <w:spacing w:after="0" w:line="276" w:lineRule="auto"/>
        <w:rPr>
          <w:rFonts w:ascii="Arial" w:eastAsia="Times New Roman" w:hAnsi="Arial" w:cs="Arial"/>
          <w:sz w:val="24"/>
          <w:szCs w:val="24"/>
        </w:rPr>
      </w:pPr>
    </w:p>
    <w:p w:rsidR="00D676D6" w:rsidRPr="006505F0" w:rsidRDefault="00D676D6" w:rsidP="006505F0">
      <w:pPr>
        <w:spacing w:after="0" w:line="276" w:lineRule="auto"/>
        <w:rPr>
          <w:rFonts w:ascii="Arial" w:eastAsia="Times New Roman" w:hAnsi="Arial" w:cs="Arial"/>
          <w:sz w:val="24"/>
          <w:szCs w:val="24"/>
        </w:rPr>
      </w:pPr>
    </w:p>
    <w:p w:rsidR="00735D2D" w:rsidRPr="00735D2D" w:rsidRDefault="00735D2D" w:rsidP="00735D2D">
      <w:pPr>
        <w:spacing w:after="0" w:line="276" w:lineRule="auto"/>
        <w:rPr>
          <w:rFonts w:ascii="Arial" w:eastAsia="Times New Roman" w:hAnsi="Arial" w:cs="Arial"/>
          <w:sz w:val="24"/>
          <w:szCs w:val="24"/>
        </w:rPr>
      </w:pPr>
    </w:p>
    <w:p w:rsidR="00550838" w:rsidRDefault="00550838" w:rsidP="00BE05F6">
      <w:pPr>
        <w:pStyle w:val="ListParagraph"/>
        <w:numPr>
          <w:ilvl w:val="0"/>
          <w:numId w:val="20"/>
        </w:numPr>
        <w:rPr>
          <w:rFonts w:ascii="Arial" w:eastAsia="Times New Roman" w:hAnsi="Arial" w:cs="Arial"/>
          <w:sz w:val="24"/>
          <w:szCs w:val="24"/>
        </w:rPr>
      </w:pPr>
      <w:r w:rsidRPr="000306EA">
        <w:rPr>
          <w:rFonts w:ascii="Arial" w:eastAsia="Times New Roman" w:hAnsi="Arial" w:cs="Arial"/>
          <w:sz w:val="24"/>
          <w:szCs w:val="24"/>
        </w:rPr>
        <w:t xml:space="preserve">Please confirm that the principal adjustments </w:t>
      </w:r>
      <w:r w:rsidR="00B96E3C">
        <w:rPr>
          <w:rFonts w:ascii="Arial" w:eastAsia="Times New Roman" w:hAnsi="Arial" w:cs="Arial"/>
          <w:sz w:val="24"/>
          <w:szCs w:val="24"/>
        </w:rPr>
        <w:t>shown on the DVA Continuity Schedule a</w:t>
      </w:r>
      <w:r w:rsidRPr="000306EA">
        <w:rPr>
          <w:rFonts w:ascii="Arial" w:eastAsia="Times New Roman" w:hAnsi="Arial" w:cs="Arial"/>
          <w:sz w:val="24"/>
          <w:szCs w:val="24"/>
        </w:rPr>
        <w:t xml:space="preserve">re </w:t>
      </w:r>
      <w:r w:rsidR="00F92686">
        <w:rPr>
          <w:rFonts w:ascii="Arial" w:eastAsia="Times New Roman" w:hAnsi="Arial" w:cs="Arial"/>
          <w:sz w:val="24"/>
          <w:szCs w:val="24"/>
        </w:rPr>
        <w:t>reflected</w:t>
      </w:r>
      <w:r w:rsidRPr="000306EA">
        <w:rPr>
          <w:rFonts w:ascii="Arial" w:eastAsia="Times New Roman" w:hAnsi="Arial" w:cs="Arial"/>
          <w:sz w:val="24"/>
          <w:szCs w:val="24"/>
        </w:rPr>
        <w:t xml:space="preserve"> in the GL </w:t>
      </w:r>
      <w:r w:rsidR="00F92686">
        <w:rPr>
          <w:rFonts w:ascii="Arial" w:eastAsia="Times New Roman" w:hAnsi="Arial" w:cs="Arial"/>
          <w:sz w:val="24"/>
          <w:szCs w:val="24"/>
        </w:rPr>
        <w:t xml:space="preserve">transactions. As an example, the unbilled to actual true-up for 1589 would already be </w:t>
      </w:r>
      <w:r w:rsidR="005A539A">
        <w:rPr>
          <w:rFonts w:ascii="Arial" w:eastAsia="Times New Roman" w:hAnsi="Arial" w:cs="Arial"/>
          <w:sz w:val="24"/>
          <w:szCs w:val="24"/>
        </w:rPr>
        <w:t xml:space="preserve">reflected </w:t>
      </w:r>
      <w:r w:rsidR="00F92686">
        <w:rPr>
          <w:rFonts w:ascii="Arial" w:eastAsia="Times New Roman" w:hAnsi="Arial" w:cs="Arial"/>
          <w:sz w:val="24"/>
          <w:szCs w:val="24"/>
        </w:rPr>
        <w:t>in the applicant’s GL</w:t>
      </w:r>
      <w:r w:rsidR="005A539A">
        <w:rPr>
          <w:rFonts w:ascii="Arial" w:eastAsia="Times New Roman" w:hAnsi="Arial" w:cs="Arial"/>
          <w:sz w:val="24"/>
          <w:szCs w:val="24"/>
        </w:rPr>
        <w:t xml:space="preserve"> in the normal course of business</w:t>
      </w:r>
      <w:r w:rsidR="00B96E3C">
        <w:rPr>
          <w:rFonts w:ascii="Arial" w:eastAsia="Times New Roman" w:hAnsi="Arial" w:cs="Arial"/>
          <w:sz w:val="24"/>
          <w:szCs w:val="24"/>
        </w:rPr>
        <w:t>. However, if</w:t>
      </w:r>
      <w:r w:rsidR="005A539A">
        <w:rPr>
          <w:rFonts w:ascii="Arial" w:eastAsia="Times New Roman" w:hAnsi="Arial" w:cs="Arial"/>
          <w:sz w:val="24"/>
          <w:szCs w:val="24"/>
        </w:rPr>
        <w:t xml:space="preserve"> </w:t>
      </w:r>
      <w:r w:rsidR="00B96E3C">
        <w:rPr>
          <w:rFonts w:ascii="Arial" w:eastAsia="Times New Roman" w:hAnsi="Arial" w:cs="Arial"/>
          <w:sz w:val="24"/>
          <w:szCs w:val="24"/>
        </w:rPr>
        <w:t xml:space="preserve">a principal </w:t>
      </w:r>
      <w:r w:rsidR="005A539A">
        <w:rPr>
          <w:rFonts w:ascii="Arial" w:eastAsia="Times New Roman" w:hAnsi="Arial" w:cs="Arial"/>
          <w:sz w:val="24"/>
          <w:szCs w:val="24"/>
        </w:rPr>
        <w:t xml:space="preserve">adjustment related to proportions between 1588 and 1589 was </w:t>
      </w:r>
      <w:r w:rsidR="00B96E3C">
        <w:rPr>
          <w:rFonts w:ascii="Arial" w:eastAsia="Times New Roman" w:hAnsi="Arial" w:cs="Arial"/>
          <w:sz w:val="24"/>
          <w:szCs w:val="24"/>
        </w:rPr>
        <w:t>made</w:t>
      </w:r>
      <w:r w:rsidR="005A539A">
        <w:rPr>
          <w:rFonts w:ascii="Arial" w:eastAsia="Times New Roman" w:hAnsi="Arial" w:cs="Arial"/>
          <w:sz w:val="24"/>
          <w:szCs w:val="24"/>
        </w:rPr>
        <w:t>, applicant must ensure that the GL reflects the movement between the two accounts.</w:t>
      </w:r>
    </w:p>
    <w:p w:rsidR="00A56E55" w:rsidRPr="00A56E55" w:rsidRDefault="00F602E5" w:rsidP="00A56E55">
      <w:pPr>
        <w:rPr>
          <w:rFonts w:ascii="Arial" w:eastAsia="Times New Roman" w:hAnsi="Arial" w:cs="Arial"/>
          <w:sz w:val="24"/>
          <w:szCs w:val="24"/>
        </w:rPr>
      </w:pPr>
      <w:r w:rsidRPr="00F602E5">
        <w:rPr>
          <w:rFonts w:ascii="Arial" w:eastAsia="Times New Roman" w:hAnsi="Arial" w:cs="Arial"/>
          <w:sz w:val="24"/>
          <w:szCs w:val="24"/>
          <w:highlight w:val="yellow"/>
        </w:rPr>
        <w:t>CNPI can confirm that the principal adjustments shown on the DVA Continuity Schedule are reflected in the GL transactions.</w:t>
      </w:r>
      <w:r w:rsidR="00A56E55">
        <w:rPr>
          <w:rFonts w:ascii="Arial" w:eastAsia="Times New Roman" w:hAnsi="Arial" w:cs="Arial"/>
          <w:sz w:val="24"/>
          <w:szCs w:val="24"/>
        </w:rPr>
        <w:t xml:space="preserve"> </w:t>
      </w:r>
    </w:p>
    <w:sectPr w:rsidR="00A56E55" w:rsidRPr="00A56E55" w:rsidSect="00CD3323">
      <w:headerReference w:type="default" r:id="rId10"/>
      <w:footerReference w:type="default" r:id="rId11"/>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C09" w:rsidRDefault="00F13C09" w:rsidP="00FB1EDF">
      <w:pPr>
        <w:spacing w:after="0" w:line="240" w:lineRule="auto"/>
      </w:pPr>
      <w:r>
        <w:separator/>
      </w:r>
    </w:p>
  </w:endnote>
  <w:endnote w:type="continuationSeparator" w:id="0">
    <w:p w:rsidR="00F13C09" w:rsidRDefault="00F13C09" w:rsidP="00F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545821"/>
      <w:docPartObj>
        <w:docPartGallery w:val="Page Numbers (Bottom of Page)"/>
        <w:docPartUnique/>
      </w:docPartObj>
    </w:sdtPr>
    <w:sdtEndPr>
      <w:rPr>
        <w:noProof/>
      </w:rPr>
    </w:sdtEndPr>
    <w:sdtContent>
      <w:p w:rsidR="00202194" w:rsidRDefault="00202194">
        <w:pPr>
          <w:pStyle w:val="Footer"/>
          <w:jc w:val="center"/>
        </w:pPr>
        <w:r>
          <w:fldChar w:fldCharType="begin"/>
        </w:r>
        <w:r>
          <w:instrText xml:space="preserve"> PAGE   \* MERGEFORMAT </w:instrText>
        </w:r>
        <w:r>
          <w:fldChar w:fldCharType="separate"/>
        </w:r>
        <w:r w:rsidR="00DC7402">
          <w:rPr>
            <w:noProof/>
          </w:rPr>
          <w:t>- 1 -</w:t>
        </w:r>
        <w:r>
          <w:rPr>
            <w:noProof/>
          </w:rPr>
          <w:fldChar w:fldCharType="end"/>
        </w:r>
      </w:p>
    </w:sdtContent>
  </w:sdt>
  <w:p w:rsidR="00202194" w:rsidRDefault="00327BF7">
    <w:pPr>
      <w:pStyle w:val="Footer"/>
    </w:pPr>
    <w:r>
      <w:t>Ju</w:t>
    </w:r>
    <w:r w:rsidR="00E045FA">
      <w:t>ly</w:t>
    </w:r>
    <w:r>
      <w:t xml:space="preserve"> </w:t>
    </w:r>
    <w:r w:rsidR="00E045FA">
      <w:t>12</w:t>
    </w:r>
    <w:r w:rsidR="00202194">
      <w: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C09" w:rsidRDefault="00F13C09" w:rsidP="00FB1EDF">
      <w:pPr>
        <w:spacing w:after="0" w:line="240" w:lineRule="auto"/>
      </w:pPr>
      <w:r>
        <w:separator/>
      </w:r>
    </w:p>
  </w:footnote>
  <w:footnote w:type="continuationSeparator" w:id="0">
    <w:p w:rsidR="00F13C09" w:rsidRDefault="00F13C09" w:rsidP="00FB1EDF">
      <w:pPr>
        <w:spacing w:after="0" w:line="240" w:lineRule="auto"/>
      </w:pPr>
      <w:r>
        <w:continuationSeparator/>
      </w:r>
    </w:p>
  </w:footnote>
  <w:footnote w:id="1">
    <w:p w:rsidR="00CF0A8B" w:rsidRPr="00CF0A8B" w:rsidRDefault="00CF0A8B" w:rsidP="00CF0A8B">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In all references in the questions relating to amounts booked to accounts 1588 and 1589, amounts are not booked directly to accounts USoA 1588 and 1589 relating to power purchase transactions, but are rather booked to the cost of power USoA 4705 Power Purchased, and 4707, Charges – Global Adjustment, respectively. However, accounts 1588 and 1589 are impacted the same way as account 4705 and 4707 are for cost of power transactions.</w:t>
      </w:r>
    </w:p>
    <w:p w:rsidR="00CF0A8B" w:rsidRDefault="00CF0A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194" w:rsidRDefault="00202194"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rPr>
      <mc:AlternateContent>
        <mc:Choice Requires="wps">
          <w:drawing>
            <wp:anchor distT="0" distB="0" distL="118745" distR="118745" simplePos="0" relativeHeight="251659264" behindDoc="1" locked="0" layoutInCell="1" allowOverlap="0" wp14:anchorId="2E9825D7" wp14:editId="1DF064AD">
              <wp:simplePos x="0" y="0"/>
              <wp:positionH relativeFrom="margin">
                <wp:posOffset>114300</wp:posOffset>
              </wp:positionH>
              <wp:positionV relativeFrom="page">
                <wp:posOffset>447675</wp:posOffset>
              </wp:positionV>
              <wp:extent cx="39668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966845" cy="5473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02194" w:rsidRPr="005456CD" w:rsidRDefault="00202194"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9825D7" id="Rectangle 197" o:spid="_x0000_s1026" style="position:absolute;margin-left:9pt;margin-top:35.25pt;width:312.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" o:allowoverlap="f" fillcolor="#5b9bd5 [3204]" stroked="f" strokeweight="1pt">
              <v:textbo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02194" w:rsidRPr="005456CD" w:rsidRDefault="00202194"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v:textbox>
              <w10:wrap type="square" anchorx="margin" anchory="page"/>
            </v:rect>
          </w:pict>
        </mc:Fallback>
      </mc:AlternateContent>
    </w:r>
    <w:r>
      <w:rPr>
        <w:noProof/>
      </w:rPr>
      <w:drawing>
        <wp:inline distT="0" distB="0" distL="0" distR="0" wp14:anchorId="2A5303D6" wp14:editId="4DC6EB0E">
          <wp:extent cx="1841792" cy="537845"/>
          <wp:effectExtent l="0" t="0" r="6350" b="0"/>
          <wp:docPr id="1" name="Picture 1"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rsidR="00202194" w:rsidRDefault="00202194" w:rsidP="005456CD">
    <w:pPr>
      <w:pStyle w:val="Header"/>
      <w:tabs>
        <w:tab w:val="clear" w:pos="9360"/>
        <w:tab w:val="right" w:pos="9630"/>
      </w:tabs>
      <w:ind w:right="-308"/>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96"/>
    <w:multiLevelType w:val="hybridMultilevel"/>
    <w:tmpl w:val="DCDC6760"/>
    <w:lvl w:ilvl="0" w:tplc="B990496E">
      <w:start w:val="2016"/>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E0A90"/>
    <w:multiLevelType w:val="hybridMultilevel"/>
    <w:tmpl w:val="83CCC71A"/>
    <w:lvl w:ilvl="0" w:tplc="B990496E">
      <w:start w:val="2016"/>
      <w:numFmt w:val="bullet"/>
      <w:lvlText w:val="•"/>
      <w:lvlJc w:val="left"/>
      <w:pPr>
        <w:ind w:left="1079" w:hanging="360"/>
      </w:pPr>
      <w:rPr>
        <w:rFonts w:ascii="Arial" w:eastAsia="Times New Roman" w:hAnsi="Arial" w:cs="Aria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5F960D3"/>
    <w:multiLevelType w:val="hybridMultilevel"/>
    <w:tmpl w:val="60308D6E"/>
    <w:lvl w:ilvl="0" w:tplc="1A0818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46917"/>
    <w:multiLevelType w:val="hybridMultilevel"/>
    <w:tmpl w:val="E5E89D92"/>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7892E6DA">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C6182F"/>
    <w:multiLevelType w:val="hybridMultilevel"/>
    <w:tmpl w:val="E994792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597F74"/>
    <w:multiLevelType w:val="hybridMultilevel"/>
    <w:tmpl w:val="AA366606"/>
    <w:lvl w:ilvl="0" w:tplc="B990496E">
      <w:start w:val="2016"/>
      <w:numFmt w:val="bullet"/>
      <w:lvlText w:val="•"/>
      <w:lvlJc w:val="left"/>
      <w:pPr>
        <w:ind w:left="1800" w:hanging="360"/>
      </w:pPr>
      <w:rPr>
        <w:rFonts w:ascii="Arial" w:eastAsia="Times New Roman"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AB09F5"/>
    <w:multiLevelType w:val="hybridMultilevel"/>
    <w:tmpl w:val="FDDEC7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406839"/>
    <w:multiLevelType w:val="hybridMultilevel"/>
    <w:tmpl w:val="4594C70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C5FE3"/>
    <w:multiLevelType w:val="hybridMultilevel"/>
    <w:tmpl w:val="9D289F34"/>
    <w:lvl w:ilvl="0" w:tplc="B990496E">
      <w:start w:val="201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877AB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387EE7"/>
    <w:multiLevelType w:val="hybridMultilevel"/>
    <w:tmpl w:val="5CFCAD00"/>
    <w:lvl w:ilvl="0" w:tplc="B990496E">
      <w:start w:val="20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DE4C47"/>
    <w:multiLevelType w:val="hybridMultilevel"/>
    <w:tmpl w:val="FF142B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9A3C4C"/>
    <w:multiLevelType w:val="hybridMultilevel"/>
    <w:tmpl w:val="FA0E9210"/>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7349B3"/>
    <w:multiLevelType w:val="hybridMultilevel"/>
    <w:tmpl w:val="5CB61C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4B0DFC"/>
    <w:multiLevelType w:val="hybridMultilevel"/>
    <w:tmpl w:val="7D5A6200"/>
    <w:lvl w:ilvl="0" w:tplc="2CA4F4A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06884"/>
    <w:multiLevelType w:val="hybridMultilevel"/>
    <w:tmpl w:val="956CE94E"/>
    <w:lvl w:ilvl="0" w:tplc="B990496E">
      <w:start w:val="2016"/>
      <w:numFmt w:val="bullet"/>
      <w:lvlText w:val="•"/>
      <w:lvlJc w:val="left"/>
      <w:pPr>
        <w:ind w:left="434" w:hanging="360"/>
      </w:pPr>
      <w:rPr>
        <w:rFonts w:ascii="Arial" w:eastAsia="Times New Roman" w:hAnsi="Arial" w:cs="Arial" w:hint="default"/>
      </w:rPr>
    </w:lvl>
    <w:lvl w:ilvl="1" w:tplc="B990496E">
      <w:start w:val="2016"/>
      <w:numFmt w:val="bullet"/>
      <w:lvlText w:val="•"/>
      <w:lvlJc w:val="left"/>
      <w:pPr>
        <w:ind w:left="1154" w:hanging="360"/>
      </w:pPr>
      <w:rPr>
        <w:rFonts w:ascii="Arial" w:eastAsia="Times New Roman" w:hAnsi="Arial" w:cs="Arial" w:hint="default"/>
      </w:rPr>
    </w:lvl>
    <w:lvl w:ilvl="2" w:tplc="04090005">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21" w15:restartNumberingAfterBreak="0">
    <w:nsid w:val="7C646911"/>
    <w:multiLevelType w:val="hybridMultilevel"/>
    <w:tmpl w:val="28522D20"/>
    <w:lvl w:ilvl="0" w:tplc="B990496E">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9215BC"/>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5"/>
  </w:num>
  <w:num w:numId="4">
    <w:abstractNumId w:val="0"/>
  </w:num>
  <w:num w:numId="5">
    <w:abstractNumId w:val="21"/>
  </w:num>
  <w:num w:numId="6">
    <w:abstractNumId w:val="18"/>
  </w:num>
  <w:num w:numId="7">
    <w:abstractNumId w:val="19"/>
  </w:num>
  <w:num w:numId="8">
    <w:abstractNumId w:val="3"/>
  </w:num>
  <w:num w:numId="9">
    <w:abstractNumId w:val="1"/>
  </w:num>
  <w:num w:numId="10">
    <w:abstractNumId w:val="20"/>
  </w:num>
  <w:num w:numId="11">
    <w:abstractNumId w:val="16"/>
  </w:num>
  <w:num w:numId="12">
    <w:abstractNumId w:val="4"/>
  </w:num>
  <w:num w:numId="13">
    <w:abstractNumId w:val="9"/>
  </w:num>
  <w:num w:numId="14">
    <w:abstractNumId w:val="7"/>
  </w:num>
  <w:num w:numId="15">
    <w:abstractNumId w:val="8"/>
  </w:num>
  <w:num w:numId="16">
    <w:abstractNumId w:val="10"/>
  </w:num>
  <w:num w:numId="17">
    <w:abstractNumId w:val="22"/>
  </w:num>
  <w:num w:numId="18">
    <w:abstractNumId w:val="14"/>
  </w:num>
  <w:num w:numId="19">
    <w:abstractNumId w:val="2"/>
  </w:num>
  <w:num w:numId="20">
    <w:abstractNumId w:val="17"/>
  </w:num>
  <w:num w:numId="21">
    <w:abstractNumId w:val="11"/>
  </w:num>
  <w:num w:numId="22">
    <w:abstractNumId w:val="13"/>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DF"/>
    <w:rsid w:val="0000233E"/>
    <w:rsid w:val="00021FC0"/>
    <w:rsid w:val="00023043"/>
    <w:rsid w:val="000306EA"/>
    <w:rsid w:val="00030926"/>
    <w:rsid w:val="00042ECF"/>
    <w:rsid w:val="0006442D"/>
    <w:rsid w:val="00064516"/>
    <w:rsid w:val="00072E45"/>
    <w:rsid w:val="00073734"/>
    <w:rsid w:val="00090D35"/>
    <w:rsid w:val="000F1FA6"/>
    <w:rsid w:val="00114C8C"/>
    <w:rsid w:val="0011626B"/>
    <w:rsid w:val="00120758"/>
    <w:rsid w:val="00136FFE"/>
    <w:rsid w:val="00152EE3"/>
    <w:rsid w:val="00170D93"/>
    <w:rsid w:val="00177742"/>
    <w:rsid w:val="00196C5C"/>
    <w:rsid w:val="001A2777"/>
    <w:rsid w:val="001A7190"/>
    <w:rsid w:val="001B699F"/>
    <w:rsid w:val="001B6B60"/>
    <w:rsid w:val="001C667F"/>
    <w:rsid w:val="001D4557"/>
    <w:rsid w:val="001E3FF0"/>
    <w:rsid w:val="001F7E13"/>
    <w:rsid w:val="00202194"/>
    <w:rsid w:val="00203279"/>
    <w:rsid w:val="002112C8"/>
    <w:rsid w:val="00211EB2"/>
    <w:rsid w:val="00212BC5"/>
    <w:rsid w:val="0023632F"/>
    <w:rsid w:val="00246022"/>
    <w:rsid w:val="00250F1F"/>
    <w:rsid w:val="002651E6"/>
    <w:rsid w:val="00266953"/>
    <w:rsid w:val="00271F50"/>
    <w:rsid w:val="002749FC"/>
    <w:rsid w:val="002902EA"/>
    <w:rsid w:val="00292776"/>
    <w:rsid w:val="00293665"/>
    <w:rsid w:val="002A2870"/>
    <w:rsid w:val="002A51FD"/>
    <w:rsid w:val="002A7B3A"/>
    <w:rsid w:val="002D1AEC"/>
    <w:rsid w:val="002F25DB"/>
    <w:rsid w:val="00314304"/>
    <w:rsid w:val="003143AF"/>
    <w:rsid w:val="00316FFC"/>
    <w:rsid w:val="00325817"/>
    <w:rsid w:val="00327BF7"/>
    <w:rsid w:val="00333867"/>
    <w:rsid w:val="00347ED2"/>
    <w:rsid w:val="0035377E"/>
    <w:rsid w:val="0037069F"/>
    <w:rsid w:val="00371690"/>
    <w:rsid w:val="0039570B"/>
    <w:rsid w:val="00396EAB"/>
    <w:rsid w:val="003B0F9B"/>
    <w:rsid w:val="003B782E"/>
    <w:rsid w:val="003C03E1"/>
    <w:rsid w:val="003E5A3E"/>
    <w:rsid w:val="0040026A"/>
    <w:rsid w:val="00405880"/>
    <w:rsid w:val="00421DF5"/>
    <w:rsid w:val="00424B05"/>
    <w:rsid w:val="004511EA"/>
    <w:rsid w:val="00451239"/>
    <w:rsid w:val="00455FC2"/>
    <w:rsid w:val="004861E4"/>
    <w:rsid w:val="004A524A"/>
    <w:rsid w:val="004B4ED4"/>
    <w:rsid w:val="004D6721"/>
    <w:rsid w:val="004D7863"/>
    <w:rsid w:val="004E0B59"/>
    <w:rsid w:val="004F6549"/>
    <w:rsid w:val="00541FF6"/>
    <w:rsid w:val="00543367"/>
    <w:rsid w:val="005456CD"/>
    <w:rsid w:val="0054710F"/>
    <w:rsid w:val="00550838"/>
    <w:rsid w:val="005705A7"/>
    <w:rsid w:val="00572CCB"/>
    <w:rsid w:val="00581014"/>
    <w:rsid w:val="005930BC"/>
    <w:rsid w:val="005A539A"/>
    <w:rsid w:val="005B3F63"/>
    <w:rsid w:val="005C3530"/>
    <w:rsid w:val="005C5C30"/>
    <w:rsid w:val="005E2329"/>
    <w:rsid w:val="005F2202"/>
    <w:rsid w:val="005F6E91"/>
    <w:rsid w:val="0060473C"/>
    <w:rsid w:val="00626313"/>
    <w:rsid w:val="006505F0"/>
    <w:rsid w:val="00652DFA"/>
    <w:rsid w:val="00672B15"/>
    <w:rsid w:val="00672DA9"/>
    <w:rsid w:val="00673822"/>
    <w:rsid w:val="00692A13"/>
    <w:rsid w:val="006C4D03"/>
    <w:rsid w:val="006D70F3"/>
    <w:rsid w:val="006F0C27"/>
    <w:rsid w:val="00711AF1"/>
    <w:rsid w:val="00720F6F"/>
    <w:rsid w:val="00730356"/>
    <w:rsid w:val="00735D2D"/>
    <w:rsid w:val="007438AA"/>
    <w:rsid w:val="00765A71"/>
    <w:rsid w:val="00770282"/>
    <w:rsid w:val="00772AB6"/>
    <w:rsid w:val="00793CAF"/>
    <w:rsid w:val="00796C67"/>
    <w:rsid w:val="007B60EB"/>
    <w:rsid w:val="007C3638"/>
    <w:rsid w:val="007E605A"/>
    <w:rsid w:val="007F6A11"/>
    <w:rsid w:val="0080470B"/>
    <w:rsid w:val="00824039"/>
    <w:rsid w:val="00826AFB"/>
    <w:rsid w:val="00836DA3"/>
    <w:rsid w:val="0085311C"/>
    <w:rsid w:val="00864513"/>
    <w:rsid w:val="00872E63"/>
    <w:rsid w:val="00876991"/>
    <w:rsid w:val="00884379"/>
    <w:rsid w:val="008A659E"/>
    <w:rsid w:val="008C00DC"/>
    <w:rsid w:val="008C5180"/>
    <w:rsid w:val="008E1DBC"/>
    <w:rsid w:val="008F3984"/>
    <w:rsid w:val="008F435D"/>
    <w:rsid w:val="008F5ED8"/>
    <w:rsid w:val="00940EFA"/>
    <w:rsid w:val="00944E1E"/>
    <w:rsid w:val="009567D1"/>
    <w:rsid w:val="009612D2"/>
    <w:rsid w:val="00964D5F"/>
    <w:rsid w:val="009863E0"/>
    <w:rsid w:val="009B1C17"/>
    <w:rsid w:val="009E514A"/>
    <w:rsid w:val="009F2692"/>
    <w:rsid w:val="00A235E0"/>
    <w:rsid w:val="00A30887"/>
    <w:rsid w:val="00A439ED"/>
    <w:rsid w:val="00A518BE"/>
    <w:rsid w:val="00A56E55"/>
    <w:rsid w:val="00A64342"/>
    <w:rsid w:val="00A72E28"/>
    <w:rsid w:val="00A731F4"/>
    <w:rsid w:val="00A80A88"/>
    <w:rsid w:val="00A83C63"/>
    <w:rsid w:val="00AB5B4F"/>
    <w:rsid w:val="00AC10D8"/>
    <w:rsid w:val="00AC7A4D"/>
    <w:rsid w:val="00AE0BC2"/>
    <w:rsid w:val="00AE30F6"/>
    <w:rsid w:val="00B2433F"/>
    <w:rsid w:val="00B33C67"/>
    <w:rsid w:val="00B47680"/>
    <w:rsid w:val="00B57122"/>
    <w:rsid w:val="00B72969"/>
    <w:rsid w:val="00B96E3C"/>
    <w:rsid w:val="00BB490C"/>
    <w:rsid w:val="00BD560C"/>
    <w:rsid w:val="00BE05F6"/>
    <w:rsid w:val="00BE1925"/>
    <w:rsid w:val="00BF544C"/>
    <w:rsid w:val="00C02631"/>
    <w:rsid w:val="00C13D62"/>
    <w:rsid w:val="00C21A49"/>
    <w:rsid w:val="00C34327"/>
    <w:rsid w:val="00C4500B"/>
    <w:rsid w:val="00C46CD8"/>
    <w:rsid w:val="00C55824"/>
    <w:rsid w:val="00C760B1"/>
    <w:rsid w:val="00CA3F28"/>
    <w:rsid w:val="00CC4F9F"/>
    <w:rsid w:val="00CD1581"/>
    <w:rsid w:val="00CD3323"/>
    <w:rsid w:val="00CF0A8B"/>
    <w:rsid w:val="00D07258"/>
    <w:rsid w:val="00D2748F"/>
    <w:rsid w:val="00D37D63"/>
    <w:rsid w:val="00D44D3A"/>
    <w:rsid w:val="00D47152"/>
    <w:rsid w:val="00D676D6"/>
    <w:rsid w:val="00D91953"/>
    <w:rsid w:val="00DC0975"/>
    <w:rsid w:val="00DC7402"/>
    <w:rsid w:val="00E04511"/>
    <w:rsid w:val="00E045FA"/>
    <w:rsid w:val="00E369C1"/>
    <w:rsid w:val="00E75A80"/>
    <w:rsid w:val="00E82C05"/>
    <w:rsid w:val="00EB3DE8"/>
    <w:rsid w:val="00ED1D67"/>
    <w:rsid w:val="00ED5436"/>
    <w:rsid w:val="00EF651D"/>
    <w:rsid w:val="00F13C09"/>
    <w:rsid w:val="00F24669"/>
    <w:rsid w:val="00F27DF1"/>
    <w:rsid w:val="00F56332"/>
    <w:rsid w:val="00F602E5"/>
    <w:rsid w:val="00F746F3"/>
    <w:rsid w:val="00F81E3A"/>
    <w:rsid w:val="00F92686"/>
    <w:rsid w:val="00F96BD9"/>
    <w:rsid w:val="00FB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1EBBBF5E-8D2C-46C0-BE3E-1540CF8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DF"/>
  </w:style>
  <w:style w:type="paragraph" w:styleId="Footer">
    <w:name w:val="footer"/>
    <w:basedOn w:val="Normal"/>
    <w:link w:val="FooterChar"/>
    <w:uiPriority w:val="99"/>
    <w:unhideWhenUsed/>
    <w:rsid w:val="00FB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DF"/>
  </w:style>
  <w:style w:type="paragraph" w:styleId="NoSpacing">
    <w:name w:val="No Spacing"/>
    <w:link w:val="NoSpacingChar"/>
    <w:uiPriority w:val="1"/>
    <w:qFormat/>
    <w:rsid w:val="00FB1EDF"/>
    <w:pPr>
      <w:spacing w:after="0" w:line="240" w:lineRule="auto"/>
    </w:pPr>
    <w:rPr>
      <w:rFonts w:eastAsiaTheme="minorEastAsia"/>
    </w:rPr>
  </w:style>
  <w:style w:type="character" w:customStyle="1" w:styleId="NoSpacingChar">
    <w:name w:val="No Spacing Char"/>
    <w:basedOn w:val="DefaultParagraphFont"/>
    <w:link w:val="NoSpacing"/>
    <w:uiPriority w:val="1"/>
    <w:rsid w:val="00FB1EDF"/>
    <w:rPr>
      <w:rFonts w:eastAsiaTheme="minorEastAsia"/>
    </w:rPr>
  </w:style>
  <w:style w:type="character" w:styleId="PlaceholderText">
    <w:name w:val="Placeholder Text"/>
    <w:basedOn w:val="DefaultParagraphFont"/>
    <w:uiPriority w:val="99"/>
    <w:semiHidden/>
    <w:rsid w:val="00543367"/>
    <w:rPr>
      <w:color w:val="808080"/>
    </w:rPr>
  </w:style>
  <w:style w:type="paragraph" w:styleId="ListParagraph">
    <w:name w:val="List Paragraph"/>
    <w:basedOn w:val="Normal"/>
    <w:uiPriority w:val="34"/>
    <w:qFormat/>
    <w:rsid w:val="00D47152"/>
    <w:pPr>
      <w:ind w:left="720"/>
      <w:contextualSpacing/>
    </w:pPr>
  </w:style>
  <w:style w:type="character" w:styleId="CommentReference">
    <w:name w:val="annotation reference"/>
    <w:basedOn w:val="DefaultParagraphFont"/>
    <w:uiPriority w:val="99"/>
    <w:semiHidden/>
    <w:unhideWhenUsed/>
    <w:rsid w:val="00DC0975"/>
    <w:rPr>
      <w:sz w:val="16"/>
      <w:szCs w:val="16"/>
    </w:rPr>
  </w:style>
  <w:style w:type="paragraph" w:styleId="CommentText">
    <w:name w:val="annotation text"/>
    <w:basedOn w:val="Normal"/>
    <w:link w:val="CommentTextChar"/>
    <w:uiPriority w:val="99"/>
    <w:semiHidden/>
    <w:unhideWhenUsed/>
    <w:rsid w:val="00DC0975"/>
    <w:pPr>
      <w:spacing w:line="240" w:lineRule="auto"/>
    </w:pPr>
    <w:rPr>
      <w:sz w:val="20"/>
      <w:szCs w:val="20"/>
    </w:rPr>
  </w:style>
  <w:style w:type="character" w:customStyle="1" w:styleId="CommentTextChar">
    <w:name w:val="Comment Text Char"/>
    <w:basedOn w:val="DefaultParagraphFont"/>
    <w:link w:val="CommentText"/>
    <w:uiPriority w:val="99"/>
    <w:semiHidden/>
    <w:rsid w:val="00DC0975"/>
    <w:rPr>
      <w:sz w:val="20"/>
      <w:szCs w:val="20"/>
    </w:rPr>
  </w:style>
  <w:style w:type="paragraph" w:styleId="CommentSubject">
    <w:name w:val="annotation subject"/>
    <w:basedOn w:val="CommentText"/>
    <w:next w:val="CommentText"/>
    <w:link w:val="CommentSubjectChar"/>
    <w:uiPriority w:val="99"/>
    <w:semiHidden/>
    <w:unhideWhenUsed/>
    <w:rsid w:val="00DC0975"/>
    <w:rPr>
      <w:b/>
      <w:bCs/>
    </w:rPr>
  </w:style>
  <w:style w:type="character" w:customStyle="1" w:styleId="CommentSubjectChar">
    <w:name w:val="Comment Subject Char"/>
    <w:basedOn w:val="CommentTextChar"/>
    <w:link w:val="CommentSubject"/>
    <w:uiPriority w:val="99"/>
    <w:semiHidden/>
    <w:rsid w:val="00DC0975"/>
    <w:rPr>
      <w:b/>
      <w:bCs/>
      <w:sz w:val="20"/>
      <w:szCs w:val="20"/>
    </w:rPr>
  </w:style>
  <w:style w:type="paragraph" w:styleId="BalloonText">
    <w:name w:val="Balloon Text"/>
    <w:basedOn w:val="Normal"/>
    <w:link w:val="BalloonTextChar"/>
    <w:uiPriority w:val="99"/>
    <w:semiHidden/>
    <w:unhideWhenUsed/>
    <w:rsid w:val="00D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5"/>
    <w:rPr>
      <w:rFonts w:ascii="Segoe UI" w:hAnsi="Segoe UI" w:cs="Segoe UI"/>
      <w:sz w:val="18"/>
      <w:szCs w:val="18"/>
    </w:rPr>
  </w:style>
  <w:style w:type="paragraph" w:styleId="FootnoteText">
    <w:name w:val="footnote text"/>
    <w:basedOn w:val="Normal"/>
    <w:link w:val="FootnoteTextChar"/>
    <w:uiPriority w:val="99"/>
    <w:semiHidden/>
    <w:unhideWhenUsed/>
    <w:rsid w:val="00CF0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8B"/>
    <w:rPr>
      <w:sz w:val="20"/>
      <w:szCs w:val="20"/>
    </w:rPr>
  </w:style>
  <w:style w:type="character" w:styleId="FootnoteReference">
    <w:name w:val="footnote reference"/>
    <w:basedOn w:val="DefaultParagraphFont"/>
    <w:uiPriority w:val="99"/>
    <w:semiHidden/>
    <w:unhideWhenUsed/>
    <w:rsid w:val="00CF0A8B"/>
    <w:rPr>
      <w:vertAlign w:val="superscript"/>
    </w:rPr>
  </w:style>
  <w:style w:type="paragraph" w:styleId="Revision">
    <w:name w:val="Revision"/>
    <w:hidden/>
    <w:uiPriority w:val="99"/>
    <w:semiHidden/>
    <w:rsid w:val="00BE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889">
      <w:bodyDiv w:val="1"/>
      <w:marLeft w:val="0"/>
      <w:marRight w:val="0"/>
      <w:marTop w:val="0"/>
      <w:marBottom w:val="0"/>
      <w:divBdr>
        <w:top w:val="none" w:sz="0" w:space="0" w:color="auto"/>
        <w:left w:val="none" w:sz="0" w:space="0" w:color="auto"/>
        <w:bottom w:val="none" w:sz="0" w:space="0" w:color="auto"/>
        <w:right w:val="none" w:sz="0" w:space="0" w:color="auto"/>
      </w:divBdr>
      <w:divsChild>
        <w:div w:id="798838192">
          <w:marLeft w:val="360"/>
          <w:marRight w:val="0"/>
          <w:marTop w:val="200"/>
          <w:marBottom w:val="0"/>
          <w:divBdr>
            <w:top w:val="none" w:sz="0" w:space="0" w:color="auto"/>
            <w:left w:val="none" w:sz="0" w:space="0" w:color="auto"/>
            <w:bottom w:val="none" w:sz="0" w:space="0" w:color="auto"/>
            <w:right w:val="none" w:sz="0" w:space="0" w:color="auto"/>
          </w:divBdr>
        </w:div>
        <w:div w:id="505943442">
          <w:marLeft w:val="360"/>
          <w:marRight w:val="0"/>
          <w:marTop w:val="200"/>
          <w:marBottom w:val="0"/>
          <w:divBdr>
            <w:top w:val="none" w:sz="0" w:space="0" w:color="auto"/>
            <w:left w:val="none" w:sz="0" w:space="0" w:color="auto"/>
            <w:bottom w:val="none" w:sz="0" w:space="0" w:color="auto"/>
            <w:right w:val="none" w:sz="0" w:space="0" w:color="auto"/>
          </w:divBdr>
        </w:div>
        <w:div w:id="1580403028">
          <w:marLeft w:val="360"/>
          <w:marRight w:val="0"/>
          <w:marTop w:val="200"/>
          <w:marBottom w:val="0"/>
          <w:divBdr>
            <w:top w:val="none" w:sz="0" w:space="0" w:color="auto"/>
            <w:left w:val="none" w:sz="0" w:space="0" w:color="auto"/>
            <w:bottom w:val="none" w:sz="0" w:space="0" w:color="auto"/>
            <w:right w:val="none" w:sz="0" w:space="0" w:color="auto"/>
          </w:divBdr>
        </w:div>
        <w:div w:id="1474714111">
          <w:marLeft w:val="1080"/>
          <w:marRight w:val="0"/>
          <w:marTop w:val="100"/>
          <w:marBottom w:val="0"/>
          <w:divBdr>
            <w:top w:val="none" w:sz="0" w:space="0" w:color="auto"/>
            <w:left w:val="none" w:sz="0" w:space="0" w:color="auto"/>
            <w:bottom w:val="none" w:sz="0" w:space="0" w:color="auto"/>
            <w:right w:val="none" w:sz="0" w:space="0" w:color="auto"/>
          </w:divBdr>
        </w:div>
        <w:div w:id="1127508638">
          <w:marLeft w:val="1080"/>
          <w:marRight w:val="0"/>
          <w:marTop w:val="100"/>
          <w:marBottom w:val="0"/>
          <w:divBdr>
            <w:top w:val="none" w:sz="0" w:space="0" w:color="auto"/>
            <w:left w:val="none" w:sz="0" w:space="0" w:color="auto"/>
            <w:bottom w:val="none" w:sz="0" w:space="0" w:color="auto"/>
            <w:right w:val="none" w:sz="0" w:space="0" w:color="auto"/>
          </w:divBdr>
        </w:div>
        <w:div w:id="542181418">
          <w:marLeft w:val="1080"/>
          <w:marRight w:val="0"/>
          <w:marTop w:val="100"/>
          <w:marBottom w:val="0"/>
          <w:divBdr>
            <w:top w:val="none" w:sz="0" w:space="0" w:color="auto"/>
            <w:left w:val="none" w:sz="0" w:space="0" w:color="auto"/>
            <w:bottom w:val="none" w:sz="0" w:space="0" w:color="auto"/>
            <w:right w:val="none" w:sz="0" w:space="0" w:color="auto"/>
          </w:divBdr>
        </w:div>
        <w:div w:id="533540235">
          <w:marLeft w:val="1080"/>
          <w:marRight w:val="0"/>
          <w:marTop w:val="100"/>
          <w:marBottom w:val="0"/>
          <w:divBdr>
            <w:top w:val="none" w:sz="0" w:space="0" w:color="auto"/>
            <w:left w:val="none" w:sz="0" w:space="0" w:color="auto"/>
            <w:bottom w:val="none" w:sz="0" w:space="0" w:color="auto"/>
            <w:right w:val="none" w:sz="0" w:space="0" w:color="auto"/>
          </w:divBdr>
        </w:div>
        <w:div w:id="103771697">
          <w:marLeft w:val="360"/>
          <w:marRight w:val="0"/>
          <w:marTop w:val="200"/>
          <w:marBottom w:val="0"/>
          <w:divBdr>
            <w:top w:val="none" w:sz="0" w:space="0" w:color="auto"/>
            <w:left w:val="none" w:sz="0" w:space="0" w:color="auto"/>
            <w:bottom w:val="none" w:sz="0" w:space="0" w:color="auto"/>
            <w:right w:val="none" w:sz="0" w:space="0" w:color="auto"/>
          </w:divBdr>
        </w:div>
        <w:div w:id="225339890">
          <w:marLeft w:val="360"/>
          <w:marRight w:val="0"/>
          <w:marTop w:val="200"/>
          <w:marBottom w:val="0"/>
          <w:divBdr>
            <w:top w:val="none" w:sz="0" w:space="0" w:color="auto"/>
            <w:left w:val="none" w:sz="0" w:space="0" w:color="auto"/>
            <w:bottom w:val="none" w:sz="0" w:space="0" w:color="auto"/>
            <w:right w:val="none" w:sz="0" w:space="0" w:color="auto"/>
          </w:divBdr>
        </w:div>
      </w:divsChild>
    </w:div>
    <w:div w:id="150603481">
      <w:bodyDiv w:val="1"/>
      <w:marLeft w:val="0"/>
      <w:marRight w:val="0"/>
      <w:marTop w:val="0"/>
      <w:marBottom w:val="0"/>
      <w:divBdr>
        <w:top w:val="none" w:sz="0" w:space="0" w:color="auto"/>
        <w:left w:val="none" w:sz="0" w:space="0" w:color="auto"/>
        <w:bottom w:val="none" w:sz="0" w:space="0" w:color="auto"/>
        <w:right w:val="none" w:sz="0" w:space="0" w:color="auto"/>
      </w:divBdr>
    </w:div>
    <w:div w:id="188492801">
      <w:bodyDiv w:val="1"/>
      <w:marLeft w:val="0"/>
      <w:marRight w:val="0"/>
      <w:marTop w:val="0"/>
      <w:marBottom w:val="0"/>
      <w:divBdr>
        <w:top w:val="none" w:sz="0" w:space="0" w:color="auto"/>
        <w:left w:val="none" w:sz="0" w:space="0" w:color="auto"/>
        <w:bottom w:val="none" w:sz="0" w:space="0" w:color="auto"/>
        <w:right w:val="none" w:sz="0" w:space="0" w:color="auto"/>
      </w:divBdr>
      <w:divsChild>
        <w:div w:id="305429547">
          <w:marLeft w:val="374"/>
          <w:marRight w:val="0"/>
          <w:marTop w:val="200"/>
          <w:marBottom w:val="0"/>
          <w:divBdr>
            <w:top w:val="none" w:sz="0" w:space="0" w:color="auto"/>
            <w:left w:val="none" w:sz="0" w:space="0" w:color="auto"/>
            <w:bottom w:val="none" w:sz="0" w:space="0" w:color="auto"/>
            <w:right w:val="none" w:sz="0" w:space="0" w:color="auto"/>
          </w:divBdr>
        </w:div>
        <w:div w:id="1531920419">
          <w:marLeft w:val="720"/>
          <w:marRight w:val="0"/>
          <w:marTop w:val="200"/>
          <w:marBottom w:val="0"/>
          <w:divBdr>
            <w:top w:val="none" w:sz="0" w:space="0" w:color="auto"/>
            <w:left w:val="none" w:sz="0" w:space="0" w:color="auto"/>
            <w:bottom w:val="none" w:sz="0" w:space="0" w:color="auto"/>
            <w:right w:val="none" w:sz="0" w:space="0" w:color="auto"/>
          </w:divBdr>
        </w:div>
        <w:div w:id="826437546">
          <w:marLeft w:val="1440"/>
          <w:marRight w:val="0"/>
          <w:marTop w:val="100"/>
          <w:marBottom w:val="0"/>
          <w:divBdr>
            <w:top w:val="none" w:sz="0" w:space="0" w:color="auto"/>
            <w:left w:val="none" w:sz="0" w:space="0" w:color="auto"/>
            <w:bottom w:val="none" w:sz="0" w:space="0" w:color="auto"/>
            <w:right w:val="none" w:sz="0" w:space="0" w:color="auto"/>
          </w:divBdr>
        </w:div>
        <w:div w:id="578683353">
          <w:marLeft w:val="1440"/>
          <w:marRight w:val="0"/>
          <w:marTop w:val="100"/>
          <w:marBottom w:val="0"/>
          <w:divBdr>
            <w:top w:val="none" w:sz="0" w:space="0" w:color="auto"/>
            <w:left w:val="none" w:sz="0" w:space="0" w:color="auto"/>
            <w:bottom w:val="none" w:sz="0" w:space="0" w:color="auto"/>
            <w:right w:val="none" w:sz="0" w:space="0" w:color="auto"/>
          </w:divBdr>
        </w:div>
        <w:div w:id="2081126159">
          <w:marLeft w:val="1094"/>
          <w:marRight w:val="0"/>
          <w:marTop w:val="100"/>
          <w:marBottom w:val="0"/>
          <w:divBdr>
            <w:top w:val="none" w:sz="0" w:space="0" w:color="auto"/>
            <w:left w:val="none" w:sz="0" w:space="0" w:color="auto"/>
            <w:bottom w:val="none" w:sz="0" w:space="0" w:color="auto"/>
            <w:right w:val="none" w:sz="0" w:space="0" w:color="auto"/>
          </w:divBdr>
        </w:div>
        <w:div w:id="1585606509">
          <w:marLeft w:val="374"/>
          <w:marRight w:val="0"/>
          <w:marTop w:val="200"/>
          <w:marBottom w:val="0"/>
          <w:divBdr>
            <w:top w:val="none" w:sz="0" w:space="0" w:color="auto"/>
            <w:left w:val="none" w:sz="0" w:space="0" w:color="auto"/>
            <w:bottom w:val="none" w:sz="0" w:space="0" w:color="auto"/>
            <w:right w:val="none" w:sz="0" w:space="0" w:color="auto"/>
          </w:divBdr>
        </w:div>
        <w:div w:id="474953661">
          <w:marLeft w:val="374"/>
          <w:marRight w:val="0"/>
          <w:marTop w:val="200"/>
          <w:marBottom w:val="0"/>
          <w:divBdr>
            <w:top w:val="none" w:sz="0" w:space="0" w:color="auto"/>
            <w:left w:val="none" w:sz="0" w:space="0" w:color="auto"/>
            <w:bottom w:val="none" w:sz="0" w:space="0" w:color="auto"/>
            <w:right w:val="none" w:sz="0" w:space="0" w:color="auto"/>
          </w:divBdr>
        </w:div>
        <w:div w:id="80378872">
          <w:marLeft w:val="374"/>
          <w:marRight w:val="0"/>
          <w:marTop w:val="200"/>
          <w:marBottom w:val="0"/>
          <w:divBdr>
            <w:top w:val="none" w:sz="0" w:space="0" w:color="auto"/>
            <w:left w:val="none" w:sz="0" w:space="0" w:color="auto"/>
            <w:bottom w:val="none" w:sz="0" w:space="0" w:color="auto"/>
            <w:right w:val="none" w:sz="0" w:space="0" w:color="auto"/>
          </w:divBdr>
        </w:div>
      </w:divsChild>
    </w:div>
    <w:div w:id="230118493">
      <w:bodyDiv w:val="1"/>
      <w:marLeft w:val="0"/>
      <w:marRight w:val="0"/>
      <w:marTop w:val="0"/>
      <w:marBottom w:val="0"/>
      <w:divBdr>
        <w:top w:val="none" w:sz="0" w:space="0" w:color="auto"/>
        <w:left w:val="none" w:sz="0" w:space="0" w:color="auto"/>
        <w:bottom w:val="none" w:sz="0" w:space="0" w:color="auto"/>
        <w:right w:val="none" w:sz="0" w:space="0" w:color="auto"/>
      </w:divBdr>
      <w:divsChild>
        <w:div w:id="327565894">
          <w:marLeft w:val="374"/>
          <w:marRight w:val="0"/>
          <w:marTop w:val="200"/>
          <w:marBottom w:val="0"/>
          <w:divBdr>
            <w:top w:val="none" w:sz="0" w:space="0" w:color="auto"/>
            <w:left w:val="none" w:sz="0" w:space="0" w:color="auto"/>
            <w:bottom w:val="none" w:sz="0" w:space="0" w:color="auto"/>
            <w:right w:val="none" w:sz="0" w:space="0" w:color="auto"/>
          </w:divBdr>
        </w:div>
        <w:div w:id="715004086">
          <w:marLeft w:val="374"/>
          <w:marRight w:val="0"/>
          <w:marTop w:val="200"/>
          <w:marBottom w:val="0"/>
          <w:divBdr>
            <w:top w:val="none" w:sz="0" w:space="0" w:color="auto"/>
            <w:left w:val="none" w:sz="0" w:space="0" w:color="auto"/>
            <w:bottom w:val="none" w:sz="0" w:space="0" w:color="auto"/>
            <w:right w:val="none" w:sz="0" w:space="0" w:color="auto"/>
          </w:divBdr>
        </w:div>
        <w:div w:id="1199663377">
          <w:marLeft w:val="374"/>
          <w:marRight w:val="0"/>
          <w:marTop w:val="200"/>
          <w:marBottom w:val="0"/>
          <w:divBdr>
            <w:top w:val="none" w:sz="0" w:space="0" w:color="auto"/>
            <w:left w:val="none" w:sz="0" w:space="0" w:color="auto"/>
            <w:bottom w:val="none" w:sz="0" w:space="0" w:color="auto"/>
            <w:right w:val="none" w:sz="0" w:space="0" w:color="auto"/>
          </w:divBdr>
        </w:div>
        <w:div w:id="275063543">
          <w:marLeft w:val="1080"/>
          <w:marRight w:val="0"/>
          <w:marTop w:val="100"/>
          <w:marBottom w:val="0"/>
          <w:divBdr>
            <w:top w:val="none" w:sz="0" w:space="0" w:color="auto"/>
            <w:left w:val="none" w:sz="0" w:space="0" w:color="auto"/>
            <w:bottom w:val="none" w:sz="0" w:space="0" w:color="auto"/>
            <w:right w:val="none" w:sz="0" w:space="0" w:color="auto"/>
          </w:divBdr>
        </w:div>
        <w:div w:id="809664292">
          <w:marLeft w:val="1080"/>
          <w:marRight w:val="0"/>
          <w:marTop w:val="100"/>
          <w:marBottom w:val="0"/>
          <w:divBdr>
            <w:top w:val="none" w:sz="0" w:space="0" w:color="auto"/>
            <w:left w:val="none" w:sz="0" w:space="0" w:color="auto"/>
            <w:bottom w:val="none" w:sz="0" w:space="0" w:color="auto"/>
            <w:right w:val="none" w:sz="0" w:space="0" w:color="auto"/>
          </w:divBdr>
        </w:div>
        <w:div w:id="885066284">
          <w:marLeft w:val="360"/>
          <w:marRight w:val="0"/>
          <w:marTop w:val="200"/>
          <w:marBottom w:val="0"/>
          <w:divBdr>
            <w:top w:val="none" w:sz="0" w:space="0" w:color="auto"/>
            <w:left w:val="none" w:sz="0" w:space="0" w:color="auto"/>
            <w:bottom w:val="none" w:sz="0" w:space="0" w:color="auto"/>
            <w:right w:val="none" w:sz="0" w:space="0" w:color="auto"/>
          </w:divBdr>
        </w:div>
        <w:div w:id="874079296">
          <w:marLeft w:val="360"/>
          <w:marRight w:val="0"/>
          <w:marTop w:val="200"/>
          <w:marBottom w:val="0"/>
          <w:divBdr>
            <w:top w:val="none" w:sz="0" w:space="0" w:color="auto"/>
            <w:left w:val="none" w:sz="0" w:space="0" w:color="auto"/>
            <w:bottom w:val="none" w:sz="0" w:space="0" w:color="auto"/>
            <w:right w:val="none" w:sz="0" w:space="0" w:color="auto"/>
          </w:divBdr>
        </w:div>
      </w:divsChild>
    </w:div>
    <w:div w:id="921571679">
      <w:bodyDiv w:val="1"/>
      <w:marLeft w:val="0"/>
      <w:marRight w:val="0"/>
      <w:marTop w:val="0"/>
      <w:marBottom w:val="0"/>
      <w:divBdr>
        <w:top w:val="none" w:sz="0" w:space="0" w:color="auto"/>
        <w:left w:val="none" w:sz="0" w:space="0" w:color="auto"/>
        <w:bottom w:val="none" w:sz="0" w:space="0" w:color="auto"/>
        <w:right w:val="none" w:sz="0" w:space="0" w:color="auto"/>
      </w:divBdr>
      <w:divsChild>
        <w:div w:id="1031762401">
          <w:marLeft w:val="374"/>
          <w:marRight w:val="0"/>
          <w:marTop w:val="200"/>
          <w:marBottom w:val="0"/>
          <w:divBdr>
            <w:top w:val="none" w:sz="0" w:space="0" w:color="auto"/>
            <w:left w:val="none" w:sz="0" w:space="0" w:color="auto"/>
            <w:bottom w:val="none" w:sz="0" w:space="0" w:color="auto"/>
            <w:right w:val="none" w:sz="0" w:space="0" w:color="auto"/>
          </w:divBdr>
        </w:div>
        <w:div w:id="989362040">
          <w:marLeft w:val="374"/>
          <w:marRight w:val="0"/>
          <w:marTop w:val="200"/>
          <w:marBottom w:val="0"/>
          <w:divBdr>
            <w:top w:val="none" w:sz="0" w:space="0" w:color="auto"/>
            <w:left w:val="none" w:sz="0" w:space="0" w:color="auto"/>
            <w:bottom w:val="none" w:sz="0" w:space="0" w:color="auto"/>
            <w:right w:val="none" w:sz="0" w:space="0" w:color="auto"/>
          </w:divBdr>
        </w:div>
        <w:div w:id="929119098">
          <w:marLeft w:val="374"/>
          <w:marRight w:val="0"/>
          <w:marTop w:val="200"/>
          <w:marBottom w:val="0"/>
          <w:divBdr>
            <w:top w:val="none" w:sz="0" w:space="0" w:color="auto"/>
            <w:left w:val="none" w:sz="0" w:space="0" w:color="auto"/>
            <w:bottom w:val="none" w:sz="0" w:space="0" w:color="auto"/>
            <w:right w:val="none" w:sz="0" w:space="0" w:color="auto"/>
          </w:divBdr>
        </w:div>
        <w:div w:id="671831504">
          <w:marLeft w:val="374"/>
          <w:marRight w:val="0"/>
          <w:marTop w:val="200"/>
          <w:marBottom w:val="0"/>
          <w:divBdr>
            <w:top w:val="none" w:sz="0" w:space="0" w:color="auto"/>
            <w:left w:val="none" w:sz="0" w:space="0" w:color="auto"/>
            <w:bottom w:val="none" w:sz="0" w:space="0" w:color="auto"/>
            <w:right w:val="none" w:sz="0" w:space="0" w:color="auto"/>
          </w:divBdr>
        </w:div>
        <w:div w:id="1243955279">
          <w:marLeft w:val="1080"/>
          <w:marRight w:val="0"/>
          <w:marTop w:val="100"/>
          <w:marBottom w:val="0"/>
          <w:divBdr>
            <w:top w:val="none" w:sz="0" w:space="0" w:color="auto"/>
            <w:left w:val="none" w:sz="0" w:space="0" w:color="auto"/>
            <w:bottom w:val="none" w:sz="0" w:space="0" w:color="auto"/>
            <w:right w:val="none" w:sz="0" w:space="0" w:color="auto"/>
          </w:divBdr>
        </w:div>
        <w:div w:id="1615163650">
          <w:marLeft w:val="1080"/>
          <w:marRight w:val="0"/>
          <w:marTop w:val="100"/>
          <w:marBottom w:val="0"/>
          <w:divBdr>
            <w:top w:val="none" w:sz="0" w:space="0" w:color="auto"/>
            <w:left w:val="none" w:sz="0" w:space="0" w:color="auto"/>
            <w:bottom w:val="none" w:sz="0" w:space="0" w:color="auto"/>
            <w:right w:val="none" w:sz="0" w:space="0" w:color="auto"/>
          </w:divBdr>
        </w:div>
        <w:div w:id="1583875048">
          <w:marLeft w:val="1080"/>
          <w:marRight w:val="0"/>
          <w:marTop w:val="100"/>
          <w:marBottom w:val="0"/>
          <w:divBdr>
            <w:top w:val="none" w:sz="0" w:space="0" w:color="auto"/>
            <w:left w:val="none" w:sz="0" w:space="0" w:color="auto"/>
            <w:bottom w:val="none" w:sz="0" w:space="0" w:color="auto"/>
            <w:right w:val="none" w:sz="0" w:space="0" w:color="auto"/>
          </w:divBdr>
        </w:div>
        <w:div w:id="1961296959">
          <w:marLeft w:val="1080"/>
          <w:marRight w:val="0"/>
          <w:marTop w:val="100"/>
          <w:marBottom w:val="0"/>
          <w:divBdr>
            <w:top w:val="none" w:sz="0" w:space="0" w:color="auto"/>
            <w:left w:val="none" w:sz="0" w:space="0" w:color="auto"/>
            <w:bottom w:val="none" w:sz="0" w:space="0" w:color="auto"/>
            <w:right w:val="none" w:sz="0" w:space="0" w:color="auto"/>
          </w:divBdr>
        </w:div>
        <w:div w:id="1754204684">
          <w:marLeft w:val="1080"/>
          <w:marRight w:val="0"/>
          <w:marTop w:val="100"/>
          <w:marBottom w:val="0"/>
          <w:divBdr>
            <w:top w:val="none" w:sz="0" w:space="0" w:color="auto"/>
            <w:left w:val="none" w:sz="0" w:space="0" w:color="auto"/>
            <w:bottom w:val="none" w:sz="0" w:space="0" w:color="auto"/>
            <w:right w:val="none" w:sz="0" w:space="0" w:color="auto"/>
          </w:divBdr>
        </w:div>
        <w:div w:id="1457793779">
          <w:marLeft w:val="360"/>
          <w:marRight w:val="0"/>
          <w:marTop w:val="200"/>
          <w:marBottom w:val="0"/>
          <w:divBdr>
            <w:top w:val="none" w:sz="0" w:space="0" w:color="auto"/>
            <w:left w:val="none" w:sz="0" w:space="0" w:color="auto"/>
            <w:bottom w:val="none" w:sz="0" w:space="0" w:color="auto"/>
            <w:right w:val="none" w:sz="0" w:space="0" w:color="auto"/>
          </w:divBdr>
        </w:div>
      </w:divsChild>
    </w:div>
    <w:div w:id="1173034551">
      <w:bodyDiv w:val="1"/>
      <w:marLeft w:val="0"/>
      <w:marRight w:val="0"/>
      <w:marTop w:val="0"/>
      <w:marBottom w:val="0"/>
      <w:divBdr>
        <w:top w:val="none" w:sz="0" w:space="0" w:color="auto"/>
        <w:left w:val="none" w:sz="0" w:space="0" w:color="auto"/>
        <w:bottom w:val="none" w:sz="0" w:space="0" w:color="auto"/>
        <w:right w:val="none" w:sz="0" w:space="0" w:color="auto"/>
      </w:divBdr>
    </w:div>
    <w:div w:id="1631663354">
      <w:bodyDiv w:val="1"/>
      <w:marLeft w:val="0"/>
      <w:marRight w:val="0"/>
      <w:marTop w:val="0"/>
      <w:marBottom w:val="0"/>
      <w:divBdr>
        <w:top w:val="none" w:sz="0" w:space="0" w:color="auto"/>
        <w:left w:val="none" w:sz="0" w:space="0" w:color="auto"/>
        <w:bottom w:val="none" w:sz="0" w:space="0" w:color="auto"/>
        <w:right w:val="none" w:sz="0" w:space="0" w:color="auto"/>
      </w:divBdr>
      <w:divsChild>
        <w:div w:id="925770385">
          <w:marLeft w:val="374"/>
          <w:marRight w:val="0"/>
          <w:marTop w:val="200"/>
          <w:marBottom w:val="0"/>
          <w:divBdr>
            <w:top w:val="none" w:sz="0" w:space="0" w:color="auto"/>
            <w:left w:val="none" w:sz="0" w:space="0" w:color="auto"/>
            <w:bottom w:val="none" w:sz="0" w:space="0" w:color="auto"/>
            <w:right w:val="none" w:sz="0" w:space="0" w:color="auto"/>
          </w:divBdr>
        </w:div>
        <w:div w:id="1538620706">
          <w:marLeft w:val="720"/>
          <w:marRight w:val="0"/>
          <w:marTop w:val="200"/>
          <w:marBottom w:val="0"/>
          <w:divBdr>
            <w:top w:val="none" w:sz="0" w:space="0" w:color="auto"/>
            <w:left w:val="none" w:sz="0" w:space="0" w:color="auto"/>
            <w:bottom w:val="none" w:sz="0" w:space="0" w:color="auto"/>
            <w:right w:val="none" w:sz="0" w:space="0" w:color="auto"/>
          </w:divBdr>
        </w:div>
        <w:div w:id="622151947">
          <w:marLeft w:val="2160"/>
          <w:marRight w:val="0"/>
          <w:marTop w:val="100"/>
          <w:marBottom w:val="0"/>
          <w:divBdr>
            <w:top w:val="none" w:sz="0" w:space="0" w:color="auto"/>
            <w:left w:val="none" w:sz="0" w:space="0" w:color="auto"/>
            <w:bottom w:val="none" w:sz="0" w:space="0" w:color="auto"/>
            <w:right w:val="none" w:sz="0" w:space="0" w:color="auto"/>
          </w:divBdr>
        </w:div>
        <w:div w:id="571163389">
          <w:marLeft w:val="2160"/>
          <w:marRight w:val="0"/>
          <w:marTop w:val="100"/>
          <w:marBottom w:val="0"/>
          <w:divBdr>
            <w:top w:val="none" w:sz="0" w:space="0" w:color="auto"/>
            <w:left w:val="none" w:sz="0" w:space="0" w:color="auto"/>
            <w:bottom w:val="none" w:sz="0" w:space="0" w:color="auto"/>
            <w:right w:val="none" w:sz="0" w:space="0" w:color="auto"/>
          </w:divBdr>
        </w:div>
        <w:div w:id="532352654">
          <w:marLeft w:val="1094"/>
          <w:marRight w:val="0"/>
          <w:marTop w:val="100"/>
          <w:marBottom w:val="0"/>
          <w:divBdr>
            <w:top w:val="none" w:sz="0" w:space="0" w:color="auto"/>
            <w:left w:val="none" w:sz="0" w:space="0" w:color="auto"/>
            <w:bottom w:val="none" w:sz="0" w:space="0" w:color="auto"/>
            <w:right w:val="none" w:sz="0" w:space="0" w:color="auto"/>
          </w:divBdr>
        </w:div>
        <w:div w:id="1089233102">
          <w:marLeft w:val="374"/>
          <w:marRight w:val="0"/>
          <w:marTop w:val="200"/>
          <w:marBottom w:val="0"/>
          <w:divBdr>
            <w:top w:val="none" w:sz="0" w:space="0" w:color="auto"/>
            <w:left w:val="none" w:sz="0" w:space="0" w:color="auto"/>
            <w:bottom w:val="none" w:sz="0" w:space="0" w:color="auto"/>
            <w:right w:val="none" w:sz="0" w:space="0" w:color="auto"/>
          </w:divBdr>
        </w:div>
        <w:div w:id="95174767">
          <w:marLeft w:val="374"/>
          <w:marRight w:val="0"/>
          <w:marTop w:val="200"/>
          <w:marBottom w:val="0"/>
          <w:divBdr>
            <w:top w:val="none" w:sz="0" w:space="0" w:color="auto"/>
            <w:left w:val="none" w:sz="0" w:space="0" w:color="auto"/>
            <w:bottom w:val="none" w:sz="0" w:space="0" w:color="auto"/>
            <w:right w:val="none" w:sz="0" w:space="0" w:color="auto"/>
          </w:divBdr>
        </w:div>
        <w:div w:id="982083494">
          <w:marLeft w:val="374"/>
          <w:marRight w:val="0"/>
          <w:marTop w:val="200"/>
          <w:marBottom w:val="0"/>
          <w:divBdr>
            <w:top w:val="none" w:sz="0" w:space="0" w:color="auto"/>
            <w:left w:val="none" w:sz="0" w:space="0" w:color="auto"/>
            <w:bottom w:val="none" w:sz="0" w:space="0" w:color="auto"/>
            <w:right w:val="none" w:sz="0" w:space="0" w:color="auto"/>
          </w:divBdr>
        </w:div>
      </w:divsChild>
    </w:div>
    <w:div w:id="2132241037">
      <w:bodyDiv w:val="1"/>
      <w:marLeft w:val="0"/>
      <w:marRight w:val="0"/>
      <w:marTop w:val="0"/>
      <w:marBottom w:val="0"/>
      <w:divBdr>
        <w:top w:val="none" w:sz="0" w:space="0" w:color="auto"/>
        <w:left w:val="none" w:sz="0" w:space="0" w:color="auto"/>
        <w:bottom w:val="none" w:sz="0" w:space="0" w:color="auto"/>
        <w:right w:val="none" w:sz="0" w:space="0" w:color="auto"/>
      </w:divBdr>
      <w:divsChild>
        <w:div w:id="1053625816">
          <w:marLeft w:val="360"/>
          <w:marRight w:val="0"/>
          <w:marTop w:val="200"/>
          <w:marBottom w:val="0"/>
          <w:divBdr>
            <w:top w:val="none" w:sz="0" w:space="0" w:color="auto"/>
            <w:left w:val="none" w:sz="0" w:space="0" w:color="auto"/>
            <w:bottom w:val="none" w:sz="0" w:space="0" w:color="auto"/>
            <w:right w:val="none" w:sz="0" w:space="0" w:color="auto"/>
          </w:divBdr>
        </w:div>
        <w:div w:id="916982503">
          <w:marLeft w:val="360"/>
          <w:marRight w:val="0"/>
          <w:marTop w:val="200"/>
          <w:marBottom w:val="0"/>
          <w:divBdr>
            <w:top w:val="none" w:sz="0" w:space="0" w:color="auto"/>
            <w:left w:val="none" w:sz="0" w:space="0" w:color="auto"/>
            <w:bottom w:val="none" w:sz="0" w:space="0" w:color="auto"/>
            <w:right w:val="none" w:sz="0" w:space="0" w:color="auto"/>
          </w:divBdr>
        </w:div>
        <w:div w:id="1444229065">
          <w:marLeft w:val="360"/>
          <w:marRight w:val="0"/>
          <w:marTop w:val="200"/>
          <w:marBottom w:val="0"/>
          <w:divBdr>
            <w:top w:val="none" w:sz="0" w:space="0" w:color="auto"/>
            <w:left w:val="none" w:sz="0" w:space="0" w:color="auto"/>
            <w:bottom w:val="none" w:sz="0" w:space="0" w:color="auto"/>
            <w:right w:val="none" w:sz="0" w:space="0" w:color="auto"/>
          </w:divBdr>
        </w:div>
        <w:div w:id="560138699">
          <w:marLeft w:val="360"/>
          <w:marRight w:val="0"/>
          <w:marTop w:val="200"/>
          <w:marBottom w:val="0"/>
          <w:divBdr>
            <w:top w:val="none" w:sz="0" w:space="0" w:color="auto"/>
            <w:left w:val="none" w:sz="0" w:space="0" w:color="auto"/>
            <w:bottom w:val="none" w:sz="0" w:space="0" w:color="auto"/>
            <w:right w:val="none" w:sz="0" w:space="0" w:color="auto"/>
          </w:divBdr>
        </w:div>
        <w:div w:id="581186045">
          <w:marLeft w:val="1080"/>
          <w:marRight w:val="0"/>
          <w:marTop w:val="100"/>
          <w:marBottom w:val="0"/>
          <w:divBdr>
            <w:top w:val="none" w:sz="0" w:space="0" w:color="auto"/>
            <w:left w:val="none" w:sz="0" w:space="0" w:color="auto"/>
            <w:bottom w:val="none" w:sz="0" w:space="0" w:color="auto"/>
            <w:right w:val="none" w:sz="0" w:space="0" w:color="auto"/>
          </w:divBdr>
        </w:div>
        <w:div w:id="724449480">
          <w:marLeft w:val="1080"/>
          <w:marRight w:val="0"/>
          <w:marTop w:val="100"/>
          <w:marBottom w:val="0"/>
          <w:divBdr>
            <w:top w:val="none" w:sz="0" w:space="0" w:color="auto"/>
            <w:left w:val="none" w:sz="0" w:space="0" w:color="auto"/>
            <w:bottom w:val="none" w:sz="0" w:space="0" w:color="auto"/>
            <w:right w:val="none" w:sz="0" w:space="0" w:color="auto"/>
          </w:divBdr>
        </w:div>
        <w:div w:id="7009772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2191-C922-4334-BE0A-C3F4DB1B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Instructions for completing GA ANALYSIS WORKFORM</vt:lpstr>
    </vt:vector>
  </TitlesOfParts>
  <Company>Ontario Energy Board</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GA ANALYSIS WORKFORM</dc:title>
  <dc:subject/>
  <dc:creator>June Colman</dc:creator>
  <cp:keywords/>
  <dc:description/>
  <cp:lastModifiedBy>Shaver, Brittany</cp:lastModifiedBy>
  <cp:revision>2</cp:revision>
  <cp:lastPrinted>2018-08-16T18:52:00Z</cp:lastPrinted>
  <dcterms:created xsi:type="dcterms:W3CDTF">2018-08-28T19:34:00Z</dcterms:created>
  <dcterms:modified xsi:type="dcterms:W3CDTF">2018-08-28T19:34:00Z</dcterms:modified>
</cp:coreProperties>
</file>