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8E0" w:rsidRDefault="004E18E0" w:rsidP="004E18E0">
      <w:pPr>
        <w:autoSpaceDE w:val="0"/>
        <w:autoSpaceDN w:val="0"/>
        <w:adjustRightInd w:val="0"/>
        <w:spacing w:after="0" w:line="240" w:lineRule="auto"/>
        <w:rPr>
          <w:rFonts w:ascii="Arial" w:hAnsi="Arial" w:cs="Arial"/>
          <w:b/>
          <w:bCs/>
          <w:color w:val="000000"/>
          <w:sz w:val="24"/>
          <w:szCs w:val="24"/>
        </w:rPr>
      </w:pPr>
      <w:bookmarkStart w:id="0" w:name="_GoBack"/>
      <w:bookmarkEnd w:id="0"/>
      <w:r>
        <w:rPr>
          <w:rFonts w:ascii="Arial" w:hAnsi="Arial" w:cs="Arial"/>
          <w:b/>
          <w:bCs/>
          <w:color w:val="000000"/>
          <w:sz w:val="24"/>
          <w:szCs w:val="24"/>
        </w:rPr>
        <w:t xml:space="preserve">Appendix A </w:t>
      </w:r>
    </w:p>
    <w:p w:rsidR="004E18E0" w:rsidRDefault="004E18E0" w:rsidP="004E18E0">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GA Methodology Description  </w:t>
      </w:r>
    </w:p>
    <w:p w:rsidR="004E18E0" w:rsidRDefault="004E18E0" w:rsidP="004E18E0">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Questions on Accounts 1588 &amp; 1589</w:t>
      </w:r>
      <w:hyperlink w:anchor="_ftn1" w:history="1">
        <w:r>
          <w:rPr>
            <w:rFonts w:ascii="Arial" w:hAnsi="Arial" w:cs="Arial"/>
            <w:b/>
            <w:bCs/>
            <w:color w:val="0082BF"/>
            <w:sz w:val="24"/>
            <w:szCs w:val="24"/>
            <w:u w:val="single"/>
            <w:vertAlign w:val="superscript"/>
          </w:rPr>
          <w:t>[1]</w:t>
        </w:r>
      </w:hyperlink>
    </w:p>
    <w:p w:rsidR="004E18E0" w:rsidRDefault="004E18E0" w:rsidP="004E18E0">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 xml:space="preserve"> </w:t>
      </w:r>
    </w:p>
    <w:p w:rsidR="004E18E0" w:rsidRDefault="004E18E0" w:rsidP="004E18E0">
      <w:pPr>
        <w:autoSpaceDE w:val="0"/>
        <w:autoSpaceDN w:val="0"/>
        <w:adjustRightInd w:val="0"/>
        <w:spacing w:after="0" w:line="240" w:lineRule="auto"/>
        <w:ind w:left="720" w:hanging="360"/>
        <w:rPr>
          <w:rFonts w:ascii="Arial" w:hAnsi="Arial" w:cs="Arial"/>
          <w:color w:val="000000"/>
          <w:sz w:val="24"/>
          <w:szCs w:val="24"/>
        </w:rPr>
      </w:pPr>
      <w:r>
        <w:rPr>
          <w:rFonts w:ascii="Helv" w:hAnsi="Helv" w:cs="Helv"/>
          <w:color w:val="000000"/>
          <w:sz w:val="20"/>
          <w:szCs w:val="20"/>
        </w:rPr>
        <w:t>1.</w:t>
      </w:r>
      <w:r>
        <w:rPr>
          <w:rFonts w:ascii="Helv" w:hAnsi="Helv" w:cs="Helv"/>
          <w:color w:val="000000"/>
          <w:sz w:val="20"/>
          <w:szCs w:val="20"/>
        </w:rPr>
        <w:tab/>
      </w:r>
      <w:r>
        <w:rPr>
          <w:rFonts w:ascii="Arial" w:hAnsi="Arial" w:cs="Arial"/>
          <w:color w:val="000000"/>
          <w:sz w:val="24"/>
          <w:szCs w:val="24"/>
        </w:rPr>
        <w:t>In booking expense journal entries for Charge Type (CT) 1142 and CT 148 from the IESO invoice, please confirm which of the following approaches is used:</w:t>
      </w:r>
    </w:p>
    <w:p w:rsidR="004E18E0" w:rsidRDefault="004E18E0" w:rsidP="004E18E0">
      <w:pPr>
        <w:autoSpaceDE w:val="0"/>
        <w:autoSpaceDN w:val="0"/>
        <w:adjustRightInd w:val="0"/>
        <w:spacing w:before="240" w:after="0" w:line="240" w:lineRule="auto"/>
        <w:ind w:left="1080"/>
        <w:rPr>
          <w:rFonts w:ascii="Arial" w:hAnsi="Arial" w:cs="Arial"/>
          <w:color w:val="000000"/>
          <w:sz w:val="24"/>
          <w:szCs w:val="24"/>
        </w:rPr>
      </w:pPr>
      <w:r>
        <w:rPr>
          <w:rFonts w:ascii="Arial" w:hAnsi="Arial" w:cs="Arial"/>
          <w:color w:val="000000"/>
          <w:sz w:val="24"/>
          <w:szCs w:val="24"/>
        </w:rPr>
        <w:t>a.     CT 1142 is booked into Account 1588. CT 148 is pro-rated based on RPP/non-RPP consumption and then booked into Account 1588 and 1589 respectively.</w:t>
      </w:r>
    </w:p>
    <w:p w:rsidR="004E18E0" w:rsidRDefault="004E18E0" w:rsidP="004E18E0">
      <w:pPr>
        <w:autoSpaceDE w:val="0"/>
        <w:autoSpaceDN w:val="0"/>
        <w:adjustRightInd w:val="0"/>
        <w:spacing w:before="240" w:after="0" w:line="240" w:lineRule="auto"/>
        <w:ind w:left="1080"/>
        <w:rPr>
          <w:rFonts w:ascii="Arial" w:hAnsi="Arial" w:cs="Arial"/>
          <w:color w:val="000000"/>
          <w:sz w:val="24"/>
          <w:szCs w:val="24"/>
        </w:rPr>
      </w:pPr>
      <w:r w:rsidRPr="004E18E0">
        <w:rPr>
          <w:rFonts w:ascii="Arial" w:hAnsi="Arial" w:cs="Arial"/>
          <w:color w:val="000000"/>
          <w:sz w:val="24"/>
          <w:szCs w:val="24"/>
          <w:highlight w:val="cyan"/>
        </w:rPr>
        <w:t>b.     CT 148 is booked into Account 1589. The portion of CT 1142 equaling RPP minus HOEP for RPP consumption is booked into Account 1588. The portion of CT 1142 equaling GA RPP is credited into Account 1589.</w:t>
      </w:r>
    </w:p>
    <w:p w:rsidR="004E18E0" w:rsidRDefault="004E18E0" w:rsidP="004E18E0">
      <w:pPr>
        <w:autoSpaceDE w:val="0"/>
        <w:autoSpaceDN w:val="0"/>
        <w:adjustRightInd w:val="0"/>
        <w:spacing w:before="240" w:after="0" w:line="240" w:lineRule="auto"/>
        <w:ind w:left="1080"/>
        <w:rPr>
          <w:rFonts w:ascii="Arial" w:hAnsi="Arial" w:cs="Arial"/>
          <w:color w:val="000000"/>
          <w:sz w:val="24"/>
          <w:szCs w:val="24"/>
        </w:rPr>
      </w:pPr>
      <w:r>
        <w:rPr>
          <w:rFonts w:ascii="Arial" w:hAnsi="Arial" w:cs="Arial"/>
          <w:color w:val="000000"/>
          <w:sz w:val="24"/>
          <w:szCs w:val="24"/>
        </w:rPr>
        <w:t>c.     If another approach is used, please explain in detail.</w:t>
      </w:r>
    </w:p>
    <w:p w:rsidR="004E18E0" w:rsidRDefault="004E18E0" w:rsidP="004E18E0">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 xml:space="preserve"> </w:t>
      </w:r>
    </w:p>
    <w:p w:rsidR="004E18E0" w:rsidRDefault="004E18E0" w:rsidP="004E18E0">
      <w:pPr>
        <w:autoSpaceDE w:val="0"/>
        <w:autoSpaceDN w:val="0"/>
        <w:adjustRightInd w:val="0"/>
        <w:spacing w:after="0" w:line="240" w:lineRule="auto"/>
        <w:ind w:left="720" w:hanging="360"/>
        <w:rPr>
          <w:rFonts w:ascii="Calibri" w:hAnsi="Calibri" w:cs="Calibri"/>
          <w:color w:val="000000"/>
        </w:rPr>
      </w:pPr>
      <w:r>
        <w:rPr>
          <w:rFonts w:ascii="Helv" w:hAnsi="Helv" w:cs="Helv"/>
          <w:color w:val="000000"/>
          <w:sz w:val="20"/>
          <w:szCs w:val="20"/>
        </w:rPr>
        <w:t>2.</w:t>
      </w:r>
      <w:r>
        <w:rPr>
          <w:rFonts w:ascii="Helv" w:hAnsi="Helv" w:cs="Helv"/>
          <w:color w:val="000000"/>
          <w:sz w:val="20"/>
          <w:szCs w:val="20"/>
        </w:rPr>
        <w:tab/>
      </w:r>
      <w:r>
        <w:rPr>
          <w:rFonts w:ascii="Arial" w:hAnsi="Arial" w:cs="Arial"/>
          <w:color w:val="000000"/>
          <w:sz w:val="24"/>
          <w:szCs w:val="24"/>
          <w:u w:val="single"/>
        </w:rPr>
        <w:t>Questions on CT 1142</w:t>
      </w:r>
      <w:r>
        <w:rPr>
          <w:rFonts w:ascii="Calibri" w:hAnsi="Calibri" w:cs="Calibri"/>
          <w:color w:val="000000"/>
        </w:rPr>
        <w:t xml:space="preserve"> </w:t>
      </w:r>
    </w:p>
    <w:p w:rsidR="004E18E0" w:rsidRDefault="004E18E0" w:rsidP="004E18E0">
      <w:pPr>
        <w:autoSpaceDE w:val="0"/>
        <w:autoSpaceDN w:val="0"/>
        <w:adjustRightInd w:val="0"/>
        <w:spacing w:after="0" w:line="240" w:lineRule="auto"/>
        <w:ind w:left="1440" w:hanging="360"/>
        <w:rPr>
          <w:rFonts w:ascii="Arial" w:hAnsi="Arial" w:cs="Arial"/>
          <w:color w:val="000000"/>
          <w:sz w:val="24"/>
          <w:szCs w:val="24"/>
        </w:rPr>
      </w:pPr>
      <w:r>
        <w:rPr>
          <w:rFonts w:ascii="Helv" w:hAnsi="Helv" w:cs="Helv"/>
          <w:color w:val="000000"/>
          <w:sz w:val="20"/>
          <w:szCs w:val="20"/>
        </w:rPr>
        <w:t>a.</w:t>
      </w:r>
      <w:r>
        <w:rPr>
          <w:rFonts w:ascii="Helv" w:hAnsi="Helv" w:cs="Helv"/>
          <w:color w:val="000000"/>
          <w:sz w:val="20"/>
          <w:szCs w:val="20"/>
        </w:rPr>
        <w:tab/>
      </w:r>
      <w:r>
        <w:rPr>
          <w:rFonts w:ascii="Arial" w:hAnsi="Arial" w:cs="Arial"/>
          <w:color w:val="000000"/>
          <w:sz w:val="24"/>
          <w:szCs w:val="24"/>
        </w:rPr>
        <w:t>Please describe how the initial RPP related GA is determined for settlement forms submitted by day 4 after the month-end (resulting in CT 1142 on the IESO invoice).</w:t>
      </w:r>
    </w:p>
    <w:p w:rsidR="00F616CE" w:rsidRDefault="00F616CE" w:rsidP="00F616CE">
      <w:pPr>
        <w:autoSpaceDE w:val="0"/>
        <w:autoSpaceDN w:val="0"/>
        <w:adjustRightInd w:val="0"/>
        <w:spacing w:after="0" w:line="240" w:lineRule="auto"/>
        <w:ind w:left="1080"/>
        <w:rPr>
          <w:rFonts w:ascii="Arial" w:hAnsi="Arial" w:cs="Arial"/>
          <w:color w:val="000000"/>
          <w:sz w:val="24"/>
          <w:szCs w:val="24"/>
        </w:rPr>
      </w:pPr>
    </w:p>
    <w:p w:rsidR="005C4ED2" w:rsidRPr="00F616CE" w:rsidRDefault="00FC6B2B" w:rsidP="00F616CE">
      <w:pPr>
        <w:autoSpaceDE w:val="0"/>
        <w:autoSpaceDN w:val="0"/>
        <w:adjustRightInd w:val="0"/>
        <w:spacing w:after="0" w:line="240" w:lineRule="auto"/>
        <w:ind w:left="1080"/>
        <w:rPr>
          <w:rFonts w:ascii="Arial" w:hAnsi="Arial" w:cs="Arial"/>
          <w:color w:val="0070C0"/>
          <w:sz w:val="24"/>
          <w:szCs w:val="24"/>
        </w:rPr>
      </w:pPr>
      <w:r w:rsidRPr="00F616CE">
        <w:rPr>
          <w:rFonts w:ascii="Arial" w:hAnsi="Arial" w:cs="Arial"/>
          <w:color w:val="0070C0"/>
          <w:sz w:val="24"/>
          <w:szCs w:val="24"/>
        </w:rPr>
        <w:t>In order to determine the full GA for all customers, Waterloo North Hydro (WNH) multiplies Waterloo North Hydro's total system load (kWh) by the Class B second estimate ($/MWh converted to $/kWh) for the settlement month. The dollar value associated with Class A usage is subtracted from the total Global Adjustment amount to determine the Cla</w:t>
      </w:r>
      <w:r w:rsidR="00F616CE" w:rsidRPr="00F616CE">
        <w:rPr>
          <w:rFonts w:ascii="Arial" w:hAnsi="Arial" w:cs="Arial"/>
          <w:color w:val="0070C0"/>
          <w:sz w:val="24"/>
          <w:szCs w:val="24"/>
        </w:rPr>
        <w:t xml:space="preserve">ss B Global Adjustment amount (CT 148). </w:t>
      </w:r>
      <w:r w:rsidR="00E500A4">
        <w:rPr>
          <w:rFonts w:ascii="Arial" w:hAnsi="Arial" w:cs="Arial"/>
          <w:color w:val="0070C0"/>
          <w:sz w:val="24"/>
          <w:szCs w:val="24"/>
        </w:rPr>
        <w:t>The usage for all non-RPP customers is multiplied by the second estimate to determine the amount of the non-RPP portion of GA</w:t>
      </w:r>
      <w:r w:rsidR="00EE48E7">
        <w:rPr>
          <w:rFonts w:ascii="Arial" w:hAnsi="Arial" w:cs="Arial"/>
          <w:color w:val="0070C0"/>
          <w:sz w:val="24"/>
          <w:szCs w:val="24"/>
        </w:rPr>
        <w:t xml:space="preserve"> (recorded in 1589)</w:t>
      </w:r>
      <w:r w:rsidR="00E500A4">
        <w:rPr>
          <w:rFonts w:ascii="Arial" w:hAnsi="Arial" w:cs="Arial"/>
          <w:color w:val="0070C0"/>
          <w:sz w:val="24"/>
          <w:szCs w:val="24"/>
        </w:rPr>
        <w:t xml:space="preserve">. The remaining amount must be RPP GA which is the GA portion that is included in CT 1142 (as a negative reduction from total </w:t>
      </w:r>
      <w:proofErr w:type="spellStart"/>
      <w:r w:rsidR="00E500A4" w:rsidRPr="00E500A4">
        <w:rPr>
          <w:rFonts w:ascii="Arial" w:hAnsi="Arial" w:cs="Arial"/>
          <w:color w:val="0070C0"/>
          <w:sz w:val="24"/>
          <w:szCs w:val="24"/>
        </w:rPr>
        <w:t>Ont</w:t>
      </w:r>
      <w:proofErr w:type="spellEnd"/>
      <w:r w:rsidR="00E500A4" w:rsidRPr="00E500A4">
        <w:rPr>
          <w:rFonts w:ascii="Arial" w:hAnsi="Arial" w:cs="Arial"/>
          <w:color w:val="0070C0"/>
          <w:sz w:val="24"/>
          <w:szCs w:val="24"/>
        </w:rPr>
        <w:t xml:space="preserve"> Fair Hydro Plan Eligible RPP Consumer </w:t>
      </w:r>
      <w:proofErr w:type="spellStart"/>
      <w:r w:rsidR="00E500A4" w:rsidRPr="00E500A4">
        <w:rPr>
          <w:rFonts w:ascii="Arial" w:hAnsi="Arial" w:cs="Arial"/>
          <w:color w:val="0070C0"/>
          <w:sz w:val="24"/>
          <w:szCs w:val="24"/>
        </w:rPr>
        <w:t>Disct</w:t>
      </w:r>
      <w:proofErr w:type="spellEnd"/>
      <w:r w:rsidR="00E500A4" w:rsidRPr="00E500A4">
        <w:rPr>
          <w:rFonts w:ascii="Arial" w:hAnsi="Arial" w:cs="Arial"/>
          <w:color w:val="0070C0"/>
          <w:sz w:val="24"/>
          <w:szCs w:val="24"/>
        </w:rPr>
        <w:t xml:space="preserve"> Sett Program</w:t>
      </w:r>
      <w:r w:rsidR="00E500A4">
        <w:rPr>
          <w:rFonts w:ascii="Arial" w:hAnsi="Arial" w:cs="Arial"/>
          <w:color w:val="0070C0"/>
          <w:sz w:val="24"/>
          <w:szCs w:val="24"/>
        </w:rPr>
        <w:t xml:space="preserve">). </w:t>
      </w:r>
    </w:p>
    <w:p w:rsidR="00F616CE" w:rsidRPr="00F616CE" w:rsidRDefault="00F616CE" w:rsidP="00F616CE">
      <w:pPr>
        <w:autoSpaceDE w:val="0"/>
        <w:autoSpaceDN w:val="0"/>
        <w:adjustRightInd w:val="0"/>
        <w:spacing w:after="0" w:line="240" w:lineRule="auto"/>
        <w:ind w:left="1080"/>
        <w:rPr>
          <w:rFonts w:ascii="Arial" w:hAnsi="Arial" w:cs="Arial"/>
          <w:color w:val="000000"/>
          <w:sz w:val="24"/>
          <w:szCs w:val="24"/>
        </w:rPr>
      </w:pPr>
    </w:p>
    <w:p w:rsidR="004E18E0" w:rsidRDefault="004E18E0" w:rsidP="004E18E0">
      <w:pPr>
        <w:autoSpaceDE w:val="0"/>
        <w:autoSpaceDN w:val="0"/>
        <w:adjustRightInd w:val="0"/>
        <w:spacing w:after="0" w:line="240" w:lineRule="auto"/>
        <w:ind w:left="1440" w:hanging="360"/>
        <w:rPr>
          <w:rFonts w:ascii="Arial" w:hAnsi="Arial" w:cs="Arial"/>
          <w:color w:val="000000"/>
          <w:sz w:val="24"/>
          <w:szCs w:val="24"/>
        </w:rPr>
      </w:pPr>
      <w:r>
        <w:rPr>
          <w:rFonts w:ascii="Helv" w:hAnsi="Helv" w:cs="Helv"/>
          <w:color w:val="000000"/>
          <w:sz w:val="20"/>
          <w:szCs w:val="20"/>
        </w:rPr>
        <w:t>b.</w:t>
      </w:r>
      <w:r>
        <w:rPr>
          <w:rFonts w:ascii="Helv" w:hAnsi="Helv" w:cs="Helv"/>
          <w:color w:val="000000"/>
          <w:sz w:val="20"/>
          <w:szCs w:val="20"/>
        </w:rPr>
        <w:tab/>
      </w:r>
      <w:r>
        <w:rPr>
          <w:rFonts w:ascii="Arial" w:hAnsi="Arial" w:cs="Arial"/>
          <w:color w:val="000000"/>
          <w:sz w:val="24"/>
          <w:szCs w:val="24"/>
        </w:rPr>
        <w:t>Please describe the process for truing up CT 1142 to actual RPP kWh, including which data is used for each TOU/Tier 1&amp;2 prices, as well as the timing of the true up.</w:t>
      </w:r>
    </w:p>
    <w:p w:rsidR="00E500A4" w:rsidRDefault="00E500A4" w:rsidP="004E18E0">
      <w:pPr>
        <w:autoSpaceDE w:val="0"/>
        <w:autoSpaceDN w:val="0"/>
        <w:adjustRightInd w:val="0"/>
        <w:spacing w:after="0" w:line="240" w:lineRule="auto"/>
        <w:ind w:left="1440" w:hanging="360"/>
        <w:rPr>
          <w:rFonts w:ascii="Arial" w:hAnsi="Arial" w:cs="Arial"/>
          <w:color w:val="000000"/>
          <w:sz w:val="24"/>
          <w:szCs w:val="24"/>
        </w:rPr>
      </w:pPr>
    </w:p>
    <w:p w:rsidR="00E500A4" w:rsidRDefault="00E500A4" w:rsidP="00E500A4">
      <w:pPr>
        <w:autoSpaceDE w:val="0"/>
        <w:autoSpaceDN w:val="0"/>
        <w:adjustRightInd w:val="0"/>
        <w:spacing w:after="0" w:line="240" w:lineRule="auto"/>
        <w:ind w:left="1077"/>
        <w:rPr>
          <w:rFonts w:ascii="Arial" w:hAnsi="Arial" w:cs="Arial"/>
          <w:color w:val="0070C0"/>
          <w:sz w:val="24"/>
          <w:szCs w:val="24"/>
        </w:rPr>
      </w:pPr>
      <w:r>
        <w:rPr>
          <w:rFonts w:ascii="Arial" w:hAnsi="Arial" w:cs="Arial"/>
          <w:color w:val="0070C0"/>
          <w:sz w:val="24"/>
          <w:szCs w:val="24"/>
        </w:rPr>
        <w:t xml:space="preserve">There are no true-ups to usage amounts unless there is a correction on a bill. The error is corrected on the next settlement month after the error has been noted and has not been material in the past. </w:t>
      </w:r>
    </w:p>
    <w:p w:rsidR="00E500A4" w:rsidRPr="00E500A4" w:rsidRDefault="00E500A4" w:rsidP="00E500A4">
      <w:pPr>
        <w:autoSpaceDE w:val="0"/>
        <w:autoSpaceDN w:val="0"/>
        <w:adjustRightInd w:val="0"/>
        <w:spacing w:after="0" w:line="240" w:lineRule="auto"/>
        <w:ind w:left="1077"/>
        <w:rPr>
          <w:rFonts w:ascii="Arial" w:hAnsi="Arial" w:cs="Arial"/>
          <w:color w:val="0070C0"/>
          <w:sz w:val="24"/>
          <w:szCs w:val="24"/>
        </w:rPr>
      </w:pPr>
    </w:p>
    <w:p w:rsidR="004E18E0" w:rsidRDefault="004E18E0" w:rsidP="004E18E0">
      <w:pPr>
        <w:autoSpaceDE w:val="0"/>
        <w:autoSpaceDN w:val="0"/>
        <w:adjustRightInd w:val="0"/>
        <w:spacing w:after="0" w:line="240" w:lineRule="auto"/>
        <w:ind w:left="1440" w:hanging="360"/>
        <w:rPr>
          <w:rFonts w:ascii="Arial" w:hAnsi="Arial" w:cs="Arial"/>
          <w:color w:val="000000"/>
          <w:sz w:val="24"/>
          <w:szCs w:val="24"/>
        </w:rPr>
      </w:pPr>
      <w:r>
        <w:rPr>
          <w:rFonts w:ascii="Helv" w:hAnsi="Helv" w:cs="Helv"/>
          <w:color w:val="000000"/>
          <w:sz w:val="20"/>
          <w:szCs w:val="20"/>
        </w:rPr>
        <w:t>c.</w:t>
      </w:r>
      <w:r>
        <w:rPr>
          <w:rFonts w:ascii="Helv" w:hAnsi="Helv" w:cs="Helv"/>
          <w:color w:val="000000"/>
          <w:sz w:val="20"/>
          <w:szCs w:val="20"/>
        </w:rPr>
        <w:tab/>
      </w:r>
      <w:r>
        <w:rPr>
          <w:rFonts w:ascii="Arial" w:hAnsi="Arial" w:cs="Arial"/>
          <w:color w:val="000000"/>
          <w:sz w:val="24"/>
          <w:szCs w:val="24"/>
        </w:rPr>
        <w:t xml:space="preserve">Has CT 1142 been trued up for with the IESO for all of 2017? </w:t>
      </w:r>
    </w:p>
    <w:p w:rsidR="00E500A4" w:rsidRDefault="00E500A4" w:rsidP="004E18E0">
      <w:pPr>
        <w:autoSpaceDE w:val="0"/>
        <w:autoSpaceDN w:val="0"/>
        <w:adjustRightInd w:val="0"/>
        <w:spacing w:after="0" w:line="240" w:lineRule="auto"/>
        <w:ind w:left="1440" w:hanging="360"/>
        <w:rPr>
          <w:rFonts w:ascii="Arial" w:hAnsi="Arial" w:cs="Arial"/>
          <w:color w:val="000000"/>
          <w:sz w:val="24"/>
          <w:szCs w:val="24"/>
        </w:rPr>
      </w:pPr>
    </w:p>
    <w:p w:rsidR="00E500A4" w:rsidRDefault="00E500A4" w:rsidP="004E18E0">
      <w:pPr>
        <w:autoSpaceDE w:val="0"/>
        <w:autoSpaceDN w:val="0"/>
        <w:adjustRightInd w:val="0"/>
        <w:spacing w:after="0" w:line="240" w:lineRule="auto"/>
        <w:ind w:left="1440" w:hanging="360"/>
        <w:rPr>
          <w:rFonts w:ascii="Arial" w:hAnsi="Arial" w:cs="Arial"/>
          <w:color w:val="0070C0"/>
          <w:sz w:val="24"/>
          <w:szCs w:val="24"/>
        </w:rPr>
      </w:pPr>
      <w:r>
        <w:rPr>
          <w:rFonts w:ascii="Arial" w:hAnsi="Arial" w:cs="Arial"/>
          <w:color w:val="0070C0"/>
          <w:sz w:val="24"/>
          <w:szCs w:val="24"/>
        </w:rPr>
        <w:t xml:space="preserve">Since there are no true-ups, CT 1142 includes all of the usage for 2017. </w:t>
      </w:r>
    </w:p>
    <w:p w:rsidR="00E500A4" w:rsidRPr="00E500A4" w:rsidRDefault="00E500A4" w:rsidP="004E18E0">
      <w:pPr>
        <w:autoSpaceDE w:val="0"/>
        <w:autoSpaceDN w:val="0"/>
        <w:adjustRightInd w:val="0"/>
        <w:spacing w:after="0" w:line="240" w:lineRule="auto"/>
        <w:ind w:left="1440" w:hanging="360"/>
        <w:rPr>
          <w:rFonts w:ascii="Arial" w:hAnsi="Arial" w:cs="Arial"/>
          <w:color w:val="0070C0"/>
          <w:sz w:val="24"/>
          <w:szCs w:val="24"/>
        </w:rPr>
      </w:pPr>
    </w:p>
    <w:p w:rsidR="004E18E0" w:rsidRDefault="004E18E0" w:rsidP="004E18E0">
      <w:pPr>
        <w:autoSpaceDE w:val="0"/>
        <w:autoSpaceDN w:val="0"/>
        <w:adjustRightInd w:val="0"/>
        <w:spacing w:after="0" w:line="240" w:lineRule="auto"/>
        <w:ind w:left="1440" w:hanging="360"/>
        <w:rPr>
          <w:rFonts w:ascii="Arial" w:hAnsi="Arial" w:cs="Arial"/>
          <w:color w:val="000000"/>
          <w:sz w:val="24"/>
          <w:szCs w:val="24"/>
        </w:rPr>
      </w:pPr>
      <w:r>
        <w:rPr>
          <w:rFonts w:ascii="Helv" w:hAnsi="Helv" w:cs="Helv"/>
          <w:color w:val="000000"/>
          <w:sz w:val="20"/>
          <w:szCs w:val="20"/>
        </w:rPr>
        <w:t>d.</w:t>
      </w:r>
      <w:r>
        <w:rPr>
          <w:rFonts w:ascii="Helv" w:hAnsi="Helv" w:cs="Helv"/>
          <w:color w:val="000000"/>
          <w:sz w:val="20"/>
          <w:szCs w:val="20"/>
        </w:rPr>
        <w:tab/>
      </w:r>
      <w:r>
        <w:rPr>
          <w:rFonts w:ascii="Arial" w:hAnsi="Arial" w:cs="Arial"/>
          <w:color w:val="000000"/>
          <w:sz w:val="24"/>
          <w:szCs w:val="24"/>
        </w:rPr>
        <w:t>Which months from 2017 were trued up in 2018?</w:t>
      </w:r>
    </w:p>
    <w:p w:rsidR="00E500A4" w:rsidRDefault="00E500A4" w:rsidP="004E18E0">
      <w:pPr>
        <w:autoSpaceDE w:val="0"/>
        <w:autoSpaceDN w:val="0"/>
        <w:adjustRightInd w:val="0"/>
        <w:spacing w:after="0" w:line="240" w:lineRule="auto"/>
        <w:ind w:left="1440" w:hanging="360"/>
        <w:rPr>
          <w:rFonts w:ascii="Arial" w:hAnsi="Arial" w:cs="Arial"/>
          <w:color w:val="000000"/>
          <w:sz w:val="24"/>
          <w:szCs w:val="24"/>
        </w:rPr>
      </w:pPr>
    </w:p>
    <w:p w:rsidR="00E500A4" w:rsidRDefault="00E500A4" w:rsidP="004E18E0">
      <w:pPr>
        <w:autoSpaceDE w:val="0"/>
        <w:autoSpaceDN w:val="0"/>
        <w:adjustRightInd w:val="0"/>
        <w:spacing w:after="0" w:line="240" w:lineRule="auto"/>
        <w:ind w:left="1440" w:hanging="360"/>
        <w:rPr>
          <w:rFonts w:ascii="Arial" w:hAnsi="Arial" w:cs="Arial"/>
          <w:color w:val="0070C0"/>
          <w:sz w:val="24"/>
          <w:szCs w:val="24"/>
        </w:rPr>
      </w:pPr>
      <w:r>
        <w:rPr>
          <w:rFonts w:ascii="Arial" w:hAnsi="Arial" w:cs="Arial"/>
          <w:color w:val="0070C0"/>
          <w:sz w:val="24"/>
          <w:szCs w:val="24"/>
        </w:rPr>
        <w:lastRenderedPageBreak/>
        <w:t xml:space="preserve">None. </w:t>
      </w:r>
    </w:p>
    <w:p w:rsidR="00E500A4" w:rsidRPr="00E500A4" w:rsidRDefault="00E500A4" w:rsidP="004E18E0">
      <w:pPr>
        <w:autoSpaceDE w:val="0"/>
        <w:autoSpaceDN w:val="0"/>
        <w:adjustRightInd w:val="0"/>
        <w:spacing w:after="0" w:line="240" w:lineRule="auto"/>
        <w:ind w:left="1440" w:hanging="360"/>
        <w:rPr>
          <w:rFonts w:ascii="Arial" w:hAnsi="Arial" w:cs="Arial"/>
          <w:color w:val="0070C0"/>
          <w:sz w:val="24"/>
          <w:szCs w:val="24"/>
        </w:rPr>
      </w:pPr>
    </w:p>
    <w:p w:rsidR="004E18E0" w:rsidRDefault="004E18E0" w:rsidP="004E18E0">
      <w:pPr>
        <w:autoSpaceDE w:val="0"/>
        <w:autoSpaceDN w:val="0"/>
        <w:adjustRightInd w:val="0"/>
        <w:spacing w:after="0" w:line="240" w:lineRule="auto"/>
        <w:ind w:left="1440" w:hanging="360"/>
        <w:rPr>
          <w:rFonts w:ascii="Arial" w:hAnsi="Arial" w:cs="Arial"/>
          <w:color w:val="000000"/>
          <w:sz w:val="24"/>
          <w:szCs w:val="24"/>
        </w:rPr>
      </w:pPr>
      <w:r>
        <w:rPr>
          <w:rFonts w:ascii="Helv" w:hAnsi="Helv" w:cs="Helv"/>
          <w:color w:val="000000"/>
          <w:sz w:val="20"/>
          <w:szCs w:val="20"/>
        </w:rPr>
        <w:t>e.</w:t>
      </w:r>
      <w:r>
        <w:rPr>
          <w:rFonts w:ascii="Helv" w:hAnsi="Helv" w:cs="Helv"/>
          <w:color w:val="000000"/>
          <w:sz w:val="20"/>
          <w:szCs w:val="20"/>
        </w:rPr>
        <w:tab/>
      </w:r>
      <w:r>
        <w:rPr>
          <w:rFonts w:ascii="Arial" w:hAnsi="Arial" w:cs="Arial"/>
          <w:color w:val="000000"/>
          <w:sz w:val="24"/>
          <w:szCs w:val="24"/>
        </w:rPr>
        <w:t>Have all of the 2017 related true-up been reflected in the applicant’s DVA Continuity Schedule in this proceeding?</w:t>
      </w:r>
    </w:p>
    <w:p w:rsidR="00E500A4" w:rsidRDefault="00E500A4" w:rsidP="004E18E0">
      <w:pPr>
        <w:autoSpaceDE w:val="0"/>
        <w:autoSpaceDN w:val="0"/>
        <w:adjustRightInd w:val="0"/>
        <w:spacing w:after="0" w:line="240" w:lineRule="auto"/>
        <w:ind w:left="1440" w:hanging="360"/>
        <w:rPr>
          <w:rFonts w:ascii="Arial" w:hAnsi="Arial" w:cs="Arial"/>
          <w:color w:val="000000"/>
          <w:sz w:val="24"/>
          <w:szCs w:val="24"/>
        </w:rPr>
      </w:pPr>
    </w:p>
    <w:p w:rsidR="00E500A4" w:rsidRPr="00E500A4" w:rsidRDefault="00E500A4" w:rsidP="00C4359E">
      <w:pPr>
        <w:autoSpaceDE w:val="0"/>
        <w:autoSpaceDN w:val="0"/>
        <w:adjustRightInd w:val="0"/>
        <w:spacing w:after="0" w:line="240" w:lineRule="auto"/>
        <w:ind w:left="1077"/>
        <w:rPr>
          <w:rFonts w:ascii="Arial" w:hAnsi="Arial" w:cs="Arial"/>
          <w:color w:val="0070C0"/>
          <w:sz w:val="24"/>
          <w:szCs w:val="24"/>
        </w:rPr>
      </w:pPr>
      <w:r>
        <w:rPr>
          <w:rFonts w:ascii="Arial" w:hAnsi="Arial" w:cs="Arial"/>
          <w:color w:val="0070C0"/>
          <w:sz w:val="24"/>
          <w:szCs w:val="24"/>
        </w:rPr>
        <w:t xml:space="preserve">As noted above, </w:t>
      </w:r>
      <w:r w:rsidR="00DA34FB">
        <w:rPr>
          <w:rFonts w:ascii="Arial" w:hAnsi="Arial" w:cs="Arial"/>
          <w:color w:val="0070C0"/>
          <w:sz w:val="24"/>
          <w:szCs w:val="24"/>
        </w:rPr>
        <w:t>there are no true-ups, therefore all 2017 has been reflected in the DVA Continuity Schedule.</w:t>
      </w:r>
    </w:p>
    <w:p w:rsidR="00E500A4" w:rsidRDefault="00E500A4" w:rsidP="004E18E0">
      <w:pPr>
        <w:autoSpaceDE w:val="0"/>
        <w:autoSpaceDN w:val="0"/>
        <w:adjustRightInd w:val="0"/>
        <w:spacing w:after="0" w:line="240" w:lineRule="auto"/>
        <w:ind w:left="1440" w:hanging="360"/>
        <w:rPr>
          <w:rFonts w:ascii="Arial" w:hAnsi="Arial" w:cs="Arial"/>
          <w:color w:val="000000"/>
          <w:sz w:val="24"/>
          <w:szCs w:val="24"/>
        </w:rPr>
      </w:pPr>
    </w:p>
    <w:p w:rsidR="004E18E0" w:rsidRDefault="004E18E0" w:rsidP="004E18E0">
      <w:pPr>
        <w:autoSpaceDE w:val="0"/>
        <w:autoSpaceDN w:val="0"/>
        <w:adjustRightInd w:val="0"/>
        <w:spacing w:after="0" w:line="240" w:lineRule="auto"/>
        <w:ind w:left="1440" w:hanging="360"/>
        <w:rPr>
          <w:rFonts w:ascii="Arial" w:hAnsi="Arial" w:cs="Arial"/>
          <w:color w:val="000000"/>
          <w:sz w:val="24"/>
          <w:szCs w:val="24"/>
        </w:rPr>
      </w:pPr>
      <w:r>
        <w:rPr>
          <w:rFonts w:ascii="Helv" w:hAnsi="Helv" w:cs="Helv"/>
          <w:color w:val="000000"/>
          <w:sz w:val="20"/>
          <w:szCs w:val="20"/>
        </w:rPr>
        <w:t>f.</w:t>
      </w:r>
      <w:r>
        <w:rPr>
          <w:rFonts w:ascii="Helv" w:hAnsi="Helv" w:cs="Helv"/>
          <w:color w:val="000000"/>
          <w:sz w:val="20"/>
          <w:szCs w:val="20"/>
        </w:rPr>
        <w:tab/>
      </w:r>
      <w:r>
        <w:rPr>
          <w:rFonts w:ascii="Arial" w:hAnsi="Arial" w:cs="Arial"/>
          <w:color w:val="000000"/>
          <w:sz w:val="24"/>
          <w:szCs w:val="24"/>
        </w:rPr>
        <w:t>Please quantify the amount reflected in the DVA Continuity Schedule, and the column where it is included.</w:t>
      </w:r>
    </w:p>
    <w:p w:rsidR="00DA34FB" w:rsidRDefault="00DA34FB" w:rsidP="004E18E0">
      <w:pPr>
        <w:autoSpaceDE w:val="0"/>
        <w:autoSpaceDN w:val="0"/>
        <w:adjustRightInd w:val="0"/>
        <w:spacing w:after="0" w:line="240" w:lineRule="auto"/>
        <w:ind w:left="1440" w:hanging="360"/>
        <w:rPr>
          <w:rFonts w:ascii="Arial" w:hAnsi="Arial" w:cs="Arial"/>
          <w:color w:val="000000"/>
          <w:sz w:val="24"/>
          <w:szCs w:val="24"/>
        </w:rPr>
      </w:pPr>
    </w:p>
    <w:p w:rsidR="00DA34FB" w:rsidRPr="00C4359E" w:rsidRDefault="00C4359E" w:rsidP="00C4359E">
      <w:pPr>
        <w:autoSpaceDE w:val="0"/>
        <w:autoSpaceDN w:val="0"/>
        <w:adjustRightInd w:val="0"/>
        <w:spacing w:after="0" w:line="240" w:lineRule="auto"/>
        <w:ind w:left="1077"/>
        <w:rPr>
          <w:rFonts w:ascii="Arial" w:hAnsi="Arial" w:cs="Arial"/>
          <w:color w:val="0070C0"/>
          <w:sz w:val="24"/>
          <w:szCs w:val="24"/>
        </w:rPr>
      </w:pPr>
      <w:r w:rsidRPr="00C4359E">
        <w:rPr>
          <w:rFonts w:ascii="Arial" w:hAnsi="Arial" w:cs="Arial"/>
          <w:color w:val="0070C0"/>
          <w:sz w:val="24"/>
          <w:szCs w:val="24"/>
        </w:rPr>
        <w:t>The Closing Principal Balances as of December 31, 2017 Adjusted for Disposition during 2018 in column BO of the Continuity Schedule $995,825</w:t>
      </w:r>
      <w:r w:rsidR="00B44A15">
        <w:rPr>
          <w:rFonts w:ascii="Arial" w:hAnsi="Arial" w:cs="Arial"/>
          <w:color w:val="0070C0"/>
          <w:sz w:val="24"/>
          <w:szCs w:val="24"/>
        </w:rPr>
        <w:t xml:space="preserve"> for GA 1589</w:t>
      </w:r>
      <w:r w:rsidRPr="00C4359E">
        <w:rPr>
          <w:rFonts w:ascii="Arial" w:hAnsi="Arial" w:cs="Arial"/>
          <w:color w:val="0070C0"/>
          <w:sz w:val="24"/>
          <w:szCs w:val="24"/>
        </w:rPr>
        <w:t xml:space="preserve">. This is the same amount that is included in the Net Change in Principal Balance in the GL on the GA Analysis Workform. </w:t>
      </w:r>
      <w:r w:rsidR="00B44A15">
        <w:rPr>
          <w:rFonts w:ascii="Arial" w:hAnsi="Arial" w:cs="Arial"/>
          <w:color w:val="0070C0"/>
          <w:sz w:val="24"/>
          <w:szCs w:val="24"/>
        </w:rPr>
        <w:t>The amount in the same column for 1588 is ($1,477,345).</w:t>
      </w:r>
    </w:p>
    <w:p w:rsidR="004E18E0" w:rsidRDefault="004E18E0" w:rsidP="004E18E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
    <w:p w:rsidR="004E18E0" w:rsidRDefault="004E18E0" w:rsidP="004E18E0">
      <w:pPr>
        <w:autoSpaceDE w:val="0"/>
        <w:autoSpaceDN w:val="0"/>
        <w:adjustRightInd w:val="0"/>
        <w:spacing w:after="0" w:line="240" w:lineRule="auto"/>
        <w:ind w:left="720" w:hanging="360"/>
        <w:rPr>
          <w:rFonts w:ascii="Arial" w:hAnsi="Arial" w:cs="Arial"/>
          <w:color w:val="000000"/>
          <w:sz w:val="24"/>
          <w:szCs w:val="24"/>
          <w:u w:val="single"/>
        </w:rPr>
      </w:pPr>
      <w:r>
        <w:rPr>
          <w:rFonts w:ascii="Helv" w:hAnsi="Helv" w:cs="Helv"/>
          <w:color w:val="000000"/>
          <w:sz w:val="20"/>
          <w:szCs w:val="20"/>
        </w:rPr>
        <w:t>3.</w:t>
      </w:r>
      <w:r>
        <w:rPr>
          <w:rFonts w:ascii="Helv" w:hAnsi="Helv" w:cs="Helv"/>
          <w:color w:val="000000"/>
          <w:sz w:val="20"/>
          <w:szCs w:val="20"/>
        </w:rPr>
        <w:tab/>
      </w:r>
      <w:r>
        <w:rPr>
          <w:rFonts w:ascii="Arial" w:hAnsi="Arial" w:cs="Arial"/>
          <w:color w:val="000000"/>
          <w:sz w:val="24"/>
          <w:szCs w:val="24"/>
          <w:u w:val="single"/>
        </w:rPr>
        <w:t>Questions on CT 148</w:t>
      </w:r>
    </w:p>
    <w:p w:rsidR="004E18E0" w:rsidRDefault="004E18E0" w:rsidP="004E18E0">
      <w:pPr>
        <w:autoSpaceDE w:val="0"/>
        <w:autoSpaceDN w:val="0"/>
        <w:adjustRightInd w:val="0"/>
        <w:spacing w:before="240" w:after="0" w:line="240" w:lineRule="auto"/>
        <w:ind w:left="1440"/>
        <w:rPr>
          <w:rFonts w:ascii="Arial" w:hAnsi="Arial" w:cs="Arial"/>
          <w:color w:val="000000"/>
          <w:sz w:val="24"/>
          <w:szCs w:val="24"/>
        </w:rPr>
      </w:pPr>
      <w:r>
        <w:rPr>
          <w:rFonts w:ascii="Arial" w:hAnsi="Arial" w:cs="Arial"/>
          <w:color w:val="000000"/>
          <w:sz w:val="24"/>
          <w:szCs w:val="24"/>
        </w:rPr>
        <w:t>a.     Please describe the process for the initial recording of CT 148 in the accounts (i.e. 1588 and 1589).</w:t>
      </w:r>
    </w:p>
    <w:p w:rsidR="007E21F5" w:rsidRPr="00107D10" w:rsidRDefault="00107D10" w:rsidP="00107D10">
      <w:pPr>
        <w:autoSpaceDE w:val="0"/>
        <w:autoSpaceDN w:val="0"/>
        <w:adjustRightInd w:val="0"/>
        <w:spacing w:before="240" w:after="0" w:line="240" w:lineRule="auto"/>
        <w:ind w:left="1440"/>
        <w:rPr>
          <w:rFonts w:ascii="Arial" w:hAnsi="Arial" w:cs="Arial"/>
          <w:color w:val="0070C0"/>
          <w:sz w:val="24"/>
          <w:szCs w:val="24"/>
        </w:rPr>
      </w:pPr>
      <w:r>
        <w:rPr>
          <w:rFonts w:ascii="Arial" w:hAnsi="Arial" w:cs="Arial"/>
          <w:color w:val="0070C0"/>
          <w:sz w:val="24"/>
          <w:szCs w:val="24"/>
        </w:rPr>
        <w:t xml:space="preserve">As noted above in 2a) </w:t>
      </w:r>
      <w:r w:rsidRPr="00F616CE">
        <w:rPr>
          <w:rFonts w:ascii="Arial" w:hAnsi="Arial" w:cs="Arial"/>
          <w:color w:val="0070C0"/>
          <w:sz w:val="24"/>
          <w:szCs w:val="24"/>
        </w:rPr>
        <w:t>In order to determine the full GA for all customers, Waterloo North Hydro (WNH) multiplies Waterloo North Hydro's total system load (kWh) by the Class B second estimate ($/MWh converted to $/kWh) for the settlement month. The dollar value associated with Class A usage is subtracted from the total Global Adjustment amount to determine the Class B Global Adjustment amount (CT 148).</w:t>
      </w:r>
      <w:r>
        <w:rPr>
          <w:rFonts w:ascii="Arial" w:hAnsi="Arial" w:cs="Arial"/>
          <w:color w:val="0070C0"/>
          <w:sz w:val="24"/>
          <w:szCs w:val="24"/>
        </w:rPr>
        <w:t xml:space="preserve"> This is recorded in 1589. The RPP portion of GA is removed from 1589 as noted above and included on CT 1142. This allows for all RPP GA to be fully settled through </w:t>
      </w:r>
      <w:r w:rsidR="00EE48E7">
        <w:rPr>
          <w:rFonts w:ascii="Arial" w:hAnsi="Arial" w:cs="Arial"/>
          <w:color w:val="0070C0"/>
          <w:sz w:val="24"/>
          <w:szCs w:val="24"/>
        </w:rPr>
        <w:t>1588 the IESO settlement process</w:t>
      </w:r>
      <w:r>
        <w:rPr>
          <w:rFonts w:ascii="Arial" w:hAnsi="Arial" w:cs="Arial"/>
          <w:color w:val="0070C0"/>
          <w:sz w:val="24"/>
          <w:szCs w:val="24"/>
        </w:rPr>
        <w:t xml:space="preserve"> leaving $0 in 1589 for RPP customers.  </w:t>
      </w:r>
    </w:p>
    <w:p w:rsidR="004E18E0" w:rsidRDefault="004E18E0" w:rsidP="004E18E0">
      <w:pPr>
        <w:autoSpaceDE w:val="0"/>
        <w:autoSpaceDN w:val="0"/>
        <w:adjustRightInd w:val="0"/>
        <w:spacing w:before="240" w:after="0" w:line="240" w:lineRule="auto"/>
        <w:ind w:left="1440"/>
        <w:rPr>
          <w:rFonts w:ascii="Arial" w:hAnsi="Arial" w:cs="Arial"/>
          <w:color w:val="000000"/>
          <w:sz w:val="24"/>
          <w:szCs w:val="24"/>
        </w:rPr>
      </w:pPr>
      <w:r>
        <w:rPr>
          <w:rFonts w:ascii="Arial" w:hAnsi="Arial" w:cs="Arial"/>
          <w:color w:val="000000"/>
          <w:sz w:val="24"/>
          <w:szCs w:val="24"/>
        </w:rPr>
        <w:t xml:space="preserve">b.     Please describe the process for true up of the GA related cost to ensure that the amounts reflected in Account 1588 are related to RPP GA costs and amounts in 1589 are related to only non-RPP GA costs. </w:t>
      </w:r>
    </w:p>
    <w:p w:rsidR="00EE48E7" w:rsidRPr="00EE48E7" w:rsidRDefault="00EE48E7" w:rsidP="00EE48E7">
      <w:pPr>
        <w:autoSpaceDE w:val="0"/>
        <w:autoSpaceDN w:val="0"/>
        <w:adjustRightInd w:val="0"/>
        <w:spacing w:before="240" w:after="0" w:line="240" w:lineRule="auto"/>
        <w:ind w:left="1440"/>
        <w:rPr>
          <w:rFonts w:ascii="Arial" w:hAnsi="Arial" w:cs="Arial"/>
          <w:color w:val="0070C0"/>
          <w:sz w:val="24"/>
          <w:szCs w:val="24"/>
        </w:rPr>
      </w:pPr>
      <w:r w:rsidRPr="00EE48E7">
        <w:rPr>
          <w:rFonts w:ascii="Arial" w:hAnsi="Arial" w:cs="Arial"/>
          <w:color w:val="0070C0"/>
          <w:sz w:val="24"/>
          <w:szCs w:val="24"/>
        </w:rPr>
        <w:t xml:space="preserve">As noted above there are no true-ups for GA related costs with the exception of corrections of bills. If there are corrections, they are included in the following month’s settlement after the error has been found. WNH determines the type of customer by an internal rate code. Only non-RPP rate codes are included in the 1589 usage amounts. </w:t>
      </w:r>
    </w:p>
    <w:p w:rsidR="004E18E0" w:rsidRDefault="004E18E0" w:rsidP="004E18E0">
      <w:pPr>
        <w:autoSpaceDE w:val="0"/>
        <w:autoSpaceDN w:val="0"/>
        <w:adjustRightInd w:val="0"/>
        <w:spacing w:before="240" w:after="0" w:line="240" w:lineRule="auto"/>
        <w:ind w:left="1440"/>
        <w:rPr>
          <w:rFonts w:ascii="Arial" w:hAnsi="Arial" w:cs="Arial"/>
          <w:color w:val="000000"/>
          <w:sz w:val="24"/>
          <w:szCs w:val="24"/>
        </w:rPr>
      </w:pPr>
      <w:r>
        <w:rPr>
          <w:rFonts w:ascii="Arial" w:hAnsi="Arial" w:cs="Arial"/>
          <w:color w:val="000000"/>
          <w:sz w:val="24"/>
          <w:szCs w:val="24"/>
        </w:rPr>
        <w:t>c.     What data is used to determine the non-RPP kWh volume that is multiplied with the actual GA per kWh rate (based on CT 148) for recording as expense in Account 1589 for initial recording of the GA expense?</w:t>
      </w:r>
    </w:p>
    <w:p w:rsidR="00EE48E7" w:rsidRPr="00EE48E7" w:rsidRDefault="00EE48E7" w:rsidP="004E18E0">
      <w:pPr>
        <w:autoSpaceDE w:val="0"/>
        <w:autoSpaceDN w:val="0"/>
        <w:adjustRightInd w:val="0"/>
        <w:spacing w:before="240" w:after="0" w:line="240" w:lineRule="auto"/>
        <w:ind w:left="1440"/>
        <w:rPr>
          <w:rFonts w:ascii="Arial" w:hAnsi="Arial" w:cs="Arial"/>
          <w:color w:val="0070C0"/>
          <w:sz w:val="24"/>
          <w:szCs w:val="24"/>
        </w:rPr>
      </w:pPr>
      <w:r w:rsidRPr="00EE48E7">
        <w:rPr>
          <w:rFonts w:ascii="Arial" w:hAnsi="Arial" w:cs="Arial"/>
          <w:color w:val="0070C0"/>
          <w:sz w:val="24"/>
          <w:szCs w:val="24"/>
        </w:rPr>
        <w:lastRenderedPageBreak/>
        <w:t xml:space="preserve">The non-RPP kWh volume billed in the month is recorded as expense in Account 1589. </w:t>
      </w:r>
      <w:r>
        <w:rPr>
          <w:rFonts w:ascii="Arial" w:hAnsi="Arial" w:cs="Arial"/>
          <w:color w:val="0070C0"/>
          <w:sz w:val="24"/>
          <w:szCs w:val="24"/>
        </w:rPr>
        <w:t>WNH has reports to determine the full</w:t>
      </w:r>
      <w:r w:rsidR="00B44A15">
        <w:rPr>
          <w:rFonts w:ascii="Arial" w:hAnsi="Arial" w:cs="Arial"/>
          <w:color w:val="0070C0"/>
          <w:sz w:val="24"/>
          <w:szCs w:val="24"/>
        </w:rPr>
        <w:t xml:space="preserve"> amount ‘billed’ for non-RPP customers with the corresponding usage. This billed amount is based on the first estimate. The same usage is used when the actual GA rate has been provided. The difference is what remains in 1589. </w:t>
      </w:r>
    </w:p>
    <w:p w:rsidR="004E18E0" w:rsidRDefault="004E18E0" w:rsidP="004E18E0">
      <w:pPr>
        <w:autoSpaceDE w:val="0"/>
        <w:autoSpaceDN w:val="0"/>
        <w:adjustRightInd w:val="0"/>
        <w:spacing w:before="240" w:after="0" w:line="240" w:lineRule="auto"/>
        <w:ind w:left="1440"/>
        <w:rPr>
          <w:rFonts w:ascii="Arial" w:hAnsi="Arial" w:cs="Arial"/>
          <w:color w:val="000000"/>
          <w:sz w:val="24"/>
          <w:szCs w:val="24"/>
        </w:rPr>
      </w:pPr>
      <w:r>
        <w:rPr>
          <w:rFonts w:ascii="Arial" w:hAnsi="Arial" w:cs="Arial"/>
          <w:color w:val="000000"/>
          <w:sz w:val="24"/>
          <w:szCs w:val="24"/>
        </w:rPr>
        <w:t>d.     Does the utility true up the initial recording of CT 148 in Accounts 1588 and 1589 based on estimated proportions to actuals based on actual consumption proportions for RPP and non-RPP?</w:t>
      </w:r>
    </w:p>
    <w:p w:rsidR="00B44A15" w:rsidRPr="00B44A15" w:rsidRDefault="00B44A15" w:rsidP="004E18E0">
      <w:pPr>
        <w:autoSpaceDE w:val="0"/>
        <w:autoSpaceDN w:val="0"/>
        <w:adjustRightInd w:val="0"/>
        <w:spacing w:before="240" w:after="0" w:line="240" w:lineRule="auto"/>
        <w:ind w:left="1440"/>
        <w:rPr>
          <w:rFonts w:ascii="Arial" w:hAnsi="Arial" w:cs="Arial"/>
          <w:color w:val="0070C0"/>
          <w:sz w:val="24"/>
          <w:szCs w:val="24"/>
        </w:rPr>
      </w:pPr>
      <w:r w:rsidRPr="00B44A15">
        <w:rPr>
          <w:rFonts w:ascii="Arial" w:hAnsi="Arial" w:cs="Arial"/>
          <w:color w:val="0070C0"/>
          <w:sz w:val="24"/>
          <w:szCs w:val="24"/>
        </w:rPr>
        <w:t xml:space="preserve">No true-ups. </w:t>
      </w:r>
      <w:r>
        <w:rPr>
          <w:rFonts w:ascii="Arial" w:hAnsi="Arial" w:cs="Arial"/>
          <w:color w:val="0070C0"/>
          <w:sz w:val="24"/>
          <w:szCs w:val="24"/>
        </w:rPr>
        <w:t xml:space="preserve">The amounts initially recorded are based on billed </w:t>
      </w:r>
      <w:proofErr w:type="spellStart"/>
      <w:r>
        <w:rPr>
          <w:rFonts w:ascii="Arial" w:hAnsi="Arial" w:cs="Arial"/>
          <w:color w:val="0070C0"/>
          <w:sz w:val="24"/>
          <w:szCs w:val="24"/>
        </w:rPr>
        <w:t>kWhs</w:t>
      </w:r>
      <w:proofErr w:type="spellEnd"/>
      <w:r>
        <w:rPr>
          <w:rFonts w:ascii="Arial" w:hAnsi="Arial" w:cs="Arial"/>
          <w:color w:val="0070C0"/>
          <w:sz w:val="24"/>
          <w:szCs w:val="24"/>
        </w:rPr>
        <w:t xml:space="preserve">. </w:t>
      </w:r>
    </w:p>
    <w:p w:rsidR="004E18E0" w:rsidRDefault="004E18E0" w:rsidP="004E18E0">
      <w:pPr>
        <w:autoSpaceDE w:val="0"/>
        <w:autoSpaceDN w:val="0"/>
        <w:adjustRightInd w:val="0"/>
        <w:spacing w:before="240" w:after="0" w:line="240" w:lineRule="auto"/>
        <w:ind w:left="1440"/>
        <w:rPr>
          <w:rFonts w:ascii="Arial" w:hAnsi="Arial" w:cs="Arial"/>
          <w:color w:val="000000"/>
          <w:sz w:val="24"/>
          <w:szCs w:val="24"/>
        </w:rPr>
      </w:pPr>
      <w:r>
        <w:rPr>
          <w:rFonts w:ascii="Arial" w:hAnsi="Arial" w:cs="Arial"/>
          <w:color w:val="000000"/>
          <w:sz w:val="24"/>
          <w:szCs w:val="24"/>
        </w:rPr>
        <w:t>e.     Please indicate which months from 2017 were trued up in 2018 for CT 148 proportions between RPP and non-RPP.</w:t>
      </w:r>
    </w:p>
    <w:p w:rsidR="00B44A15" w:rsidRPr="00B44A15" w:rsidRDefault="00B44A15" w:rsidP="004E18E0">
      <w:pPr>
        <w:autoSpaceDE w:val="0"/>
        <w:autoSpaceDN w:val="0"/>
        <w:adjustRightInd w:val="0"/>
        <w:spacing w:before="240" w:after="0" w:line="240" w:lineRule="auto"/>
        <w:ind w:left="1440"/>
        <w:rPr>
          <w:rFonts w:ascii="Arial" w:hAnsi="Arial" w:cs="Arial"/>
          <w:color w:val="0070C0"/>
          <w:sz w:val="24"/>
          <w:szCs w:val="24"/>
        </w:rPr>
      </w:pPr>
      <w:r>
        <w:rPr>
          <w:rFonts w:ascii="Arial" w:hAnsi="Arial" w:cs="Arial"/>
          <w:color w:val="0070C0"/>
          <w:sz w:val="24"/>
          <w:szCs w:val="24"/>
        </w:rPr>
        <w:t xml:space="preserve">No true-ups. All transactions for 2017 have been included in 2017. </w:t>
      </w:r>
    </w:p>
    <w:p w:rsidR="004E18E0" w:rsidRDefault="004E18E0" w:rsidP="004E18E0">
      <w:pPr>
        <w:autoSpaceDE w:val="0"/>
        <w:autoSpaceDN w:val="0"/>
        <w:adjustRightInd w:val="0"/>
        <w:spacing w:before="240" w:after="0" w:line="240" w:lineRule="auto"/>
        <w:ind w:left="1440"/>
        <w:rPr>
          <w:rFonts w:ascii="Arial" w:hAnsi="Arial" w:cs="Arial"/>
          <w:color w:val="000000"/>
          <w:sz w:val="24"/>
          <w:szCs w:val="24"/>
        </w:rPr>
      </w:pPr>
      <w:r>
        <w:rPr>
          <w:rFonts w:ascii="Arial" w:hAnsi="Arial" w:cs="Arial"/>
          <w:color w:val="000000"/>
          <w:sz w:val="24"/>
          <w:szCs w:val="24"/>
        </w:rPr>
        <w:t>f.       Are all true-ups for 2017 consumption reflected in the DVA Continuity Schedule under 2017.</w:t>
      </w:r>
    </w:p>
    <w:p w:rsidR="00B44A15" w:rsidRPr="00B44A15" w:rsidRDefault="00B44A15" w:rsidP="004E18E0">
      <w:pPr>
        <w:autoSpaceDE w:val="0"/>
        <w:autoSpaceDN w:val="0"/>
        <w:adjustRightInd w:val="0"/>
        <w:spacing w:before="240" w:after="0" w:line="240" w:lineRule="auto"/>
        <w:ind w:left="1440"/>
        <w:rPr>
          <w:rFonts w:ascii="Arial" w:hAnsi="Arial" w:cs="Arial"/>
          <w:color w:val="0070C0"/>
          <w:sz w:val="24"/>
          <w:szCs w:val="24"/>
        </w:rPr>
      </w:pPr>
      <w:r w:rsidRPr="00B44A15">
        <w:rPr>
          <w:rFonts w:ascii="Arial" w:hAnsi="Arial" w:cs="Arial"/>
          <w:color w:val="0070C0"/>
          <w:sz w:val="24"/>
          <w:szCs w:val="24"/>
        </w:rPr>
        <w:t xml:space="preserve">No true-ups, therefore all consumption is reflected in the DVA Continuity Schedule under 2017. </w:t>
      </w:r>
    </w:p>
    <w:p w:rsidR="004E18E0" w:rsidRDefault="004E18E0" w:rsidP="004E18E0">
      <w:pPr>
        <w:autoSpaceDE w:val="0"/>
        <w:autoSpaceDN w:val="0"/>
        <w:adjustRightInd w:val="0"/>
        <w:spacing w:before="240" w:after="0" w:line="240" w:lineRule="auto"/>
        <w:ind w:left="1440"/>
        <w:rPr>
          <w:rFonts w:ascii="Arial" w:hAnsi="Arial" w:cs="Arial"/>
          <w:color w:val="000000"/>
          <w:sz w:val="24"/>
          <w:szCs w:val="24"/>
        </w:rPr>
      </w:pPr>
      <w:r>
        <w:rPr>
          <w:rFonts w:ascii="Arial" w:hAnsi="Arial" w:cs="Arial"/>
          <w:color w:val="000000"/>
          <w:sz w:val="24"/>
          <w:szCs w:val="24"/>
        </w:rPr>
        <w:t>g.     Please quantify the amount reflected in the DVA Continuity Schedule, and the column where it is included.</w:t>
      </w:r>
    </w:p>
    <w:p w:rsidR="00B44A15" w:rsidRDefault="00B44A15" w:rsidP="004E18E0">
      <w:pPr>
        <w:autoSpaceDE w:val="0"/>
        <w:autoSpaceDN w:val="0"/>
        <w:adjustRightInd w:val="0"/>
        <w:spacing w:before="240" w:after="0" w:line="240" w:lineRule="auto"/>
        <w:ind w:left="1440"/>
        <w:rPr>
          <w:rFonts w:ascii="Arial" w:hAnsi="Arial" w:cs="Arial"/>
          <w:color w:val="000000"/>
          <w:sz w:val="24"/>
          <w:szCs w:val="24"/>
        </w:rPr>
      </w:pPr>
    </w:p>
    <w:p w:rsidR="00B44A15" w:rsidRPr="00C4359E" w:rsidRDefault="00B44A15" w:rsidP="00B44A15">
      <w:pPr>
        <w:autoSpaceDE w:val="0"/>
        <w:autoSpaceDN w:val="0"/>
        <w:adjustRightInd w:val="0"/>
        <w:spacing w:after="0" w:line="240" w:lineRule="auto"/>
        <w:ind w:left="1440"/>
        <w:rPr>
          <w:rFonts w:ascii="Arial" w:hAnsi="Arial" w:cs="Arial"/>
          <w:color w:val="0070C0"/>
          <w:sz w:val="24"/>
          <w:szCs w:val="24"/>
        </w:rPr>
      </w:pPr>
      <w:r w:rsidRPr="00B44A15">
        <w:rPr>
          <w:rFonts w:ascii="Arial" w:hAnsi="Arial" w:cs="Arial"/>
          <w:color w:val="0070C0"/>
          <w:sz w:val="24"/>
          <w:szCs w:val="24"/>
        </w:rPr>
        <w:t>As noted above in 2f)</w:t>
      </w:r>
      <w:r w:rsidR="004E18E0" w:rsidRPr="00B44A15">
        <w:rPr>
          <w:rFonts w:ascii="Arial" w:hAnsi="Arial" w:cs="Arial"/>
          <w:color w:val="0070C0"/>
          <w:sz w:val="24"/>
          <w:szCs w:val="24"/>
        </w:rPr>
        <w:t xml:space="preserve"> </w:t>
      </w:r>
      <w:r w:rsidRPr="00B44A15">
        <w:rPr>
          <w:rFonts w:ascii="Arial" w:hAnsi="Arial" w:cs="Arial"/>
          <w:color w:val="0070C0"/>
          <w:sz w:val="24"/>
          <w:szCs w:val="24"/>
        </w:rPr>
        <w:t xml:space="preserve">The </w:t>
      </w:r>
      <w:r w:rsidRPr="00C4359E">
        <w:rPr>
          <w:rFonts w:ascii="Arial" w:hAnsi="Arial" w:cs="Arial"/>
          <w:color w:val="0070C0"/>
          <w:sz w:val="24"/>
          <w:szCs w:val="24"/>
        </w:rPr>
        <w:t>Closing Principal Balances as of December 31, 2017 Adjusted for Disposition during 2018 in column BO of the Continuity Schedule $995,825</w:t>
      </w:r>
      <w:r>
        <w:rPr>
          <w:rFonts w:ascii="Arial" w:hAnsi="Arial" w:cs="Arial"/>
          <w:color w:val="0070C0"/>
          <w:sz w:val="24"/>
          <w:szCs w:val="24"/>
        </w:rPr>
        <w:t xml:space="preserve"> for GA 1589</w:t>
      </w:r>
      <w:r w:rsidRPr="00C4359E">
        <w:rPr>
          <w:rFonts w:ascii="Arial" w:hAnsi="Arial" w:cs="Arial"/>
          <w:color w:val="0070C0"/>
          <w:sz w:val="24"/>
          <w:szCs w:val="24"/>
        </w:rPr>
        <w:t xml:space="preserve">. This is the same amount that is included in the Net Change in Principal Balance in the GL on the GA Analysis Workform. </w:t>
      </w:r>
      <w:r>
        <w:rPr>
          <w:rFonts w:ascii="Arial" w:hAnsi="Arial" w:cs="Arial"/>
          <w:color w:val="0070C0"/>
          <w:sz w:val="24"/>
          <w:szCs w:val="24"/>
        </w:rPr>
        <w:t>The amount in the same column for 1588 is ($1,477,345).</w:t>
      </w:r>
    </w:p>
    <w:p w:rsidR="004E18E0" w:rsidRDefault="004E18E0" w:rsidP="004E18E0">
      <w:pPr>
        <w:autoSpaceDE w:val="0"/>
        <w:autoSpaceDN w:val="0"/>
        <w:adjustRightInd w:val="0"/>
        <w:spacing w:before="240" w:after="0" w:line="240" w:lineRule="auto"/>
        <w:ind w:left="1440"/>
        <w:rPr>
          <w:rFonts w:ascii="Arial" w:hAnsi="Arial" w:cs="Arial"/>
          <w:color w:val="000000"/>
          <w:sz w:val="24"/>
          <w:szCs w:val="24"/>
        </w:rPr>
      </w:pPr>
    </w:p>
    <w:p w:rsidR="004E18E0" w:rsidRDefault="004E18E0" w:rsidP="004E18E0">
      <w:pPr>
        <w:autoSpaceDE w:val="0"/>
        <w:autoSpaceDN w:val="0"/>
        <w:adjustRightInd w:val="0"/>
        <w:spacing w:after="0" w:line="240" w:lineRule="auto"/>
        <w:ind w:left="720" w:hanging="360"/>
        <w:rPr>
          <w:rFonts w:ascii="Arial" w:hAnsi="Arial" w:cs="Arial"/>
          <w:color w:val="000000"/>
          <w:sz w:val="24"/>
          <w:szCs w:val="24"/>
        </w:rPr>
      </w:pPr>
      <w:r>
        <w:rPr>
          <w:rFonts w:ascii="Helv" w:hAnsi="Helv" w:cs="Helv"/>
          <w:color w:val="000000"/>
          <w:sz w:val="20"/>
          <w:szCs w:val="20"/>
        </w:rPr>
        <w:t>4.</w:t>
      </w:r>
      <w:r>
        <w:rPr>
          <w:rFonts w:ascii="Helv" w:hAnsi="Helv" w:cs="Helv"/>
          <w:color w:val="000000"/>
          <w:sz w:val="20"/>
          <w:szCs w:val="20"/>
        </w:rPr>
        <w:tab/>
      </w:r>
      <w:r>
        <w:rPr>
          <w:rFonts w:ascii="Arial" w:hAnsi="Arial" w:cs="Arial"/>
          <w:color w:val="000000"/>
          <w:sz w:val="24"/>
          <w:szCs w:val="24"/>
        </w:rPr>
        <w:t>Questions regarding principal adjustments and reversals on the DVA Continuity Schedule:</w:t>
      </w:r>
    </w:p>
    <w:p w:rsidR="004E18E0" w:rsidRDefault="004E18E0" w:rsidP="004E18E0">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 xml:space="preserve"> </w:t>
      </w:r>
    </w:p>
    <w:p w:rsidR="004E18E0" w:rsidRDefault="004E18E0" w:rsidP="004E18E0">
      <w:pPr>
        <w:autoSpaceDE w:val="0"/>
        <w:autoSpaceDN w:val="0"/>
        <w:adjustRightInd w:val="0"/>
        <w:spacing w:after="0" w:line="240" w:lineRule="auto"/>
        <w:ind w:left="720"/>
        <w:rPr>
          <w:rFonts w:ascii="Arial" w:hAnsi="Arial" w:cs="Arial"/>
          <w:color w:val="000000"/>
          <w:sz w:val="24"/>
          <w:szCs w:val="24"/>
          <w:u w:val="single"/>
        </w:rPr>
      </w:pPr>
      <w:r>
        <w:rPr>
          <w:rFonts w:ascii="Arial" w:hAnsi="Arial" w:cs="Arial"/>
          <w:color w:val="000000"/>
          <w:sz w:val="24"/>
          <w:szCs w:val="24"/>
          <w:u w:val="single"/>
        </w:rPr>
        <w:t>Questions on Principal Adjustments - Accounts 1588 and 1589</w:t>
      </w:r>
    </w:p>
    <w:p w:rsidR="004E18E0" w:rsidRPr="00813E25" w:rsidRDefault="004E18E0" w:rsidP="00813E25">
      <w:pPr>
        <w:pStyle w:val="ListParagraph"/>
        <w:numPr>
          <w:ilvl w:val="0"/>
          <w:numId w:val="1"/>
        </w:numPr>
        <w:autoSpaceDE w:val="0"/>
        <w:autoSpaceDN w:val="0"/>
        <w:adjustRightInd w:val="0"/>
        <w:spacing w:before="240" w:after="0" w:line="240" w:lineRule="auto"/>
        <w:rPr>
          <w:rFonts w:ascii="Arial" w:hAnsi="Arial" w:cs="Arial"/>
          <w:color w:val="000000"/>
          <w:sz w:val="24"/>
          <w:szCs w:val="24"/>
        </w:rPr>
      </w:pPr>
      <w:r w:rsidRPr="00813E25">
        <w:rPr>
          <w:rFonts w:ascii="Arial" w:hAnsi="Arial" w:cs="Arial"/>
          <w:color w:val="000000"/>
          <w:sz w:val="24"/>
          <w:szCs w:val="24"/>
        </w:rPr>
        <w:t>Did the applicant have principal adjustments in its 2018 rate proceeding which were approved for disposition?</w:t>
      </w:r>
    </w:p>
    <w:p w:rsidR="00813E25" w:rsidRDefault="00813E25" w:rsidP="00813E25">
      <w:pPr>
        <w:pStyle w:val="ListParagraph"/>
        <w:autoSpaceDE w:val="0"/>
        <w:autoSpaceDN w:val="0"/>
        <w:adjustRightInd w:val="0"/>
        <w:spacing w:before="240" w:after="0" w:line="240" w:lineRule="auto"/>
        <w:ind w:left="1980"/>
        <w:rPr>
          <w:rFonts w:ascii="Arial" w:hAnsi="Arial" w:cs="Arial"/>
          <w:color w:val="000000"/>
          <w:sz w:val="24"/>
          <w:szCs w:val="24"/>
        </w:rPr>
      </w:pPr>
    </w:p>
    <w:p w:rsidR="00813E25" w:rsidRDefault="00813E25" w:rsidP="00813E25">
      <w:pPr>
        <w:pStyle w:val="ListParagraph"/>
        <w:autoSpaceDE w:val="0"/>
        <w:autoSpaceDN w:val="0"/>
        <w:adjustRightInd w:val="0"/>
        <w:spacing w:before="240" w:after="0" w:line="240" w:lineRule="auto"/>
        <w:ind w:left="1980"/>
        <w:rPr>
          <w:rFonts w:ascii="Arial" w:hAnsi="Arial" w:cs="Arial"/>
          <w:color w:val="0070C0"/>
          <w:sz w:val="24"/>
          <w:szCs w:val="24"/>
        </w:rPr>
      </w:pPr>
      <w:r w:rsidRPr="00813E25">
        <w:rPr>
          <w:rFonts w:ascii="Arial" w:hAnsi="Arial" w:cs="Arial"/>
          <w:color w:val="0070C0"/>
          <w:sz w:val="24"/>
          <w:szCs w:val="24"/>
        </w:rPr>
        <w:t xml:space="preserve">No adjustments. </w:t>
      </w:r>
    </w:p>
    <w:p w:rsidR="00D27581" w:rsidRPr="00813E25" w:rsidRDefault="00D27581" w:rsidP="00813E25">
      <w:pPr>
        <w:pStyle w:val="ListParagraph"/>
        <w:autoSpaceDE w:val="0"/>
        <w:autoSpaceDN w:val="0"/>
        <w:adjustRightInd w:val="0"/>
        <w:spacing w:before="240" w:after="0" w:line="240" w:lineRule="auto"/>
        <w:ind w:left="1980"/>
        <w:rPr>
          <w:rFonts w:ascii="Arial" w:hAnsi="Arial" w:cs="Arial"/>
          <w:color w:val="000000"/>
          <w:sz w:val="24"/>
          <w:szCs w:val="24"/>
        </w:rPr>
      </w:pPr>
    </w:p>
    <w:p w:rsidR="004E18E0" w:rsidRPr="00813E25" w:rsidRDefault="004E18E0" w:rsidP="00813E25">
      <w:pPr>
        <w:pStyle w:val="ListParagraph"/>
        <w:numPr>
          <w:ilvl w:val="0"/>
          <w:numId w:val="1"/>
        </w:numPr>
        <w:autoSpaceDE w:val="0"/>
        <w:autoSpaceDN w:val="0"/>
        <w:adjustRightInd w:val="0"/>
        <w:spacing w:before="240" w:after="0" w:line="240" w:lineRule="auto"/>
        <w:rPr>
          <w:rFonts w:ascii="Arial" w:hAnsi="Arial" w:cs="Arial"/>
          <w:color w:val="000000"/>
          <w:sz w:val="24"/>
          <w:szCs w:val="24"/>
        </w:rPr>
      </w:pPr>
      <w:r w:rsidRPr="00813E25">
        <w:rPr>
          <w:rFonts w:ascii="Arial" w:hAnsi="Arial" w:cs="Arial"/>
          <w:color w:val="000000"/>
          <w:sz w:val="24"/>
          <w:szCs w:val="24"/>
        </w:rPr>
        <w:t>Please provide a break-down of the total amount of principal adjustments that were approved (e.g. true-up of unbilled (for 1589 only), true up of CT 1142, true up of CT 148 etc.).</w:t>
      </w:r>
    </w:p>
    <w:p w:rsidR="00D27581" w:rsidRDefault="00D27581" w:rsidP="00813E25">
      <w:pPr>
        <w:pStyle w:val="ListParagraph"/>
        <w:autoSpaceDE w:val="0"/>
        <w:autoSpaceDN w:val="0"/>
        <w:adjustRightInd w:val="0"/>
        <w:spacing w:before="240" w:after="0" w:line="240" w:lineRule="auto"/>
        <w:ind w:left="1980"/>
        <w:rPr>
          <w:rFonts w:ascii="Arial" w:hAnsi="Arial" w:cs="Arial"/>
          <w:color w:val="0070C0"/>
          <w:sz w:val="24"/>
          <w:szCs w:val="24"/>
        </w:rPr>
      </w:pPr>
    </w:p>
    <w:p w:rsidR="00813E25" w:rsidRDefault="00813E25" w:rsidP="00813E25">
      <w:pPr>
        <w:pStyle w:val="ListParagraph"/>
        <w:autoSpaceDE w:val="0"/>
        <w:autoSpaceDN w:val="0"/>
        <w:adjustRightInd w:val="0"/>
        <w:spacing w:before="240" w:after="0" w:line="240" w:lineRule="auto"/>
        <w:ind w:left="1980"/>
        <w:rPr>
          <w:rFonts w:ascii="Arial" w:hAnsi="Arial" w:cs="Arial"/>
          <w:color w:val="0070C0"/>
          <w:sz w:val="24"/>
          <w:szCs w:val="24"/>
        </w:rPr>
      </w:pPr>
      <w:r w:rsidRPr="00813E25">
        <w:rPr>
          <w:rFonts w:ascii="Arial" w:hAnsi="Arial" w:cs="Arial"/>
          <w:color w:val="0070C0"/>
          <w:sz w:val="24"/>
          <w:szCs w:val="24"/>
        </w:rPr>
        <w:lastRenderedPageBreak/>
        <w:t>N/A</w:t>
      </w:r>
    </w:p>
    <w:p w:rsidR="00D27581" w:rsidRPr="00813E25" w:rsidRDefault="00D27581" w:rsidP="00813E25">
      <w:pPr>
        <w:pStyle w:val="ListParagraph"/>
        <w:autoSpaceDE w:val="0"/>
        <w:autoSpaceDN w:val="0"/>
        <w:adjustRightInd w:val="0"/>
        <w:spacing w:before="240" w:after="0" w:line="240" w:lineRule="auto"/>
        <w:ind w:left="1980"/>
        <w:rPr>
          <w:rFonts w:ascii="Arial" w:hAnsi="Arial" w:cs="Arial"/>
          <w:color w:val="0070C0"/>
          <w:sz w:val="24"/>
          <w:szCs w:val="24"/>
        </w:rPr>
      </w:pPr>
    </w:p>
    <w:p w:rsidR="004E18E0" w:rsidRPr="00813E25" w:rsidRDefault="004E18E0" w:rsidP="00813E25">
      <w:pPr>
        <w:pStyle w:val="ListParagraph"/>
        <w:numPr>
          <w:ilvl w:val="0"/>
          <w:numId w:val="1"/>
        </w:numPr>
        <w:autoSpaceDE w:val="0"/>
        <w:autoSpaceDN w:val="0"/>
        <w:adjustRightInd w:val="0"/>
        <w:spacing w:before="240" w:after="0" w:line="240" w:lineRule="auto"/>
        <w:rPr>
          <w:rFonts w:ascii="Arial" w:hAnsi="Arial" w:cs="Arial"/>
          <w:color w:val="000000"/>
          <w:sz w:val="24"/>
          <w:szCs w:val="24"/>
        </w:rPr>
      </w:pPr>
      <w:r w:rsidRPr="00813E25">
        <w:rPr>
          <w:rFonts w:ascii="Arial" w:hAnsi="Arial" w:cs="Arial"/>
          <w:color w:val="000000"/>
          <w:sz w:val="24"/>
          <w:szCs w:val="24"/>
        </w:rPr>
        <w:t>Has the applicant reversed the adjustment approved in 2018 in its current proposed amount for disposition?</w:t>
      </w:r>
    </w:p>
    <w:p w:rsidR="00D27581" w:rsidRDefault="00D27581" w:rsidP="00813E25">
      <w:pPr>
        <w:pStyle w:val="ListParagraph"/>
        <w:autoSpaceDE w:val="0"/>
        <w:autoSpaceDN w:val="0"/>
        <w:adjustRightInd w:val="0"/>
        <w:spacing w:before="240" w:after="0" w:line="240" w:lineRule="auto"/>
        <w:ind w:left="1980"/>
        <w:rPr>
          <w:rFonts w:ascii="Arial" w:hAnsi="Arial" w:cs="Arial"/>
          <w:color w:val="0070C0"/>
          <w:sz w:val="24"/>
          <w:szCs w:val="24"/>
        </w:rPr>
      </w:pPr>
    </w:p>
    <w:p w:rsidR="00813E25" w:rsidRDefault="00813E25" w:rsidP="00813E25">
      <w:pPr>
        <w:pStyle w:val="ListParagraph"/>
        <w:autoSpaceDE w:val="0"/>
        <w:autoSpaceDN w:val="0"/>
        <w:adjustRightInd w:val="0"/>
        <w:spacing w:before="240" w:after="0" w:line="240" w:lineRule="auto"/>
        <w:ind w:left="1980"/>
        <w:rPr>
          <w:rFonts w:ascii="Arial" w:hAnsi="Arial" w:cs="Arial"/>
          <w:color w:val="0070C0"/>
          <w:sz w:val="24"/>
          <w:szCs w:val="24"/>
        </w:rPr>
      </w:pPr>
      <w:r w:rsidRPr="00813E25">
        <w:rPr>
          <w:rFonts w:ascii="Arial" w:hAnsi="Arial" w:cs="Arial"/>
          <w:color w:val="0070C0"/>
          <w:sz w:val="24"/>
          <w:szCs w:val="24"/>
        </w:rPr>
        <w:t xml:space="preserve">No. </w:t>
      </w:r>
    </w:p>
    <w:p w:rsidR="00D27581" w:rsidRPr="00813E25" w:rsidRDefault="00D27581" w:rsidP="00813E25">
      <w:pPr>
        <w:pStyle w:val="ListParagraph"/>
        <w:autoSpaceDE w:val="0"/>
        <w:autoSpaceDN w:val="0"/>
        <w:adjustRightInd w:val="0"/>
        <w:spacing w:before="240" w:after="0" w:line="240" w:lineRule="auto"/>
        <w:ind w:left="1980"/>
        <w:rPr>
          <w:rFonts w:ascii="Arial" w:hAnsi="Arial" w:cs="Arial"/>
          <w:color w:val="0070C0"/>
          <w:sz w:val="24"/>
          <w:szCs w:val="24"/>
        </w:rPr>
      </w:pPr>
    </w:p>
    <w:p w:rsidR="004E18E0" w:rsidRPr="00813E25" w:rsidRDefault="004E18E0" w:rsidP="00813E25">
      <w:pPr>
        <w:pStyle w:val="ListParagraph"/>
        <w:numPr>
          <w:ilvl w:val="0"/>
          <w:numId w:val="1"/>
        </w:numPr>
        <w:autoSpaceDE w:val="0"/>
        <w:autoSpaceDN w:val="0"/>
        <w:adjustRightInd w:val="0"/>
        <w:spacing w:before="240" w:after="0" w:line="240" w:lineRule="auto"/>
        <w:rPr>
          <w:rFonts w:ascii="Arial" w:hAnsi="Arial" w:cs="Arial"/>
          <w:color w:val="000000"/>
          <w:sz w:val="24"/>
          <w:szCs w:val="24"/>
        </w:rPr>
      </w:pPr>
      <w:r w:rsidRPr="00813E25">
        <w:rPr>
          <w:rFonts w:ascii="Arial" w:hAnsi="Arial" w:cs="Arial"/>
          <w:color w:val="000000"/>
          <w:sz w:val="24"/>
          <w:szCs w:val="24"/>
        </w:rPr>
        <w:t>Please provide a breakdown of the amounts shown under principal adjustments in the DVA Continuity Schedule filed in the current proceeding, including the reversals and the new true up amounts regarding 2017 true ups.</w:t>
      </w:r>
    </w:p>
    <w:p w:rsidR="00D27581" w:rsidRDefault="00D27581" w:rsidP="00813E25">
      <w:pPr>
        <w:pStyle w:val="ListParagraph"/>
        <w:autoSpaceDE w:val="0"/>
        <w:autoSpaceDN w:val="0"/>
        <w:adjustRightInd w:val="0"/>
        <w:spacing w:before="240" w:after="0" w:line="240" w:lineRule="auto"/>
        <w:ind w:left="1980"/>
        <w:rPr>
          <w:rFonts w:ascii="Arial" w:hAnsi="Arial" w:cs="Arial"/>
          <w:color w:val="0070C0"/>
          <w:sz w:val="24"/>
          <w:szCs w:val="24"/>
        </w:rPr>
      </w:pPr>
    </w:p>
    <w:p w:rsidR="00813E25" w:rsidRPr="00813E25" w:rsidRDefault="00813E25" w:rsidP="00813E25">
      <w:pPr>
        <w:pStyle w:val="ListParagraph"/>
        <w:autoSpaceDE w:val="0"/>
        <w:autoSpaceDN w:val="0"/>
        <w:adjustRightInd w:val="0"/>
        <w:spacing w:before="240" w:after="0" w:line="240" w:lineRule="auto"/>
        <w:ind w:left="1980"/>
        <w:rPr>
          <w:rFonts w:ascii="Arial" w:hAnsi="Arial" w:cs="Arial"/>
          <w:color w:val="0070C0"/>
          <w:sz w:val="24"/>
          <w:szCs w:val="24"/>
        </w:rPr>
      </w:pPr>
      <w:r w:rsidRPr="00813E25">
        <w:rPr>
          <w:rFonts w:ascii="Arial" w:hAnsi="Arial" w:cs="Arial"/>
          <w:color w:val="0070C0"/>
          <w:sz w:val="24"/>
          <w:szCs w:val="24"/>
        </w:rPr>
        <w:t>N/A</w:t>
      </w:r>
    </w:p>
    <w:p w:rsidR="004E18E0" w:rsidRDefault="004E18E0" w:rsidP="004E18E0">
      <w:pPr>
        <w:autoSpaceDE w:val="0"/>
        <w:autoSpaceDN w:val="0"/>
        <w:adjustRightInd w:val="0"/>
        <w:spacing w:before="240" w:after="0" w:line="240" w:lineRule="auto"/>
        <w:ind w:left="1440"/>
        <w:rPr>
          <w:rFonts w:ascii="Arial" w:hAnsi="Arial" w:cs="Arial"/>
          <w:color w:val="000000"/>
          <w:sz w:val="24"/>
          <w:szCs w:val="24"/>
        </w:rPr>
      </w:pPr>
      <w:r>
        <w:rPr>
          <w:rFonts w:ascii="Arial" w:hAnsi="Arial" w:cs="Arial"/>
          <w:color w:val="000000"/>
          <w:sz w:val="24"/>
          <w:szCs w:val="24"/>
        </w:rPr>
        <w:t xml:space="preserve">e.     </w:t>
      </w:r>
      <w:proofErr w:type="gramStart"/>
      <w:r>
        <w:rPr>
          <w:rFonts w:ascii="Arial" w:hAnsi="Arial" w:cs="Arial"/>
          <w:color w:val="000000"/>
          <w:sz w:val="24"/>
          <w:szCs w:val="24"/>
        </w:rPr>
        <w:t>Do</w:t>
      </w:r>
      <w:proofErr w:type="gramEnd"/>
      <w:r>
        <w:rPr>
          <w:rFonts w:ascii="Arial" w:hAnsi="Arial" w:cs="Arial"/>
          <w:color w:val="000000"/>
          <w:sz w:val="24"/>
          <w:szCs w:val="24"/>
        </w:rPr>
        <w:t xml:space="preserve"> the amount calculated in part d. above reconcile to the applicant’s principal adjustments shown in the DVA Continuity Schedule for the current proceeding? If not, please provide an explanation.</w:t>
      </w:r>
    </w:p>
    <w:p w:rsidR="008A16BA" w:rsidRDefault="00D27581" w:rsidP="00D27581">
      <w:pPr>
        <w:autoSpaceDE w:val="0"/>
        <w:autoSpaceDN w:val="0"/>
        <w:adjustRightInd w:val="0"/>
        <w:spacing w:before="240" w:after="0" w:line="240" w:lineRule="auto"/>
        <w:ind w:left="720"/>
        <w:rPr>
          <w:rFonts w:ascii="Arial" w:hAnsi="Arial" w:cs="Arial"/>
          <w:color w:val="000000"/>
          <w:sz w:val="24"/>
          <w:szCs w:val="24"/>
        </w:rPr>
      </w:pPr>
      <w:r>
        <w:rPr>
          <w:rFonts w:ascii="Arial" w:hAnsi="Arial" w:cs="Arial"/>
          <w:color w:val="000000"/>
          <w:sz w:val="24"/>
          <w:szCs w:val="24"/>
        </w:rPr>
        <w:tab/>
        <w:t xml:space="preserve">        </w:t>
      </w:r>
      <w:r w:rsidRPr="00D27581">
        <w:rPr>
          <w:rFonts w:ascii="Arial" w:hAnsi="Arial" w:cs="Arial"/>
          <w:color w:val="0070C0"/>
          <w:sz w:val="24"/>
          <w:szCs w:val="24"/>
        </w:rPr>
        <w:t>N/A</w:t>
      </w:r>
    </w:p>
    <w:p w:rsidR="00D27581" w:rsidRDefault="00D27581" w:rsidP="004E18E0">
      <w:pPr>
        <w:autoSpaceDE w:val="0"/>
        <w:autoSpaceDN w:val="0"/>
        <w:adjustRightInd w:val="0"/>
        <w:spacing w:before="240" w:after="0" w:line="240" w:lineRule="auto"/>
        <w:ind w:left="1440"/>
        <w:rPr>
          <w:rFonts w:ascii="Arial" w:hAnsi="Arial" w:cs="Arial"/>
          <w:color w:val="000000"/>
          <w:sz w:val="24"/>
          <w:szCs w:val="24"/>
        </w:rPr>
      </w:pPr>
    </w:p>
    <w:p w:rsidR="00D27581" w:rsidRDefault="004E18E0" w:rsidP="00813E25">
      <w:pPr>
        <w:pStyle w:val="ListParagraph"/>
        <w:numPr>
          <w:ilvl w:val="0"/>
          <w:numId w:val="1"/>
        </w:numPr>
        <w:rPr>
          <w:rFonts w:ascii="Arial" w:hAnsi="Arial" w:cs="Arial"/>
          <w:color w:val="000000"/>
          <w:sz w:val="24"/>
          <w:szCs w:val="24"/>
        </w:rPr>
      </w:pPr>
      <w:r w:rsidRPr="00813E25">
        <w:rPr>
          <w:rFonts w:ascii="Arial" w:hAnsi="Arial" w:cs="Arial"/>
          <w:color w:val="000000"/>
          <w:sz w:val="24"/>
          <w:szCs w:val="24"/>
        </w:rPr>
        <w:t>Please confirm that the principal adjustments shown on the DVA Continuity Schedule are reflected in the GL transactions. As an example, the unbilled to actual true-up for 1589 would already be reflected in the applicant’s GL in the normal course of business. However, if a principal adjustment related to proportions between 1588 and 1589 was made, applicant must ensure that the GL reflects the movement between the two accounts.</w:t>
      </w:r>
      <w:r w:rsidR="00D27581">
        <w:rPr>
          <w:rFonts w:ascii="Arial" w:hAnsi="Arial" w:cs="Arial"/>
          <w:color w:val="000000"/>
          <w:sz w:val="24"/>
          <w:szCs w:val="24"/>
        </w:rPr>
        <w:t xml:space="preserve"> </w:t>
      </w:r>
    </w:p>
    <w:p w:rsidR="00D27581" w:rsidRDefault="00D27581" w:rsidP="00D27581">
      <w:pPr>
        <w:pStyle w:val="ListParagraph"/>
        <w:ind w:left="1980"/>
        <w:rPr>
          <w:rFonts w:ascii="Arial" w:hAnsi="Arial" w:cs="Arial"/>
          <w:color w:val="000000"/>
          <w:sz w:val="24"/>
          <w:szCs w:val="24"/>
        </w:rPr>
      </w:pPr>
    </w:p>
    <w:p w:rsidR="00813E25" w:rsidRPr="00D27581" w:rsidRDefault="00D27581" w:rsidP="00D27581">
      <w:pPr>
        <w:pStyle w:val="ListParagraph"/>
        <w:ind w:left="1980"/>
        <w:rPr>
          <w:rFonts w:ascii="Arial" w:hAnsi="Arial" w:cs="Arial"/>
          <w:color w:val="0070C0"/>
          <w:sz w:val="24"/>
          <w:szCs w:val="24"/>
        </w:rPr>
      </w:pPr>
      <w:r w:rsidRPr="00D27581">
        <w:rPr>
          <w:rFonts w:ascii="Arial" w:hAnsi="Arial" w:cs="Arial"/>
          <w:color w:val="0070C0"/>
          <w:sz w:val="24"/>
          <w:szCs w:val="24"/>
        </w:rPr>
        <w:t>Yes, these adjustments are reflected in the G/L transactions in</w:t>
      </w:r>
      <w:r>
        <w:rPr>
          <w:rFonts w:ascii="Arial" w:hAnsi="Arial" w:cs="Arial"/>
          <w:color w:val="0070C0"/>
          <w:sz w:val="24"/>
          <w:szCs w:val="24"/>
        </w:rPr>
        <w:t xml:space="preserve"> the normal course of business.</w:t>
      </w:r>
    </w:p>
    <w:sectPr w:rsidR="00813E25" w:rsidRPr="00D275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F67E9"/>
    <w:multiLevelType w:val="hybridMultilevel"/>
    <w:tmpl w:val="606A2FA4"/>
    <w:lvl w:ilvl="0" w:tplc="E24AC126">
      <w:start w:val="1"/>
      <w:numFmt w:val="lowerLetter"/>
      <w:lvlText w:val="%1."/>
      <w:lvlJc w:val="left"/>
      <w:pPr>
        <w:ind w:left="1980" w:hanging="54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E0"/>
    <w:rsid w:val="00107D10"/>
    <w:rsid w:val="004E18E0"/>
    <w:rsid w:val="005C4ED2"/>
    <w:rsid w:val="007E21F5"/>
    <w:rsid w:val="00813E25"/>
    <w:rsid w:val="008A16BA"/>
    <w:rsid w:val="00B44A15"/>
    <w:rsid w:val="00B928DE"/>
    <w:rsid w:val="00C4359E"/>
    <w:rsid w:val="00D27581"/>
    <w:rsid w:val="00D53EE7"/>
    <w:rsid w:val="00DA34FB"/>
    <w:rsid w:val="00E500A4"/>
    <w:rsid w:val="00EE48E7"/>
    <w:rsid w:val="00F616CE"/>
    <w:rsid w:val="00FC6B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A14D3-A512-42C8-9B32-CB0258BB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40B80-61B7-4C9E-8965-4D7FCE4D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Conrad</dc:creator>
  <cp:keywords/>
  <dc:description/>
  <cp:lastModifiedBy>Alyson Conrad</cp:lastModifiedBy>
  <cp:revision>2</cp:revision>
  <dcterms:created xsi:type="dcterms:W3CDTF">2018-08-21T18:31:00Z</dcterms:created>
  <dcterms:modified xsi:type="dcterms:W3CDTF">2018-08-21T18:31:00Z</dcterms:modified>
</cp:coreProperties>
</file>