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C0F6" w14:textId="77777777" w:rsidR="005A539A"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Appendix A</w:t>
      </w:r>
      <w:r w:rsidR="005A539A">
        <w:rPr>
          <w:rFonts w:ascii="Arial" w:eastAsia="Times New Roman" w:hAnsi="Arial" w:cs="Arial"/>
          <w:b/>
          <w:sz w:val="24"/>
          <w:szCs w:val="24"/>
        </w:rPr>
        <w:t xml:space="preserve"> </w:t>
      </w:r>
    </w:p>
    <w:p w14:paraId="47BC7303" w14:textId="77777777" w:rsidR="001B699F"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14:paraId="2395052C" w14:textId="77777777" w:rsidR="001B699F" w:rsidRDefault="001B699F" w:rsidP="001B699F">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sidR="00CF0A8B">
        <w:rPr>
          <w:rStyle w:val="FootnoteReference"/>
          <w:rFonts w:ascii="Arial" w:eastAsia="Times New Roman" w:hAnsi="Arial" w:cs="Arial"/>
          <w:b/>
          <w:sz w:val="24"/>
          <w:szCs w:val="24"/>
        </w:rPr>
        <w:footnoteReference w:id="1"/>
      </w:r>
    </w:p>
    <w:p w14:paraId="26F41C9D" w14:textId="77777777" w:rsidR="00CF0A8B" w:rsidRPr="00CF0A8B" w:rsidRDefault="00CF0A8B" w:rsidP="001B699F">
      <w:pPr>
        <w:spacing w:after="0" w:line="276" w:lineRule="auto"/>
        <w:rPr>
          <w:rFonts w:ascii="Arial" w:eastAsia="Times New Roman" w:hAnsi="Arial" w:cs="Arial"/>
          <w:i/>
          <w:sz w:val="24"/>
          <w:szCs w:val="24"/>
        </w:rPr>
      </w:pPr>
    </w:p>
    <w:p w14:paraId="7DFA6C47" w14:textId="77777777" w:rsidR="001B699F" w:rsidRDefault="001B699F" w:rsidP="001B699F">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14:paraId="0B18D74F" w14:textId="77777777" w:rsidR="005930BC" w:rsidRPr="00E97164" w:rsidRDefault="00673822" w:rsidP="00BE05F6">
      <w:pPr>
        <w:pStyle w:val="ListParagraph"/>
        <w:numPr>
          <w:ilvl w:val="0"/>
          <w:numId w:val="16"/>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14:paraId="53089A62" w14:textId="77777777" w:rsidR="00E97164" w:rsidRDefault="00E97164" w:rsidP="00E97164">
      <w:pPr>
        <w:pStyle w:val="ListParagraph"/>
        <w:spacing w:after="0" w:line="276" w:lineRule="auto"/>
        <w:ind w:left="1080"/>
      </w:pPr>
    </w:p>
    <w:p w14:paraId="0C1793A5" w14:textId="77777777" w:rsidR="005930BC" w:rsidRDefault="005930BC" w:rsidP="00E272F5">
      <w:pPr>
        <w:pStyle w:val="ListParagraph"/>
        <w:numPr>
          <w:ilvl w:val="0"/>
          <w:numId w:val="16"/>
        </w:numPr>
        <w:spacing w:after="0" w:line="276" w:lineRule="auto"/>
        <w:rPr>
          <w:rFonts w:ascii="Arial" w:eastAsia="Times New Roman" w:hAnsi="Arial" w:cs="Arial"/>
          <w:sz w:val="24"/>
          <w:szCs w:val="24"/>
        </w:rPr>
      </w:pPr>
      <w:r w:rsidRPr="005930BC">
        <w:rPr>
          <w:rFonts w:ascii="Arial" w:eastAsia="Times New Roman" w:hAnsi="Arial" w:cs="Arial"/>
          <w:sz w:val="24"/>
          <w:szCs w:val="24"/>
        </w:rPr>
        <w:t xml:space="preserve">CT </w:t>
      </w:r>
      <w:r w:rsidR="005705A7">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14:paraId="7F87E5F2" w14:textId="77777777" w:rsidR="00EF651D" w:rsidRDefault="005705A7"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14:paraId="1B8D8049" w14:textId="77777777" w:rsidR="00F24C70" w:rsidRDefault="00F24C70" w:rsidP="00F24C70">
      <w:pPr>
        <w:autoSpaceDE w:val="0"/>
        <w:autoSpaceDN w:val="0"/>
        <w:adjustRightInd w:val="0"/>
        <w:spacing w:after="0" w:line="240" w:lineRule="auto"/>
        <w:rPr>
          <w:rFonts w:ascii="Arial" w:hAnsi="Arial" w:cs="Arial"/>
          <w:b/>
          <w:bCs/>
          <w:color w:val="000000"/>
          <w:sz w:val="24"/>
          <w:szCs w:val="24"/>
        </w:rPr>
      </w:pPr>
    </w:p>
    <w:p w14:paraId="1E7F1E4E" w14:textId="77777777" w:rsidR="00F24C70" w:rsidRDefault="00F24C70" w:rsidP="00F24C70">
      <w:pPr>
        <w:autoSpaceDE w:val="0"/>
        <w:autoSpaceDN w:val="0"/>
        <w:adjustRightInd w:val="0"/>
        <w:spacing w:after="0" w:line="240" w:lineRule="auto"/>
        <w:rPr>
          <w:rFonts w:ascii="Arial" w:hAnsi="Arial" w:cs="Arial"/>
          <w:b/>
          <w:bCs/>
          <w:color w:val="000000"/>
          <w:sz w:val="24"/>
          <w:szCs w:val="24"/>
        </w:rPr>
      </w:pPr>
      <w:r w:rsidRPr="00F24C70">
        <w:rPr>
          <w:rFonts w:ascii="Arial" w:hAnsi="Arial" w:cs="Arial"/>
          <w:b/>
          <w:bCs/>
          <w:color w:val="000000"/>
          <w:sz w:val="24"/>
          <w:szCs w:val="24"/>
        </w:rPr>
        <w:t>RESPONSE</w:t>
      </w:r>
    </w:p>
    <w:p w14:paraId="0DBA4924" w14:textId="77777777" w:rsidR="009F6F6C" w:rsidRPr="00F24C70" w:rsidRDefault="009F6F6C" w:rsidP="00F24C70">
      <w:pPr>
        <w:autoSpaceDE w:val="0"/>
        <w:autoSpaceDN w:val="0"/>
        <w:adjustRightInd w:val="0"/>
        <w:spacing w:after="0" w:line="240" w:lineRule="auto"/>
        <w:rPr>
          <w:rFonts w:ascii="Arial" w:hAnsi="Arial" w:cs="Arial"/>
          <w:b/>
          <w:bCs/>
          <w:color w:val="000000"/>
          <w:sz w:val="24"/>
          <w:szCs w:val="24"/>
        </w:rPr>
      </w:pPr>
    </w:p>
    <w:p w14:paraId="3E94A366" w14:textId="77777777" w:rsidR="00F24C70" w:rsidRPr="009F6F6C" w:rsidRDefault="00F24C70" w:rsidP="00F24C70">
      <w:pPr>
        <w:autoSpaceDE w:val="0"/>
        <w:autoSpaceDN w:val="0"/>
        <w:adjustRightInd w:val="0"/>
        <w:spacing w:after="0" w:line="240" w:lineRule="auto"/>
        <w:rPr>
          <w:rFonts w:ascii="Arial" w:hAnsi="Arial" w:cs="Arial"/>
          <w:color w:val="1F3864" w:themeColor="accent5" w:themeShade="80"/>
          <w:sz w:val="24"/>
          <w:szCs w:val="24"/>
        </w:rPr>
      </w:pPr>
      <w:r w:rsidRPr="009F6F6C">
        <w:rPr>
          <w:rFonts w:ascii="Arial" w:hAnsi="Arial" w:cs="Arial"/>
          <w:color w:val="1F3864" w:themeColor="accent5" w:themeShade="80"/>
          <w:sz w:val="24"/>
          <w:szCs w:val="24"/>
        </w:rPr>
        <w:t>Energy+</w:t>
      </w:r>
      <w:r w:rsidR="00B91A7F">
        <w:rPr>
          <w:rFonts w:ascii="Arial" w:hAnsi="Arial" w:cs="Arial"/>
          <w:color w:val="1F3864" w:themeColor="accent5" w:themeShade="80"/>
          <w:sz w:val="24"/>
          <w:szCs w:val="24"/>
        </w:rPr>
        <w:t xml:space="preserve"> </w:t>
      </w:r>
      <w:r w:rsidRPr="009F6F6C">
        <w:rPr>
          <w:rFonts w:ascii="Arial" w:hAnsi="Arial" w:cs="Arial"/>
          <w:color w:val="1F3864" w:themeColor="accent5" w:themeShade="80"/>
          <w:sz w:val="24"/>
          <w:szCs w:val="24"/>
        </w:rPr>
        <w:t>uses the approach a. in booking expense journal entries for Charge Type 1142</w:t>
      </w:r>
    </w:p>
    <w:p w14:paraId="674D582B" w14:textId="77777777" w:rsidR="00F24C70" w:rsidRPr="009F6F6C" w:rsidRDefault="00F24C70" w:rsidP="00F24C70">
      <w:pPr>
        <w:autoSpaceDE w:val="0"/>
        <w:autoSpaceDN w:val="0"/>
        <w:adjustRightInd w:val="0"/>
        <w:spacing w:after="0" w:line="240" w:lineRule="auto"/>
        <w:rPr>
          <w:rFonts w:ascii="Arial" w:hAnsi="Arial" w:cs="Arial"/>
          <w:color w:val="1F3864" w:themeColor="accent5" w:themeShade="80"/>
          <w:sz w:val="24"/>
          <w:szCs w:val="24"/>
        </w:rPr>
      </w:pPr>
      <w:r w:rsidRPr="009F6F6C">
        <w:rPr>
          <w:rFonts w:ascii="Arial" w:hAnsi="Arial" w:cs="Arial"/>
          <w:color w:val="1F3864" w:themeColor="accent5" w:themeShade="80"/>
          <w:sz w:val="24"/>
          <w:szCs w:val="24"/>
        </w:rPr>
        <w:t>(</w:t>
      </w:r>
      <w:r w:rsidR="000177EE" w:rsidRPr="009F6F6C">
        <w:rPr>
          <w:rFonts w:ascii="Arial" w:hAnsi="Arial" w:cs="Arial"/>
          <w:color w:val="1F3864" w:themeColor="accent5" w:themeShade="80"/>
          <w:sz w:val="24"/>
          <w:szCs w:val="24"/>
        </w:rPr>
        <w:t>Formerly</w:t>
      </w:r>
      <w:r w:rsidR="00EC20DA" w:rsidRPr="009F6F6C">
        <w:rPr>
          <w:rFonts w:ascii="Arial" w:hAnsi="Arial" w:cs="Arial"/>
          <w:color w:val="1F3864" w:themeColor="accent5" w:themeShade="80"/>
          <w:sz w:val="24"/>
          <w:szCs w:val="24"/>
        </w:rPr>
        <w:t xml:space="preserve"> </w:t>
      </w:r>
      <w:r w:rsidRPr="009F6F6C">
        <w:rPr>
          <w:rFonts w:ascii="Arial" w:hAnsi="Arial" w:cs="Arial"/>
          <w:color w:val="1F3864" w:themeColor="accent5" w:themeShade="80"/>
          <w:sz w:val="24"/>
          <w:szCs w:val="24"/>
        </w:rPr>
        <w:t>142) and Charge Type 148 from the IESO invoice.</w:t>
      </w:r>
    </w:p>
    <w:p w14:paraId="1D3C5AD7" w14:textId="77777777" w:rsidR="00F24C70" w:rsidRPr="009F6F6C" w:rsidRDefault="00F24C70" w:rsidP="00F24C70">
      <w:pPr>
        <w:autoSpaceDE w:val="0"/>
        <w:autoSpaceDN w:val="0"/>
        <w:adjustRightInd w:val="0"/>
        <w:spacing w:after="0" w:line="240" w:lineRule="auto"/>
        <w:rPr>
          <w:rFonts w:ascii="Arial" w:hAnsi="Arial" w:cs="Arial"/>
          <w:color w:val="1F3864" w:themeColor="accent5" w:themeShade="80"/>
          <w:sz w:val="24"/>
          <w:szCs w:val="24"/>
        </w:rPr>
      </w:pPr>
    </w:p>
    <w:p w14:paraId="2F75AF31" w14:textId="77777777" w:rsidR="00F24C70" w:rsidRPr="009F6F6C" w:rsidRDefault="00F24C70" w:rsidP="00434B7B">
      <w:pPr>
        <w:autoSpaceDE w:val="0"/>
        <w:autoSpaceDN w:val="0"/>
        <w:adjustRightInd w:val="0"/>
        <w:spacing w:after="0" w:line="240" w:lineRule="auto"/>
        <w:ind w:left="360"/>
        <w:rPr>
          <w:rFonts w:ascii="Arial" w:eastAsia="Times New Roman" w:hAnsi="Arial" w:cs="Arial"/>
          <w:color w:val="1F3864" w:themeColor="accent5" w:themeShade="80"/>
          <w:sz w:val="24"/>
          <w:szCs w:val="24"/>
        </w:rPr>
      </w:pPr>
      <w:r w:rsidRPr="009F6F6C">
        <w:rPr>
          <w:rFonts w:ascii="Arial" w:hAnsi="Arial" w:cs="Arial"/>
          <w:color w:val="1F3864" w:themeColor="accent5" w:themeShade="80"/>
          <w:sz w:val="24"/>
          <w:szCs w:val="24"/>
        </w:rPr>
        <w:t>a. Charge Type 1142 is booked into Account 1588. Charge Type 148 is pro- rated based on RPP/non-RPP consumption and then booked into Account 1588 and 1589, respectively.</w:t>
      </w:r>
    </w:p>
    <w:p w14:paraId="50CEB069" w14:textId="77777777" w:rsidR="00152EE3" w:rsidRDefault="00152EE3" w:rsidP="00152EE3">
      <w:pPr>
        <w:spacing w:after="0" w:line="276" w:lineRule="auto"/>
        <w:ind w:left="720" w:firstLine="360"/>
        <w:rPr>
          <w:rFonts w:ascii="Arial" w:eastAsia="Times New Roman" w:hAnsi="Arial" w:cs="Arial"/>
          <w:sz w:val="24"/>
          <w:szCs w:val="24"/>
          <w:u w:val="single"/>
        </w:rPr>
      </w:pPr>
    </w:p>
    <w:p w14:paraId="24527C2C" w14:textId="77777777" w:rsidR="00152EE3" w:rsidRPr="00B02B51" w:rsidRDefault="00152EE3" w:rsidP="00BE05F6">
      <w:pPr>
        <w:pStyle w:val="ListParagraph"/>
        <w:numPr>
          <w:ilvl w:val="0"/>
          <w:numId w:val="15"/>
        </w:numPr>
        <w:spacing w:after="0" w:line="276" w:lineRule="auto"/>
        <w:rPr>
          <w:rFonts w:ascii="Arial" w:eastAsia="Times New Roman" w:hAnsi="Arial" w:cs="Arial"/>
          <w:sz w:val="24"/>
          <w:szCs w:val="24"/>
          <w:u w:val="single"/>
        </w:rPr>
      </w:pPr>
      <w:r w:rsidRPr="00B02B51">
        <w:rPr>
          <w:rFonts w:ascii="Arial" w:eastAsia="Times New Roman" w:hAnsi="Arial" w:cs="Arial"/>
          <w:sz w:val="24"/>
          <w:szCs w:val="24"/>
          <w:u w:val="single"/>
        </w:rPr>
        <w:t>Questions on CT 1142</w:t>
      </w:r>
    </w:p>
    <w:p w14:paraId="0B72572A" w14:textId="77777777" w:rsidR="00152EE3" w:rsidRDefault="00152EE3" w:rsidP="00152EE3">
      <w:pPr>
        <w:pStyle w:val="ListParagraph"/>
        <w:numPr>
          <w:ilvl w:val="1"/>
          <w:numId w:val="15"/>
        </w:numPr>
        <w:spacing w:after="0" w:line="276" w:lineRule="auto"/>
        <w:rPr>
          <w:rFonts w:ascii="Arial" w:eastAsia="Times New Roman" w:hAnsi="Arial" w:cs="Arial"/>
          <w:sz w:val="24"/>
          <w:szCs w:val="24"/>
        </w:rPr>
      </w:pPr>
      <w:r w:rsidRPr="00B02B51">
        <w:rPr>
          <w:rFonts w:ascii="Arial" w:eastAsia="Times New Roman" w:hAnsi="Arial" w:cs="Arial"/>
          <w:sz w:val="24"/>
          <w:szCs w:val="24"/>
        </w:rPr>
        <w:t>Please describe how the initial RPP related GA is determined for settlement forms submitted by day 4 after the month-end (resulting in CT 1142 on the IESO invoice).</w:t>
      </w:r>
    </w:p>
    <w:p w14:paraId="3C869C0F" w14:textId="77777777" w:rsidR="009D1CB7" w:rsidRPr="00B02B51" w:rsidRDefault="009D1CB7" w:rsidP="001922E5">
      <w:pPr>
        <w:pStyle w:val="ListParagraph"/>
        <w:spacing w:after="0" w:line="276" w:lineRule="auto"/>
        <w:ind w:left="1440"/>
        <w:rPr>
          <w:rFonts w:ascii="Arial" w:eastAsia="Times New Roman" w:hAnsi="Arial" w:cs="Arial"/>
          <w:sz w:val="24"/>
          <w:szCs w:val="24"/>
        </w:rPr>
      </w:pPr>
    </w:p>
    <w:p w14:paraId="131DAEF6" w14:textId="77777777" w:rsidR="00152EE3" w:rsidRPr="00B028A9" w:rsidRDefault="00152EE3" w:rsidP="00152EE3">
      <w:pPr>
        <w:pStyle w:val="ListParagraph"/>
        <w:numPr>
          <w:ilvl w:val="1"/>
          <w:numId w:val="15"/>
        </w:numPr>
        <w:spacing w:after="0" w:line="276" w:lineRule="auto"/>
        <w:rPr>
          <w:rFonts w:ascii="Arial" w:eastAsia="Times New Roman" w:hAnsi="Arial" w:cs="Arial"/>
          <w:sz w:val="24"/>
          <w:szCs w:val="24"/>
        </w:rPr>
      </w:pPr>
      <w:r w:rsidRPr="00B028A9">
        <w:rPr>
          <w:rFonts w:ascii="Arial" w:eastAsia="Times New Roman" w:hAnsi="Arial" w:cs="Arial"/>
          <w:sz w:val="24"/>
          <w:szCs w:val="24"/>
        </w:rPr>
        <w:t>Please describe the process for truing up CT 1142 to actual RPP kWh, including which data is used for each TOU/Tier 1&amp;2 prices, as well as the timing of the true up.</w:t>
      </w:r>
    </w:p>
    <w:p w14:paraId="74CDE017" w14:textId="77777777" w:rsidR="00B028A9" w:rsidRPr="00B028A9" w:rsidRDefault="00B028A9" w:rsidP="00B028A9">
      <w:pPr>
        <w:autoSpaceDE w:val="0"/>
        <w:autoSpaceDN w:val="0"/>
        <w:adjustRightInd w:val="0"/>
        <w:spacing w:after="0" w:line="240" w:lineRule="auto"/>
        <w:rPr>
          <w:rFonts w:ascii="Arial" w:hAnsi="Arial" w:cs="Arial"/>
          <w:b/>
          <w:bCs/>
          <w:color w:val="000000"/>
          <w:sz w:val="24"/>
          <w:szCs w:val="24"/>
        </w:rPr>
      </w:pPr>
    </w:p>
    <w:p w14:paraId="191AD28F" w14:textId="77777777" w:rsidR="00152EE3" w:rsidRPr="00B028A9" w:rsidRDefault="00152EE3" w:rsidP="00152EE3">
      <w:pPr>
        <w:pStyle w:val="ListParagraph"/>
        <w:numPr>
          <w:ilvl w:val="1"/>
          <w:numId w:val="15"/>
        </w:numPr>
        <w:spacing w:after="0" w:line="276" w:lineRule="auto"/>
        <w:rPr>
          <w:rFonts w:ascii="Arial" w:eastAsia="Times New Roman" w:hAnsi="Arial" w:cs="Arial"/>
          <w:sz w:val="24"/>
          <w:szCs w:val="24"/>
        </w:rPr>
      </w:pPr>
      <w:r w:rsidRPr="00B028A9">
        <w:rPr>
          <w:rFonts w:ascii="Arial" w:eastAsia="Times New Roman" w:hAnsi="Arial" w:cs="Arial"/>
          <w:sz w:val="24"/>
          <w:szCs w:val="24"/>
        </w:rPr>
        <w:t xml:space="preserve">Has CT 1142 been trued up for with the IESO for all of 2017? </w:t>
      </w:r>
    </w:p>
    <w:p w14:paraId="350C89B2" w14:textId="77777777" w:rsidR="00B02B51" w:rsidRPr="00B028A9" w:rsidRDefault="00B02B51" w:rsidP="00B02B51">
      <w:pPr>
        <w:spacing w:after="0" w:line="276" w:lineRule="auto"/>
        <w:rPr>
          <w:rFonts w:ascii="Arial" w:eastAsia="Times New Roman" w:hAnsi="Arial" w:cs="Arial"/>
          <w:sz w:val="24"/>
          <w:szCs w:val="24"/>
        </w:rPr>
      </w:pPr>
    </w:p>
    <w:p w14:paraId="3D0B5206" w14:textId="77777777" w:rsidR="00152EE3" w:rsidRPr="00B028A9" w:rsidRDefault="00152EE3" w:rsidP="00152EE3">
      <w:pPr>
        <w:pStyle w:val="ListParagraph"/>
        <w:numPr>
          <w:ilvl w:val="1"/>
          <w:numId w:val="15"/>
        </w:numPr>
        <w:spacing w:after="0" w:line="276" w:lineRule="auto"/>
        <w:rPr>
          <w:rFonts w:ascii="Arial" w:eastAsia="Times New Roman" w:hAnsi="Arial" w:cs="Arial"/>
          <w:sz w:val="24"/>
          <w:szCs w:val="24"/>
        </w:rPr>
      </w:pPr>
      <w:r w:rsidRPr="00B028A9">
        <w:rPr>
          <w:rFonts w:ascii="Arial" w:eastAsia="Times New Roman" w:hAnsi="Arial" w:cs="Arial"/>
          <w:sz w:val="24"/>
          <w:szCs w:val="24"/>
        </w:rPr>
        <w:t>Which months from 2017 were trued up in 2018?</w:t>
      </w:r>
    </w:p>
    <w:p w14:paraId="76567A48" w14:textId="77777777" w:rsidR="00B02B51" w:rsidRDefault="00B02B51" w:rsidP="00B028A9">
      <w:pPr>
        <w:spacing w:after="0" w:line="276" w:lineRule="auto"/>
        <w:rPr>
          <w:rFonts w:ascii="Arial" w:eastAsia="Times New Roman" w:hAnsi="Arial" w:cs="Arial"/>
          <w:sz w:val="24"/>
          <w:szCs w:val="24"/>
          <w:highlight w:val="yellow"/>
        </w:rPr>
      </w:pPr>
    </w:p>
    <w:p w14:paraId="6E9E0EA5" w14:textId="77777777"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Ha</w:t>
      </w:r>
      <w:r w:rsidR="00325817">
        <w:rPr>
          <w:rFonts w:ascii="Arial" w:eastAsia="Times New Roman" w:hAnsi="Arial" w:cs="Arial"/>
          <w:sz w:val="24"/>
          <w:szCs w:val="24"/>
        </w:rPr>
        <w:t>ve</w:t>
      </w:r>
      <w:r>
        <w:rPr>
          <w:rFonts w:ascii="Arial" w:eastAsia="Times New Roman" w:hAnsi="Arial" w:cs="Arial"/>
          <w:sz w:val="24"/>
          <w:szCs w:val="24"/>
        </w:rPr>
        <w:t xml:space="preserve"> all of the 2017 related true-up been reflected in the applicant’s DVA Continuity Schedule in this proceeding?</w:t>
      </w:r>
    </w:p>
    <w:p w14:paraId="40A4BEC3" w14:textId="77777777" w:rsidR="00EC20DA" w:rsidRPr="00EC20DA" w:rsidRDefault="00EC20DA" w:rsidP="00EC20DA">
      <w:pPr>
        <w:spacing w:after="0" w:line="276" w:lineRule="auto"/>
        <w:rPr>
          <w:rFonts w:ascii="Arial" w:eastAsia="Times New Roman" w:hAnsi="Arial" w:cs="Arial"/>
          <w:sz w:val="24"/>
          <w:szCs w:val="24"/>
        </w:rPr>
      </w:pPr>
    </w:p>
    <w:p w14:paraId="0B370B32" w14:textId="77777777"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14:paraId="59B53429" w14:textId="77777777" w:rsidR="00B028A9" w:rsidRDefault="00B028A9" w:rsidP="00B028A9">
      <w:pPr>
        <w:spacing w:after="0" w:line="276" w:lineRule="auto"/>
        <w:rPr>
          <w:rFonts w:ascii="Arial" w:eastAsia="Times New Roman" w:hAnsi="Arial" w:cs="Arial"/>
          <w:sz w:val="24"/>
          <w:szCs w:val="24"/>
        </w:rPr>
      </w:pPr>
    </w:p>
    <w:p w14:paraId="179EEF2D" w14:textId="77777777" w:rsidR="00B028A9" w:rsidRPr="00B028A9" w:rsidRDefault="00B028A9" w:rsidP="00B028A9">
      <w:pPr>
        <w:autoSpaceDE w:val="0"/>
        <w:autoSpaceDN w:val="0"/>
        <w:adjustRightInd w:val="0"/>
        <w:spacing w:after="0" w:line="240" w:lineRule="auto"/>
        <w:rPr>
          <w:rFonts w:ascii="Arial" w:hAnsi="Arial" w:cs="Arial"/>
          <w:b/>
          <w:bCs/>
          <w:color w:val="000000"/>
          <w:sz w:val="24"/>
          <w:szCs w:val="24"/>
        </w:rPr>
      </w:pPr>
      <w:r w:rsidRPr="00B028A9">
        <w:rPr>
          <w:rFonts w:ascii="Arial" w:hAnsi="Arial" w:cs="Arial"/>
          <w:b/>
          <w:bCs/>
          <w:color w:val="000000"/>
          <w:sz w:val="24"/>
          <w:szCs w:val="24"/>
        </w:rPr>
        <w:t>RESPONSE</w:t>
      </w:r>
    </w:p>
    <w:p w14:paraId="474A4280" w14:textId="77777777" w:rsidR="00B028A9" w:rsidRPr="00B028A9" w:rsidRDefault="00B028A9" w:rsidP="00B028A9">
      <w:pPr>
        <w:spacing w:after="0" w:line="276" w:lineRule="auto"/>
        <w:rPr>
          <w:rFonts w:ascii="Arial" w:eastAsia="Times New Roman" w:hAnsi="Arial" w:cs="Arial"/>
          <w:sz w:val="24"/>
          <w:szCs w:val="24"/>
          <w:highlight w:val="yellow"/>
        </w:rPr>
      </w:pPr>
    </w:p>
    <w:p w14:paraId="06E60856" w14:textId="77777777" w:rsidR="009D1CB7" w:rsidRPr="001922E5" w:rsidRDefault="009D1CB7" w:rsidP="00B028A9">
      <w:pPr>
        <w:pStyle w:val="ListParagraph"/>
        <w:numPr>
          <w:ilvl w:val="0"/>
          <w:numId w:val="23"/>
        </w:numPr>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 xml:space="preserve">As explained in Exhibit 9, Section 9.5.1 IESO Settlement Process: </w:t>
      </w:r>
    </w:p>
    <w:p w14:paraId="41DA8AEE" w14:textId="77777777" w:rsidR="009D1CB7" w:rsidRPr="001922E5" w:rsidRDefault="009D1CB7" w:rsidP="001922E5">
      <w:pPr>
        <w:pStyle w:val="ListParagraph"/>
        <w:autoSpaceDE w:val="0"/>
        <w:autoSpaceDN w:val="0"/>
        <w:adjustRightInd w:val="0"/>
        <w:spacing w:after="0" w:line="240" w:lineRule="auto"/>
        <w:rPr>
          <w:rFonts w:ascii="Arial" w:hAnsi="Arial" w:cs="Arial"/>
          <w:color w:val="002060"/>
          <w:sz w:val="24"/>
          <w:szCs w:val="24"/>
        </w:rPr>
      </w:pPr>
    </w:p>
    <w:p w14:paraId="7810B56F"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 xml:space="preserve">The process is completed using </w:t>
      </w:r>
      <w:proofErr w:type="spellStart"/>
      <w:r w:rsidRPr="001922E5">
        <w:rPr>
          <w:rFonts w:ascii="Arial" w:hAnsi="Arial" w:cs="Arial"/>
          <w:color w:val="002060"/>
          <w:sz w:val="24"/>
          <w:szCs w:val="24"/>
        </w:rPr>
        <w:t>Energy+’s</w:t>
      </w:r>
      <w:proofErr w:type="spellEnd"/>
      <w:r w:rsidRPr="001922E5">
        <w:rPr>
          <w:rFonts w:ascii="Arial" w:hAnsi="Arial" w:cs="Arial"/>
          <w:color w:val="002060"/>
          <w:sz w:val="24"/>
          <w:szCs w:val="24"/>
        </w:rPr>
        <w:t xml:space="preserve"> statistical table from the Customer Information System (“CIS”).  For the current IESO settlement month, Energy+ extracts billed customer RPP commodity charges (TOU and Tier 1/Tier 2 pricing) along with the associated billed consumption from the statistical table in the CIS system.</w:t>
      </w:r>
    </w:p>
    <w:p w14:paraId="340D4F86"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 xml:space="preserve">  </w:t>
      </w:r>
    </w:p>
    <w:p w14:paraId="7DB0863E"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The CIS statistic table tracks all consumption and the associated charges billed at RPP rates for the current IESO settlement month.</w:t>
      </w:r>
    </w:p>
    <w:p w14:paraId="781AEC0F"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p>
    <w:p w14:paraId="3BDEFF40"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For IESO settlement purposes, Energy+ has setup a separate statistic code in the CIS system to track WAHSP charges based on billed consumption for RPP customers. This calculation is stored in the statistic table.</w:t>
      </w:r>
    </w:p>
    <w:p w14:paraId="74F30134"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 xml:space="preserve"> </w:t>
      </w:r>
    </w:p>
    <w:p w14:paraId="2982289E"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The billed RPP consumption is also included in the billing journal statistics history at the customer account level. This additional customer account level detail, enables Energy+ to settle RPP values against the actual GA rate for any energy consumed prior to the filing month.</w:t>
      </w:r>
    </w:p>
    <w:p w14:paraId="015D11A4" w14:textId="77777777" w:rsidR="009D1CB7" w:rsidRPr="001922E5" w:rsidRDefault="009D1CB7" w:rsidP="009D1CB7">
      <w:pPr>
        <w:pStyle w:val="ListParagraph"/>
        <w:autoSpaceDE w:val="0"/>
        <w:autoSpaceDN w:val="0"/>
        <w:adjustRightInd w:val="0"/>
        <w:spacing w:after="0" w:line="240" w:lineRule="auto"/>
        <w:rPr>
          <w:rFonts w:ascii="Arial" w:hAnsi="Arial" w:cs="Arial"/>
          <w:color w:val="002060"/>
          <w:sz w:val="24"/>
          <w:szCs w:val="24"/>
        </w:rPr>
      </w:pPr>
    </w:p>
    <w:p w14:paraId="6A7A64B1" w14:textId="77777777" w:rsidR="009D1CB7" w:rsidRPr="001922E5" w:rsidRDefault="009D1CB7" w:rsidP="001922E5">
      <w:pPr>
        <w:pStyle w:val="ListParagraph"/>
        <w:autoSpaceDE w:val="0"/>
        <w:autoSpaceDN w:val="0"/>
        <w:adjustRightInd w:val="0"/>
        <w:spacing w:after="0" w:line="240" w:lineRule="auto"/>
        <w:rPr>
          <w:rFonts w:ascii="Arial" w:hAnsi="Arial" w:cs="Arial"/>
          <w:color w:val="002060"/>
          <w:sz w:val="24"/>
          <w:szCs w:val="24"/>
        </w:rPr>
      </w:pPr>
      <w:r w:rsidRPr="001922E5">
        <w:rPr>
          <w:rFonts w:ascii="Arial" w:hAnsi="Arial" w:cs="Arial"/>
          <w:color w:val="002060"/>
          <w:sz w:val="24"/>
          <w:szCs w:val="24"/>
        </w:rPr>
        <w:t>Energy+ does not bill RPP customers on a calendar month basis.  In order for Energy+ to settle and report on the actual GA rate for the month the energy was consumed, Energy+ pro-rates the billed consumption from the journal history statistics based on read dates and applies the actual GA rate against any consumption where the actual rate is available, and applies the IESO 2nd estimate to any consumption that falls in the current claim month.</w:t>
      </w:r>
    </w:p>
    <w:p w14:paraId="7475C945" w14:textId="77777777" w:rsidR="009D1CB7" w:rsidRPr="001922E5" w:rsidRDefault="009D1CB7" w:rsidP="001922E5">
      <w:pPr>
        <w:pStyle w:val="ListParagraph"/>
        <w:autoSpaceDE w:val="0"/>
        <w:autoSpaceDN w:val="0"/>
        <w:adjustRightInd w:val="0"/>
        <w:spacing w:after="0" w:line="240" w:lineRule="auto"/>
        <w:rPr>
          <w:rFonts w:ascii="Arial" w:hAnsi="Arial" w:cs="Arial"/>
          <w:color w:val="002060"/>
          <w:sz w:val="24"/>
          <w:szCs w:val="24"/>
        </w:rPr>
      </w:pPr>
    </w:p>
    <w:p w14:paraId="42620298" w14:textId="77777777" w:rsidR="00B028A9" w:rsidRDefault="00B028A9" w:rsidP="00516798">
      <w:pPr>
        <w:spacing w:after="0" w:line="276" w:lineRule="auto"/>
        <w:rPr>
          <w:rFonts w:ascii="Arial" w:eastAsia="Times New Roman" w:hAnsi="Arial" w:cs="Arial"/>
          <w:sz w:val="24"/>
          <w:szCs w:val="24"/>
        </w:rPr>
      </w:pPr>
    </w:p>
    <w:p w14:paraId="450A62A0" w14:textId="77777777" w:rsidR="009D1CB7" w:rsidRDefault="009D1CB7">
      <w:pPr>
        <w:rPr>
          <w:rFonts w:ascii="Arial" w:hAnsi="Arial" w:cs="Arial"/>
          <w:color w:val="002060"/>
          <w:sz w:val="24"/>
          <w:szCs w:val="24"/>
        </w:rPr>
      </w:pPr>
      <w:r>
        <w:rPr>
          <w:rFonts w:ascii="Arial" w:hAnsi="Arial" w:cs="Arial"/>
          <w:color w:val="002060"/>
          <w:sz w:val="24"/>
          <w:szCs w:val="24"/>
        </w:rPr>
        <w:br w:type="page"/>
      </w:r>
    </w:p>
    <w:p w14:paraId="3A76730F" w14:textId="77777777" w:rsidR="009D1CB7" w:rsidRPr="001922E5" w:rsidRDefault="009D1CB7" w:rsidP="001922E5">
      <w:pPr>
        <w:pStyle w:val="ListParagraph"/>
        <w:numPr>
          <w:ilvl w:val="0"/>
          <w:numId w:val="23"/>
        </w:numPr>
        <w:autoSpaceDE w:val="0"/>
        <w:autoSpaceDN w:val="0"/>
        <w:adjustRightInd w:val="0"/>
        <w:spacing w:after="120" w:line="240" w:lineRule="auto"/>
        <w:ind w:left="714" w:hanging="357"/>
        <w:jc w:val="both"/>
        <w:rPr>
          <w:rFonts w:ascii="Arial" w:hAnsi="Arial" w:cs="Arial"/>
          <w:color w:val="002060"/>
          <w:sz w:val="24"/>
          <w:szCs w:val="24"/>
        </w:rPr>
      </w:pPr>
      <w:r w:rsidRPr="001922E5">
        <w:rPr>
          <w:rFonts w:ascii="Arial" w:hAnsi="Arial" w:cs="Arial"/>
          <w:color w:val="002060"/>
          <w:sz w:val="24"/>
          <w:szCs w:val="24"/>
        </w:rPr>
        <w:lastRenderedPageBreak/>
        <w:t>Energy+ submits a GA true up to the IESO for the prior month. Energy+ calculates the Actual GA charges by applying the corresponding Actual GA rate against the consumption that was claimed in the previous submission at 2</w:t>
      </w:r>
      <w:r w:rsidRPr="001922E5">
        <w:rPr>
          <w:rFonts w:ascii="Arial" w:hAnsi="Arial" w:cs="Arial"/>
          <w:color w:val="002060"/>
          <w:sz w:val="24"/>
          <w:szCs w:val="24"/>
          <w:vertAlign w:val="superscript"/>
        </w:rPr>
        <w:t>nd</w:t>
      </w:r>
      <w:r w:rsidRPr="001922E5">
        <w:rPr>
          <w:rFonts w:ascii="Arial" w:hAnsi="Arial" w:cs="Arial"/>
          <w:color w:val="002060"/>
          <w:sz w:val="24"/>
          <w:szCs w:val="24"/>
        </w:rPr>
        <w:t xml:space="preserve"> Estimate and the difference is then trued up on the following month’s claim. Energy+ considers this process to be a monthly Global Adjustment true up of the RPP.</w:t>
      </w:r>
    </w:p>
    <w:p w14:paraId="6D28E59B" w14:textId="77777777" w:rsidR="009D1CB7" w:rsidRDefault="009D1CB7" w:rsidP="001922E5">
      <w:pPr>
        <w:pStyle w:val="ListParagraph"/>
        <w:autoSpaceDE w:val="0"/>
        <w:autoSpaceDN w:val="0"/>
        <w:adjustRightInd w:val="0"/>
        <w:spacing w:after="120" w:line="360" w:lineRule="auto"/>
        <w:jc w:val="both"/>
        <w:rPr>
          <w:rFonts w:ascii="Arial" w:hAnsi="Arial" w:cs="Arial"/>
        </w:rPr>
      </w:pPr>
    </w:p>
    <w:p w14:paraId="54FD5F5F" w14:textId="77777777" w:rsidR="009D1CB7" w:rsidRPr="001922E5" w:rsidRDefault="009D1CB7" w:rsidP="001922E5">
      <w:pPr>
        <w:pStyle w:val="ListParagraph"/>
        <w:autoSpaceDE w:val="0"/>
        <w:autoSpaceDN w:val="0"/>
        <w:adjustRightInd w:val="0"/>
        <w:spacing w:after="120" w:line="240" w:lineRule="auto"/>
        <w:ind w:left="714"/>
        <w:jc w:val="both"/>
        <w:rPr>
          <w:rFonts w:ascii="Arial" w:hAnsi="Arial" w:cs="Arial"/>
          <w:color w:val="002060"/>
          <w:sz w:val="24"/>
          <w:szCs w:val="24"/>
        </w:rPr>
      </w:pPr>
      <w:r w:rsidRPr="001922E5">
        <w:rPr>
          <w:rFonts w:ascii="Arial" w:hAnsi="Arial" w:cs="Arial"/>
          <w:color w:val="002060"/>
          <w:sz w:val="24"/>
          <w:szCs w:val="24"/>
        </w:rPr>
        <w:t>The dollar amount settled with the IESO is the difference between the sum of the WAHSP and GA calculation minus the billed RPP commodity (TOU and Tier 1/Tier 2 pricing). Energy+ maintains separate statistic codes to track the RPP settlement and GA settlement portions.</w:t>
      </w:r>
    </w:p>
    <w:p w14:paraId="265E8B50" w14:textId="77777777" w:rsidR="00B028A9" w:rsidRPr="00B028A9" w:rsidRDefault="00B028A9" w:rsidP="00B028A9">
      <w:pPr>
        <w:pStyle w:val="ListParagraph"/>
        <w:rPr>
          <w:rFonts w:ascii="Arial" w:hAnsi="Arial" w:cs="Arial"/>
          <w:color w:val="1F3864" w:themeColor="accent5" w:themeShade="80"/>
          <w:sz w:val="24"/>
          <w:szCs w:val="24"/>
        </w:rPr>
      </w:pPr>
    </w:p>
    <w:p w14:paraId="14135634" w14:textId="77777777" w:rsidR="00B028A9" w:rsidRDefault="00B028A9" w:rsidP="00B028A9">
      <w:pPr>
        <w:pStyle w:val="ListParagraph"/>
        <w:numPr>
          <w:ilvl w:val="0"/>
          <w:numId w:val="23"/>
        </w:numPr>
        <w:autoSpaceDE w:val="0"/>
        <w:autoSpaceDN w:val="0"/>
        <w:adjustRightInd w:val="0"/>
        <w:spacing w:after="0"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t>Yes</w:t>
      </w:r>
      <w:r w:rsidR="00002602">
        <w:rPr>
          <w:rFonts w:ascii="Arial" w:hAnsi="Arial" w:cs="Arial"/>
          <w:color w:val="1F3864" w:themeColor="accent5" w:themeShade="80"/>
          <w:sz w:val="24"/>
          <w:szCs w:val="24"/>
        </w:rPr>
        <w:t xml:space="preserve">, </w:t>
      </w:r>
      <w:r w:rsidR="00002602" w:rsidRPr="00002602">
        <w:rPr>
          <w:rFonts w:ascii="Arial" w:hAnsi="Arial" w:cs="Arial"/>
          <w:color w:val="1F3864" w:themeColor="accent5" w:themeShade="80"/>
          <w:sz w:val="24"/>
          <w:szCs w:val="24"/>
        </w:rPr>
        <w:t>CT 1142</w:t>
      </w:r>
      <w:r w:rsidR="004476A4">
        <w:rPr>
          <w:rFonts w:ascii="Arial" w:hAnsi="Arial" w:cs="Arial"/>
          <w:color w:val="1F3864" w:themeColor="accent5" w:themeShade="80"/>
          <w:sz w:val="24"/>
          <w:szCs w:val="24"/>
        </w:rPr>
        <w:t xml:space="preserve"> has</w:t>
      </w:r>
      <w:r w:rsidR="00002602" w:rsidRPr="00002602">
        <w:rPr>
          <w:rFonts w:ascii="Arial" w:hAnsi="Arial" w:cs="Arial"/>
          <w:color w:val="1F3864" w:themeColor="accent5" w:themeShade="80"/>
          <w:sz w:val="24"/>
          <w:szCs w:val="24"/>
        </w:rPr>
        <w:t xml:space="preserve"> been trued up for with the IESO for all of 2017</w:t>
      </w:r>
      <w:r w:rsidR="009D1CB7">
        <w:rPr>
          <w:rFonts w:ascii="Arial" w:hAnsi="Arial" w:cs="Arial"/>
          <w:color w:val="1F3864" w:themeColor="accent5" w:themeShade="80"/>
          <w:sz w:val="24"/>
          <w:szCs w:val="24"/>
        </w:rPr>
        <w:t>.</w:t>
      </w:r>
    </w:p>
    <w:p w14:paraId="44DED013" w14:textId="77777777" w:rsidR="00B028A9" w:rsidRPr="00B028A9" w:rsidRDefault="00B028A9" w:rsidP="00B028A9">
      <w:pPr>
        <w:pStyle w:val="ListParagraph"/>
        <w:rPr>
          <w:rFonts w:ascii="Arial" w:hAnsi="Arial" w:cs="Arial"/>
          <w:color w:val="1F3864" w:themeColor="accent5" w:themeShade="80"/>
          <w:sz w:val="24"/>
          <w:szCs w:val="24"/>
        </w:rPr>
      </w:pPr>
    </w:p>
    <w:p w14:paraId="32E131CF" w14:textId="1D7A7E56" w:rsidR="00B028A9" w:rsidRDefault="009D1CB7" w:rsidP="00B028A9">
      <w:pPr>
        <w:pStyle w:val="ListParagraph"/>
        <w:numPr>
          <w:ilvl w:val="0"/>
          <w:numId w:val="23"/>
        </w:numPr>
        <w:spacing w:after="0" w:line="276" w:lineRule="auto"/>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The month of </w:t>
      </w:r>
      <w:r w:rsidR="00B028A9" w:rsidRPr="00B028A9">
        <w:rPr>
          <w:rFonts w:ascii="Arial" w:hAnsi="Arial" w:cs="Arial"/>
          <w:color w:val="1F3864" w:themeColor="accent5" w:themeShade="80"/>
          <w:sz w:val="24"/>
          <w:szCs w:val="24"/>
        </w:rPr>
        <w:t xml:space="preserve">December 2017 </w:t>
      </w:r>
      <w:r>
        <w:rPr>
          <w:rFonts w:ascii="Arial" w:hAnsi="Arial" w:cs="Arial"/>
          <w:color w:val="1F3864" w:themeColor="accent5" w:themeShade="80"/>
          <w:sz w:val="24"/>
          <w:szCs w:val="24"/>
        </w:rPr>
        <w:t>was</w:t>
      </w:r>
      <w:r w:rsidRPr="00B028A9">
        <w:rPr>
          <w:rFonts w:ascii="Arial" w:hAnsi="Arial" w:cs="Arial"/>
          <w:color w:val="1F3864" w:themeColor="accent5" w:themeShade="80"/>
          <w:sz w:val="24"/>
          <w:szCs w:val="24"/>
        </w:rPr>
        <w:t xml:space="preserve"> </w:t>
      </w:r>
      <w:r w:rsidR="00B028A9" w:rsidRPr="00B028A9">
        <w:rPr>
          <w:rFonts w:ascii="Arial" w:hAnsi="Arial" w:cs="Arial"/>
          <w:color w:val="1F3864" w:themeColor="accent5" w:themeShade="80"/>
          <w:sz w:val="24"/>
          <w:szCs w:val="24"/>
        </w:rPr>
        <w:t>trued up in 2018</w:t>
      </w:r>
      <w:r>
        <w:rPr>
          <w:rFonts w:ascii="Arial" w:hAnsi="Arial" w:cs="Arial"/>
          <w:color w:val="1F3864" w:themeColor="accent5" w:themeShade="80"/>
          <w:sz w:val="24"/>
          <w:szCs w:val="24"/>
        </w:rPr>
        <w:t>.</w:t>
      </w:r>
    </w:p>
    <w:p w14:paraId="0440A1ED" w14:textId="77777777" w:rsidR="00B028A9" w:rsidRPr="00B028A9" w:rsidRDefault="00B028A9" w:rsidP="00B028A9">
      <w:pPr>
        <w:pStyle w:val="ListParagraph"/>
        <w:rPr>
          <w:rFonts w:ascii="Arial" w:hAnsi="Arial" w:cs="Arial"/>
          <w:color w:val="1F3864" w:themeColor="accent5" w:themeShade="80"/>
          <w:sz w:val="24"/>
          <w:szCs w:val="24"/>
        </w:rPr>
      </w:pPr>
    </w:p>
    <w:p w14:paraId="3E90BEC4" w14:textId="7F4D6F85" w:rsidR="00B028A9" w:rsidRDefault="009D1CB7" w:rsidP="00B028A9">
      <w:pPr>
        <w:pStyle w:val="ListParagraph"/>
        <w:numPr>
          <w:ilvl w:val="0"/>
          <w:numId w:val="23"/>
        </w:numPr>
        <w:spacing w:after="0" w:line="276" w:lineRule="auto"/>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Yes, </w:t>
      </w:r>
      <w:r w:rsidR="00B028A9" w:rsidRPr="00B028A9">
        <w:rPr>
          <w:rFonts w:ascii="Arial" w:hAnsi="Arial" w:cs="Arial"/>
          <w:color w:val="1F3864" w:themeColor="accent5" w:themeShade="80"/>
          <w:sz w:val="24"/>
          <w:szCs w:val="24"/>
        </w:rPr>
        <w:t>Energy+</w:t>
      </w:r>
      <w:r w:rsidR="00E517DA">
        <w:rPr>
          <w:rFonts w:ascii="Arial" w:hAnsi="Arial" w:cs="Arial"/>
          <w:color w:val="1F3864" w:themeColor="accent5" w:themeShade="80"/>
          <w:sz w:val="24"/>
          <w:szCs w:val="24"/>
        </w:rPr>
        <w:t xml:space="preserve"> (CND)</w:t>
      </w:r>
      <w:r w:rsidR="00770CAE">
        <w:rPr>
          <w:rFonts w:ascii="Arial" w:hAnsi="Arial" w:cs="Arial"/>
          <w:color w:val="1F3864" w:themeColor="accent5" w:themeShade="80"/>
          <w:sz w:val="24"/>
          <w:szCs w:val="24"/>
        </w:rPr>
        <w:t xml:space="preserve"> </w:t>
      </w:r>
      <w:r w:rsidR="00B028A9" w:rsidRPr="00B028A9">
        <w:rPr>
          <w:rFonts w:ascii="Arial" w:hAnsi="Arial" w:cs="Arial"/>
          <w:color w:val="1F3864" w:themeColor="accent5" w:themeShade="80"/>
          <w:sz w:val="24"/>
          <w:szCs w:val="24"/>
        </w:rPr>
        <w:t>confirms that all the 2017 related true-up</w:t>
      </w:r>
      <w:r>
        <w:rPr>
          <w:rFonts w:ascii="Arial" w:hAnsi="Arial" w:cs="Arial"/>
          <w:color w:val="1F3864" w:themeColor="accent5" w:themeShade="80"/>
          <w:sz w:val="24"/>
          <w:szCs w:val="24"/>
        </w:rPr>
        <w:t>s</w:t>
      </w:r>
      <w:r w:rsidR="00B028A9" w:rsidRPr="00B028A9">
        <w:rPr>
          <w:rFonts w:ascii="Arial" w:hAnsi="Arial" w:cs="Arial"/>
          <w:color w:val="1F3864" w:themeColor="accent5" w:themeShade="80"/>
          <w:sz w:val="24"/>
          <w:szCs w:val="24"/>
        </w:rPr>
        <w:t xml:space="preserve"> been reflected in the DVA Continuity Schedule</w:t>
      </w:r>
      <w:r>
        <w:rPr>
          <w:rFonts w:ascii="Arial" w:hAnsi="Arial" w:cs="Arial"/>
          <w:color w:val="1F3864" w:themeColor="accent5" w:themeShade="80"/>
          <w:sz w:val="24"/>
          <w:szCs w:val="24"/>
        </w:rPr>
        <w:t>, as part of the Application.</w:t>
      </w:r>
    </w:p>
    <w:p w14:paraId="51F32B7C" w14:textId="77777777" w:rsidR="00B028A9" w:rsidRPr="00B028A9" w:rsidRDefault="00B028A9" w:rsidP="00B028A9">
      <w:pPr>
        <w:pStyle w:val="ListParagraph"/>
        <w:rPr>
          <w:rFonts w:ascii="Arial" w:hAnsi="Arial" w:cs="Arial"/>
          <w:color w:val="1F3864" w:themeColor="accent5" w:themeShade="80"/>
          <w:sz w:val="24"/>
          <w:szCs w:val="24"/>
        </w:rPr>
      </w:pPr>
    </w:p>
    <w:p w14:paraId="08C3F44A" w14:textId="16AC4FD3" w:rsidR="00CD6C2A" w:rsidRPr="001922E5" w:rsidRDefault="00921A83" w:rsidP="00CD6C2A">
      <w:pPr>
        <w:pStyle w:val="ListParagraph"/>
        <w:numPr>
          <w:ilvl w:val="0"/>
          <w:numId w:val="23"/>
        </w:numPr>
        <w:spacing w:after="0" w:line="240" w:lineRule="auto"/>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The following table quantifies the</w:t>
      </w:r>
      <w:r w:rsidR="00770C98" w:rsidRPr="001922E5">
        <w:rPr>
          <w:rFonts w:ascii="Arial" w:hAnsi="Arial" w:cs="Arial"/>
          <w:color w:val="1F3864" w:themeColor="accent5" w:themeShade="80"/>
          <w:sz w:val="24"/>
          <w:szCs w:val="24"/>
        </w:rPr>
        <w:t xml:space="preserve"> true-up</w:t>
      </w:r>
      <w:r w:rsidRPr="001922E5">
        <w:rPr>
          <w:rFonts w:ascii="Arial" w:hAnsi="Arial" w:cs="Arial"/>
          <w:color w:val="1F3864" w:themeColor="accent5" w:themeShade="80"/>
          <w:sz w:val="24"/>
          <w:szCs w:val="24"/>
        </w:rPr>
        <w:t xml:space="preserve"> amount</w:t>
      </w:r>
      <w:r w:rsidR="00770C98" w:rsidRPr="001922E5">
        <w:rPr>
          <w:rFonts w:ascii="Arial" w:hAnsi="Arial" w:cs="Arial"/>
          <w:color w:val="1F3864" w:themeColor="accent5" w:themeShade="80"/>
          <w:sz w:val="24"/>
          <w:szCs w:val="24"/>
        </w:rPr>
        <w:t>s</w:t>
      </w:r>
      <w:r w:rsidRPr="001922E5">
        <w:rPr>
          <w:rFonts w:ascii="Arial" w:hAnsi="Arial" w:cs="Arial"/>
          <w:color w:val="1F3864" w:themeColor="accent5" w:themeShade="80"/>
          <w:sz w:val="24"/>
          <w:szCs w:val="24"/>
        </w:rPr>
        <w:t xml:space="preserve"> </w:t>
      </w:r>
      <w:r w:rsidR="00177465" w:rsidRPr="001922E5">
        <w:rPr>
          <w:rFonts w:ascii="Arial" w:hAnsi="Arial" w:cs="Arial"/>
          <w:color w:val="1F3864" w:themeColor="accent5" w:themeShade="80"/>
          <w:sz w:val="24"/>
          <w:szCs w:val="24"/>
        </w:rPr>
        <w:t xml:space="preserve">for </w:t>
      </w:r>
      <w:r w:rsidR="0045441E">
        <w:rPr>
          <w:rFonts w:ascii="Arial" w:hAnsi="Arial" w:cs="Arial"/>
          <w:color w:val="1F3864" w:themeColor="accent5" w:themeShade="80"/>
          <w:sz w:val="24"/>
          <w:szCs w:val="24"/>
        </w:rPr>
        <w:t xml:space="preserve">Accounts </w:t>
      </w:r>
      <w:r w:rsidR="00177465" w:rsidRPr="001922E5">
        <w:rPr>
          <w:rFonts w:ascii="Arial" w:hAnsi="Arial" w:cs="Arial"/>
          <w:color w:val="1F3864" w:themeColor="accent5" w:themeShade="80"/>
          <w:sz w:val="24"/>
          <w:szCs w:val="24"/>
        </w:rPr>
        <w:t xml:space="preserve">1588 and 1589 </w:t>
      </w:r>
      <w:r w:rsidR="001922E5" w:rsidRPr="001922E5">
        <w:rPr>
          <w:rFonts w:ascii="Arial" w:hAnsi="Arial" w:cs="Arial"/>
          <w:color w:val="1F3864" w:themeColor="accent5" w:themeShade="80"/>
          <w:sz w:val="24"/>
          <w:szCs w:val="24"/>
        </w:rPr>
        <w:t xml:space="preserve">that are included </w:t>
      </w:r>
      <w:r w:rsidR="00177465" w:rsidRPr="001922E5">
        <w:rPr>
          <w:rFonts w:ascii="Arial" w:hAnsi="Arial" w:cs="Arial"/>
          <w:color w:val="1F3864" w:themeColor="accent5" w:themeShade="80"/>
          <w:sz w:val="24"/>
          <w:szCs w:val="24"/>
        </w:rPr>
        <w:t>in the DVA Continuity Schedule.  These</w:t>
      </w:r>
      <w:r w:rsidR="00B43A47" w:rsidRPr="001922E5">
        <w:rPr>
          <w:rFonts w:ascii="Arial" w:hAnsi="Arial" w:cs="Arial"/>
          <w:color w:val="1F3864" w:themeColor="accent5" w:themeShade="80"/>
          <w:sz w:val="24"/>
          <w:szCs w:val="24"/>
        </w:rPr>
        <w:t xml:space="preserve"> amounts</w:t>
      </w:r>
      <w:r w:rsidR="00177465" w:rsidRPr="001922E5">
        <w:rPr>
          <w:rFonts w:ascii="Arial" w:hAnsi="Arial" w:cs="Arial"/>
          <w:color w:val="1F3864" w:themeColor="accent5" w:themeShade="80"/>
          <w:sz w:val="24"/>
          <w:szCs w:val="24"/>
        </w:rPr>
        <w:t xml:space="preserve"> appear</w:t>
      </w:r>
      <w:r w:rsidRPr="001922E5">
        <w:rPr>
          <w:rFonts w:ascii="Arial" w:hAnsi="Arial" w:cs="Arial"/>
          <w:color w:val="1F3864" w:themeColor="accent5" w:themeShade="80"/>
          <w:sz w:val="24"/>
          <w:szCs w:val="24"/>
        </w:rPr>
        <w:t xml:space="preserve"> in the Transactions Debit/Credit column</w:t>
      </w:r>
      <w:r w:rsidR="00177465" w:rsidRPr="001922E5">
        <w:rPr>
          <w:rFonts w:ascii="Arial" w:hAnsi="Arial" w:cs="Arial"/>
          <w:color w:val="1F3864" w:themeColor="accent5" w:themeShade="80"/>
          <w:sz w:val="24"/>
          <w:szCs w:val="24"/>
        </w:rPr>
        <w:t xml:space="preserve"> </w:t>
      </w:r>
      <w:r w:rsidR="00094AC7" w:rsidRPr="001922E5">
        <w:rPr>
          <w:rFonts w:ascii="Arial" w:hAnsi="Arial" w:cs="Arial"/>
          <w:color w:val="1F3864" w:themeColor="accent5" w:themeShade="80"/>
          <w:sz w:val="24"/>
          <w:szCs w:val="24"/>
        </w:rPr>
        <w:t>for 2017 since the</w:t>
      </w:r>
      <w:r w:rsidR="00177465" w:rsidRPr="001922E5">
        <w:rPr>
          <w:rFonts w:ascii="Arial" w:hAnsi="Arial" w:cs="Arial"/>
          <w:color w:val="1F3864" w:themeColor="accent5" w:themeShade="80"/>
          <w:sz w:val="24"/>
          <w:szCs w:val="24"/>
        </w:rPr>
        <w:t xml:space="preserve">y </w:t>
      </w:r>
      <w:r w:rsidR="00094AC7" w:rsidRPr="001922E5">
        <w:rPr>
          <w:rFonts w:ascii="Arial" w:hAnsi="Arial" w:cs="Arial"/>
          <w:color w:val="1F3864" w:themeColor="accent5" w:themeShade="80"/>
          <w:sz w:val="24"/>
          <w:szCs w:val="24"/>
        </w:rPr>
        <w:t xml:space="preserve">were </w:t>
      </w:r>
      <w:r w:rsidR="001922E5">
        <w:rPr>
          <w:rFonts w:ascii="Arial" w:hAnsi="Arial" w:cs="Arial"/>
          <w:color w:val="1F3864" w:themeColor="accent5" w:themeShade="80"/>
          <w:sz w:val="24"/>
          <w:szCs w:val="24"/>
        </w:rPr>
        <w:t xml:space="preserve">related to transactions in 2017 and are </w:t>
      </w:r>
      <w:r w:rsidR="001922E5" w:rsidRPr="001922E5">
        <w:rPr>
          <w:rFonts w:ascii="Arial" w:hAnsi="Arial" w:cs="Arial"/>
          <w:color w:val="1F3864" w:themeColor="accent5" w:themeShade="80"/>
          <w:sz w:val="24"/>
          <w:szCs w:val="24"/>
        </w:rPr>
        <w:t xml:space="preserve">included as part of </w:t>
      </w:r>
      <w:proofErr w:type="spellStart"/>
      <w:r w:rsidR="001922E5" w:rsidRPr="001922E5">
        <w:rPr>
          <w:rFonts w:ascii="Arial" w:hAnsi="Arial" w:cs="Arial"/>
          <w:color w:val="1F3864" w:themeColor="accent5" w:themeShade="80"/>
          <w:sz w:val="24"/>
          <w:szCs w:val="24"/>
        </w:rPr>
        <w:t>Energy+’s</w:t>
      </w:r>
      <w:proofErr w:type="spellEnd"/>
      <w:r w:rsidR="001922E5" w:rsidRPr="001922E5">
        <w:rPr>
          <w:rFonts w:ascii="Arial" w:hAnsi="Arial" w:cs="Arial"/>
          <w:color w:val="1F3864" w:themeColor="accent5" w:themeShade="80"/>
          <w:sz w:val="24"/>
          <w:szCs w:val="24"/>
        </w:rPr>
        <w:t xml:space="preserve"> year-end adjustments</w:t>
      </w:r>
      <w:r w:rsidRPr="001922E5">
        <w:rPr>
          <w:rFonts w:ascii="Arial" w:hAnsi="Arial" w:cs="Arial"/>
          <w:color w:val="1F3864" w:themeColor="accent5" w:themeShade="80"/>
          <w:sz w:val="24"/>
          <w:szCs w:val="24"/>
        </w:rPr>
        <w:t>.</w:t>
      </w:r>
    </w:p>
    <w:p w14:paraId="08CEEF81" w14:textId="77777777" w:rsidR="00CD6C2A" w:rsidRPr="001922E5" w:rsidRDefault="00CD6C2A" w:rsidP="001922E5">
      <w:pPr>
        <w:pStyle w:val="ListParagraph"/>
        <w:rPr>
          <w:rFonts w:ascii="Arial" w:hAnsi="Arial" w:cs="Arial"/>
          <w:color w:val="1F3864" w:themeColor="accent5" w:themeShade="80"/>
          <w:sz w:val="24"/>
          <w:szCs w:val="24"/>
        </w:rPr>
      </w:pPr>
    </w:p>
    <w:p w14:paraId="26B0703A" w14:textId="11E3FC7F" w:rsidR="00CD6C2A" w:rsidRPr="001922E5" w:rsidRDefault="00D626C3" w:rsidP="001922E5">
      <w:pPr>
        <w:pStyle w:val="ListParagraph"/>
        <w:spacing w:after="0" w:line="240" w:lineRule="auto"/>
        <w:rPr>
          <w:rFonts w:ascii="Arial" w:hAnsi="Arial" w:cs="Arial"/>
          <w:color w:val="1F3864" w:themeColor="accent5" w:themeShade="80"/>
          <w:sz w:val="24"/>
          <w:szCs w:val="24"/>
        </w:rPr>
      </w:pPr>
      <w:r w:rsidRPr="00D626C3">
        <w:rPr>
          <w:noProof/>
        </w:rPr>
        <w:drawing>
          <wp:inline distT="0" distB="0" distL="0" distR="0" wp14:anchorId="0D664509" wp14:editId="7E1091EB">
            <wp:extent cx="5943600" cy="2346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4616"/>
                    </a:xfrm>
                    <a:prstGeom prst="rect">
                      <a:avLst/>
                    </a:prstGeom>
                    <a:noFill/>
                    <a:ln>
                      <a:noFill/>
                    </a:ln>
                  </pic:spPr>
                </pic:pic>
              </a:graphicData>
            </a:graphic>
          </wp:inline>
        </w:drawing>
      </w:r>
    </w:p>
    <w:p w14:paraId="15C7360D" w14:textId="77777777" w:rsidR="00325817" w:rsidRDefault="00325817" w:rsidP="00152EE3">
      <w:pPr>
        <w:spacing w:after="0" w:line="276" w:lineRule="auto"/>
        <w:rPr>
          <w:rFonts w:ascii="Arial" w:eastAsia="Times New Roman" w:hAnsi="Arial" w:cs="Arial"/>
          <w:sz w:val="24"/>
          <w:szCs w:val="24"/>
        </w:rPr>
      </w:pPr>
    </w:p>
    <w:p w14:paraId="167149E5" w14:textId="77777777" w:rsidR="00152EE3" w:rsidRPr="000177EE" w:rsidRDefault="00152EE3" w:rsidP="00BE05F6">
      <w:pPr>
        <w:pStyle w:val="ListParagraph"/>
        <w:numPr>
          <w:ilvl w:val="0"/>
          <w:numId w:val="15"/>
        </w:numPr>
        <w:spacing w:after="0" w:line="276" w:lineRule="auto"/>
        <w:rPr>
          <w:rFonts w:ascii="Arial" w:eastAsia="Times New Roman" w:hAnsi="Arial" w:cs="Arial"/>
          <w:sz w:val="24"/>
          <w:szCs w:val="24"/>
        </w:rPr>
      </w:pPr>
      <w:r w:rsidRPr="000177EE">
        <w:rPr>
          <w:rFonts w:ascii="Arial" w:eastAsia="Times New Roman" w:hAnsi="Arial" w:cs="Arial"/>
          <w:sz w:val="24"/>
          <w:szCs w:val="24"/>
          <w:u w:val="single"/>
        </w:rPr>
        <w:t>Questions on CT 148</w:t>
      </w:r>
    </w:p>
    <w:p w14:paraId="132CA060" w14:textId="77777777" w:rsidR="005A539A" w:rsidRPr="006B0483" w:rsidRDefault="00152EE3" w:rsidP="00E272F5">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 xml:space="preserve">Please describe the process for the initial recording of CT 148 in the </w:t>
      </w:r>
      <w:r w:rsidRPr="006B0483">
        <w:rPr>
          <w:rFonts w:ascii="Arial" w:eastAsia="Times New Roman" w:hAnsi="Arial" w:cs="Arial"/>
          <w:sz w:val="24"/>
          <w:szCs w:val="24"/>
        </w:rPr>
        <w:t>accounts (i.e. 1588 and 1589)</w:t>
      </w:r>
      <w:r w:rsidR="005A539A" w:rsidRPr="006B0483">
        <w:rPr>
          <w:rFonts w:ascii="Arial" w:eastAsia="Times New Roman" w:hAnsi="Arial" w:cs="Arial"/>
          <w:sz w:val="24"/>
          <w:szCs w:val="24"/>
        </w:rPr>
        <w:t>.</w:t>
      </w:r>
    </w:p>
    <w:p w14:paraId="32112F9C" w14:textId="77777777" w:rsidR="00152EE3" w:rsidRPr="006B0483" w:rsidRDefault="00152EE3" w:rsidP="00E272F5">
      <w:pPr>
        <w:pStyle w:val="ListParagraph"/>
        <w:numPr>
          <w:ilvl w:val="0"/>
          <w:numId w:val="22"/>
        </w:numPr>
        <w:spacing w:after="0" w:line="276" w:lineRule="auto"/>
        <w:rPr>
          <w:rFonts w:ascii="Arial" w:eastAsia="Times New Roman" w:hAnsi="Arial" w:cs="Arial"/>
          <w:sz w:val="24"/>
          <w:szCs w:val="24"/>
        </w:rPr>
      </w:pPr>
      <w:r w:rsidRPr="006B0483">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14:paraId="585C3801"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14:paraId="64DD7160"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14:paraId="1E53691D"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Please indicate which months from 2017 w</w:t>
      </w:r>
      <w:r w:rsidR="00325817" w:rsidRPr="000177EE">
        <w:rPr>
          <w:rFonts w:ascii="Arial" w:eastAsia="Times New Roman" w:hAnsi="Arial" w:cs="Arial"/>
          <w:sz w:val="24"/>
          <w:szCs w:val="24"/>
        </w:rPr>
        <w:t>ere</w:t>
      </w:r>
      <w:r w:rsidRPr="000177EE">
        <w:rPr>
          <w:rFonts w:ascii="Arial" w:eastAsia="Times New Roman" w:hAnsi="Arial" w:cs="Arial"/>
          <w:sz w:val="24"/>
          <w:szCs w:val="24"/>
        </w:rPr>
        <w:t xml:space="preserve"> trued up in 2018 for CT 148 proportions between RPP and non-RPP.</w:t>
      </w:r>
    </w:p>
    <w:p w14:paraId="00F42CF8"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lastRenderedPageBreak/>
        <w:t>Are all true-ups for 2017 consumption reflected in the DV</w:t>
      </w:r>
      <w:r w:rsidR="00335DC8">
        <w:rPr>
          <w:rFonts w:ascii="Arial" w:eastAsia="Times New Roman" w:hAnsi="Arial" w:cs="Arial"/>
          <w:sz w:val="24"/>
          <w:szCs w:val="24"/>
        </w:rPr>
        <w:t xml:space="preserve">A Continuity Schedule under </w:t>
      </w:r>
      <w:proofErr w:type="gramStart"/>
      <w:r w:rsidR="00335DC8">
        <w:rPr>
          <w:rFonts w:ascii="Arial" w:eastAsia="Times New Roman" w:hAnsi="Arial" w:cs="Arial"/>
          <w:sz w:val="24"/>
          <w:szCs w:val="24"/>
        </w:rPr>
        <w:t>2017</w:t>
      </w:r>
      <w:r w:rsidR="00302C85">
        <w:rPr>
          <w:rFonts w:ascii="Arial" w:eastAsia="Times New Roman" w:hAnsi="Arial" w:cs="Arial"/>
          <w:sz w:val="24"/>
          <w:szCs w:val="24"/>
        </w:rPr>
        <w:t>.</w:t>
      </w:r>
      <w:proofErr w:type="gramEnd"/>
    </w:p>
    <w:p w14:paraId="326DD8BF" w14:textId="77777777" w:rsidR="0097407F" w:rsidRDefault="00152EE3" w:rsidP="0097407F">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Please quantify the amount reflected in the DVA Continuity Schedule, and the column where it is included.</w:t>
      </w:r>
    </w:p>
    <w:p w14:paraId="3B20E923" w14:textId="77777777" w:rsidR="00335DC8" w:rsidRDefault="00335DC8" w:rsidP="00335DC8">
      <w:pPr>
        <w:pStyle w:val="ListParagraph"/>
        <w:spacing w:after="0" w:line="276" w:lineRule="auto"/>
        <w:ind w:left="1440"/>
        <w:rPr>
          <w:rFonts w:ascii="Arial" w:eastAsia="Times New Roman" w:hAnsi="Arial" w:cs="Arial"/>
          <w:sz w:val="24"/>
          <w:szCs w:val="24"/>
        </w:rPr>
      </w:pPr>
    </w:p>
    <w:p w14:paraId="789CA935" w14:textId="77777777" w:rsidR="0097407F" w:rsidRPr="00B028A9" w:rsidRDefault="0097407F" w:rsidP="0097407F">
      <w:pPr>
        <w:autoSpaceDE w:val="0"/>
        <w:autoSpaceDN w:val="0"/>
        <w:adjustRightInd w:val="0"/>
        <w:spacing w:after="0" w:line="240" w:lineRule="auto"/>
        <w:rPr>
          <w:rFonts w:ascii="Arial" w:hAnsi="Arial" w:cs="Arial"/>
          <w:b/>
          <w:bCs/>
          <w:color w:val="000000"/>
          <w:sz w:val="24"/>
          <w:szCs w:val="24"/>
        </w:rPr>
      </w:pPr>
      <w:r w:rsidRPr="00B028A9">
        <w:rPr>
          <w:rFonts w:ascii="Arial" w:hAnsi="Arial" w:cs="Arial"/>
          <w:b/>
          <w:bCs/>
          <w:color w:val="000000"/>
          <w:sz w:val="24"/>
          <w:szCs w:val="24"/>
        </w:rPr>
        <w:t>RESPONSE</w:t>
      </w:r>
    </w:p>
    <w:p w14:paraId="2D145555" w14:textId="77777777" w:rsidR="0097407F" w:rsidRPr="00B028A9" w:rsidRDefault="0097407F" w:rsidP="0097407F">
      <w:pPr>
        <w:spacing w:after="0" w:line="276" w:lineRule="auto"/>
        <w:rPr>
          <w:rFonts w:ascii="Arial" w:eastAsia="Times New Roman" w:hAnsi="Arial" w:cs="Arial"/>
          <w:sz w:val="24"/>
          <w:szCs w:val="24"/>
          <w:highlight w:val="yellow"/>
        </w:rPr>
      </w:pPr>
    </w:p>
    <w:p w14:paraId="001A7A1F" w14:textId="5DC6A208" w:rsidR="0097407F" w:rsidRDefault="00E272F5" w:rsidP="00E272F5">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Charge Type 148 is pro-rated based on RPP/Non-RPP consumption and booked into Account 1588 and 1589, respectively.  </w:t>
      </w:r>
      <w:r w:rsidR="000E7E5E" w:rsidRPr="000E7E5E">
        <w:rPr>
          <w:rFonts w:ascii="Arial" w:hAnsi="Arial" w:cs="Arial"/>
          <w:color w:val="1F3864" w:themeColor="accent5" w:themeShade="80"/>
          <w:sz w:val="24"/>
          <w:szCs w:val="24"/>
        </w:rPr>
        <w:t>Energy+ determines the proration between RPP and Non-RPP customers based upon the percentage of the kWh billed for each customer type, as a percentage of the total kWh billed.</w:t>
      </w:r>
    </w:p>
    <w:p w14:paraId="12CB9B61" w14:textId="77777777" w:rsidR="00B1082C" w:rsidRDefault="00B1082C" w:rsidP="00B1082C">
      <w:pPr>
        <w:pStyle w:val="ListParagraph"/>
        <w:spacing w:after="0" w:line="240" w:lineRule="auto"/>
        <w:rPr>
          <w:rFonts w:ascii="Arial" w:hAnsi="Arial" w:cs="Arial"/>
          <w:color w:val="1F3864" w:themeColor="accent5" w:themeShade="80"/>
          <w:sz w:val="24"/>
          <w:szCs w:val="24"/>
        </w:rPr>
      </w:pPr>
    </w:p>
    <w:p w14:paraId="2814A0D9" w14:textId="087B6A52" w:rsidR="00B1082C" w:rsidRPr="008B758B" w:rsidRDefault="000F53EE" w:rsidP="00E272F5">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t>Please refer to response 2 a) and b) above.</w:t>
      </w:r>
    </w:p>
    <w:p w14:paraId="3A6B670D" w14:textId="77777777" w:rsidR="00EC22FB" w:rsidRDefault="00EC22FB" w:rsidP="00EC22FB">
      <w:pPr>
        <w:pStyle w:val="ListParagraph"/>
        <w:spacing w:after="0" w:line="240" w:lineRule="auto"/>
        <w:rPr>
          <w:rFonts w:ascii="Arial" w:hAnsi="Arial" w:cs="Arial"/>
          <w:color w:val="1F3864" w:themeColor="accent5" w:themeShade="80"/>
          <w:sz w:val="24"/>
          <w:szCs w:val="24"/>
        </w:rPr>
      </w:pPr>
    </w:p>
    <w:p w14:paraId="455D2EF2" w14:textId="77777777" w:rsidR="00EC22FB" w:rsidRDefault="00EC22FB" w:rsidP="00EC22FB">
      <w:pPr>
        <w:pStyle w:val="ListParagraph"/>
        <w:numPr>
          <w:ilvl w:val="1"/>
          <w:numId w:val="15"/>
        </w:numPr>
        <w:spacing w:after="0" w:line="240" w:lineRule="auto"/>
        <w:ind w:left="720"/>
        <w:rPr>
          <w:rFonts w:ascii="Arial" w:hAnsi="Arial" w:cs="Arial"/>
          <w:color w:val="1F3864" w:themeColor="accent5" w:themeShade="80"/>
          <w:sz w:val="24"/>
          <w:szCs w:val="24"/>
        </w:rPr>
      </w:pPr>
      <w:r w:rsidRPr="00EC22FB">
        <w:rPr>
          <w:rFonts w:ascii="Arial" w:hAnsi="Arial" w:cs="Arial"/>
          <w:color w:val="1F3864" w:themeColor="accent5" w:themeShade="80"/>
          <w:sz w:val="24"/>
          <w:szCs w:val="24"/>
        </w:rPr>
        <w:t xml:space="preserve">The non-RPP kWh volume is </w:t>
      </w:r>
      <w:r>
        <w:rPr>
          <w:rFonts w:ascii="Arial" w:hAnsi="Arial" w:cs="Arial"/>
          <w:color w:val="1F3864" w:themeColor="accent5" w:themeShade="80"/>
          <w:sz w:val="24"/>
          <w:szCs w:val="24"/>
        </w:rPr>
        <w:t xml:space="preserve">determined from a monthly billing statistics report produced from the Customer Information System. </w:t>
      </w:r>
      <w:r w:rsidRPr="00B1082C">
        <w:rPr>
          <w:rFonts w:ascii="Arial" w:hAnsi="Arial" w:cs="Arial"/>
          <w:color w:val="1F3864" w:themeColor="accent5" w:themeShade="80"/>
          <w:sz w:val="24"/>
          <w:szCs w:val="24"/>
        </w:rPr>
        <w:t>The billing statistics report is available one day following the month-end</w:t>
      </w:r>
      <w:r w:rsidR="000F53EE">
        <w:rPr>
          <w:rFonts w:ascii="Arial" w:hAnsi="Arial" w:cs="Arial"/>
          <w:color w:val="1F3864" w:themeColor="accent5" w:themeShade="80"/>
          <w:sz w:val="24"/>
          <w:szCs w:val="24"/>
        </w:rPr>
        <w:t>.</w:t>
      </w:r>
    </w:p>
    <w:p w14:paraId="22DECFDC" w14:textId="77777777" w:rsidR="004C1F24" w:rsidRPr="004C1F24" w:rsidRDefault="004C1F24" w:rsidP="004C1F24">
      <w:pPr>
        <w:pStyle w:val="ListParagraph"/>
        <w:rPr>
          <w:rFonts w:ascii="Arial" w:hAnsi="Arial" w:cs="Arial"/>
          <w:color w:val="1F3864" w:themeColor="accent5" w:themeShade="80"/>
          <w:sz w:val="24"/>
          <w:szCs w:val="24"/>
        </w:rPr>
      </w:pPr>
    </w:p>
    <w:p w14:paraId="4D000C4F" w14:textId="215158FF" w:rsidR="00D05AA6" w:rsidRPr="001922E5" w:rsidRDefault="00D05AA6" w:rsidP="00D05AA6">
      <w:pPr>
        <w:pStyle w:val="ListParagraph"/>
        <w:numPr>
          <w:ilvl w:val="1"/>
          <w:numId w:val="15"/>
        </w:numPr>
        <w:spacing w:after="0" w:line="240" w:lineRule="auto"/>
        <w:ind w:left="720"/>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The initial recording of CT 148 in Accounts 1588 and 1589 are based on actual billed consumption proportions for RPP and non-RPP.</w:t>
      </w:r>
      <w:r w:rsidR="00094AC7" w:rsidRPr="001922E5">
        <w:rPr>
          <w:rFonts w:ascii="Arial" w:hAnsi="Arial" w:cs="Arial"/>
          <w:color w:val="1F3864" w:themeColor="accent5" w:themeShade="80"/>
          <w:sz w:val="24"/>
          <w:szCs w:val="24"/>
        </w:rPr>
        <w:t xml:space="preserve">  A true up is not required.</w:t>
      </w:r>
    </w:p>
    <w:p w14:paraId="51251E0C" w14:textId="77777777" w:rsidR="00D05AA6" w:rsidRPr="001922E5" w:rsidRDefault="00D05AA6" w:rsidP="001922E5">
      <w:pPr>
        <w:pStyle w:val="ListParagraph"/>
        <w:rPr>
          <w:rFonts w:ascii="Arial" w:hAnsi="Arial" w:cs="Arial"/>
          <w:color w:val="1F3864" w:themeColor="accent5" w:themeShade="80"/>
          <w:sz w:val="24"/>
          <w:szCs w:val="24"/>
        </w:rPr>
      </w:pPr>
    </w:p>
    <w:p w14:paraId="0288DBD4" w14:textId="0C34B69B" w:rsidR="003C026F" w:rsidRPr="001922E5" w:rsidRDefault="000F53EE" w:rsidP="00EC22FB">
      <w:pPr>
        <w:pStyle w:val="ListParagraph"/>
        <w:numPr>
          <w:ilvl w:val="1"/>
          <w:numId w:val="15"/>
        </w:numPr>
        <w:spacing w:after="0" w:line="240" w:lineRule="auto"/>
        <w:ind w:left="720"/>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 xml:space="preserve">The month of </w:t>
      </w:r>
      <w:r w:rsidR="003C026F" w:rsidRPr="001922E5">
        <w:rPr>
          <w:rFonts w:ascii="Arial" w:hAnsi="Arial" w:cs="Arial"/>
          <w:color w:val="1F3864" w:themeColor="accent5" w:themeShade="80"/>
          <w:sz w:val="24"/>
          <w:szCs w:val="24"/>
        </w:rPr>
        <w:t xml:space="preserve">December 2017 </w:t>
      </w:r>
      <w:r w:rsidR="00807741" w:rsidRPr="001922E5">
        <w:rPr>
          <w:rFonts w:ascii="Arial" w:hAnsi="Arial" w:cs="Arial"/>
          <w:color w:val="1F3864" w:themeColor="accent5" w:themeShade="80"/>
          <w:sz w:val="24"/>
          <w:szCs w:val="24"/>
        </w:rPr>
        <w:t xml:space="preserve">was </w:t>
      </w:r>
      <w:r w:rsidRPr="001922E5">
        <w:rPr>
          <w:rFonts w:ascii="Arial" w:hAnsi="Arial" w:cs="Arial"/>
          <w:color w:val="1F3864" w:themeColor="accent5" w:themeShade="80"/>
          <w:sz w:val="24"/>
          <w:szCs w:val="24"/>
        </w:rPr>
        <w:t>t</w:t>
      </w:r>
      <w:r w:rsidR="003C026F" w:rsidRPr="001922E5">
        <w:rPr>
          <w:rFonts w:ascii="Arial" w:hAnsi="Arial" w:cs="Arial"/>
          <w:color w:val="1F3864" w:themeColor="accent5" w:themeShade="80"/>
          <w:sz w:val="24"/>
          <w:szCs w:val="24"/>
        </w:rPr>
        <w:t>rue</w:t>
      </w:r>
      <w:r w:rsidRPr="001922E5">
        <w:rPr>
          <w:rFonts w:ascii="Arial" w:hAnsi="Arial" w:cs="Arial"/>
          <w:color w:val="1F3864" w:themeColor="accent5" w:themeShade="80"/>
          <w:sz w:val="24"/>
          <w:szCs w:val="24"/>
        </w:rPr>
        <w:t>d</w:t>
      </w:r>
      <w:r w:rsidR="003C026F" w:rsidRPr="001922E5">
        <w:rPr>
          <w:rFonts w:ascii="Arial" w:hAnsi="Arial" w:cs="Arial"/>
          <w:color w:val="1F3864" w:themeColor="accent5" w:themeShade="80"/>
          <w:sz w:val="24"/>
          <w:szCs w:val="24"/>
        </w:rPr>
        <w:t xml:space="preserve"> up in 2018</w:t>
      </w:r>
      <w:r w:rsidRPr="001922E5">
        <w:rPr>
          <w:rFonts w:ascii="Arial" w:hAnsi="Arial" w:cs="Arial"/>
          <w:color w:val="1F3864" w:themeColor="accent5" w:themeShade="80"/>
          <w:sz w:val="24"/>
          <w:szCs w:val="24"/>
        </w:rPr>
        <w:t>.</w:t>
      </w:r>
    </w:p>
    <w:p w14:paraId="57661713" w14:textId="77777777" w:rsidR="004C1F24" w:rsidRPr="001922E5" w:rsidRDefault="004C1F24" w:rsidP="004C1F24">
      <w:pPr>
        <w:pStyle w:val="ListParagraph"/>
        <w:rPr>
          <w:rFonts w:ascii="Arial" w:hAnsi="Arial" w:cs="Arial"/>
          <w:color w:val="1F3864" w:themeColor="accent5" w:themeShade="80"/>
          <w:sz w:val="24"/>
          <w:szCs w:val="24"/>
        </w:rPr>
      </w:pPr>
    </w:p>
    <w:p w14:paraId="09438764" w14:textId="24440758" w:rsidR="00BB75BD" w:rsidRPr="001922E5" w:rsidRDefault="00BB75BD" w:rsidP="00BB75BD">
      <w:pPr>
        <w:pStyle w:val="ListParagraph"/>
        <w:numPr>
          <w:ilvl w:val="1"/>
          <w:numId w:val="15"/>
        </w:numPr>
        <w:spacing w:after="0" w:line="240" w:lineRule="auto"/>
        <w:ind w:left="720"/>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 xml:space="preserve">Energy+ (CND) confirms that at all true-ups for 2017 consumption are reflected in the DVA Continuity Schedule under </w:t>
      </w:r>
      <w:r w:rsidR="00094AC7" w:rsidRPr="001922E5">
        <w:rPr>
          <w:rFonts w:ascii="Arial" w:hAnsi="Arial" w:cs="Arial"/>
          <w:color w:val="1F3864" w:themeColor="accent5" w:themeShade="80"/>
          <w:sz w:val="24"/>
          <w:szCs w:val="24"/>
        </w:rPr>
        <w:t xml:space="preserve">the </w:t>
      </w:r>
      <w:r w:rsidRPr="001922E5">
        <w:rPr>
          <w:rFonts w:ascii="Arial" w:hAnsi="Arial" w:cs="Arial"/>
          <w:color w:val="1F3864" w:themeColor="accent5" w:themeShade="80"/>
          <w:sz w:val="24"/>
          <w:szCs w:val="24"/>
        </w:rPr>
        <w:t>Transaction Debit/ (Credit)</w:t>
      </w:r>
      <w:r w:rsidR="00094AC7" w:rsidRPr="001922E5">
        <w:rPr>
          <w:rFonts w:ascii="Arial" w:hAnsi="Arial" w:cs="Arial"/>
          <w:color w:val="1F3864" w:themeColor="accent5" w:themeShade="80"/>
          <w:sz w:val="24"/>
          <w:szCs w:val="24"/>
        </w:rPr>
        <w:t xml:space="preserve"> column for</w:t>
      </w:r>
      <w:r w:rsidRPr="001922E5">
        <w:rPr>
          <w:rFonts w:ascii="Arial" w:hAnsi="Arial" w:cs="Arial"/>
          <w:color w:val="1F3864" w:themeColor="accent5" w:themeShade="80"/>
          <w:sz w:val="24"/>
          <w:szCs w:val="24"/>
        </w:rPr>
        <w:t xml:space="preserve"> 2017.  This is supported by the following:</w:t>
      </w:r>
    </w:p>
    <w:p w14:paraId="7EADBD93" w14:textId="77777777" w:rsidR="00BB75BD" w:rsidRPr="001922E5" w:rsidRDefault="00BB75BD" w:rsidP="00BB75BD">
      <w:pPr>
        <w:pStyle w:val="ListParagraph"/>
        <w:rPr>
          <w:rFonts w:ascii="Arial" w:hAnsi="Arial" w:cs="Arial"/>
          <w:color w:val="1F3864" w:themeColor="accent5" w:themeShade="80"/>
          <w:sz w:val="24"/>
          <w:szCs w:val="24"/>
        </w:rPr>
      </w:pPr>
    </w:p>
    <w:p w14:paraId="6A4E9DB8" w14:textId="77777777" w:rsidR="00BB75BD" w:rsidRPr="001922E5" w:rsidRDefault="00BB75BD" w:rsidP="00BB75BD">
      <w:pPr>
        <w:pStyle w:val="ListParagraph"/>
        <w:spacing w:after="0" w:line="240" w:lineRule="auto"/>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 The IESO power Bill for December 2016 was booked in the December 2016 GL</w:t>
      </w:r>
    </w:p>
    <w:p w14:paraId="65059CA5" w14:textId="77777777" w:rsidR="00BB75BD" w:rsidRPr="001922E5" w:rsidRDefault="00BB75BD" w:rsidP="00BB75BD">
      <w:pPr>
        <w:pStyle w:val="ListParagraph"/>
        <w:spacing w:after="0" w:line="240" w:lineRule="auto"/>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 The IESO power Bill for December 2017 was booked in the December 2017 GL</w:t>
      </w:r>
    </w:p>
    <w:p w14:paraId="23574900" w14:textId="77777777" w:rsidR="00BB75BD" w:rsidRPr="001922E5" w:rsidRDefault="00BB75BD" w:rsidP="00BB75BD">
      <w:pPr>
        <w:pStyle w:val="ListParagraph"/>
        <w:spacing w:after="0" w:line="240" w:lineRule="auto"/>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 xml:space="preserve">- There are no variances related to Class A customers in account 1589.  Class A customers are accrued based on the same estimated amount accrued for </w:t>
      </w:r>
    </w:p>
    <w:p w14:paraId="66983D6B" w14:textId="77777777" w:rsidR="00BB75BD" w:rsidRPr="001922E5" w:rsidRDefault="00BB75BD" w:rsidP="00BB75BD">
      <w:pPr>
        <w:pStyle w:val="ListParagraph"/>
        <w:spacing w:after="0" w:line="240" w:lineRule="auto"/>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 xml:space="preserve">CT 147. </w:t>
      </w:r>
    </w:p>
    <w:p w14:paraId="6EB09510" w14:textId="77777777" w:rsidR="008969A0" w:rsidRPr="001922E5" w:rsidRDefault="008969A0" w:rsidP="008969A0">
      <w:pPr>
        <w:pStyle w:val="ListParagraph"/>
        <w:rPr>
          <w:rFonts w:ascii="Arial" w:hAnsi="Arial" w:cs="Arial"/>
          <w:color w:val="1F3864" w:themeColor="accent5" w:themeShade="80"/>
          <w:sz w:val="24"/>
          <w:szCs w:val="24"/>
          <w:highlight w:val="yellow"/>
        </w:rPr>
      </w:pPr>
    </w:p>
    <w:p w14:paraId="4F51465A" w14:textId="61751F08" w:rsidR="001922E5" w:rsidRDefault="00855C30" w:rsidP="008814E2">
      <w:pPr>
        <w:pStyle w:val="ListParagraph"/>
        <w:numPr>
          <w:ilvl w:val="0"/>
          <w:numId w:val="23"/>
        </w:numPr>
        <w:spacing w:after="0" w:line="240" w:lineRule="auto"/>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T</w:t>
      </w:r>
      <w:r w:rsidR="00770C98" w:rsidRPr="001922E5">
        <w:rPr>
          <w:rFonts w:ascii="Arial" w:hAnsi="Arial" w:cs="Arial"/>
          <w:color w:val="1F3864" w:themeColor="accent5" w:themeShade="80"/>
          <w:sz w:val="24"/>
          <w:szCs w:val="24"/>
        </w:rPr>
        <w:t xml:space="preserve">he </w:t>
      </w:r>
      <w:r w:rsidR="00094AC7" w:rsidRPr="001922E5">
        <w:rPr>
          <w:rFonts w:ascii="Arial" w:hAnsi="Arial" w:cs="Arial"/>
          <w:color w:val="1F3864" w:themeColor="accent5" w:themeShade="80"/>
          <w:sz w:val="24"/>
          <w:szCs w:val="24"/>
        </w:rPr>
        <w:t xml:space="preserve">following table quantifies the true-up amounts </w:t>
      </w:r>
      <w:r w:rsidR="001922E5">
        <w:rPr>
          <w:rFonts w:ascii="Arial" w:hAnsi="Arial" w:cs="Arial"/>
          <w:color w:val="1F3864" w:themeColor="accent5" w:themeShade="80"/>
          <w:sz w:val="24"/>
          <w:szCs w:val="24"/>
        </w:rPr>
        <w:t xml:space="preserve">related to accounts </w:t>
      </w:r>
      <w:r w:rsidR="00094AC7" w:rsidRPr="001922E5">
        <w:rPr>
          <w:rFonts w:ascii="Arial" w:hAnsi="Arial" w:cs="Arial"/>
          <w:color w:val="1F3864" w:themeColor="accent5" w:themeShade="80"/>
          <w:sz w:val="24"/>
          <w:szCs w:val="24"/>
        </w:rPr>
        <w:t xml:space="preserve">1588 and 1589 in the DVA Continuity Schedule.  These amounts appear in the Transactions Debit/Credit column for 2017 since they </w:t>
      </w:r>
      <w:r w:rsidR="001922E5" w:rsidRPr="001922E5">
        <w:rPr>
          <w:rFonts w:ascii="Arial" w:hAnsi="Arial" w:cs="Arial"/>
          <w:color w:val="1F3864" w:themeColor="accent5" w:themeShade="80"/>
          <w:sz w:val="24"/>
          <w:szCs w:val="24"/>
        </w:rPr>
        <w:t xml:space="preserve">were </w:t>
      </w:r>
      <w:r w:rsidR="001922E5">
        <w:rPr>
          <w:rFonts w:ascii="Arial" w:hAnsi="Arial" w:cs="Arial"/>
          <w:color w:val="1F3864" w:themeColor="accent5" w:themeShade="80"/>
          <w:sz w:val="24"/>
          <w:szCs w:val="24"/>
        </w:rPr>
        <w:t xml:space="preserve">related to transactions in 2017 and are </w:t>
      </w:r>
      <w:r w:rsidR="001922E5" w:rsidRPr="001922E5">
        <w:rPr>
          <w:rFonts w:ascii="Arial" w:hAnsi="Arial" w:cs="Arial"/>
          <w:color w:val="1F3864" w:themeColor="accent5" w:themeShade="80"/>
          <w:sz w:val="24"/>
          <w:szCs w:val="24"/>
        </w:rPr>
        <w:t xml:space="preserve">included as part of </w:t>
      </w:r>
      <w:proofErr w:type="spellStart"/>
      <w:r w:rsidR="001922E5" w:rsidRPr="001922E5">
        <w:rPr>
          <w:rFonts w:ascii="Arial" w:hAnsi="Arial" w:cs="Arial"/>
          <w:color w:val="1F3864" w:themeColor="accent5" w:themeShade="80"/>
          <w:sz w:val="24"/>
          <w:szCs w:val="24"/>
        </w:rPr>
        <w:t>Energy+’s</w:t>
      </w:r>
      <w:proofErr w:type="spellEnd"/>
      <w:r w:rsidR="001922E5" w:rsidRPr="001922E5">
        <w:rPr>
          <w:rFonts w:ascii="Arial" w:hAnsi="Arial" w:cs="Arial"/>
          <w:color w:val="1F3864" w:themeColor="accent5" w:themeShade="80"/>
          <w:sz w:val="24"/>
          <w:szCs w:val="24"/>
        </w:rPr>
        <w:t xml:space="preserve"> year-end adjustments.</w:t>
      </w:r>
    </w:p>
    <w:p w14:paraId="5F58FD67" w14:textId="77777777" w:rsidR="001922E5" w:rsidRDefault="001922E5" w:rsidP="001922E5">
      <w:pPr>
        <w:pStyle w:val="ListParagraph"/>
        <w:spacing w:after="0" w:line="240" w:lineRule="auto"/>
        <w:rPr>
          <w:rFonts w:ascii="Arial" w:hAnsi="Arial" w:cs="Arial"/>
          <w:color w:val="1F3864" w:themeColor="accent5" w:themeShade="80"/>
          <w:sz w:val="24"/>
          <w:szCs w:val="24"/>
        </w:rPr>
      </w:pPr>
    </w:p>
    <w:p w14:paraId="04152108" w14:textId="245F4C76" w:rsidR="008814E2" w:rsidRPr="001922E5" w:rsidRDefault="001922E5" w:rsidP="001922E5">
      <w:pPr>
        <w:pStyle w:val="ListParagraph"/>
        <w:spacing w:after="0"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t>Energy+ notes that in 2017, separate sub-accounts were created to record the GA transactions for Class A and Non-RPP Class B.  These adjustments had no impact on the transactions and/or balances in Account 1589.</w:t>
      </w:r>
      <w:r w:rsidR="00094AC7" w:rsidRPr="008814E2" w:rsidDel="00855C30">
        <w:rPr>
          <w:rFonts w:ascii="Arial" w:hAnsi="Arial" w:cs="Arial"/>
          <w:color w:val="1F3864" w:themeColor="accent5" w:themeShade="80"/>
          <w:sz w:val="24"/>
          <w:szCs w:val="24"/>
        </w:rPr>
        <w:t xml:space="preserve"> </w:t>
      </w:r>
    </w:p>
    <w:p w14:paraId="3662F268" w14:textId="010C80A0" w:rsidR="008814E2" w:rsidRPr="001922E5" w:rsidRDefault="008814E2" w:rsidP="001922E5">
      <w:pPr>
        <w:pStyle w:val="ListParagraph"/>
        <w:rPr>
          <w:rFonts w:ascii="Arial" w:hAnsi="Arial" w:cs="Arial"/>
          <w:color w:val="1F3864" w:themeColor="accent5" w:themeShade="80"/>
          <w:sz w:val="24"/>
          <w:szCs w:val="24"/>
        </w:rPr>
      </w:pPr>
      <w:bookmarkStart w:id="0" w:name="_GoBack"/>
      <w:bookmarkEnd w:id="0"/>
    </w:p>
    <w:p w14:paraId="44276538" w14:textId="2667214C" w:rsidR="008814E2" w:rsidRPr="008814E2" w:rsidRDefault="00D626C3" w:rsidP="001922E5">
      <w:pPr>
        <w:pStyle w:val="ListParagraph"/>
        <w:spacing w:after="0" w:line="240" w:lineRule="auto"/>
        <w:rPr>
          <w:rFonts w:ascii="Arial" w:hAnsi="Arial" w:cs="Arial"/>
          <w:color w:val="1F3864" w:themeColor="accent5" w:themeShade="80"/>
          <w:sz w:val="24"/>
          <w:szCs w:val="24"/>
        </w:rPr>
      </w:pPr>
      <w:r w:rsidRPr="00D626C3">
        <w:rPr>
          <w:noProof/>
        </w:rPr>
        <w:lastRenderedPageBreak/>
        <w:drawing>
          <wp:inline distT="0" distB="0" distL="0" distR="0" wp14:anchorId="12A9A310" wp14:editId="4038177B">
            <wp:extent cx="5943600" cy="9228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22822"/>
                    </a:xfrm>
                    <a:prstGeom prst="rect">
                      <a:avLst/>
                    </a:prstGeom>
                    <a:noFill/>
                    <a:ln>
                      <a:noFill/>
                    </a:ln>
                  </pic:spPr>
                </pic:pic>
              </a:graphicData>
            </a:graphic>
          </wp:inline>
        </w:drawing>
      </w:r>
    </w:p>
    <w:p w14:paraId="27842EC1" w14:textId="77777777" w:rsidR="00DF14AF" w:rsidRPr="00DF14AF" w:rsidRDefault="00DF14AF" w:rsidP="00DF14AF">
      <w:pPr>
        <w:pStyle w:val="ListParagraph"/>
        <w:rPr>
          <w:rFonts w:ascii="Arial" w:hAnsi="Arial" w:cs="Arial"/>
          <w:color w:val="1F3864" w:themeColor="accent5" w:themeShade="80"/>
          <w:sz w:val="24"/>
          <w:szCs w:val="24"/>
        </w:rPr>
      </w:pPr>
    </w:p>
    <w:p w14:paraId="19858665" w14:textId="77777777" w:rsidR="0097407F" w:rsidRPr="00EA4AC8" w:rsidRDefault="0097407F" w:rsidP="00EA4AC8">
      <w:pPr>
        <w:pStyle w:val="ListParagraph"/>
        <w:rPr>
          <w:rFonts w:ascii="Arial" w:hAnsi="Arial" w:cs="Arial"/>
          <w:color w:val="1F3864" w:themeColor="accent5" w:themeShade="80"/>
          <w:sz w:val="24"/>
          <w:szCs w:val="24"/>
        </w:rPr>
      </w:pPr>
    </w:p>
    <w:p w14:paraId="32819746" w14:textId="77777777" w:rsidR="005705A7" w:rsidRPr="000177EE" w:rsidRDefault="005705A7" w:rsidP="005705A7">
      <w:pPr>
        <w:pStyle w:val="ListParagraph"/>
        <w:numPr>
          <w:ilvl w:val="0"/>
          <w:numId w:val="15"/>
        </w:numPr>
        <w:spacing w:after="0" w:line="276" w:lineRule="auto"/>
        <w:rPr>
          <w:rFonts w:ascii="Arial" w:eastAsia="Times New Roman" w:hAnsi="Arial" w:cs="Arial"/>
          <w:sz w:val="24"/>
          <w:szCs w:val="24"/>
        </w:rPr>
      </w:pPr>
      <w:r w:rsidRPr="000177EE">
        <w:rPr>
          <w:rFonts w:ascii="Arial" w:eastAsia="Times New Roman" w:hAnsi="Arial" w:cs="Arial"/>
          <w:sz w:val="24"/>
          <w:szCs w:val="24"/>
        </w:rPr>
        <w:t>Questions regarding principal adjustments and reversals on the DVA Continuity Schedule:</w:t>
      </w:r>
    </w:p>
    <w:p w14:paraId="30953651" w14:textId="77777777" w:rsidR="005705A7" w:rsidRPr="000177EE" w:rsidRDefault="005705A7" w:rsidP="00550838">
      <w:pPr>
        <w:spacing w:after="0" w:line="276" w:lineRule="auto"/>
        <w:ind w:left="720"/>
        <w:rPr>
          <w:rFonts w:ascii="Arial" w:eastAsia="Times New Roman" w:hAnsi="Arial" w:cs="Arial"/>
          <w:sz w:val="24"/>
          <w:szCs w:val="24"/>
        </w:rPr>
      </w:pPr>
    </w:p>
    <w:p w14:paraId="67518BC1" w14:textId="77777777" w:rsidR="00550838" w:rsidRPr="000177EE" w:rsidRDefault="00550838" w:rsidP="00550838">
      <w:pPr>
        <w:spacing w:after="0" w:line="276" w:lineRule="auto"/>
        <w:ind w:left="720"/>
        <w:rPr>
          <w:rFonts w:ascii="Arial" w:eastAsia="Times New Roman" w:hAnsi="Arial" w:cs="Arial"/>
          <w:sz w:val="24"/>
          <w:szCs w:val="24"/>
          <w:u w:val="single"/>
        </w:rPr>
      </w:pPr>
      <w:r w:rsidRPr="000177EE">
        <w:rPr>
          <w:rFonts w:ascii="Arial" w:eastAsia="Times New Roman" w:hAnsi="Arial" w:cs="Arial"/>
          <w:sz w:val="24"/>
          <w:szCs w:val="24"/>
          <w:u w:val="single"/>
        </w:rPr>
        <w:t>Questions on Principal Adjustments - Account</w:t>
      </w:r>
      <w:r w:rsidR="00A235E0" w:rsidRPr="000177EE">
        <w:rPr>
          <w:rFonts w:ascii="Arial" w:eastAsia="Times New Roman" w:hAnsi="Arial" w:cs="Arial"/>
          <w:sz w:val="24"/>
          <w:szCs w:val="24"/>
          <w:u w:val="single"/>
        </w:rPr>
        <w:t>s</w:t>
      </w:r>
      <w:r w:rsidRPr="000177EE">
        <w:rPr>
          <w:rFonts w:ascii="Arial" w:eastAsia="Times New Roman" w:hAnsi="Arial" w:cs="Arial"/>
          <w:sz w:val="24"/>
          <w:szCs w:val="24"/>
          <w:u w:val="single"/>
        </w:rPr>
        <w:t xml:space="preserve"> 1588</w:t>
      </w:r>
      <w:r w:rsidR="00A235E0" w:rsidRPr="000177EE">
        <w:rPr>
          <w:rFonts w:ascii="Arial" w:eastAsia="Times New Roman" w:hAnsi="Arial" w:cs="Arial"/>
          <w:sz w:val="24"/>
          <w:szCs w:val="24"/>
          <w:u w:val="single"/>
        </w:rPr>
        <w:t xml:space="preserve"> and 1589</w:t>
      </w:r>
    </w:p>
    <w:p w14:paraId="3E6B4C25" w14:textId="77777777" w:rsidR="0000233E" w:rsidRPr="000177EE" w:rsidRDefault="0000233E" w:rsidP="0000233E">
      <w:pPr>
        <w:pStyle w:val="ListParagraph"/>
        <w:numPr>
          <w:ilvl w:val="0"/>
          <w:numId w:val="20"/>
        </w:numPr>
        <w:spacing w:after="0" w:line="276" w:lineRule="auto"/>
        <w:rPr>
          <w:rFonts w:ascii="Arial" w:eastAsia="Times New Roman" w:hAnsi="Arial" w:cs="Arial"/>
          <w:sz w:val="24"/>
          <w:szCs w:val="24"/>
        </w:rPr>
      </w:pPr>
      <w:r w:rsidRPr="000177EE">
        <w:rPr>
          <w:rFonts w:ascii="Arial" w:eastAsia="Times New Roman" w:hAnsi="Arial" w:cs="Arial"/>
          <w:sz w:val="24"/>
          <w:szCs w:val="24"/>
        </w:rPr>
        <w:t>Did the applicant have principal adjustments</w:t>
      </w:r>
      <w:r w:rsidR="00A235E0" w:rsidRPr="000177EE">
        <w:rPr>
          <w:rFonts w:ascii="Arial" w:eastAsia="Times New Roman" w:hAnsi="Arial" w:cs="Arial"/>
          <w:sz w:val="24"/>
          <w:szCs w:val="24"/>
        </w:rPr>
        <w:t xml:space="preserve"> </w:t>
      </w:r>
      <w:r w:rsidRPr="000177EE">
        <w:rPr>
          <w:rFonts w:ascii="Arial" w:eastAsia="Times New Roman" w:hAnsi="Arial" w:cs="Arial"/>
          <w:sz w:val="24"/>
          <w:szCs w:val="24"/>
        </w:rPr>
        <w:t xml:space="preserve">in its 2018 rate proceeding which </w:t>
      </w:r>
      <w:r w:rsidR="00550838" w:rsidRPr="000177EE">
        <w:rPr>
          <w:rFonts w:ascii="Arial" w:eastAsia="Times New Roman" w:hAnsi="Arial" w:cs="Arial"/>
          <w:sz w:val="24"/>
          <w:szCs w:val="24"/>
        </w:rPr>
        <w:t>were</w:t>
      </w:r>
      <w:r w:rsidRPr="000177EE">
        <w:rPr>
          <w:rFonts w:ascii="Arial" w:eastAsia="Times New Roman" w:hAnsi="Arial" w:cs="Arial"/>
          <w:sz w:val="24"/>
          <w:szCs w:val="24"/>
        </w:rPr>
        <w:t xml:space="preserve"> approved for disposition?</w:t>
      </w:r>
    </w:p>
    <w:p w14:paraId="355509E6" w14:textId="77777777" w:rsidR="0000233E" w:rsidRDefault="0000233E" w:rsidP="0000233E">
      <w:pPr>
        <w:pStyle w:val="ListParagraph"/>
        <w:numPr>
          <w:ilvl w:val="0"/>
          <w:numId w:val="20"/>
        </w:numPr>
        <w:spacing w:after="0" w:line="276" w:lineRule="auto"/>
        <w:rPr>
          <w:rFonts w:ascii="Arial" w:eastAsia="Times New Roman" w:hAnsi="Arial" w:cs="Arial"/>
          <w:sz w:val="24"/>
          <w:szCs w:val="24"/>
        </w:rPr>
      </w:pPr>
      <w:r w:rsidRPr="000177EE">
        <w:rPr>
          <w:rFonts w:ascii="Arial" w:eastAsia="Times New Roman" w:hAnsi="Arial" w:cs="Arial"/>
          <w:sz w:val="24"/>
          <w:szCs w:val="24"/>
        </w:rPr>
        <w:t>Please provide a break-down of the total amount of principal adjustments</w:t>
      </w:r>
      <w:r>
        <w:rPr>
          <w:rFonts w:ascii="Arial" w:eastAsia="Times New Roman" w:hAnsi="Arial" w:cs="Arial"/>
          <w:sz w:val="24"/>
          <w:szCs w:val="24"/>
        </w:rPr>
        <w:t xml:space="preserve"> that were approved (e.g. </w:t>
      </w:r>
      <w:r w:rsidR="00A235E0">
        <w:rPr>
          <w:rFonts w:ascii="Arial" w:eastAsia="Times New Roman" w:hAnsi="Arial" w:cs="Arial"/>
          <w:sz w:val="24"/>
          <w:szCs w:val="24"/>
        </w:rPr>
        <w:t>true-up of unbilled</w:t>
      </w:r>
      <w:r w:rsidR="000306EA">
        <w:rPr>
          <w:rFonts w:ascii="Arial" w:eastAsia="Times New Roman" w:hAnsi="Arial" w:cs="Arial"/>
          <w:sz w:val="24"/>
          <w:szCs w:val="24"/>
        </w:rPr>
        <w:t xml:space="preserve"> (for 1589 only)</w:t>
      </w:r>
      <w:r w:rsidR="00A235E0">
        <w:rPr>
          <w:rFonts w:ascii="Arial" w:eastAsia="Times New Roman" w:hAnsi="Arial" w:cs="Arial"/>
          <w:sz w:val="24"/>
          <w:szCs w:val="24"/>
        </w:rPr>
        <w:t xml:space="preserve">, </w:t>
      </w:r>
      <w:r>
        <w:rPr>
          <w:rFonts w:ascii="Arial" w:eastAsia="Times New Roman" w:hAnsi="Arial" w:cs="Arial"/>
          <w:sz w:val="24"/>
          <w:szCs w:val="24"/>
        </w:rPr>
        <w:t>true up of CT 1142, true up of CT 148 etc.).</w:t>
      </w:r>
    </w:p>
    <w:p w14:paraId="1A6989F5" w14:textId="77777777" w:rsidR="00550838"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Has the applicant </w:t>
      </w:r>
      <w:r w:rsidR="00550838">
        <w:rPr>
          <w:rFonts w:ascii="Arial" w:eastAsia="Times New Roman" w:hAnsi="Arial" w:cs="Arial"/>
          <w:sz w:val="24"/>
          <w:szCs w:val="24"/>
        </w:rPr>
        <w:t>reversed the adjustment approved in 2018 in its current proposed amount for disposition?</w:t>
      </w:r>
    </w:p>
    <w:p w14:paraId="5DDE47D4" w14:textId="77777777" w:rsidR="005705A7"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14:paraId="33768953" w14:textId="77777777" w:rsidR="00550838"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14:paraId="657F11E9" w14:textId="77777777" w:rsidR="00550838" w:rsidRDefault="00550838" w:rsidP="00BE05F6">
      <w:pPr>
        <w:pStyle w:val="ListParagraph"/>
        <w:numPr>
          <w:ilvl w:val="0"/>
          <w:numId w:val="20"/>
        </w:numPr>
        <w:rPr>
          <w:rFonts w:ascii="Arial" w:eastAsia="Times New Roman" w:hAnsi="Arial" w:cs="Arial"/>
          <w:sz w:val="24"/>
          <w:szCs w:val="24"/>
        </w:rPr>
      </w:pPr>
      <w:r w:rsidRPr="000306EA">
        <w:rPr>
          <w:rFonts w:ascii="Arial" w:eastAsia="Times New Roman" w:hAnsi="Arial" w:cs="Arial"/>
          <w:sz w:val="24"/>
          <w:szCs w:val="24"/>
        </w:rPr>
        <w:t xml:space="preserve">Please confirm that the principal adjustments </w:t>
      </w:r>
      <w:r w:rsidR="00B96E3C">
        <w:rPr>
          <w:rFonts w:ascii="Arial" w:eastAsia="Times New Roman" w:hAnsi="Arial" w:cs="Arial"/>
          <w:sz w:val="24"/>
          <w:szCs w:val="24"/>
        </w:rPr>
        <w:t>shown on the DVA Continuity Schedule a</w:t>
      </w:r>
      <w:r w:rsidRPr="000306EA">
        <w:rPr>
          <w:rFonts w:ascii="Arial" w:eastAsia="Times New Roman" w:hAnsi="Arial" w:cs="Arial"/>
          <w:sz w:val="24"/>
          <w:szCs w:val="24"/>
        </w:rPr>
        <w:t xml:space="preserve">re </w:t>
      </w:r>
      <w:r w:rsidR="00F92686">
        <w:rPr>
          <w:rFonts w:ascii="Arial" w:eastAsia="Times New Roman" w:hAnsi="Arial" w:cs="Arial"/>
          <w:sz w:val="24"/>
          <w:szCs w:val="24"/>
        </w:rPr>
        <w:t>reflected</w:t>
      </w:r>
      <w:r w:rsidRPr="000306EA">
        <w:rPr>
          <w:rFonts w:ascii="Arial" w:eastAsia="Times New Roman" w:hAnsi="Arial" w:cs="Arial"/>
          <w:sz w:val="24"/>
          <w:szCs w:val="24"/>
        </w:rPr>
        <w:t xml:space="preserve"> in the GL </w:t>
      </w:r>
      <w:r w:rsidR="00F92686">
        <w:rPr>
          <w:rFonts w:ascii="Arial" w:eastAsia="Times New Roman" w:hAnsi="Arial" w:cs="Arial"/>
          <w:sz w:val="24"/>
          <w:szCs w:val="24"/>
        </w:rPr>
        <w:t xml:space="preserve">transactions. As an example, the unbilled to actual true-up for 1589 would already be </w:t>
      </w:r>
      <w:r w:rsidR="005A539A">
        <w:rPr>
          <w:rFonts w:ascii="Arial" w:eastAsia="Times New Roman" w:hAnsi="Arial" w:cs="Arial"/>
          <w:sz w:val="24"/>
          <w:szCs w:val="24"/>
        </w:rPr>
        <w:t xml:space="preserve">reflected </w:t>
      </w:r>
      <w:r w:rsidR="00F92686">
        <w:rPr>
          <w:rFonts w:ascii="Arial" w:eastAsia="Times New Roman" w:hAnsi="Arial" w:cs="Arial"/>
          <w:sz w:val="24"/>
          <w:szCs w:val="24"/>
        </w:rPr>
        <w:t>in the applicant’s GL</w:t>
      </w:r>
      <w:r w:rsidR="005A539A">
        <w:rPr>
          <w:rFonts w:ascii="Arial" w:eastAsia="Times New Roman" w:hAnsi="Arial" w:cs="Arial"/>
          <w:sz w:val="24"/>
          <w:szCs w:val="24"/>
        </w:rPr>
        <w:t xml:space="preserve"> in the normal course of business</w:t>
      </w:r>
      <w:r w:rsidR="00B96E3C">
        <w:rPr>
          <w:rFonts w:ascii="Arial" w:eastAsia="Times New Roman" w:hAnsi="Arial" w:cs="Arial"/>
          <w:sz w:val="24"/>
          <w:szCs w:val="24"/>
        </w:rPr>
        <w:t>. However, if</w:t>
      </w:r>
      <w:r w:rsidR="005A539A">
        <w:rPr>
          <w:rFonts w:ascii="Arial" w:eastAsia="Times New Roman" w:hAnsi="Arial" w:cs="Arial"/>
          <w:sz w:val="24"/>
          <w:szCs w:val="24"/>
        </w:rPr>
        <w:t xml:space="preserve"> </w:t>
      </w:r>
      <w:r w:rsidR="00B96E3C">
        <w:rPr>
          <w:rFonts w:ascii="Arial" w:eastAsia="Times New Roman" w:hAnsi="Arial" w:cs="Arial"/>
          <w:sz w:val="24"/>
          <w:szCs w:val="24"/>
        </w:rPr>
        <w:t xml:space="preserve">a principal </w:t>
      </w:r>
      <w:r w:rsidR="005A539A">
        <w:rPr>
          <w:rFonts w:ascii="Arial" w:eastAsia="Times New Roman" w:hAnsi="Arial" w:cs="Arial"/>
          <w:sz w:val="24"/>
          <w:szCs w:val="24"/>
        </w:rPr>
        <w:t xml:space="preserve">adjustment related to proportions between 1588 and 1589 was </w:t>
      </w:r>
      <w:r w:rsidR="00B96E3C">
        <w:rPr>
          <w:rFonts w:ascii="Arial" w:eastAsia="Times New Roman" w:hAnsi="Arial" w:cs="Arial"/>
          <w:sz w:val="24"/>
          <w:szCs w:val="24"/>
        </w:rPr>
        <w:t>made</w:t>
      </w:r>
      <w:r w:rsidR="005A539A">
        <w:rPr>
          <w:rFonts w:ascii="Arial" w:eastAsia="Times New Roman" w:hAnsi="Arial" w:cs="Arial"/>
          <w:sz w:val="24"/>
          <w:szCs w:val="24"/>
        </w:rPr>
        <w:t>, applicant must ensure that the GL reflects the movement between the two accounts.</w:t>
      </w:r>
    </w:p>
    <w:p w14:paraId="56DF12E7" w14:textId="77777777" w:rsidR="00335DC8" w:rsidRDefault="00335DC8" w:rsidP="00335DC8">
      <w:pPr>
        <w:autoSpaceDE w:val="0"/>
        <w:autoSpaceDN w:val="0"/>
        <w:adjustRightInd w:val="0"/>
        <w:spacing w:after="0" w:line="240" w:lineRule="auto"/>
        <w:rPr>
          <w:rFonts w:ascii="Arial" w:hAnsi="Arial" w:cs="Arial"/>
          <w:b/>
          <w:bCs/>
          <w:color w:val="000000"/>
          <w:sz w:val="24"/>
          <w:szCs w:val="24"/>
        </w:rPr>
      </w:pPr>
      <w:r w:rsidRPr="00B028A9">
        <w:rPr>
          <w:rFonts w:ascii="Arial" w:hAnsi="Arial" w:cs="Arial"/>
          <w:b/>
          <w:bCs/>
          <w:color w:val="000000"/>
          <w:sz w:val="24"/>
          <w:szCs w:val="24"/>
        </w:rPr>
        <w:t>RESPONSE</w:t>
      </w:r>
    </w:p>
    <w:p w14:paraId="46E4FA0A" w14:textId="77777777" w:rsidR="00335DC8" w:rsidRPr="00464FD3" w:rsidRDefault="00335DC8" w:rsidP="00464FD3">
      <w:pPr>
        <w:spacing w:after="0" w:line="276" w:lineRule="auto"/>
        <w:rPr>
          <w:rFonts w:ascii="Arial" w:hAnsi="Arial" w:cs="Arial"/>
          <w:color w:val="1F3864" w:themeColor="accent5" w:themeShade="80"/>
          <w:sz w:val="24"/>
          <w:szCs w:val="24"/>
        </w:rPr>
      </w:pPr>
    </w:p>
    <w:p w14:paraId="59592E78" w14:textId="335E7AA0" w:rsidR="00464FD3" w:rsidRDefault="00464FD3" w:rsidP="00464FD3">
      <w:pPr>
        <w:pStyle w:val="ListParagraph"/>
        <w:numPr>
          <w:ilvl w:val="1"/>
          <w:numId w:val="15"/>
        </w:numPr>
        <w:spacing w:after="0" w:line="240" w:lineRule="auto"/>
        <w:ind w:left="720"/>
        <w:rPr>
          <w:rFonts w:ascii="Arial" w:hAnsi="Arial" w:cs="Arial"/>
          <w:color w:val="1F3864" w:themeColor="accent5" w:themeShade="80"/>
          <w:sz w:val="24"/>
          <w:szCs w:val="24"/>
        </w:rPr>
      </w:pPr>
      <w:r w:rsidRPr="00464FD3">
        <w:rPr>
          <w:rFonts w:ascii="Arial" w:hAnsi="Arial" w:cs="Arial"/>
          <w:color w:val="1F3864" w:themeColor="accent5" w:themeShade="80"/>
          <w:sz w:val="24"/>
          <w:szCs w:val="24"/>
        </w:rPr>
        <w:t>Yes Energy+</w:t>
      </w:r>
      <w:r w:rsidR="00AC5359">
        <w:rPr>
          <w:rFonts w:ascii="Arial" w:hAnsi="Arial" w:cs="Arial"/>
          <w:color w:val="1F3864" w:themeColor="accent5" w:themeShade="80"/>
          <w:sz w:val="24"/>
          <w:szCs w:val="24"/>
        </w:rPr>
        <w:t xml:space="preserve"> (CND)</w:t>
      </w:r>
      <w:r w:rsidRPr="00464FD3">
        <w:rPr>
          <w:rFonts w:ascii="Arial" w:hAnsi="Arial" w:cs="Arial"/>
          <w:color w:val="1F3864" w:themeColor="accent5" w:themeShade="80"/>
          <w:sz w:val="24"/>
          <w:szCs w:val="24"/>
        </w:rPr>
        <w:t xml:space="preserve"> had </w:t>
      </w:r>
      <w:r w:rsidR="000F53EE">
        <w:rPr>
          <w:rFonts w:ascii="Arial" w:hAnsi="Arial" w:cs="Arial"/>
          <w:color w:val="1F3864" w:themeColor="accent5" w:themeShade="80"/>
          <w:sz w:val="24"/>
          <w:szCs w:val="24"/>
        </w:rPr>
        <w:t xml:space="preserve">principle </w:t>
      </w:r>
      <w:r w:rsidRPr="00464FD3">
        <w:rPr>
          <w:rFonts w:ascii="Arial" w:hAnsi="Arial" w:cs="Arial"/>
          <w:color w:val="1F3864" w:themeColor="accent5" w:themeShade="80"/>
          <w:sz w:val="24"/>
          <w:szCs w:val="24"/>
        </w:rPr>
        <w:t xml:space="preserve">adjustments </w:t>
      </w:r>
      <w:r w:rsidR="000F53EE">
        <w:rPr>
          <w:rFonts w:ascii="Arial" w:hAnsi="Arial" w:cs="Arial"/>
          <w:color w:val="1F3864" w:themeColor="accent5" w:themeShade="80"/>
          <w:sz w:val="24"/>
          <w:szCs w:val="24"/>
        </w:rPr>
        <w:t>in its 2018</w:t>
      </w:r>
      <w:r w:rsidRPr="00464FD3">
        <w:rPr>
          <w:rFonts w:ascii="Arial" w:hAnsi="Arial" w:cs="Arial"/>
          <w:color w:val="1F3864" w:themeColor="accent5" w:themeShade="80"/>
          <w:sz w:val="24"/>
          <w:szCs w:val="24"/>
        </w:rPr>
        <w:t xml:space="preserve"> </w:t>
      </w:r>
      <w:r w:rsidR="00DF14AF">
        <w:rPr>
          <w:rFonts w:ascii="Arial" w:hAnsi="Arial" w:cs="Arial"/>
          <w:color w:val="1F3864" w:themeColor="accent5" w:themeShade="80"/>
          <w:sz w:val="24"/>
          <w:szCs w:val="24"/>
        </w:rPr>
        <w:t xml:space="preserve">IRM </w:t>
      </w:r>
      <w:r w:rsidRPr="00464FD3">
        <w:rPr>
          <w:rFonts w:ascii="Arial" w:hAnsi="Arial" w:cs="Arial"/>
          <w:color w:val="1F3864" w:themeColor="accent5" w:themeShade="80"/>
          <w:sz w:val="24"/>
          <w:szCs w:val="24"/>
        </w:rPr>
        <w:t xml:space="preserve">application (EB-2017-0030) </w:t>
      </w:r>
      <w:r w:rsidR="000F53EE">
        <w:rPr>
          <w:rFonts w:ascii="Arial" w:hAnsi="Arial" w:cs="Arial"/>
          <w:color w:val="1F3864" w:themeColor="accent5" w:themeShade="80"/>
          <w:sz w:val="24"/>
          <w:szCs w:val="24"/>
        </w:rPr>
        <w:t>which were approved for disposition</w:t>
      </w:r>
      <w:r w:rsidRPr="00464FD3">
        <w:rPr>
          <w:rFonts w:ascii="Arial" w:hAnsi="Arial" w:cs="Arial"/>
          <w:color w:val="1F3864" w:themeColor="accent5" w:themeShade="80"/>
          <w:sz w:val="24"/>
          <w:szCs w:val="24"/>
        </w:rPr>
        <w:t>.</w:t>
      </w:r>
    </w:p>
    <w:p w14:paraId="4D588D75" w14:textId="77777777" w:rsidR="00464FD3" w:rsidRDefault="00464FD3" w:rsidP="00464FD3">
      <w:pPr>
        <w:pStyle w:val="ListParagraph"/>
        <w:spacing w:after="0" w:line="240" w:lineRule="auto"/>
        <w:ind w:hanging="360"/>
        <w:rPr>
          <w:rFonts w:ascii="Arial" w:hAnsi="Arial" w:cs="Arial"/>
          <w:color w:val="1F3864" w:themeColor="accent5" w:themeShade="80"/>
          <w:sz w:val="24"/>
          <w:szCs w:val="24"/>
        </w:rPr>
      </w:pPr>
    </w:p>
    <w:p w14:paraId="59378F81" w14:textId="0C47F798" w:rsidR="00464FD3" w:rsidRDefault="00464FD3" w:rsidP="00464FD3">
      <w:pPr>
        <w:pStyle w:val="ListParagraph"/>
        <w:numPr>
          <w:ilvl w:val="1"/>
          <w:numId w:val="15"/>
        </w:numPr>
        <w:spacing w:after="0" w:line="240" w:lineRule="auto"/>
        <w:ind w:left="720"/>
        <w:rPr>
          <w:rFonts w:ascii="Arial" w:hAnsi="Arial" w:cs="Arial"/>
          <w:color w:val="1F3864" w:themeColor="accent5" w:themeShade="80"/>
          <w:sz w:val="24"/>
          <w:szCs w:val="24"/>
        </w:rPr>
      </w:pPr>
      <w:r w:rsidRPr="00464FD3">
        <w:rPr>
          <w:rFonts w:ascii="Arial" w:hAnsi="Arial" w:cs="Arial"/>
          <w:color w:val="1F3864" w:themeColor="accent5" w:themeShade="80"/>
          <w:sz w:val="24"/>
          <w:szCs w:val="24"/>
        </w:rPr>
        <w:t xml:space="preserve">Energy+ </w:t>
      </w:r>
      <w:r w:rsidR="00A7177A">
        <w:rPr>
          <w:rFonts w:ascii="Arial" w:hAnsi="Arial" w:cs="Arial"/>
          <w:color w:val="1F3864" w:themeColor="accent5" w:themeShade="80"/>
          <w:sz w:val="24"/>
          <w:szCs w:val="24"/>
        </w:rPr>
        <w:t xml:space="preserve">(CND) </w:t>
      </w:r>
      <w:r w:rsidRPr="00464FD3">
        <w:rPr>
          <w:rFonts w:ascii="Arial" w:hAnsi="Arial" w:cs="Arial"/>
          <w:color w:val="1F3864" w:themeColor="accent5" w:themeShade="80"/>
          <w:sz w:val="24"/>
          <w:szCs w:val="24"/>
        </w:rPr>
        <w:t>has provided the following table</w:t>
      </w:r>
      <w:r w:rsidR="00D73B6B">
        <w:rPr>
          <w:rFonts w:ascii="Arial" w:hAnsi="Arial" w:cs="Arial"/>
          <w:color w:val="1F3864" w:themeColor="accent5" w:themeShade="80"/>
          <w:sz w:val="24"/>
          <w:szCs w:val="24"/>
        </w:rPr>
        <w:t>s</w:t>
      </w:r>
      <w:r w:rsidRPr="00464FD3">
        <w:rPr>
          <w:rFonts w:ascii="Arial" w:hAnsi="Arial" w:cs="Arial"/>
          <w:color w:val="1F3864" w:themeColor="accent5" w:themeShade="80"/>
          <w:sz w:val="24"/>
          <w:szCs w:val="24"/>
        </w:rPr>
        <w:t xml:space="preserve"> </w:t>
      </w:r>
      <w:r w:rsidR="009C44AB">
        <w:rPr>
          <w:rFonts w:ascii="Arial" w:hAnsi="Arial" w:cs="Arial"/>
          <w:color w:val="1F3864" w:themeColor="accent5" w:themeShade="80"/>
          <w:sz w:val="24"/>
          <w:szCs w:val="24"/>
        </w:rPr>
        <w:t>which summarize the</w:t>
      </w:r>
      <w:r w:rsidRPr="00464FD3">
        <w:rPr>
          <w:rFonts w:ascii="Arial" w:hAnsi="Arial" w:cs="Arial"/>
          <w:color w:val="1F3864" w:themeColor="accent5" w:themeShade="80"/>
          <w:sz w:val="24"/>
          <w:szCs w:val="24"/>
        </w:rPr>
        <w:t xml:space="preserve"> amount of principal adjustments that were approved</w:t>
      </w:r>
      <w:r>
        <w:rPr>
          <w:rFonts w:ascii="Arial" w:hAnsi="Arial" w:cs="Arial"/>
          <w:color w:val="1F3864" w:themeColor="accent5" w:themeShade="80"/>
          <w:sz w:val="24"/>
          <w:szCs w:val="24"/>
        </w:rPr>
        <w:t xml:space="preserve"> for disposition </w:t>
      </w:r>
      <w:r w:rsidR="008A4311">
        <w:rPr>
          <w:rFonts w:ascii="Arial" w:hAnsi="Arial" w:cs="Arial"/>
          <w:color w:val="1F3864" w:themeColor="accent5" w:themeShade="80"/>
          <w:sz w:val="24"/>
          <w:szCs w:val="24"/>
        </w:rPr>
        <w:t xml:space="preserve">in </w:t>
      </w:r>
      <w:r w:rsidR="00D73B6B">
        <w:rPr>
          <w:rFonts w:ascii="Arial" w:hAnsi="Arial" w:cs="Arial"/>
          <w:color w:val="1F3864" w:themeColor="accent5" w:themeShade="80"/>
          <w:sz w:val="24"/>
          <w:szCs w:val="24"/>
        </w:rPr>
        <w:t xml:space="preserve">Account 1588 and </w:t>
      </w:r>
      <w:r w:rsidR="008A4311">
        <w:rPr>
          <w:rFonts w:ascii="Arial" w:hAnsi="Arial" w:cs="Arial"/>
          <w:color w:val="1F3864" w:themeColor="accent5" w:themeShade="80"/>
          <w:sz w:val="24"/>
          <w:szCs w:val="24"/>
        </w:rPr>
        <w:t>Account</w:t>
      </w:r>
      <w:r>
        <w:rPr>
          <w:rFonts w:ascii="Arial" w:hAnsi="Arial" w:cs="Arial"/>
          <w:color w:val="1F3864" w:themeColor="accent5" w:themeShade="80"/>
          <w:sz w:val="24"/>
          <w:szCs w:val="24"/>
        </w:rPr>
        <w:t xml:space="preserve"> 1589 </w:t>
      </w:r>
      <w:r w:rsidR="00F34C83">
        <w:rPr>
          <w:rFonts w:ascii="Arial" w:hAnsi="Arial" w:cs="Arial"/>
          <w:color w:val="1F3864" w:themeColor="accent5" w:themeShade="80"/>
          <w:sz w:val="24"/>
          <w:szCs w:val="24"/>
        </w:rPr>
        <w:t>at the end of December 2016.</w:t>
      </w:r>
      <w:r w:rsidR="001922E5">
        <w:rPr>
          <w:rFonts w:ascii="Arial" w:hAnsi="Arial" w:cs="Arial"/>
          <w:color w:val="1F3864" w:themeColor="accent5" w:themeShade="80"/>
          <w:sz w:val="24"/>
          <w:szCs w:val="24"/>
        </w:rPr>
        <w:t xml:space="preserve"> </w:t>
      </w:r>
    </w:p>
    <w:p w14:paraId="43892513" w14:textId="77777777" w:rsidR="00117561" w:rsidRDefault="00117561" w:rsidP="00117561">
      <w:pPr>
        <w:pStyle w:val="ListParagraph"/>
        <w:rPr>
          <w:rFonts w:ascii="Arial" w:hAnsi="Arial" w:cs="Arial"/>
          <w:noProof/>
          <w:color w:val="1F3864" w:themeColor="accent5" w:themeShade="80"/>
          <w:sz w:val="24"/>
          <w:szCs w:val="24"/>
        </w:rPr>
      </w:pPr>
    </w:p>
    <w:p w14:paraId="4C32B8A0" w14:textId="45CCBC3E" w:rsidR="00D73B6B" w:rsidRDefault="00D73B6B" w:rsidP="00117561">
      <w:pPr>
        <w:pStyle w:val="ListParagraph"/>
        <w:rPr>
          <w:rFonts w:ascii="Arial" w:hAnsi="Arial" w:cs="Arial"/>
          <w:color w:val="1F3864" w:themeColor="accent5" w:themeShade="80"/>
          <w:sz w:val="24"/>
          <w:szCs w:val="24"/>
        </w:rPr>
      </w:pPr>
      <w:r>
        <w:rPr>
          <w:rFonts w:ascii="Arial" w:hAnsi="Arial" w:cs="Arial"/>
          <w:color w:val="1F3864" w:themeColor="accent5" w:themeShade="80"/>
          <w:sz w:val="24"/>
          <w:szCs w:val="24"/>
        </w:rPr>
        <w:lastRenderedPageBreak/>
        <w:t>Account 1588:</w:t>
      </w:r>
    </w:p>
    <w:p w14:paraId="056F4D32" w14:textId="77777777" w:rsidR="001721FD" w:rsidRDefault="001721FD" w:rsidP="00117561">
      <w:pPr>
        <w:pStyle w:val="ListParagraph"/>
        <w:rPr>
          <w:rFonts w:ascii="Arial" w:hAnsi="Arial" w:cs="Arial"/>
          <w:color w:val="1F3864" w:themeColor="accent5" w:themeShade="80"/>
          <w:sz w:val="24"/>
          <w:szCs w:val="24"/>
        </w:rPr>
      </w:pPr>
    </w:p>
    <w:p w14:paraId="50E1B3E8" w14:textId="091A82AA" w:rsidR="00D73B6B" w:rsidRDefault="001721FD" w:rsidP="00117561">
      <w:pPr>
        <w:pStyle w:val="ListParagraph"/>
        <w:rPr>
          <w:rFonts w:ascii="Arial" w:hAnsi="Arial" w:cs="Arial"/>
          <w:color w:val="1F3864" w:themeColor="accent5" w:themeShade="80"/>
          <w:sz w:val="24"/>
          <w:szCs w:val="24"/>
        </w:rPr>
      </w:pPr>
      <w:r w:rsidRPr="001721FD">
        <w:drawing>
          <wp:inline distT="0" distB="0" distL="0" distR="0" wp14:anchorId="5A0301BB" wp14:editId="48A88E7E">
            <wp:extent cx="5943600" cy="787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87952"/>
                    </a:xfrm>
                    <a:prstGeom prst="rect">
                      <a:avLst/>
                    </a:prstGeom>
                    <a:noFill/>
                    <a:ln>
                      <a:noFill/>
                    </a:ln>
                  </pic:spPr>
                </pic:pic>
              </a:graphicData>
            </a:graphic>
          </wp:inline>
        </w:drawing>
      </w:r>
    </w:p>
    <w:p w14:paraId="46ECFFB4" w14:textId="77777777" w:rsidR="001721FD" w:rsidRDefault="001721FD" w:rsidP="00117561">
      <w:pPr>
        <w:pStyle w:val="ListParagraph"/>
        <w:rPr>
          <w:rFonts w:ascii="Arial" w:hAnsi="Arial" w:cs="Arial"/>
          <w:color w:val="1F3864" w:themeColor="accent5" w:themeShade="80"/>
          <w:sz w:val="24"/>
          <w:szCs w:val="24"/>
        </w:rPr>
      </w:pPr>
    </w:p>
    <w:p w14:paraId="7F60223D" w14:textId="3C741412" w:rsidR="00341F24" w:rsidRDefault="00D73B6B" w:rsidP="00117561">
      <w:pPr>
        <w:pStyle w:val="ListParagraph"/>
        <w:rPr>
          <w:rFonts w:ascii="Arial" w:hAnsi="Arial" w:cs="Arial"/>
          <w:color w:val="1F3864" w:themeColor="accent5" w:themeShade="80"/>
          <w:sz w:val="24"/>
          <w:szCs w:val="24"/>
        </w:rPr>
      </w:pPr>
      <w:r>
        <w:rPr>
          <w:rFonts w:ascii="Arial" w:hAnsi="Arial" w:cs="Arial"/>
          <w:color w:val="1F3864" w:themeColor="accent5" w:themeShade="80"/>
          <w:sz w:val="24"/>
          <w:szCs w:val="24"/>
        </w:rPr>
        <w:t>Account 1589:</w:t>
      </w:r>
    </w:p>
    <w:p w14:paraId="0D1A781B" w14:textId="77777777" w:rsidR="001721FD" w:rsidRDefault="001721FD" w:rsidP="00117561">
      <w:pPr>
        <w:pStyle w:val="ListParagraph"/>
        <w:rPr>
          <w:rFonts w:ascii="Arial" w:hAnsi="Arial" w:cs="Arial"/>
          <w:color w:val="1F3864" w:themeColor="accent5" w:themeShade="80"/>
          <w:sz w:val="24"/>
          <w:szCs w:val="24"/>
        </w:rPr>
      </w:pPr>
    </w:p>
    <w:p w14:paraId="3FF2414F" w14:textId="3169A78A" w:rsidR="00D73B6B" w:rsidRDefault="001721FD" w:rsidP="00117561">
      <w:pPr>
        <w:pStyle w:val="ListParagraph"/>
        <w:rPr>
          <w:rFonts w:ascii="Arial" w:hAnsi="Arial" w:cs="Arial"/>
          <w:color w:val="1F3864" w:themeColor="accent5" w:themeShade="80"/>
          <w:sz w:val="24"/>
          <w:szCs w:val="24"/>
        </w:rPr>
      </w:pPr>
      <w:r w:rsidRPr="001721FD">
        <w:drawing>
          <wp:inline distT="0" distB="0" distL="0" distR="0" wp14:anchorId="78BE5896" wp14:editId="68F8B97C">
            <wp:extent cx="5943600" cy="1229476"/>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29476"/>
                    </a:xfrm>
                    <a:prstGeom prst="rect">
                      <a:avLst/>
                    </a:prstGeom>
                    <a:noFill/>
                    <a:ln>
                      <a:noFill/>
                    </a:ln>
                  </pic:spPr>
                </pic:pic>
              </a:graphicData>
            </a:graphic>
          </wp:inline>
        </w:drawing>
      </w:r>
    </w:p>
    <w:p w14:paraId="260E8449" w14:textId="77777777" w:rsidR="009C44AB" w:rsidRPr="00117561" w:rsidRDefault="009C44AB" w:rsidP="00117561">
      <w:pPr>
        <w:pStyle w:val="ListParagraph"/>
        <w:rPr>
          <w:rFonts w:ascii="Arial" w:hAnsi="Arial" w:cs="Arial"/>
          <w:color w:val="1F3864" w:themeColor="accent5" w:themeShade="80"/>
          <w:sz w:val="24"/>
          <w:szCs w:val="24"/>
        </w:rPr>
      </w:pPr>
    </w:p>
    <w:p w14:paraId="15F59D65" w14:textId="5A5E5ED4" w:rsidR="007A46D7" w:rsidRDefault="00B76DE4" w:rsidP="00E272F5">
      <w:pPr>
        <w:pStyle w:val="ListParagraph"/>
        <w:numPr>
          <w:ilvl w:val="1"/>
          <w:numId w:val="15"/>
        </w:numPr>
        <w:spacing w:after="0" w:line="240" w:lineRule="auto"/>
        <w:ind w:left="720"/>
        <w:rPr>
          <w:rFonts w:ascii="Arial" w:hAnsi="Arial" w:cs="Arial"/>
          <w:color w:val="1F3864" w:themeColor="accent5" w:themeShade="80"/>
          <w:sz w:val="24"/>
          <w:szCs w:val="24"/>
        </w:rPr>
      </w:pPr>
      <w:r w:rsidRPr="007A46D7">
        <w:rPr>
          <w:rFonts w:ascii="Arial" w:hAnsi="Arial" w:cs="Arial"/>
          <w:color w:val="1F3864" w:themeColor="accent5" w:themeShade="80"/>
          <w:sz w:val="24"/>
          <w:szCs w:val="24"/>
        </w:rPr>
        <w:t>Energy+</w:t>
      </w:r>
      <w:r w:rsidR="002E5F38">
        <w:rPr>
          <w:rFonts w:ascii="Arial" w:hAnsi="Arial" w:cs="Arial"/>
          <w:color w:val="1F3864" w:themeColor="accent5" w:themeShade="80"/>
          <w:sz w:val="24"/>
          <w:szCs w:val="24"/>
        </w:rPr>
        <w:t xml:space="preserve"> (CND)</w:t>
      </w:r>
      <w:r w:rsidR="007A46D7" w:rsidRPr="007A46D7">
        <w:rPr>
          <w:rFonts w:ascii="Arial" w:hAnsi="Arial" w:cs="Arial"/>
          <w:color w:val="1F3864" w:themeColor="accent5" w:themeShade="80"/>
          <w:sz w:val="24"/>
          <w:szCs w:val="24"/>
        </w:rPr>
        <w:t xml:space="preserve"> has reversed </w:t>
      </w:r>
      <w:r w:rsidR="00902F9B" w:rsidRPr="00902F9B">
        <w:rPr>
          <w:rFonts w:ascii="Arial" w:hAnsi="Arial" w:cs="Arial"/>
          <w:color w:val="1F3864" w:themeColor="accent5" w:themeShade="80"/>
          <w:sz w:val="24"/>
          <w:szCs w:val="24"/>
        </w:rPr>
        <w:t xml:space="preserve">the </w:t>
      </w:r>
      <w:r w:rsidR="009C44AB">
        <w:rPr>
          <w:rFonts w:ascii="Arial" w:hAnsi="Arial" w:cs="Arial"/>
          <w:color w:val="1F3864" w:themeColor="accent5" w:themeShade="80"/>
          <w:sz w:val="24"/>
          <w:szCs w:val="24"/>
        </w:rPr>
        <w:t xml:space="preserve">principle </w:t>
      </w:r>
      <w:r w:rsidR="00902F9B" w:rsidRPr="00902F9B">
        <w:rPr>
          <w:rFonts w:ascii="Arial" w:hAnsi="Arial" w:cs="Arial"/>
          <w:color w:val="1F3864" w:themeColor="accent5" w:themeShade="80"/>
          <w:sz w:val="24"/>
          <w:szCs w:val="24"/>
        </w:rPr>
        <w:t xml:space="preserve">adjustment </w:t>
      </w:r>
      <w:r w:rsidR="009C44AB">
        <w:rPr>
          <w:rFonts w:ascii="Arial" w:hAnsi="Arial" w:cs="Arial"/>
          <w:color w:val="1F3864" w:themeColor="accent5" w:themeShade="80"/>
          <w:sz w:val="24"/>
          <w:szCs w:val="24"/>
        </w:rPr>
        <w:t xml:space="preserve">of $790,246 </w:t>
      </w:r>
      <w:r w:rsidR="00902F9B" w:rsidRPr="00902F9B">
        <w:rPr>
          <w:rFonts w:ascii="Arial" w:hAnsi="Arial" w:cs="Arial"/>
          <w:color w:val="1F3864" w:themeColor="accent5" w:themeShade="80"/>
          <w:sz w:val="24"/>
          <w:szCs w:val="24"/>
        </w:rPr>
        <w:t>approved in 2018</w:t>
      </w:r>
      <w:r w:rsidR="00D73B6B">
        <w:rPr>
          <w:rFonts w:ascii="Arial" w:hAnsi="Arial" w:cs="Arial"/>
          <w:color w:val="1F3864" w:themeColor="accent5" w:themeShade="80"/>
          <w:sz w:val="24"/>
          <w:szCs w:val="24"/>
        </w:rPr>
        <w:t xml:space="preserve"> related to Account 1589</w:t>
      </w:r>
      <w:r w:rsidR="007A46D7">
        <w:rPr>
          <w:rFonts w:ascii="Arial" w:hAnsi="Arial" w:cs="Arial"/>
          <w:color w:val="1F3864" w:themeColor="accent5" w:themeShade="80"/>
          <w:sz w:val="24"/>
          <w:szCs w:val="24"/>
        </w:rPr>
        <w:t>.</w:t>
      </w:r>
      <w:r w:rsidR="009C44AB">
        <w:rPr>
          <w:rFonts w:ascii="Arial" w:hAnsi="Arial" w:cs="Arial"/>
          <w:color w:val="1F3864" w:themeColor="accent5" w:themeShade="80"/>
          <w:sz w:val="24"/>
          <w:szCs w:val="24"/>
        </w:rPr>
        <w:t xml:space="preserve">  The adjustments with respect to the RPP/Non-RPP Allocation were not reversed as they represented permanent adjustments related to the years 2015 and 2016.</w:t>
      </w:r>
    </w:p>
    <w:p w14:paraId="0AA3DA00" w14:textId="77777777" w:rsidR="007A46D7" w:rsidRPr="007A46D7" w:rsidRDefault="007A46D7" w:rsidP="007A46D7">
      <w:pPr>
        <w:pStyle w:val="ListParagraph"/>
        <w:spacing w:after="0" w:line="240" w:lineRule="auto"/>
        <w:rPr>
          <w:rFonts w:ascii="Arial" w:hAnsi="Arial" w:cs="Arial"/>
          <w:color w:val="1F3864" w:themeColor="accent5" w:themeShade="80"/>
          <w:sz w:val="24"/>
          <w:szCs w:val="24"/>
        </w:rPr>
      </w:pPr>
    </w:p>
    <w:p w14:paraId="14C1E5BC" w14:textId="56B3C60B" w:rsidR="008C162B" w:rsidRDefault="008C162B" w:rsidP="008C162B">
      <w:pPr>
        <w:pStyle w:val="ListParagraph"/>
        <w:numPr>
          <w:ilvl w:val="1"/>
          <w:numId w:val="15"/>
        </w:numPr>
        <w:spacing w:after="0" w:line="240" w:lineRule="auto"/>
        <w:ind w:left="720"/>
        <w:rPr>
          <w:rFonts w:ascii="Arial" w:hAnsi="Arial" w:cs="Arial"/>
          <w:color w:val="1F3864" w:themeColor="accent5" w:themeShade="80"/>
          <w:sz w:val="24"/>
          <w:szCs w:val="24"/>
        </w:rPr>
      </w:pPr>
      <w:r w:rsidRPr="00B35096">
        <w:rPr>
          <w:rFonts w:ascii="Arial" w:hAnsi="Arial" w:cs="Arial"/>
          <w:color w:val="1F3864" w:themeColor="accent5" w:themeShade="80"/>
          <w:sz w:val="24"/>
          <w:szCs w:val="24"/>
        </w:rPr>
        <w:t xml:space="preserve">Energy+ has provided </w:t>
      </w:r>
      <w:r>
        <w:rPr>
          <w:rFonts w:ascii="Arial" w:hAnsi="Arial" w:cs="Arial"/>
          <w:color w:val="1F3864" w:themeColor="accent5" w:themeShade="80"/>
          <w:sz w:val="24"/>
          <w:szCs w:val="24"/>
        </w:rPr>
        <w:t>the</w:t>
      </w:r>
      <w:r w:rsidRPr="00B35096">
        <w:rPr>
          <w:rFonts w:ascii="Arial" w:hAnsi="Arial" w:cs="Arial"/>
          <w:color w:val="1F3864" w:themeColor="accent5" w:themeShade="80"/>
          <w:sz w:val="24"/>
          <w:szCs w:val="24"/>
        </w:rPr>
        <w:t xml:space="preserve"> following table to breakdown of the amounts shown under principal adjustments in the DVA Continuity Schedule filed in the current proceeding, including the reversals of ($790,246) related to prior year adjustments</w:t>
      </w:r>
      <w:r w:rsidR="00D73B6B">
        <w:rPr>
          <w:rFonts w:ascii="Arial" w:hAnsi="Arial" w:cs="Arial"/>
          <w:color w:val="1F3864" w:themeColor="accent5" w:themeShade="80"/>
          <w:sz w:val="24"/>
          <w:szCs w:val="24"/>
        </w:rPr>
        <w:t xml:space="preserve"> for Account 1589</w:t>
      </w:r>
      <w:r w:rsidRPr="00B35096">
        <w:rPr>
          <w:rFonts w:ascii="Arial" w:hAnsi="Arial" w:cs="Arial"/>
          <w:color w:val="1F3864" w:themeColor="accent5" w:themeShade="80"/>
          <w:sz w:val="24"/>
          <w:szCs w:val="24"/>
        </w:rPr>
        <w:t>.</w:t>
      </w:r>
    </w:p>
    <w:p w14:paraId="6D972021" w14:textId="77777777" w:rsidR="008C162B" w:rsidRPr="00B35096" w:rsidRDefault="008C162B" w:rsidP="008C162B">
      <w:pPr>
        <w:pStyle w:val="ListParagraph"/>
        <w:rPr>
          <w:rFonts w:ascii="Arial" w:hAnsi="Arial" w:cs="Arial"/>
          <w:color w:val="1F3864" w:themeColor="accent5" w:themeShade="80"/>
          <w:sz w:val="24"/>
          <w:szCs w:val="24"/>
        </w:rPr>
      </w:pPr>
    </w:p>
    <w:p w14:paraId="59B89317" w14:textId="76EE2ED9" w:rsidR="008C162B" w:rsidRPr="00B35096" w:rsidRDefault="008C162B" w:rsidP="008C162B">
      <w:pPr>
        <w:pStyle w:val="ListParagraph"/>
        <w:spacing w:after="0" w:line="240" w:lineRule="auto"/>
        <w:rPr>
          <w:rFonts w:ascii="Arial" w:hAnsi="Arial" w:cs="Arial"/>
          <w:color w:val="1F3864" w:themeColor="accent5" w:themeShade="80"/>
          <w:sz w:val="24"/>
          <w:szCs w:val="24"/>
        </w:rPr>
      </w:pPr>
      <w:r w:rsidRPr="008C162B">
        <w:rPr>
          <w:noProof/>
        </w:rPr>
        <w:drawing>
          <wp:inline distT="0" distB="0" distL="0" distR="0" wp14:anchorId="287AA965" wp14:editId="29D54CC0">
            <wp:extent cx="5181600"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0" cy="1028700"/>
                    </a:xfrm>
                    <a:prstGeom prst="rect">
                      <a:avLst/>
                    </a:prstGeom>
                    <a:noFill/>
                    <a:ln>
                      <a:noFill/>
                    </a:ln>
                  </pic:spPr>
                </pic:pic>
              </a:graphicData>
            </a:graphic>
          </wp:inline>
        </w:drawing>
      </w:r>
    </w:p>
    <w:p w14:paraId="22999174" w14:textId="471C6FE9" w:rsidR="00B35096" w:rsidRPr="00B35096" w:rsidRDefault="00B35096" w:rsidP="00B35096">
      <w:pPr>
        <w:pStyle w:val="ListParagraph"/>
        <w:spacing w:after="0" w:line="240" w:lineRule="auto"/>
        <w:rPr>
          <w:rFonts w:ascii="Arial" w:hAnsi="Arial" w:cs="Arial"/>
          <w:color w:val="1F3864" w:themeColor="accent5" w:themeShade="80"/>
          <w:sz w:val="24"/>
          <w:szCs w:val="24"/>
        </w:rPr>
      </w:pPr>
    </w:p>
    <w:p w14:paraId="786DC157" w14:textId="77777777" w:rsidR="005B001A" w:rsidRDefault="005B001A" w:rsidP="00B76DE4">
      <w:pPr>
        <w:pStyle w:val="ListParagraph"/>
        <w:spacing w:after="0" w:line="240" w:lineRule="auto"/>
        <w:rPr>
          <w:rFonts w:ascii="Arial" w:hAnsi="Arial" w:cs="Arial"/>
          <w:color w:val="1F3864" w:themeColor="accent5" w:themeShade="80"/>
          <w:sz w:val="24"/>
          <w:szCs w:val="24"/>
        </w:rPr>
      </w:pPr>
    </w:p>
    <w:p w14:paraId="259F1B45" w14:textId="0203B990" w:rsidR="00F63F78" w:rsidRDefault="009C44AB" w:rsidP="00F63F78">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In Response to Interrogatories 9-Staff-97, </w:t>
      </w:r>
      <w:r w:rsidR="00013BC8">
        <w:rPr>
          <w:rFonts w:ascii="Arial" w:hAnsi="Arial" w:cs="Arial"/>
          <w:color w:val="1F3864" w:themeColor="accent5" w:themeShade="80"/>
          <w:sz w:val="24"/>
          <w:szCs w:val="24"/>
        </w:rPr>
        <w:t xml:space="preserve">Energy+ </w:t>
      </w:r>
      <w:r>
        <w:rPr>
          <w:rFonts w:ascii="Arial" w:hAnsi="Arial" w:cs="Arial"/>
          <w:color w:val="1F3864" w:themeColor="accent5" w:themeShade="80"/>
          <w:sz w:val="24"/>
          <w:szCs w:val="24"/>
        </w:rPr>
        <w:t>has provided a revised DVA Continuity Schedule for Energy+ Consolidated and Energy+</w:t>
      </w:r>
      <w:r w:rsidR="00B64187">
        <w:rPr>
          <w:rFonts w:ascii="Arial" w:hAnsi="Arial" w:cs="Arial"/>
          <w:color w:val="1F3864" w:themeColor="accent5" w:themeShade="80"/>
          <w:sz w:val="24"/>
          <w:szCs w:val="24"/>
        </w:rPr>
        <w:t xml:space="preserve">(CND) </w:t>
      </w:r>
      <w:r>
        <w:rPr>
          <w:rFonts w:ascii="Arial" w:hAnsi="Arial" w:cs="Arial"/>
          <w:color w:val="1F3864" w:themeColor="accent5" w:themeShade="80"/>
          <w:sz w:val="24"/>
          <w:szCs w:val="24"/>
        </w:rPr>
        <w:t>to updated the</w:t>
      </w:r>
      <w:r w:rsidR="00F63F78">
        <w:rPr>
          <w:rFonts w:ascii="Arial" w:hAnsi="Arial" w:cs="Arial"/>
          <w:color w:val="1F3864" w:themeColor="accent5" w:themeShade="80"/>
          <w:sz w:val="24"/>
          <w:szCs w:val="24"/>
        </w:rPr>
        <w:t xml:space="preserve"> </w:t>
      </w:r>
      <w:r w:rsidR="0072263D">
        <w:rPr>
          <w:rFonts w:ascii="Arial" w:hAnsi="Arial" w:cs="Arial"/>
          <w:color w:val="1F3864" w:themeColor="accent5" w:themeShade="80"/>
          <w:sz w:val="24"/>
          <w:szCs w:val="24"/>
        </w:rPr>
        <w:t>“</w:t>
      </w:r>
      <w:r w:rsidR="00F63F78">
        <w:rPr>
          <w:rFonts w:ascii="Arial" w:hAnsi="Arial" w:cs="Arial"/>
          <w:color w:val="1F3864" w:themeColor="accent5" w:themeShade="80"/>
          <w:sz w:val="24"/>
          <w:szCs w:val="24"/>
        </w:rPr>
        <w:t>Principal Adjustments during 2017</w:t>
      </w:r>
      <w:r w:rsidR="0072263D">
        <w:rPr>
          <w:rFonts w:ascii="Arial" w:hAnsi="Arial" w:cs="Arial"/>
          <w:color w:val="1F3864" w:themeColor="accent5" w:themeShade="80"/>
          <w:sz w:val="24"/>
          <w:szCs w:val="24"/>
        </w:rPr>
        <w:t>” column</w:t>
      </w:r>
      <w:r w:rsidR="00F63F78">
        <w:rPr>
          <w:rFonts w:ascii="Arial" w:hAnsi="Arial" w:cs="Arial"/>
          <w:color w:val="1F3864" w:themeColor="accent5" w:themeShade="80"/>
          <w:sz w:val="24"/>
          <w:szCs w:val="24"/>
        </w:rPr>
        <w:t xml:space="preserve"> to reflect </w:t>
      </w:r>
      <w:r w:rsidR="00512206">
        <w:rPr>
          <w:rFonts w:ascii="Arial" w:hAnsi="Arial" w:cs="Arial"/>
          <w:color w:val="1F3864" w:themeColor="accent5" w:themeShade="80"/>
          <w:sz w:val="24"/>
          <w:szCs w:val="24"/>
        </w:rPr>
        <w:t>the p</w:t>
      </w:r>
      <w:r w:rsidR="00F63F78">
        <w:rPr>
          <w:rFonts w:ascii="Arial" w:hAnsi="Arial" w:cs="Arial"/>
          <w:color w:val="1F3864" w:themeColor="accent5" w:themeShade="80"/>
          <w:sz w:val="24"/>
          <w:szCs w:val="24"/>
        </w:rPr>
        <w:t>rior</w:t>
      </w:r>
      <w:r w:rsidR="00B35096">
        <w:rPr>
          <w:rFonts w:ascii="Arial" w:hAnsi="Arial" w:cs="Arial"/>
          <w:color w:val="1F3864" w:themeColor="accent5" w:themeShade="80"/>
          <w:sz w:val="24"/>
          <w:szCs w:val="24"/>
        </w:rPr>
        <w:t xml:space="preserve"> year reversal </w:t>
      </w:r>
      <w:r w:rsidR="00F63F78">
        <w:rPr>
          <w:rFonts w:ascii="Arial" w:hAnsi="Arial" w:cs="Arial"/>
          <w:color w:val="1F3864" w:themeColor="accent5" w:themeShade="80"/>
          <w:sz w:val="24"/>
          <w:szCs w:val="24"/>
        </w:rPr>
        <w:t>adjustment</w:t>
      </w:r>
      <w:r w:rsidR="00770CAE">
        <w:rPr>
          <w:rFonts w:ascii="Arial" w:hAnsi="Arial" w:cs="Arial"/>
          <w:color w:val="1F3864" w:themeColor="accent5" w:themeShade="80"/>
          <w:sz w:val="24"/>
          <w:szCs w:val="24"/>
        </w:rPr>
        <w:t>s</w:t>
      </w:r>
      <w:r w:rsidR="00F63F78">
        <w:rPr>
          <w:rFonts w:ascii="Arial" w:hAnsi="Arial" w:cs="Arial"/>
          <w:color w:val="1F3864" w:themeColor="accent5" w:themeShade="80"/>
          <w:sz w:val="24"/>
          <w:szCs w:val="24"/>
        </w:rPr>
        <w:t>.</w:t>
      </w:r>
    </w:p>
    <w:p w14:paraId="63E5F8DC" w14:textId="77777777" w:rsidR="00F63F78" w:rsidRDefault="00F63F78" w:rsidP="00F63F78">
      <w:pPr>
        <w:pStyle w:val="ListParagraph"/>
        <w:spacing w:after="0" w:line="240" w:lineRule="auto"/>
        <w:rPr>
          <w:rFonts w:ascii="Arial" w:hAnsi="Arial" w:cs="Arial"/>
          <w:color w:val="1F3864" w:themeColor="accent5" w:themeShade="80"/>
          <w:sz w:val="24"/>
          <w:szCs w:val="24"/>
        </w:rPr>
      </w:pPr>
    </w:p>
    <w:p w14:paraId="0889051D" w14:textId="1A7C46EF" w:rsidR="00F63F78" w:rsidRPr="0090666C" w:rsidRDefault="00F63F78" w:rsidP="00E272F5">
      <w:pPr>
        <w:pStyle w:val="ListParagraph"/>
        <w:numPr>
          <w:ilvl w:val="1"/>
          <w:numId w:val="15"/>
        </w:numPr>
        <w:spacing w:after="0" w:line="240" w:lineRule="auto"/>
        <w:ind w:left="720"/>
        <w:rPr>
          <w:rFonts w:ascii="Arial" w:hAnsi="Arial" w:cs="Arial"/>
          <w:color w:val="1F3864" w:themeColor="accent5" w:themeShade="80"/>
          <w:sz w:val="24"/>
          <w:szCs w:val="24"/>
        </w:rPr>
      </w:pPr>
      <w:r w:rsidRPr="0090666C">
        <w:rPr>
          <w:rFonts w:ascii="Arial" w:hAnsi="Arial" w:cs="Arial"/>
          <w:color w:val="1F3864" w:themeColor="accent5" w:themeShade="80"/>
          <w:sz w:val="24"/>
          <w:szCs w:val="24"/>
        </w:rPr>
        <w:t>Energy+</w:t>
      </w:r>
      <w:r w:rsidR="006A2D1A">
        <w:rPr>
          <w:rFonts w:ascii="Arial" w:hAnsi="Arial" w:cs="Arial"/>
          <w:color w:val="1F3864" w:themeColor="accent5" w:themeShade="80"/>
          <w:sz w:val="24"/>
          <w:szCs w:val="24"/>
        </w:rPr>
        <w:t xml:space="preserve"> (CND)</w:t>
      </w:r>
      <w:r w:rsidRPr="0090666C">
        <w:rPr>
          <w:rFonts w:ascii="Arial" w:hAnsi="Arial" w:cs="Arial"/>
          <w:color w:val="1F3864" w:themeColor="accent5" w:themeShade="80"/>
          <w:sz w:val="24"/>
          <w:szCs w:val="24"/>
        </w:rPr>
        <w:t xml:space="preserve"> confirms that the principal adjustments shown on </w:t>
      </w:r>
      <w:r w:rsidR="0090666C" w:rsidRPr="0090666C">
        <w:rPr>
          <w:rFonts w:ascii="Arial" w:hAnsi="Arial" w:cs="Arial"/>
          <w:color w:val="1F3864" w:themeColor="accent5" w:themeShade="80"/>
          <w:sz w:val="24"/>
          <w:szCs w:val="24"/>
        </w:rPr>
        <w:t xml:space="preserve">the DVA Continuity Schedule </w:t>
      </w:r>
      <w:r w:rsidR="00F5435B">
        <w:rPr>
          <w:rFonts w:ascii="Arial" w:hAnsi="Arial" w:cs="Arial"/>
          <w:color w:val="1F3864" w:themeColor="accent5" w:themeShade="80"/>
          <w:sz w:val="24"/>
          <w:szCs w:val="24"/>
        </w:rPr>
        <w:t xml:space="preserve">are </w:t>
      </w:r>
      <w:r w:rsidR="0090666C" w:rsidRPr="0090666C">
        <w:rPr>
          <w:rFonts w:ascii="Arial" w:hAnsi="Arial" w:cs="Arial"/>
          <w:color w:val="1F3864" w:themeColor="accent5" w:themeShade="80"/>
          <w:sz w:val="24"/>
          <w:szCs w:val="24"/>
        </w:rPr>
        <w:t xml:space="preserve">reflected in the GL </w:t>
      </w:r>
      <w:r w:rsidR="00F5435B">
        <w:rPr>
          <w:rFonts w:ascii="Arial" w:hAnsi="Arial" w:cs="Arial"/>
          <w:color w:val="1F3864" w:themeColor="accent5" w:themeShade="80"/>
          <w:sz w:val="24"/>
          <w:szCs w:val="24"/>
        </w:rPr>
        <w:t>transactions</w:t>
      </w:r>
      <w:r w:rsidR="0090666C">
        <w:rPr>
          <w:rFonts w:ascii="Arial" w:hAnsi="Arial" w:cs="Arial"/>
          <w:color w:val="1F3864" w:themeColor="accent5" w:themeShade="80"/>
          <w:sz w:val="24"/>
          <w:szCs w:val="24"/>
        </w:rPr>
        <w:t>.</w:t>
      </w:r>
    </w:p>
    <w:sectPr w:rsidR="00F63F78" w:rsidRPr="0090666C" w:rsidSect="00CD3323">
      <w:headerReference w:type="default" r:id="rId13"/>
      <w:footerReference w:type="defaul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6DAA" w14:textId="77777777" w:rsidR="00E272F5" w:rsidRDefault="00E272F5" w:rsidP="00FB1EDF">
      <w:pPr>
        <w:spacing w:after="0" w:line="240" w:lineRule="auto"/>
      </w:pPr>
      <w:r>
        <w:separator/>
      </w:r>
    </w:p>
  </w:endnote>
  <w:endnote w:type="continuationSeparator" w:id="0">
    <w:p w14:paraId="32B73098" w14:textId="77777777" w:rsidR="00E272F5" w:rsidRDefault="00E272F5"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545821"/>
      <w:docPartObj>
        <w:docPartGallery w:val="Page Numbers (Bottom of Page)"/>
        <w:docPartUnique/>
      </w:docPartObj>
    </w:sdtPr>
    <w:sdtEndPr>
      <w:rPr>
        <w:noProof/>
      </w:rPr>
    </w:sdtEndPr>
    <w:sdtContent>
      <w:p w14:paraId="7C1399B3" w14:textId="77777777" w:rsidR="00E272F5" w:rsidRDefault="00E272F5">
        <w:pPr>
          <w:pStyle w:val="Footer"/>
          <w:jc w:val="center"/>
        </w:pPr>
        <w:r>
          <w:fldChar w:fldCharType="begin"/>
        </w:r>
        <w:r>
          <w:instrText xml:space="preserve"> PAGE   \* MERGEFORMAT </w:instrText>
        </w:r>
        <w:r>
          <w:fldChar w:fldCharType="separate"/>
        </w:r>
        <w:r w:rsidR="002A7B28">
          <w:rPr>
            <w:noProof/>
          </w:rPr>
          <w:t>- 5 -</w:t>
        </w:r>
        <w:r>
          <w:rPr>
            <w:noProof/>
          </w:rPr>
          <w:fldChar w:fldCharType="end"/>
        </w:r>
      </w:p>
    </w:sdtContent>
  </w:sdt>
  <w:p w14:paraId="16FC58A6" w14:textId="77777777" w:rsidR="00E272F5" w:rsidRDefault="00E272F5">
    <w:pPr>
      <w:pStyle w:val="Footer"/>
    </w:pPr>
    <w:r>
      <w:t>July 12,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63572" w14:textId="77777777" w:rsidR="00E272F5" w:rsidRDefault="00E272F5" w:rsidP="00FB1EDF">
      <w:pPr>
        <w:spacing w:after="0" w:line="240" w:lineRule="auto"/>
      </w:pPr>
      <w:r>
        <w:separator/>
      </w:r>
    </w:p>
  </w:footnote>
  <w:footnote w:type="continuationSeparator" w:id="0">
    <w:p w14:paraId="7428F0DB" w14:textId="77777777" w:rsidR="00E272F5" w:rsidRDefault="00E272F5" w:rsidP="00FB1EDF">
      <w:pPr>
        <w:spacing w:after="0" w:line="240" w:lineRule="auto"/>
      </w:pPr>
      <w:r>
        <w:continuationSeparator/>
      </w:r>
    </w:p>
  </w:footnote>
  <w:footnote w:id="1">
    <w:p w14:paraId="2FA72F65" w14:textId="77777777" w:rsidR="00E272F5" w:rsidRPr="00CF0A8B" w:rsidRDefault="00E272F5" w:rsidP="00CF0A8B">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 xml:space="preserve">In all references in the questions relating to amounts booked to accounts 1588 and 1589, amounts are not booked directly to accounts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1588 and 1589 relating to power purchase transactions, but are rather booked to the cost of power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4705 Power Purchased, and 4707, Charges – Global Adjustment, respectively. However, accounts 1588 and 1589 are impacted the same way as account 4705 and 4707 are for cost of power transactions.</w:t>
      </w:r>
    </w:p>
    <w:p w14:paraId="3BD21094" w14:textId="77777777" w:rsidR="00E272F5" w:rsidRDefault="00E272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4B122" w14:textId="77777777" w:rsidR="00E272F5" w:rsidRDefault="00E272F5"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rPr>
      <mc:AlternateContent>
        <mc:Choice Requires="wps">
          <w:drawing>
            <wp:anchor distT="0" distB="0" distL="118745" distR="118745" simplePos="0" relativeHeight="251659264" behindDoc="1" locked="0" layoutInCell="1" allowOverlap="0" wp14:anchorId="676F9C77" wp14:editId="3FD27751">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8BF120" w14:textId="77777777" w:rsidR="00E272F5" w:rsidRPr="005456CD" w:rsidRDefault="00E272F5"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6F9C77"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" o:allowoverlap="f" fillcolor="#5b9bd5 [3204]" stroked="f" strokeweight="1pt">
              <v:textbo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8BF120" w14:textId="77777777" w:rsidR="00E272F5" w:rsidRPr="005456CD" w:rsidRDefault="00E272F5"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rPr>
      <w:drawing>
        <wp:inline distT="0" distB="0" distL="0" distR="0" wp14:anchorId="08384275" wp14:editId="715A48C9">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14:paraId="408C36B9" w14:textId="77777777" w:rsidR="00E272F5" w:rsidRDefault="00E272F5" w:rsidP="005456CD">
    <w:pPr>
      <w:pStyle w:val="Header"/>
      <w:tabs>
        <w:tab w:val="clear" w:pos="9360"/>
        <w:tab w:val="right" w:pos="9630"/>
      </w:tabs>
      <w:ind w:right="-3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ED330C"/>
    <w:multiLevelType w:val="hybridMultilevel"/>
    <w:tmpl w:val="E8188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1363B7"/>
    <w:multiLevelType w:val="hybridMultilevel"/>
    <w:tmpl w:val="8D4E8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94880"/>
    <w:multiLevelType w:val="hybridMultilevel"/>
    <w:tmpl w:val="A29A7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7180E"/>
    <w:multiLevelType w:val="hybridMultilevel"/>
    <w:tmpl w:val="3328F3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6C5FE3"/>
    <w:multiLevelType w:val="hybridMultilevel"/>
    <w:tmpl w:val="9D289F34"/>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9A3C4C"/>
    <w:multiLevelType w:val="hybridMultilevel"/>
    <w:tmpl w:val="FA0E9210"/>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E5470B"/>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4B0DFC"/>
    <w:multiLevelType w:val="hybridMultilevel"/>
    <w:tmpl w:val="7D5A6200"/>
    <w:lvl w:ilvl="0" w:tplc="2CA4F4A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06884"/>
    <w:multiLevelType w:val="hybridMultilevel"/>
    <w:tmpl w:val="956CE94E"/>
    <w:lvl w:ilvl="0" w:tplc="B990496E">
      <w:start w:val="2016"/>
      <w:numFmt w:val="bullet"/>
      <w:lvlText w:val="•"/>
      <w:lvlJc w:val="left"/>
      <w:pPr>
        <w:ind w:left="434" w:hanging="360"/>
      </w:pPr>
      <w:rPr>
        <w:rFonts w:ascii="Arial" w:eastAsia="Times New Roman" w:hAnsi="Arial" w:cs="Arial" w:hint="default"/>
      </w:rPr>
    </w:lvl>
    <w:lvl w:ilvl="1" w:tplc="B990496E">
      <w:start w:val="2016"/>
      <w:numFmt w:val="bullet"/>
      <w:lvlText w:val="•"/>
      <w:lvlJc w:val="left"/>
      <w:pPr>
        <w:ind w:left="1154" w:hanging="360"/>
      </w:pPr>
      <w:rPr>
        <w:rFonts w:ascii="Arial" w:eastAsia="Times New Roman" w:hAnsi="Arial" w:cs="Arial" w:hint="default"/>
      </w:rPr>
    </w:lvl>
    <w:lvl w:ilvl="2" w:tplc="04090005">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4"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6"/>
  </w:num>
  <w:num w:numId="4">
    <w:abstractNumId w:val="0"/>
  </w:num>
  <w:num w:numId="5">
    <w:abstractNumId w:val="24"/>
  </w:num>
  <w:num w:numId="6">
    <w:abstractNumId w:val="21"/>
  </w:num>
  <w:num w:numId="7">
    <w:abstractNumId w:val="22"/>
  </w:num>
  <w:num w:numId="8">
    <w:abstractNumId w:val="3"/>
  </w:num>
  <w:num w:numId="9">
    <w:abstractNumId w:val="1"/>
  </w:num>
  <w:num w:numId="10">
    <w:abstractNumId w:val="23"/>
  </w:num>
  <w:num w:numId="11">
    <w:abstractNumId w:val="18"/>
  </w:num>
  <w:num w:numId="12">
    <w:abstractNumId w:val="4"/>
  </w:num>
  <w:num w:numId="13">
    <w:abstractNumId w:val="11"/>
  </w:num>
  <w:num w:numId="14">
    <w:abstractNumId w:val="7"/>
  </w:num>
  <w:num w:numId="15">
    <w:abstractNumId w:val="8"/>
  </w:num>
  <w:num w:numId="16">
    <w:abstractNumId w:val="12"/>
  </w:num>
  <w:num w:numId="17">
    <w:abstractNumId w:val="25"/>
  </w:num>
  <w:num w:numId="18">
    <w:abstractNumId w:val="16"/>
  </w:num>
  <w:num w:numId="19">
    <w:abstractNumId w:val="2"/>
  </w:num>
  <w:num w:numId="20">
    <w:abstractNumId w:val="20"/>
  </w:num>
  <w:num w:numId="21">
    <w:abstractNumId w:val="13"/>
  </w:num>
  <w:num w:numId="22">
    <w:abstractNumId w:val="15"/>
  </w:num>
  <w:num w:numId="23">
    <w:abstractNumId w:val="9"/>
  </w:num>
  <w:num w:numId="24">
    <w:abstractNumId w:val="5"/>
  </w:num>
  <w:num w:numId="25">
    <w:abstractNumId w:val="10"/>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DF"/>
    <w:rsid w:val="0000233E"/>
    <w:rsid w:val="00002602"/>
    <w:rsid w:val="00013BC8"/>
    <w:rsid w:val="000177EE"/>
    <w:rsid w:val="000306EA"/>
    <w:rsid w:val="00030926"/>
    <w:rsid w:val="0006442D"/>
    <w:rsid w:val="00073734"/>
    <w:rsid w:val="00074B3D"/>
    <w:rsid w:val="00086040"/>
    <w:rsid w:val="00087590"/>
    <w:rsid w:val="00090D35"/>
    <w:rsid w:val="00094AC7"/>
    <w:rsid w:val="000A1334"/>
    <w:rsid w:val="000B1A06"/>
    <w:rsid w:val="000E5D8A"/>
    <w:rsid w:val="000E7E5E"/>
    <w:rsid w:val="000F1FA6"/>
    <w:rsid w:val="000F40C3"/>
    <w:rsid w:val="000F53EE"/>
    <w:rsid w:val="000F7DB8"/>
    <w:rsid w:val="00114C8C"/>
    <w:rsid w:val="0011626B"/>
    <w:rsid w:val="00117561"/>
    <w:rsid w:val="00122334"/>
    <w:rsid w:val="00142534"/>
    <w:rsid w:val="00152EE3"/>
    <w:rsid w:val="0016162E"/>
    <w:rsid w:val="001721FD"/>
    <w:rsid w:val="0017492F"/>
    <w:rsid w:val="00177465"/>
    <w:rsid w:val="001803D8"/>
    <w:rsid w:val="001922E5"/>
    <w:rsid w:val="0019351C"/>
    <w:rsid w:val="001A2777"/>
    <w:rsid w:val="001A6539"/>
    <w:rsid w:val="001B699F"/>
    <w:rsid w:val="001B6B60"/>
    <w:rsid w:val="001C667F"/>
    <w:rsid w:val="001E3FF0"/>
    <w:rsid w:val="001F7E13"/>
    <w:rsid w:val="00202194"/>
    <w:rsid w:val="002112C8"/>
    <w:rsid w:val="00211EB2"/>
    <w:rsid w:val="00234127"/>
    <w:rsid w:val="0023632F"/>
    <w:rsid w:val="00246022"/>
    <w:rsid w:val="002651E6"/>
    <w:rsid w:val="00266953"/>
    <w:rsid w:val="00271F50"/>
    <w:rsid w:val="00272817"/>
    <w:rsid w:val="00273E83"/>
    <w:rsid w:val="002749FC"/>
    <w:rsid w:val="002874F9"/>
    <w:rsid w:val="00292776"/>
    <w:rsid w:val="00293665"/>
    <w:rsid w:val="002A2870"/>
    <w:rsid w:val="002A51FD"/>
    <w:rsid w:val="002A7B28"/>
    <w:rsid w:val="002A7B3A"/>
    <w:rsid w:val="002B11AF"/>
    <w:rsid w:val="002C54CF"/>
    <w:rsid w:val="002D1AEC"/>
    <w:rsid w:val="002E5F38"/>
    <w:rsid w:val="002F224E"/>
    <w:rsid w:val="002F25DB"/>
    <w:rsid w:val="00302C85"/>
    <w:rsid w:val="00314304"/>
    <w:rsid w:val="003203F9"/>
    <w:rsid w:val="00325817"/>
    <w:rsid w:val="00327BF7"/>
    <w:rsid w:val="00331196"/>
    <w:rsid w:val="00333867"/>
    <w:rsid w:val="00335DC8"/>
    <w:rsid w:val="00341F24"/>
    <w:rsid w:val="00347ED2"/>
    <w:rsid w:val="0035377E"/>
    <w:rsid w:val="0037069F"/>
    <w:rsid w:val="0039570B"/>
    <w:rsid w:val="00396EAB"/>
    <w:rsid w:val="003A447F"/>
    <w:rsid w:val="003B782E"/>
    <w:rsid w:val="003C026F"/>
    <w:rsid w:val="003C03E1"/>
    <w:rsid w:val="003E2E08"/>
    <w:rsid w:val="003E64F4"/>
    <w:rsid w:val="0040026A"/>
    <w:rsid w:val="00405880"/>
    <w:rsid w:val="00421DF5"/>
    <w:rsid w:val="00434B7B"/>
    <w:rsid w:val="004476A4"/>
    <w:rsid w:val="004511EA"/>
    <w:rsid w:val="00452C0F"/>
    <w:rsid w:val="0045441E"/>
    <w:rsid w:val="00464FD3"/>
    <w:rsid w:val="004B4ED4"/>
    <w:rsid w:val="004C1F24"/>
    <w:rsid w:val="004C211B"/>
    <w:rsid w:val="004C42C7"/>
    <w:rsid w:val="004D6721"/>
    <w:rsid w:val="004D7863"/>
    <w:rsid w:val="004E0B59"/>
    <w:rsid w:val="004E2460"/>
    <w:rsid w:val="004F6549"/>
    <w:rsid w:val="00512206"/>
    <w:rsid w:val="00516798"/>
    <w:rsid w:val="00541FF6"/>
    <w:rsid w:val="00543367"/>
    <w:rsid w:val="005456CD"/>
    <w:rsid w:val="00550838"/>
    <w:rsid w:val="00560C17"/>
    <w:rsid w:val="005705A7"/>
    <w:rsid w:val="00581014"/>
    <w:rsid w:val="005930BC"/>
    <w:rsid w:val="005A539A"/>
    <w:rsid w:val="005B001A"/>
    <w:rsid w:val="005B3F63"/>
    <w:rsid w:val="005C3530"/>
    <w:rsid w:val="005C5C30"/>
    <w:rsid w:val="005E2329"/>
    <w:rsid w:val="005F0EF2"/>
    <w:rsid w:val="005F2202"/>
    <w:rsid w:val="005F6E91"/>
    <w:rsid w:val="0060473C"/>
    <w:rsid w:val="00616D61"/>
    <w:rsid w:val="00626313"/>
    <w:rsid w:val="00626595"/>
    <w:rsid w:val="0063165B"/>
    <w:rsid w:val="006575F3"/>
    <w:rsid w:val="00672B15"/>
    <w:rsid w:val="00672DA9"/>
    <w:rsid w:val="00673822"/>
    <w:rsid w:val="006872D4"/>
    <w:rsid w:val="00692A13"/>
    <w:rsid w:val="006A2D1A"/>
    <w:rsid w:val="006B0483"/>
    <w:rsid w:val="006D70F3"/>
    <w:rsid w:val="006E0E6A"/>
    <w:rsid w:val="006F0C27"/>
    <w:rsid w:val="00720F6F"/>
    <w:rsid w:val="0072263D"/>
    <w:rsid w:val="007438AA"/>
    <w:rsid w:val="0075769C"/>
    <w:rsid w:val="00765A71"/>
    <w:rsid w:val="00770282"/>
    <w:rsid w:val="00770C98"/>
    <w:rsid w:val="00770CAE"/>
    <w:rsid w:val="00772AB6"/>
    <w:rsid w:val="00773FDA"/>
    <w:rsid w:val="00793CAF"/>
    <w:rsid w:val="007A46D7"/>
    <w:rsid w:val="007A4AA2"/>
    <w:rsid w:val="007B60EB"/>
    <w:rsid w:val="007C65FC"/>
    <w:rsid w:val="007E605A"/>
    <w:rsid w:val="007F6A11"/>
    <w:rsid w:val="0080470B"/>
    <w:rsid w:val="00807741"/>
    <w:rsid w:val="00824039"/>
    <w:rsid w:val="00826AFB"/>
    <w:rsid w:val="00836DA3"/>
    <w:rsid w:val="00855C30"/>
    <w:rsid w:val="00874394"/>
    <w:rsid w:val="008814E2"/>
    <w:rsid w:val="00884379"/>
    <w:rsid w:val="008969A0"/>
    <w:rsid w:val="008A4311"/>
    <w:rsid w:val="008A60ED"/>
    <w:rsid w:val="008B758B"/>
    <w:rsid w:val="008C00DC"/>
    <w:rsid w:val="008C162B"/>
    <w:rsid w:val="008C295B"/>
    <w:rsid w:val="008C5180"/>
    <w:rsid w:val="008E1DBC"/>
    <w:rsid w:val="008F1672"/>
    <w:rsid w:val="008F3984"/>
    <w:rsid w:val="008F53F4"/>
    <w:rsid w:val="008F5ED8"/>
    <w:rsid w:val="00902F9B"/>
    <w:rsid w:val="0090666C"/>
    <w:rsid w:val="00921A83"/>
    <w:rsid w:val="00940EFA"/>
    <w:rsid w:val="00944E1E"/>
    <w:rsid w:val="009567D1"/>
    <w:rsid w:val="009612D2"/>
    <w:rsid w:val="00964D5F"/>
    <w:rsid w:val="0097407F"/>
    <w:rsid w:val="009A56BB"/>
    <w:rsid w:val="009B1C17"/>
    <w:rsid w:val="009C44AB"/>
    <w:rsid w:val="009D1CB7"/>
    <w:rsid w:val="009E49BF"/>
    <w:rsid w:val="009E514A"/>
    <w:rsid w:val="009F2692"/>
    <w:rsid w:val="009F6F6C"/>
    <w:rsid w:val="00A14899"/>
    <w:rsid w:val="00A235E0"/>
    <w:rsid w:val="00A30887"/>
    <w:rsid w:val="00A439ED"/>
    <w:rsid w:val="00A46363"/>
    <w:rsid w:val="00A518BE"/>
    <w:rsid w:val="00A64342"/>
    <w:rsid w:val="00A7177A"/>
    <w:rsid w:val="00A72E28"/>
    <w:rsid w:val="00A731F4"/>
    <w:rsid w:val="00A80A88"/>
    <w:rsid w:val="00A83C63"/>
    <w:rsid w:val="00A96DC7"/>
    <w:rsid w:val="00AB5B4F"/>
    <w:rsid w:val="00AC10D8"/>
    <w:rsid w:val="00AC5359"/>
    <w:rsid w:val="00B028A9"/>
    <w:rsid w:val="00B02B51"/>
    <w:rsid w:val="00B07BA7"/>
    <w:rsid w:val="00B1082C"/>
    <w:rsid w:val="00B2433F"/>
    <w:rsid w:val="00B33C67"/>
    <w:rsid w:val="00B35096"/>
    <w:rsid w:val="00B43A47"/>
    <w:rsid w:val="00B57122"/>
    <w:rsid w:val="00B64187"/>
    <w:rsid w:val="00B76DE4"/>
    <w:rsid w:val="00B91A7F"/>
    <w:rsid w:val="00B96E3C"/>
    <w:rsid w:val="00BB490C"/>
    <w:rsid w:val="00BB75BD"/>
    <w:rsid w:val="00BC1C40"/>
    <w:rsid w:val="00BD560C"/>
    <w:rsid w:val="00BE02D5"/>
    <w:rsid w:val="00BE05F6"/>
    <w:rsid w:val="00C02631"/>
    <w:rsid w:val="00C21A49"/>
    <w:rsid w:val="00C30252"/>
    <w:rsid w:val="00C34327"/>
    <w:rsid w:val="00C4500B"/>
    <w:rsid w:val="00C55824"/>
    <w:rsid w:val="00C760B1"/>
    <w:rsid w:val="00CA3F28"/>
    <w:rsid w:val="00CC4F9F"/>
    <w:rsid w:val="00CD1581"/>
    <w:rsid w:val="00CD3323"/>
    <w:rsid w:val="00CD6C2A"/>
    <w:rsid w:val="00CF0A8B"/>
    <w:rsid w:val="00D05AA6"/>
    <w:rsid w:val="00D2748F"/>
    <w:rsid w:val="00D37D63"/>
    <w:rsid w:val="00D43A61"/>
    <w:rsid w:val="00D44D3A"/>
    <w:rsid w:val="00D47152"/>
    <w:rsid w:val="00D60FB1"/>
    <w:rsid w:val="00D626C3"/>
    <w:rsid w:val="00D62B18"/>
    <w:rsid w:val="00D649C1"/>
    <w:rsid w:val="00D73B6B"/>
    <w:rsid w:val="00D91953"/>
    <w:rsid w:val="00DA5BF2"/>
    <w:rsid w:val="00DC0975"/>
    <w:rsid w:val="00DF14AF"/>
    <w:rsid w:val="00E045FA"/>
    <w:rsid w:val="00E2708A"/>
    <w:rsid w:val="00E272F5"/>
    <w:rsid w:val="00E36D31"/>
    <w:rsid w:val="00E47060"/>
    <w:rsid w:val="00E517DA"/>
    <w:rsid w:val="00E7388E"/>
    <w:rsid w:val="00E75A80"/>
    <w:rsid w:val="00E82C05"/>
    <w:rsid w:val="00E97164"/>
    <w:rsid w:val="00EA4AC8"/>
    <w:rsid w:val="00EC20DA"/>
    <w:rsid w:val="00EC22FB"/>
    <w:rsid w:val="00ED1D67"/>
    <w:rsid w:val="00EF651D"/>
    <w:rsid w:val="00F03671"/>
    <w:rsid w:val="00F13C09"/>
    <w:rsid w:val="00F24C70"/>
    <w:rsid w:val="00F27894"/>
    <w:rsid w:val="00F34C83"/>
    <w:rsid w:val="00F367E3"/>
    <w:rsid w:val="00F5435B"/>
    <w:rsid w:val="00F55FA9"/>
    <w:rsid w:val="00F562FF"/>
    <w:rsid w:val="00F56332"/>
    <w:rsid w:val="00F63F78"/>
    <w:rsid w:val="00F746F3"/>
    <w:rsid w:val="00F81E3A"/>
    <w:rsid w:val="00F92686"/>
    <w:rsid w:val="00F96BD9"/>
    <w:rsid w:val="00FB1EDF"/>
    <w:rsid w:val="00FC227F"/>
    <w:rsid w:val="00FC43F6"/>
    <w:rsid w:val="00F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C26E8F"/>
  <w15:chartTrackingRefBased/>
  <w15:docId w15:val="{1EBBBF5E-8D2C-46C0-BE3E-1540CF8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798838192">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sChild>
    </w:div>
    <w:div w:id="108013041">
      <w:bodyDiv w:val="1"/>
      <w:marLeft w:val="0"/>
      <w:marRight w:val="0"/>
      <w:marTop w:val="0"/>
      <w:marBottom w:val="0"/>
      <w:divBdr>
        <w:top w:val="none" w:sz="0" w:space="0" w:color="auto"/>
        <w:left w:val="none" w:sz="0" w:space="0" w:color="auto"/>
        <w:bottom w:val="none" w:sz="0" w:space="0" w:color="auto"/>
        <w:right w:val="none" w:sz="0" w:space="0" w:color="auto"/>
      </w:divBdr>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305429547">
          <w:marLeft w:val="374"/>
          <w:marRight w:val="0"/>
          <w:marTop w:val="2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80378872">
          <w:marLeft w:val="374"/>
          <w:marRight w:val="0"/>
          <w:marTop w:val="2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 w:id="275063543">
          <w:marLeft w:val="1080"/>
          <w:marRight w:val="0"/>
          <w:marTop w:val="1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1031762401">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671831504">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sChild>
    </w:div>
    <w:div w:id="1318412618">
      <w:bodyDiv w:val="1"/>
      <w:marLeft w:val="0"/>
      <w:marRight w:val="0"/>
      <w:marTop w:val="0"/>
      <w:marBottom w:val="0"/>
      <w:divBdr>
        <w:top w:val="none" w:sz="0" w:space="0" w:color="auto"/>
        <w:left w:val="none" w:sz="0" w:space="0" w:color="auto"/>
        <w:bottom w:val="none" w:sz="0" w:space="0" w:color="auto"/>
        <w:right w:val="none" w:sz="0" w:space="0" w:color="auto"/>
      </w:divBdr>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25770385">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95174767">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sChild>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1053625816">
          <w:marLeft w:val="360"/>
          <w:marRight w:val="0"/>
          <w:marTop w:val="2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FC45-8E3A-4FFE-81A2-6310A61F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GA ANALYSIS WORKFORM</dc:title>
  <dc:subject/>
  <dc:creator>Nastaran Haghani</dc:creator>
  <cp:keywords/>
  <dc:description/>
  <cp:lastModifiedBy>Nastaran Haghani</cp:lastModifiedBy>
  <cp:revision>8</cp:revision>
  <cp:lastPrinted>2018-07-12T16:30:00Z</cp:lastPrinted>
  <dcterms:created xsi:type="dcterms:W3CDTF">2018-09-18T16:56:00Z</dcterms:created>
  <dcterms:modified xsi:type="dcterms:W3CDTF">2018-09-18T17:37:00Z</dcterms:modified>
</cp:coreProperties>
</file>