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48" w:rsidRDefault="00581848" w:rsidP="00D0773D">
      <w:pPr>
        <w:jc w:val="center"/>
        <w:rPr>
          <w:rFonts w:ascii="Arial" w:hAnsi="Arial" w:cs="Arial"/>
          <w:b/>
          <w:sz w:val="28"/>
          <w:szCs w:val="28"/>
        </w:rPr>
      </w:pPr>
    </w:p>
    <w:p w:rsidR="00746080" w:rsidRPr="00394351" w:rsidRDefault="00581848" w:rsidP="00D0773D">
      <w:pPr>
        <w:jc w:val="center"/>
        <w:rPr>
          <w:rFonts w:ascii="Arial" w:hAnsi="Arial" w:cs="Arial"/>
          <w:b/>
          <w:sz w:val="28"/>
          <w:szCs w:val="28"/>
        </w:rPr>
      </w:pPr>
      <w:r>
        <w:rPr>
          <w:rFonts w:ascii="Arial" w:hAnsi="Arial" w:cs="Arial"/>
          <w:b/>
          <w:sz w:val="28"/>
          <w:szCs w:val="28"/>
        </w:rPr>
        <w:t>Westario Power</w:t>
      </w:r>
      <w:r w:rsidR="00162E62">
        <w:rPr>
          <w:rFonts w:ascii="Arial" w:hAnsi="Arial" w:cs="Arial"/>
          <w:b/>
          <w:sz w:val="28"/>
          <w:szCs w:val="28"/>
        </w:rPr>
        <w:t xml:space="preserve"> </w:t>
      </w:r>
      <w:r w:rsidR="009071CF">
        <w:rPr>
          <w:rFonts w:ascii="Arial" w:hAnsi="Arial" w:cs="Arial"/>
          <w:b/>
          <w:sz w:val="28"/>
          <w:szCs w:val="28"/>
        </w:rPr>
        <w:t>Inc.</w:t>
      </w:r>
      <w:r w:rsidR="00B56997">
        <w:rPr>
          <w:rFonts w:ascii="Arial" w:hAnsi="Arial" w:cs="Arial"/>
          <w:b/>
          <w:sz w:val="28"/>
          <w:szCs w:val="28"/>
        </w:rPr>
        <w:t xml:space="preserve"> </w:t>
      </w:r>
      <w:r w:rsidR="002F218C">
        <w:rPr>
          <w:rFonts w:ascii="Arial" w:hAnsi="Arial" w:cs="Arial"/>
          <w:b/>
          <w:sz w:val="28"/>
          <w:szCs w:val="28"/>
        </w:rPr>
        <w:t>(</w:t>
      </w:r>
      <w:r>
        <w:rPr>
          <w:rFonts w:ascii="Arial" w:hAnsi="Arial" w:cs="Arial"/>
          <w:b/>
          <w:sz w:val="28"/>
          <w:szCs w:val="28"/>
        </w:rPr>
        <w:t>Westario Power)</w:t>
      </w:r>
    </w:p>
    <w:p w:rsidR="002F218C" w:rsidRPr="002F218C" w:rsidRDefault="00866E79" w:rsidP="00394351">
      <w:pPr>
        <w:jc w:val="center"/>
        <w:rPr>
          <w:rFonts w:ascii="Arial" w:hAnsi="Arial" w:cs="Arial"/>
          <w:b/>
          <w:sz w:val="24"/>
          <w:szCs w:val="24"/>
        </w:rPr>
      </w:pPr>
      <w:r>
        <w:rPr>
          <w:rFonts w:ascii="Arial" w:hAnsi="Arial" w:cs="Arial"/>
          <w:b/>
          <w:sz w:val="24"/>
          <w:szCs w:val="24"/>
        </w:rPr>
        <w:t>2019</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581848">
        <w:rPr>
          <w:rFonts w:ascii="Arial" w:hAnsi="Arial" w:cs="Arial"/>
          <w:b/>
          <w:sz w:val="24"/>
          <w:szCs w:val="24"/>
        </w:rPr>
        <w:t>8-0078</w:t>
      </w:r>
      <w:r w:rsidR="00B20109" w:rsidRPr="002F218C">
        <w:rPr>
          <w:rFonts w:ascii="Arial" w:hAnsi="Arial" w:cs="Arial"/>
          <w:b/>
          <w:sz w:val="24"/>
          <w:szCs w:val="24"/>
        </w:rPr>
        <w:t xml:space="preserve">                                                                                                                                                                                                                                                                                                          </w:t>
      </w:r>
      <w:r w:rsidR="002F218C" w:rsidRPr="002F218C">
        <w:rPr>
          <w:rFonts w:ascii="Arial" w:hAnsi="Arial" w:cs="Arial"/>
          <w:b/>
          <w:sz w:val="24"/>
          <w:szCs w:val="24"/>
        </w:rPr>
        <w:t xml:space="preserve">                           </w:t>
      </w:r>
    </w:p>
    <w:p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rsidR="00450CB6" w:rsidRPr="0078619D" w:rsidRDefault="0078619D" w:rsidP="00F63BEA">
      <w:pPr>
        <w:jc w:val="center"/>
        <w:rPr>
          <w:rFonts w:ascii="Arial" w:hAnsi="Arial" w:cs="Arial"/>
          <w:b/>
          <w:color w:val="FF0000"/>
          <w:sz w:val="24"/>
          <w:szCs w:val="24"/>
        </w:rPr>
      </w:pPr>
      <w:r w:rsidRPr="0078619D">
        <w:rPr>
          <w:rFonts w:ascii="Arial" w:hAnsi="Arial" w:cs="Arial"/>
          <w:b/>
          <w:color w:val="FF0000"/>
          <w:sz w:val="24"/>
          <w:szCs w:val="24"/>
        </w:rPr>
        <w:t>October 2</w:t>
      </w:r>
      <w:r w:rsidR="00450CB6" w:rsidRPr="0078619D">
        <w:rPr>
          <w:rFonts w:ascii="Arial" w:hAnsi="Arial" w:cs="Arial"/>
          <w:b/>
          <w:color w:val="FF0000"/>
          <w:sz w:val="24"/>
          <w:szCs w:val="24"/>
        </w:rPr>
        <w:t>, 2018</w:t>
      </w:r>
    </w:p>
    <w:p w:rsidR="000069CF" w:rsidRDefault="00C54B6F" w:rsidP="00A668A7">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5D204B">
        <w:rPr>
          <w:rFonts w:ascii="Arial" w:hAnsi="Arial" w:cs="Arial"/>
          <w:b/>
          <w:sz w:val="24"/>
          <w:szCs w:val="24"/>
        </w:rPr>
        <w:t>1</w:t>
      </w:r>
    </w:p>
    <w:p w:rsidR="005D204B" w:rsidRDefault="005D204B" w:rsidP="00A668A7">
      <w:pPr>
        <w:spacing w:after="0" w:line="240" w:lineRule="auto"/>
        <w:rPr>
          <w:rFonts w:ascii="Arial" w:hAnsi="Arial" w:cs="Arial"/>
          <w:b/>
          <w:sz w:val="24"/>
          <w:szCs w:val="24"/>
        </w:rPr>
      </w:pPr>
      <w:r>
        <w:rPr>
          <w:rFonts w:ascii="Arial" w:hAnsi="Arial" w:cs="Arial"/>
          <w:b/>
          <w:sz w:val="24"/>
          <w:szCs w:val="24"/>
        </w:rPr>
        <w:t>Ref: IRM Model Tab 1: Information Sheet</w:t>
      </w:r>
    </w:p>
    <w:p w:rsidR="005D204B" w:rsidRDefault="005D204B" w:rsidP="00A668A7">
      <w:pPr>
        <w:spacing w:after="0" w:line="240" w:lineRule="auto"/>
        <w:rPr>
          <w:rFonts w:ascii="Arial" w:hAnsi="Arial" w:cs="Arial"/>
          <w:b/>
          <w:sz w:val="24"/>
          <w:szCs w:val="24"/>
        </w:rPr>
      </w:pPr>
    </w:p>
    <w:p w:rsidR="005D204B" w:rsidRDefault="005D204B" w:rsidP="005D204B">
      <w:pPr>
        <w:rPr>
          <w:rFonts w:ascii="Arial" w:hAnsi="Arial" w:cs="Arial"/>
          <w:sz w:val="24"/>
          <w:szCs w:val="24"/>
        </w:rPr>
      </w:pPr>
      <w:r w:rsidRPr="00077AB6">
        <w:rPr>
          <w:rFonts w:ascii="Arial" w:hAnsi="Arial" w:cs="Arial"/>
          <w:sz w:val="24"/>
          <w:szCs w:val="24"/>
        </w:rPr>
        <w:t>Tab 1</w:t>
      </w:r>
      <w:r>
        <w:rPr>
          <w:rFonts w:ascii="Arial" w:hAnsi="Arial" w:cs="Arial"/>
          <w:sz w:val="24"/>
          <w:szCs w:val="24"/>
        </w:rPr>
        <w:t xml:space="preserve"> of the Rate Generator Model</w:t>
      </w:r>
      <w:r w:rsidRPr="00077AB6">
        <w:rPr>
          <w:rFonts w:ascii="Arial" w:hAnsi="Arial" w:cs="Arial"/>
          <w:sz w:val="24"/>
          <w:szCs w:val="24"/>
        </w:rPr>
        <w:t xml:space="preserve"> indicates that the rate year in which Group 1 Accounts were last cleared was</w:t>
      </w:r>
      <w:r>
        <w:rPr>
          <w:rFonts w:ascii="Arial" w:hAnsi="Arial" w:cs="Arial"/>
          <w:sz w:val="24"/>
          <w:szCs w:val="24"/>
        </w:rPr>
        <w:t xml:space="preserve"> 201</w:t>
      </w:r>
      <w:r w:rsidR="0091452A">
        <w:rPr>
          <w:rFonts w:ascii="Arial" w:hAnsi="Arial" w:cs="Arial"/>
          <w:sz w:val="24"/>
          <w:szCs w:val="24"/>
        </w:rPr>
        <w:t>6</w:t>
      </w:r>
      <w:r>
        <w:rPr>
          <w:rFonts w:ascii="Arial" w:hAnsi="Arial" w:cs="Arial"/>
          <w:sz w:val="24"/>
          <w:szCs w:val="24"/>
        </w:rPr>
        <w:t>. OEB staff notes that Westario Power wa</w:t>
      </w:r>
      <w:r w:rsidRPr="00077AB6">
        <w:rPr>
          <w:rFonts w:ascii="Arial" w:hAnsi="Arial" w:cs="Arial"/>
          <w:sz w:val="24"/>
          <w:szCs w:val="24"/>
        </w:rPr>
        <w:t>s approved f</w:t>
      </w:r>
      <w:r>
        <w:rPr>
          <w:rFonts w:ascii="Arial" w:hAnsi="Arial" w:cs="Arial"/>
          <w:sz w:val="24"/>
          <w:szCs w:val="24"/>
        </w:rPr>
        <w:t xml:space="preserve">or disposition in EB-2017-0084 (i.e. </w:t>
      </w:r>
      <w:r w:rsidRPr="00077AB6">
        <w:rPr>
          <w:rFonts w:ascii="Arial" w:hAnsi="Arial" w:cs="Arial"/>
          <w:sz w:val="24"/>
          <w:szCs w:val="24"/>
        </w:rPr>
        <w:t>the 201</w:t>
      </w:r>
      <w:r w:rsidR="0091452A">
        <w:rPr>
          <w:rFonts w:ascii="Arial" w:hAnsi="Arial" w:cs="Arial"/>
          <w:sz w:val="24"/>
          <w:szCs w:val="24"/>
        </w:rPr>
        <w:t>8</w:t>
      </w:r>
      <w:r w:rsidRPr="00077AB6">
        <w:rPr>
          <w:rFonts w:ascii="Arial" w:hAnsi="Arial" w:cs="Arial"/>
          <w:sz w:val="24"/>
          <w:szCs w:val="24"/>
        </w:rPr>
        <w:t xml:space="preserve"> rate year</w:t>
      </w:r>
      <w:r>
        <w:rPr>
          <w:rFonts w:ascii="Arial" w:hAnsi="Arial" w:cs="Arial"/>
          <w:sz w:val="24"/>
          <w:szCs w:val="24"/>
        </w:rPr>
        <w:t>)</w:t>
      </w:r>
      <w:r w:rsidRPr="00077AB6">
        <w:rPr>
          <w:rFonts w:ascii="Arial" w:hAnsi="Arial" w:cs="Arial"/>
          <w:sz w:val="24"/>
          <w:szCs w:val="24"/>
        </w:rPr>
        <w:t xml:space="preserve">. </w:t>
      </w:r>
    </w:p>
    <w:p w:rsidR="005D204B" w:rsidRDefault="005D204B" w:rsidP="005D204B">
      <w:pPr>
        <w:rPr>
          <w:rFonts w:ascii="Arial" w:hAnsi="Arial" w:cs="Arial"/>
          <w:sz w:val="24"/>
          <w:szCs w:val="24"/>
        </w:rPr>
      </w:pPr>
      <w:r>
        <w:rPr>
          <w:rFonts w:ascii="Arial" w:hAnsi="Arial" w:cs="Arial"/>
          <w:sz w:val="24"/>
          <w:szCs w:val="24"/>
        </w:rPr>
        <w:t xml:space="preserve">Please confirm if </w:t>
      </w:r>
      <w:r w:rsidR="0091452A">
        <w:rPr>
          <w:rFonts w:ascii="Arial" w:hAnsi="Arial" w:cs="Arial"/>
          <w:sz w:val="24"/>
          <w:szCs w:val="24"/>
        </w:rPr>
        <w:t>Westario Power</w:t>
      </w:r>
      <w:r w:rsidRPr="00077AB6">
        <w:rPr>
          <w:rFonts w:ascii="Arial" w:hAnsi="Arial" w:cs="Arial"/>
          <w:sz w:val="24"/>
          <w:szCs w:val="24"/>
        </w:rPr>
        <w:t xml:space="preserve"> agrees and </w:t>
      </w:r>
      <w:r w:rsidR="0091452A">
        <w:rPr>
          <w:rFonts w:ascii="Arial" w:hAnsi="Arial" w:cs="Arial"/>
          <w:sz w:val="24"/>
          <w:szCs w:val="24"/>
        </w:rPr>
        <w:t xml:space="preserve">OEB staff will </w:t>
      </w:r>
      <w:r w:rsidRPr="00077AB6">
        <w:rPr>
          <w:rFonts w:ascii="Arial" w:hAnsi="Arial" w:cs="Arial"/>
          <w:sz w:val="24"/>
          <w:szCs w:val="24"/>
        </w:rPr>
        <w:t xml:space="preserve">make the necessary correction to the model. </w:t>
      </w:r>
    </w:p>
    <w:p w:rsidR="005D204B" w:rsidRPr="004935C5" w:rsidRDefault="005C1BF3" w:rsidP="00A668A7">
      <w:pPr>
        <w:spacing w:after="0" w:line="240" w:lineRule="auto"/>
        <w:rPr>
          <w:rFonts w:ascii="Arial" w:hAnsi="Arial" w:cs="Arial"/>
          <w:color w:val="FF0000"/>
          <w:sz w:val="24"/>
          <w:szCs w:val="24"/>
        </w:rPr>
      </w:pPr>
      <w:r w:rsidRPr="004935C5">
        <w:rPr>
          <w:rFonts w:ascii="Arial" w:hAnsi="Arial" w:cs="Arial"/>
          <w:color w:val="FF0000"/>
          <w:sz w:val="24"/>
          <w:szCs w:val="24"/>
        </w:rPr>
        <w:t xml:space="preserve">Westario power agrees with the OEB the last approved disposition year was 2018 for the December 31, 2016 balances.  Westario Power requests the OEB to please update </w:t>
      </w:r>
      <w:r w:rsidR="004935C5" w:rsidRPr="004935C5">
        <w:rPr>
          <w:rFonts w:ascii="Arial" w:hAnsi="Arial" w:cs="Arial"/>
          <w:color w:val="FF0000"/>
          <w:sz w:val="24"/>
          <w:szCs w:val="24"/>
        </w:rPr>
        <w:t xml:space="preserve">disposition year </w:t>
      </w:r>
      <w:r w:rsidRPr="004935C5">
        <w:rPr>
          <w:rFonts w:ascii="Arial" w:hAnsi="Arial" w:cs="Arial"/>
          <w:color w:val="FF0000"/>
          <w:sz w:val="24"/>
          <w:szCs w:val="24"/>
        </w:rPr>
        <w:t>accordingly.</w:t>
      </w:r>
    </w:p>
    <w:p w:rsidR="005C1BF3" w:rsidRDefault="005C1BF3" w:rsidP="00A668A7">
      <w:pPr>
        <w:spacing w:after="0" w:line="240" w:lineRule="auto"/>
        <w:rPr>
          <w:rFonts w:ascii="Arial" w:hAnsi="Arial" w:cs="Arial"/>
          <w:b/>
          <w:sz w:val="24"/>
          <w:szCs w:val="24"/>
        </w:rPr>
      </w:pPr>
    </w:p>
    <w:p w:rsidR="005D204B" w:rsidRDefault="00C54B6F" w:rsidP="00A668A7">
      <w:pPr>
        <w:spacing w:after="0" w:line="240" w:lineRule="auto"/>
        <w:rPr>
          <w:rFonts w:ascii="Arial" w:hAnsi="Arial" w:cs="Arial"/>
          <w:b/>
          <w:sz w:val="24"/>
          <w:szCs w:val="24"/>
        </w:rPr>
      </w:pPr>
      <w:r>
        <w:rPr>
          <w:rFonts w:ascii="Arial" w:hAnsi="Arial" w:cs="Arial"/>
          <w:b/>
          <w:sz w:val="24"/>
          <w:szCs w:val="24"/>
        </w:rPr>
        <w:t xml:space="preserve">Staff </w:t>
      </w:r>
      <w:r w:rsidR="005D204B">
        <w:rPr>
          <w:rFonts w:ascii="Arial" w:hAnsi="Arial" w:cs="Arial"/>
          <w:b/>
          <w:sz w:val="24"/>
          <w:szCs w:val="24"/>
        </w:rPr>
        <w:t xml:space="preserve">Question </w:t>
      </w:r>
      <w:r>
        <w:rPr>
          <w:rFonts w:ascii="Arial" w:hAnsi="Arial" w:cs="Arial"/>
          <w:b/>
          <w:sz w:val="24"/>
          <w:szCs w:val="24"/>
        </w:rPr>
        <w:t>#</w:t>
      </w:r>
      <w:r w:rsidR="005D204B">
        <w:rPr>
          <w:rFonts w:ascii="Arial" w:hAnsi="Arial" w:cs="Arial"/>
          <w:b/>
          <w:sz w:val="24"/>
          <w:szCs w:val="24"/>
        </w:rPr>
        <w:t>2</w:t>
      </w:r>
    </w:p>
    <w:p w:rsidR="00E11952" w:rsidRPr="005D2D25" w:rsidRDefault="00BF2B62" w:rsidP="007704AE">
      <w:pPr>
        <w:spacing w:after="0"/>
        <w:rPr>
          <w:rFonts w:ascii="Arial" w:hAnsi="Arial" w:cs="Arial"/>
          <w:b/>
          <w:bCs/>
          <w:sz w:val="24"/>
          <w:szCs w:val="24"/>
        </w:rPr>
      </w:pPr>
      <w:r>
        <w:rPr>
          <w:rFonts w:ascii="Arial" w:hAnsi="Arial" w:cs="Arial"/>
          <w:b/>
          <w:sz w:val="24"/>
          <w:szCs w:val="24"/>
        </w:rPr>
        <w:t xml:space="preserve">Ref: IRM Model Tab 3: Account 1580 </w:t>
      </w:r>
      <w:r w:rsidR="00E11952" w:rsidRPr="005D2D25">
        <w:rPr>
          <w:rFonts w:ascii="Arial" w:hAnsi="Arial" w:cs="Arial"/>
          <w:b/>
          <w:bCs/>
          <w:sz w:val="24"/>
          <w:szCs w:val="24"/>
        </w:rPr>
        <w:t>Variance WMS – Sub-account CBR Class B</w:t>
      </w:r>
    </w:p>
    <w:p w:rsidR="00E11952" w:rsidRDefault="00E11952" w:rsidP="00E11952">
      <w:pPr>
        <w:autoSpaceDE w:val="0"/>
        <w:autoSpaceDN w:val="0"/>
        <w:adjustRightInd w:val="0"/>
        <w:spacing w:after="0" w:line="240" w:lineRule="auto"/>
        <w:rPr>
          <w:rFonts w:ascii="Arial" w:hAnsi="Arial" w:cs="Arial"/>
          <w:b/>
          <w:bCs/>
          <w:sz w:val="24"/>
          <w:szCs w:val="24"/>
        </w:rPr>
      </w:pPr>
    </w:p>
    <w:p w:rsidR="001965B3" w:rsidRPr="001965B3" w:rsidRDefault="008F4082" w:rsidP="001965B3">
      <w:pPr>
        <w:rPr>
          <w:rFonts w:ascii="Arial" w:hAnsi="Arial" w:cs="Arial"/>
          <w:sz w:val="24"/>
          <w:szCs w:val="24"/>
        </w:rPr>
      </w:pPr>
      <w:r>
        <w:rPr>
          <w:rFonts w:ascii="Arial" w:hAnsi="Arial" w:cs="Arial"/>
          <w:sz w:val="24"/>
          <w:szCs w:val="24"/>
        </w:rPr>
        <w:t xml:space="preserve">This question </w:t>
      </w:r>
      <w:r w:rsidR="001965B3" w:rsidRPr="001965B3">
        <w:rPr>
          <w:rFonts w:ascii="Arial" w:hAnsi="Arial" w:cs="Arial"/>
          <w:sz w:val="24"/>
          <w:szCs w:val="24"/>
        </w:rPr>
        <w:t>is related to RRR 2.1.7 filing for account 1580</w:t>
      </w:r>
      <w:r w:rsidR="005D204B">
        <w:rPr>
          <w:rFonts w:ascii="Arial" w:hAnsi="Arial" w:cs="Arial"/>
          <w:sz w:val="24"/>
          <w:szCs w:val="24"/>
        </w:rPr>
        <w:t xml:space="preserve"> RSVA – Wholesale Market Service Charge,</w:t>
      </w:r>
      <w:r w:rsidR="001965B3" w:rsidRPr="001965B3">
        <w:rPr>
          <w:rFonts w:ascii="Arial" w:hAnsi="Arial" w:cs="Arial"/>
          <w:sz w:val="24"/>
          <w:szCs w:val="24"/>
        </w:rPr>
        <w:t xml:space="preserve"> sub-account CBR Class A and sub-account CBR Class B. </w:t>
      </w:r>
    </w:p>
    <w:p w:rsidR="00646EB9" w:rsidRDefault="001965B3" w:rsidP="001965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noted that </w:t>
      </w:r>
      <w:r w:rsidR="00790A32">
        <w:rPr>
          <w:rFonts w:ascii="Arial" w:hAnsi="Arial" w:cs="Arial"/>
          <w:sz w:val="24"/>
          <w:szCs w:val="24"/>
        </w:rPr>
        <w:t>t</w:t>
      </w:r>
      <w:r>
        <w:rPr>
          <w:rFonts w:ascii="Arial" w:hAnsi="Arial" w:cs="Arial"/>
          <w:sz w:val="24"/>
          <w:szCs w:val="24"/>
        </w:rPr>
        <w:t>he control account 1580 in continuity schedule excludes balances in CBR Class A and CBR Class B; the control account in RRR includes the two sub-accounts’ balances.</w:t>
      </w:r>
      <w:r w:rsidR="00F06AC5">
        <w:rPr>
          <w:rFonts w:ascii="Arial" w:hAnsi="Arial" w:cs="Arial"/>
          <w:sz w:val="24"/>
          <w:szCs w:val="24"/>
        </w:rPr>
        <w:t xml:space="preserve"> </w:t>
      </w:r>
      <w:r>
        <w:rPr>
          <w:rFonts w:ascii="Arial" w:hAnsi="Arial" w:cs="Arial"/>
          <w:sz w:val="24"/>
          <w:szCs w:val="24"/>
        </w:rPr>
        <w:t>Therefore, in the Variance column, it is expected to see a variance in cell BV23 only</w:t>
      </w:r>
      <w:r w:rsidR="00646EB9">
        <w:rPr>
          <w:rFonts w:ascii="Arial" w:hAnsi="Arial" w:cs="Arial"/>
          <w:sz w:val="24"/>
          <w:szCs w:val="24"/>
        </w:rPr>
        <w:t xml:space="preserve"> of sub account 1580 </w:t>
      </w:r>
      <w:r>
        <w:rPr>
          <w:rFonts w:ascii="Arial" w:hAnsi="Arial" w:cs="Arial"/>
          <w:sz w:val="24"/>
          <w:szCs w:val="24"/>
        </w:rPr>
        <w:t>Class A</w:t>
      </w:r>
      <w:r w:rsidR="00646EB9">
        <w:rPr>
          <w:rFonts w:ascii="Arial" w:hAnsi="Arial" w:cs="Arial"/>
          <w:sz w:val="24"/>
          <w:szCs w:val="24"/>
        </w:rPr>
        <w:t xml:space="preserve"> plus sub account 1580 Class B and no variance reported in columns BV24 or BV25</w:t>
      </w:r>
      <w:r>
        <w:rPr>
          <w:rFonts w:ascii="Arial" w:hAnsi="Arial" w:cs="Arial"/>
          <w:sz w:val="24"/>
          <w:szCs w:val="24"/>
        </w:rPr>
        <w:t xml:space="preserve">. </w:t>
      </w:r>
    </w:p>
    <w:p w:rsidR="00646EB9" w:rsidRDefault="00646EB9" w:rsidP="001965B3">
      <w:pPr>
        <w:autoSpaceDE w:val="0"/>
        <w:autoSpaceDN w:val="0"/>
        <w:adjustRightInd w:val="0"/>
        <w:spacing w:after="0" w:line="240" w:lineRule="auto"/>
        <w:rPr>
          <w:rFonts w:ascii="Arial" w:hAnsi="Arial" w:cs="Arial"/>
          <w:sz w:val="24"/>
          <w:szCs w:val="24"/>
        </w:rPr>
      </w:pPr>
    </w:p>
    <w:p w:rsidR="00646EB9" w:rsidRDefault="00646EB9" w:rsidP="00561350">
      <w:pPr>
        <w:pStyle w:val="ListParagraph"/>
        <w:numPr>
          <w:ilvl w:val="0"/>
          <w:numId w:val="18"/>
        </w:numPr>
        <w:autoSpaceDE w:val="0"/>
        <w:autoSpaceDN w:val="0"/>
        <w:adjustRightInd w:val="0"/>
        <w:spacing w:after="0" w:line="240" w:lineRule="auto"/>
        <w:ind w:left="540" w:hanging="540"/>
        <w:rPr>
          <w:rFonts w:ascii="Arial" w:hAnsi="Arial" w:cs="Arial"/>
          <w:sz w:val="24"/>
          <w:szCs w:val="24"/>
        </w:rPr>
      </w:pPr>
      <w:r w:rsidRPr="00646EB9">
        <w:rPr>
          <w:rFonts w:ascii="Arial" w:hAnsi="Arial" w:cs="Arial"/>
          <w:sz w:val="24"/>
          <w:szCs w:val="24"/>
        </w:rPr>
        <w:t>Please explain the variance in sub account 1580 Class B of ($</w:t>
      </w:r>
      <w:r w:rsidR="005D204B">
        <w:rPr>
          <w:rFonts w:ascii="Arial" w:hAnsi="Arial" w:cs="Arial"/>
          <w:sz w:val="24"/>
          <w:szCs w:val="24"/>
        </w:rPr>
        <w:t>55,168</w:t>
      </w:r>
      <w:r w:rsidRPr="00646EB9">
        <w:rPr>
          <w:rFonts w:ascii="Arial" w:hAnsi="Arial" w:cs="Arial"/>
          <w:sz w:val="24"/>
          <w:szCs w:val="24"/>
        </w:rPr>
        <w:t>).</w:t>
      </w:r>
    </w:p>
    <w:p w:rsidR="005D204B" w:rsidRDefault="005D204B" w:rsidP="005D204B">
      <w:pPr>
        <w:autoSpaceDE w:val="0"/>
        <w:autoSpaceDN w:val="0"/>
        <w:adjustRightInd w:val="0"/>
        <w:spacing w:after="0" w:line="240" w:lineRule="auto"/>
        <w:rPr>
          <w:rFonts w:ascii="Arial" w:hAnsi="Arial" w:cs="Arial"/>
          <w:sz w:val="24"/>
          <w:szCs w:val="24"/>
        </w:rPr>
      </w:pPr>
    </w:p>
    <w:p w:rsidR="005D204B" w:rsidRPr="005D204B" w:rsidRDefault="005D204B" w:rsidP="005D204B">
      <w:pPr>
        <w:pStyle w:val="ListParagraph"/>
        <w:numPr>
          <w:ilvl w:val="0"/>
          <w:numId w:val="18"/>
        </w:numPr>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Please explain the variance in sub account 1580 Class B of ($1,194,211).</w:t>
      </w:r>
    </w:p>
    <w:p w:rsidR="00646EB9" w:rsidRDefault="00646EB9" w:rsidP="001965B3">
      <w:pPr>
        <w:autoSpaceDE w:val="0"/>
        <w:autoSpaceDN w:val="0"/>
        <w:adjustRightInd w:val="0"/>
        <w:spacing w:after="0" w:line="240" w:lineRule="auto"/>
        <w:rPr>
          <w:rFonts w:ascii="Arial" w:hAnsi="Arial" w:cs="Arial"/>
          <w:sz w:val="24"/>
          <w:szCs w:val="24"/>
        </w:rPr>
      </w:pPr>
    </w:p>
    <w:p w:rsidR="007704AE" w:rsidRPr="00646EB9" w:rsidRDefault="00646EB9" w:rsidP="00B77870">
      <w:pPr>
        <w:pStyle w:val="ListParagraph"/>
        <w:numPr>
          <w:ilvl w:val="0"/>
          <w:numId w:val="18"/>
        </w:numPr>
        <w:autoSpaceDE w:val="0"/>
        <w:autoSpaceDN w:val="0"/>
        <w:adjustRightInd w:val="0"/>
        <w:spacing w:after="0" w:line="240" w:lineRule="auto"/>
        <w:ind w:left="540" w:hanging="540"/>
        <w:rPr>
          <w:rFonts w:ascii="Arial" w:hAnsi="Arial" w:cs="Arial"/>
          <w:sz w:val="24"/>
          <w:szCs w:val="24"/>
        </w:rPr>
      </w:pPr>
      <w:r w:rsidRPr="00646EB9">
        <w:rPr>
          <w:rFonts w:ascii="Arial" w:hAnsi="Arial" w:cs="Arial"/>
          <w:sz w:val="24"/>
          <w:szCs w:val="24"/>
        </w:rPr>
        <w:t xml:space="preserve">If the balance is incorrect, please update </w:t>
      </w:r>
      <w:r w:rsidR="005D204B">
        <w:rPr>
          <w:rFonts w:ascii="Arial" w:hAnsi="Arial" w:cs="Arial"/>
          <w:sz w:val="24"/>
          <w:szCs w:val="24"/>
        </w:rPr>
        <w:t>Westario Power</w:t>
      </w:r>
      <w:r w:rsidRPr="00646EB9">
        <w:rPr>
          <w:rFonts w:ascii="Arial" w:hAnsi="Arial" w:cs="Arial"/>
          <w:sz w:val="24"/>
          <w:szCs w:val="24"/>
        </w:rPr>
        <w:t>’s</w:t>
      </w:r>
      <w:r w:rsidR="001965B3" w:rsidRPr="00646EB9">
        <w:rPr>
          <w:rFonts w:ascii="Arial" w:hAnsi="Arial" w:cs="Arial"/>
          <w:sz w:val="24"/>
          <w:szCs w:val="24"/>
        </w:rPr>
        <w:t xml:space="preserve"> RRR 2.1.7 </w:t>
      </w:r>
      <w:r w:rsidRPr="00646EB9">
        <w:rPr>
          <w:rFonts w:ascii="Arial" w:hAnsi="Arial" w:cs="Arial"/>
          <w:sz w:val="24"/>
          <w:szCs w:val="24"/>
        </w:rPr>
        <w:t>and notify your case manager when this</w:t>
      </w:r>
      <w:r w:rsidR="001965B3" w:rsidRPr="00646EB9">
        <w:rPr>
          <w:rFonts w:ascii="Arial" w:hAnsi="Arial" w:cs="Arial"/>
          <w:sz w:val="24"/>
          <w:szCs w:val="24"/>
        </w:rPr>
        <w:t xml:space="preserve"> i</w:t>
      </w:r>
      <w:r w:rsidRPr="00646EB9">
        <w:rPr>
          <w:rFonts w:ascii="Arial" w:hAnsi="Arial" w:cs="Arial"/>
          <w:sz w:val="24"/>
          <w:szCs w:val="24"/>
        </w:rPr>
        <w:t>s completed.</w:t>
      </w:r>
    </w:p>
    <w:p w:rsidR="001965B3" w:rsidRDefault="001965B3" w:rsidP="001965B3">
      <w:pPr>
        <w:autoSpaceDE w:val="0"/>
        <w:autoSpaceDN w:val="0"/>
        <w:adjustRightInd w:val="0"/>
        <w:spacing w:after="0" w:line="240" w:lineRule="auto"/>
        <w:rPr>
          <w:rFonts w:ascii="Arial" w:hAnsi="Arial" w:cs="Arial"/>
          <w:sz w:val="24"/>
          <w:szCs w:val="24"/>
        </w:rPr>
      </w:pPr>
    </w:p>
    <w:p w:rsidR="007704AE" w:rsidRPr="005D204B" w:rsidRDefault="005D204B" w:rsidP="00F9321D">
      <w:pPr>
        <w:pStyle w:val="ListParagraph"/>
        <w:numPr>
          <w:ilvl w:val="0"/>
          <w:numId w:val="18"/>
        </w:numPr>
        <w:autoSpaceDE w:val="0"/>
        <w:autoSpaceDN w:val="0"/>
        <w:adjustRightInd w:val="0"/>
        <w:spacing w:after="0" w:line="240" w:lineRule="auto"/>
        <w:ind w:left="540" w:hanging="540"/>
        <w:rPr>
          <w:rFonts w:ascii="Arial" w:hAnsi="Arial" w:cs="Arial"/>
          <w:b/>
          <w:bCs/>
          <w:sz w:val="24"/>
          <w:szCs w:val="24"/>
        </w:rPr>
      </w:pPr>
      <w:r w:rsidRPr="005D204B">
        <w:rPr>
          <w:rFonts w:ascii="Arial" w:hAnsi="Arial" w:cs="Arial"/>
          <w:sz w:val="24"/>
          <w:szCs w:val="24"/>
        </w:rPr>
        <w:t xml:space="preserve">Please </w:t>
      </w:r>
      <w:r>
        <w:rPr>
          <w:rFonts w:ascii="Arial" w:hAnsi="Arial" w:cs="Arial"/>
          <w:sz w:val="24"/>
          <w:szCs w:val="24"/>
        </w:rPr>
        <w:t>update the continuity schedule as required.</w:t>
      </w:r>
    </w:p>
    <w:p w:rsidR="005D204B" w:rsidRPr="004935C5" w:rsidRDefault="005D204B" w:rsidP="00F63BEA">
      <w:pPr>
        <w:rPr>
          <w:rFonts w:ascii="Arial" w:hAnsi="Arial" w:cs="Arial"/>
          <w:sz w:val="24"/>
          <w:szCs w:val="24"/>
        </w:rPr>
      </w:pPr>
      <w:r w:rsidRPr="004935C5">
        <w:rPr>
          <w:noProof/>
          <w:lang w:eastAsia="en-CA"/>
        </w:rPr>
        <w:lastRenderedPageBreak/>
        <w:drawing>
          <wp:inline distT="0" distB="0" distL="0" distR="0" wp14:anchorId="18A8B1E4" wp14:editId="22337279">
            <wp:extent cx="6217920" cy="2892829"/>
            <wp:effectExtent l="19050" t="19050" r="11430" b="22225"/>
            <wp:docPr id="1" name="Picture 1" descr="C:\Users\wongch\AppData\Local\Temp\SNAGHTML4d725f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ch\AppData\Local\Temp\SNAGHTML4d725f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156" cy="2896195"/>
                    </a:xfrm>
                    <a:prstGeom prst="rect">
                      <a:avLst/>
                    </a:prstGeom>
                    <a:noFill/>
                    <a:ln>
                      <a:solidFill>
                        <a:schemeClr val="tx1"/>
                      </a:solidFill>
                    </a:ln>
                  </pic:spPr>
                </pic:pic>
              </a:graphicData>
            </a:graphic>
          </wp:inline>
        </w:drawing>
      </w:r>
    </w:p>
    <w:p w:rsidR="005D204B" w:rsidRPr="004935C5" w:rsidRDefault="005C1BF3" w:rsidP="00F63BEA">
      <w:pPr>
        <w:rPr>
          <w:rFonts w:ascii="Arial" w:hAnsi="Arial" w:cs="Arial"/>
          <w:color w:val="FF0000"/>
          <w:sz w:val="24"/>
          <w:szCs w:val="24"/>
        </w:rPr>
      </w:pPr>
      <w:r w:rsidRPr="004935C5">
        <w:rPr>
          <w:rFonts w:ascii="Arial" w:hAnsi="Arial" w:cs="Arial"/>
          <w:color w:val="FF0000"/>
          <w:sz w:val="24"/>
          <w:szCs w:val="24"/>
        </w:rPr>
        <w:t>Westario Power has submitted a RRR 2.1.7 revision request.  Once this revision has been completed the variances should be eliminated. Revision request as follows:</w:t>
      </w:r>
    </w:p>
    <w:p w:rsidR="005C1BF3" w:rsidRPr="005C1BF3" w:rsidRDefault="005C1BF3" w:rsidP="005C1BF3">
      <w:pPr>
        <w:rPr>
          <w:rFonts w:ascii="Arial" w:hAnsi="Arial" w:cs="Arial"/>
          <w:color w:val="FF0000"/>
          <w:sz w:val="18"/>
          <w:szCs w:val="18"/>
          <w:lang w:eastAsia="en-CA"/>
        </w:rPr>
      </w:pPr>
      <w:r w:rsidRPr="005C1BF3">
        <w:rPr>
          <w:color w:val="FF0000"/>
          <w:lang w:val="en-US" w:eastAsia="en-CA"/>
        </w:rPr>
        <w:t>RRR section 2.1.7 tab Sub-Accounts line items</w:t>
      </w:r>
      <w:r w:rsidRPr="005C1BF3">
        <w:rPr>
          <w:rFonts w:ascii="Arial" w:hAnsi="Arial" w:cs="Arial"/>
          <w:color w:val="FF0000"/>
          <w:sz w:val="18"/>
          <w:szCs w:val="18"/>
          <w:lang w:val="en-US" w:eastAsia="en-CA"/>
        </w:rPr>
        <w:t xml:space="preserve"> </w:t>
      </w:r>
      <w:r w:rsidRPr="005C1BF3">
        <w:rPr>
          <w:rFonts w:ascii="Arial" w:hAnsi="Arial" w:cs="Arial"/>
          <w:color w:val="FF0000"/>
          <w:sz w:val="18"/>
          <w:szCs w:val="18"/>
          <w:lang w:eastAsia="en-CA"/>
        </w:rPr>
        <w:t xml:space="preserve">Sub-account CBR class A – Principal, Sub-account CBR class A – Interest, Sub-account CBR class B – Principal, &amp; Sub-account CBR class B – Interest.  </w:t>
      </w:r>
    </w:p>
    <w:p w:rsidR="005C1BF3" w:rsidRPr="005C1BF3" w:rsidRDefault="005C1BF3" w:rsidP="005C1BF3">
      <w:pPr>
        <w:rPr>
          <w:rFonts w:ascii="Arial" w:hAnsi="Arial" w:cs="Arial"/>
          <w:color w:val="FF0000"/>
          <w:sz w:val="18"/>
          <w:szCs w:val="18"/>
          <w:lang w:eastAsia="en-CA"/>
        </w:rPr>
      </w:pPr>
      <w:r w:rsidRPr="005C1BF3">
        <w:rPr>
          <w:rFonts w:ascii="Arial" w:hAnsi="Arial" w:cs="Arial"/>
          <w:color w:val="FF0000"/>
          <w:sz w:val="18"/>
          <w:szCs w:val="18"/>
          <w:lang w:eastAsia="en-CA"/>
        </w:rPr>
        <w:t>Previously submitted:</w:t>
      </w:r>
    </w:p>
    <w:tbl>
      <w:tblPr>
        <w:tblW w:w="3027" w:type="pct"/>
        <w:tblCellSpacing w:w="0" w:type="dxa"/>
        <w:tblBorders>
          <w:bottom w:val="single" w:sz="8" w:space="0" w:color="9C9A9C"/>
          <w:right w:val="single" w:sz="8" w:space="0" w:color="9C9A9C"/>
        </w:tblBorders>
        <w:shd w:val="clear" w:color="auto" w:fill="9C9A9C"/>
        <w:tblCellMar>
          <w:left w:w="0" w:type="dxa"/>
          <w:right w:w="0" w:type="dxa"/>
        </w:tblCellMar>
        <w:tblLook w:val="04A0" w:firstRow="1" w:lastRow="0" w:firstColumn="1" w:lastColumn="0" w:noHBand="0" w:noVBand="1"/>
      </w:tblPr>
      <w:tblGrid>
        <w:gridCol w:w="3206"/>
        <w:gridCol w:w="1089"/>
        <w:gridCol w:w="1365"/>
      </w:tblGrid>
      <w:tr w:rsidR="005C1BF3" w:rsidRPr="005C1BF3" w:rsidTr="005C1BF3">
        <w:trPr>
          <w:trHeight w:val="183"/>
          <w:tblCellSpacing w:w="0" w:type="dxa"/>
        </w:trPr>
        <w:tc>
          <w:tcPr>
            <w:tcW w:w="283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A - Principal</w:t>
            </w:r>
          </w:p>
        </w:tc>
        <w:tc>
          <w:tcPr>
            <w:tcW w:w="96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0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-54,962.00</w:t>
            </w:r>
          </w:p>
        </w:tc>
      </w:tr>
      <w:tr w:rsidR="005C1BF3" w:rsidRPr="005C1BF3" w:rsidTr="005C1BF3">
        <w:trPr>
          <w:trHeight w:val="91"/>
          <w:tblCellSpacing w:w="0" w:type="dxa"/>
        </w:trPr>
        <w:tc>
          <w:tcPr>
            <w:tcW w:w="283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B - Principal</w:t>
            </w:r>
          </w:p>
        </w:tc>
        <w:tc>
          <w:tcPr>
            <w:tcW w:w="96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0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-1,018,421.00</w:t>
            </w:r>
          </w:p>
        </w:tc>
      </w:tr>
      <w:tr w:rsidR="005C1BF3" w:rsidRPr="005C1BF3" w:rsidTr="005C1BF3">
        <w:trPr>
          <w:trHeight w:val="141"/>
          <w:tblCellSpacing w:w="0" w:type="dxa"/>
        </w:trPr>
        <w:tc>
          <w:tcPr>
            <w:tcW w:w="283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A - Interest</w:t>
            </w:r>
          </w:p>
        </w:tc>
        <w:tc>
          <w:tcPr>
            <w:tcW w:w="96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0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-206.00</w:t>
            </w:r>
          </w:p>
        </w:tc>
      </w:tr>
      <w:tr w:rsidR="005C1BF3" w:rsidRPr="005C1BF3" w:rsidTr="005C1BF3">
        <w:trPr>
          <w:trHeight w:val="24"/>
          <w:tblCellSpacing w:w="0" w:type="dxa"/>
        </w:trPr>
        <w:tc>
          <w:tcPr>
            <w:tcW w:w="283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B - Interest</w:t>
            </w:r>
          </w:p>
        </w:tc>
        <w:tc>
          <w:tcPr>
            <w:tcW w:w="962"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0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4,579.00</w:t>
            </w:r>
          </w:p>
        </w:tc>
      </w:tr>
    </w:tbl>
    <w:p w:rsidR="005C1BF3" w:rsidRPr="005C1BF3" w:rsidRDefault="005C1BF3" w:rsidP="005C1BF3">
      <w:pPr>
        <w:rPr>
          <w:color w:val="FF0000"/>
          <w:lang w:val="en-US" w:eastAsia="en-CA"/>
        </w:rPr>
      </w:pPr>
    </w:p>
    <w:p w:rsidR="005C1BF3" w:rsidRPr="005C1BF3" w:rsidRDefault="005C1BF3" w:rsidP="005C1BF3">
      <w:pPr>
        <w:rPr>
          <w:color w:val="FF0000"/>
          <w:lang w:val="en-US" w:eastAsia="en-CA"/>
        </w:rPr>
      </w:pPr>
      <w:r w:rsidRPr="005C1BF3">
        <w:rPr>
          <w:color w:val="FF0000"/>
          <w:lang w:val="en-US" w:eastAsia="en-CA"/>
        </w:rPr>
        <w:t>Correction request:</w:t>
      </w:r>
    </w:p>
    <w:tbl>
      <w:tblPr>
        <w:tblW w:w="3027" w:type="pct"/>
        <w:tblCellSpacing w:w="0" w:type="dxa"/>
        <w:tblBorders>
          <w:bottom w:val="single" w:sz="8" w:space="0" w:color="9C9A9C"/>
          <w:right w:val="single" w:sz="8" w:space="0" w:color="9C9A9C"/>
        </w:tblBorders>
        <w:shd w:val="clear" w:color="auto" w:fill="9C9A9C"/>
        <w:tblCellMar>
          <w:left w:w="0" w:type="dxa"/>
          <w:right w:w="0" w:type="dxa"/>
        </w:tblCellMar>
        <w:tblLook w:val="04A0" w:firstRow="1" w:lastRow="0" w:firstColumn="1" w:lastColumn="0" w:noHBand="0" w:noVBand="1"/>
      </w:tblPr>
      <w:tblGrid>
        <w:gridCol w:w="3252"/>
        <w:gridCol w:w="992"/>
        <w:gridCol w:w="1416"/>
      </w:tblGrid>
      <w:tr w:rsidR="005C1BF3" w:rsidRPr="005C1BF3" w:rsidTr="005C1BF3">
        <w:trPr>
          <w:trHeight w:val="24"/>
          <w:tblCellSpacing w:w="0" w:type="dxa"/>
        </w:trPr>
        <w:tc>
          <w:tcPr>
            <w:tcW w:w="2873"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A - Principal</w:t>
            </w:r>
          </w:p>
        </w:tc>
        <w:tc>
          <w:tcPr>
            <w:tcW w:w="87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51"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0.00</w:t>
            </w:r>
          </w:p>
        </w:tc>
      </w:tr>
      <w:tr w:rsidR="005C1BF3" w:rsidRPr="005C1BF3" w:rsidTr="005C1BF3">
        <w:trPr>
          <w:trHeight w:val="152"/>
          <w:tblCellSpacing w:w="0" w:type="dxa"/>
        </w:trPr>
        <w:tc>
          <w:tcPr>
            <w:tcW w:w="2873"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B - Principal</w:t>
            </w:r>
          </w:p>
        </w:tc>
        <w:tc>
          <w:tcPr>
            <w:tcW w:w="87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51"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175,995.75</w:t>
            </w:r>
          </w:p>
        </w:tc>
      </w:tr>
      <w:tr w:rsidR="005C1BF3" w:rsidRPr="005C1BF3" w:rsidTr="005C1BF3">
        <w:trPr>
          <w:trHeight w:val="24"/>
          <w:tblCellSpacing w:w="0" w:type="dxa"/>
        </w:trPr>
        <w:tc>
          <w:tcPr>
            <w:tcW w:w="2873"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A - Interest</w:t>
            </w:r>
          </w:p>
        </w:tc>
        <w:tc>
          <w:tcPr>
            <w:tcW w:w="87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51"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0.00</w:t>
            </w:r>
          </w:p>
        </w:tc>
      </w:tr>
      <w:tr w:rsidR="005C1BF3" w:rsidRPr="005C1BF3" w:rsidTr="005C1BF3">
        <w:trPr>
          <w:trHeight w:val="65"/>
          <w:tblCellSpacing w:w="0" w:type="dxa"/>
        </w:trPr>
        <w:tc>
          <w:tcPr>
            <w:tcW w:w="2873"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Sub-account CBR class B - Interest</w:t>
            </w:r>
          </w:p>
        </w:tc>
        <w:tc>
          <w:tcPr>
            <w:tcW w:w="876"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1580</w:t>
            </w:r>
          </w:p>
        </w:tc>
        <w:tc>
          <w:tcPr>
            <w:tcW w:w="1251" w:type="pct"/>
            <w:tcBorders>
              <w:top w:val="single" w:sz="8" w:space="0" w:color="9C9A9C"/>
              <w:left w:val="single" w:sz="8" w:space="0" w:color="9C9A9C"/>
              <w:bottom w:val="nil"/>
              <w:right w:val="nil"/>
            </w:tcBorders>
            <w:shd w:val="clear" w:color="auto" w:fill="FFFFFF"/>
            <w:tcMar>
              <w:top w:w="30" w:type="dxa"/>
              <w:left w:w="30" w:type="dxa"/>
              <w:bottom w:w="30" w:type="dxa"/>
              <w:right w:w="30" w:type="dxa"/>
            </w:tcMar>
            <w:vAlign w:val="center"/>
            <w:hideMark/>
          </w:tcPr>
          <w:p w:rsidR="005C1BF3" w:rsidRPr="005C1BF3" w:rsidRDefault="005C1BF3">
            <w:pPr>
              <w:rPr>
                <w:rFonts w:ascii="Arial" w:hAnsi="Arial" w:cs="Arial"/>
                <w:color w:val="FF0000"/>
                <w:sz w:val="18"/>
                <w:szCs w:val="18"/>
                <w:lang w:eastAsia="en-CA"/>
              </w:rPr>
            </w:pPr>
            <w:r w:rsidRPr="005C1BF3">
              <w:rPr>
                <w:rFonts w:ascii="Arial" w:hAnsi="Arial" w:cs="Arial"/>
                <w:color w:val="FF0000"/>
                <w:sz w:val="18"/>
                <w:szCs w:val="18"/>
                <w:lang w:eastAsia="en-CA"/>
              </w:rPr>
              <w:t>4,372.41</w:t>
            </w:r>
          </w:p>
        </w:tc>
      </w:tr>
    </w:tbl>
    <w:p w:rsidR="005C1BF3" w:rsidRDefault="005C1BF3" w:rsidP="00F63BEA">
      <w:pPr>
        <w:rPr>
          <w:rFonts w:ascii="Arial" w:hAnsi="Arial" w:cs="Arial"/>
          <w:b/>
          <w:color w:val="FF0000"/>
          <w:sz w:val="24"/>
          <w:szCs w:val="24"/>
        </w:rPr>
      </w:pPr>
    </w:p>
    <w:p w:rsidR="005D352B" w:rsidRPr="002A7E14" w:rsidRDefault="00C54B6F" w:rsidP="00ED3CE0">
      <w:pPr>
        <w:spacing w:after="0"/>
        <w:rPr>
          <w:rFonts w:ascii="Arial" w:hAnsi="Arial" w:cs="Arial"/>
          <w:b/>
          <w:sz w:val="24"/>
          <w:szCs w:val="24"/>
        </w:rPr>
      </w:pPr>
      <w:r>
        <w:rPr>
          <w:rFonts w:ascii="Arial" w:hAnsi="Arial" w:cs="Arial"/>
          <w:b/>
          <w:sz w:val="24"/>
          <w:szCs w:val="24"/>
        </w:rPr>
        <w:lastRenderedPageBreak/>
        <w:t xml:space="preserve">Staff </w:t>
      </w:r>
      <w:r w:rsidR="005D204B">
        <w:rPr>
          <w:rFonts w:ascii="Arial" w:hAnsi="Arial" w:cs="Arial"/>
          <w:b/>
          <w:sz w:val="24"/>
          <w:szCs w:val="24"/>
        </w:rPr>
        <w:t>Q</w:t>
      </w:r>
      <w:r w:rsidR="005D352B" w:rsidRPr="002A7E14">
        <w:rPr>
          <w:rFonts w:ascii="Arial" w:hAnsi="Arial" w:cs="Arial"/>
          <w:b/>
          <w:sz w:val="24"/>
          <w:szCs w:val="24"/>
        </w:rPr>
        <w:t xml:space="preserve">uestion </w:t>
      </w:r>
      <w:r>
        <w:rPr>
          <w:rFonts w:ascii="Arial" w:hAnsi="Arial" w:cs="Arial"/>
          <w:b/>
          <w:sz w:val="24"/>
          <w:szCs w:val="24"/>
        </w:rPr>
        <w:t>#</w:t>
      </w:r>
      <w:r w:rsidR="004B3C1F">
        <w:rPr>
          <w:rFonts w:ascii="Arial" w:hAnsi="Arial" w:cs="Arial"/>
          <w:b/>
          <w:sz w:val="24"/>
          <w:szCs w:val="24"/>
        </w:rPr>
        <w:t>3</w:t>
      </w:r>
    </w:p>
    <w:p w:rsidR="004B3C1F" w:rsidRDefault="004B3C1F" w:rsidP="00ED3CE0">
      <w:pPr>
        <w:spacing w:after="0"/>
        <w:rPr>
          <w:rFonts w:ascii="Arial" w:hAnsi="Arial" w:cs="Arial"/>
          <w:b/>
          <w:sz w:val="24"/>
          <w:szCs w:val="24"/>
        </w:rPr>
      </w:pPr>
      <w:r>
        <w:rPr>
          <w:rFonts w:ascii="Arial" w:hAnsi="Arial" w:cs="Arial"/>
          <w:b/>
          <w:sz w:val="24"/>
          <w:szCs w:val="24"/>
        </w:rPr>
        <w:t>Ref:</w:t>
      </w:r>
      <w:r w:rsidR="00741833">
        <w:rPr>
          <w:rFonts w:ascii="Arial" w:hAnsi="Arial" w:cs="Arial"/>
          <w:b/>
          <w:sz w:val="24"/>
          <w:szCs w:val="24"/>
        </w:rPr>
        <w:t xml:space="preserve"> Tab</w:t>
      </w:r>
      <w:r>
        <w:rPr>
          <w:rFonts w:ascii="Arial" w:hAnsi="Arial" w:cs="Arial"/>
          <w:b/>
          <w:sz w:val="24"/>
          <w:szCs w:val="24"/>
        </w:rPr>
        <w:t xml:space="preserve"> 6.1a GA Allocation – cell D20 Total Non-RPP Class B consumption</w:t>
      </w:r>
    </w:p>
    <w:p w:rsidR="004B3C1F" w:rsidRDefault="004B3C1F" w:rsidP="00ED3CE0">
      <w:pPr>
        <w:spacing w:after="0"/>
        <w:rPr>
          <w:rFonts w:ascii="Arial" w:hAnsi="Arial" w:cs="Arial"/>
          <w:b/>
          <w:sz w:val="24"/>
          <w:szCs w:val="24"/>
        </w:rPr>
      </w:pPr>
    </w:p>
    <w:p w:rsidR="00F9667C" w:rsidRDefault="004B3C1F" w:rsidP="00F9667C">
      <w:pPr>
        <w:spacing w:after="0"/>
        <w:rPr>
          <w:rFonts w:ascii="Arial" w:hAnsi="Arial" w:cs="Arial"/>
          <w:sz w:val="24"/>
          <w:szCs w:val="24"/>
        </w:rPr>
      </w:pPr>
      <w:r w:rsidRPr="004B3C1F">
        <w:rPr>
          <w:rFonts w:ascii="Arial" w:hAnsi="Arial" w:cs="Arial"/>
          <w:sz w:val="24"/>
          <w:szCs w:val="24"/>
        </w:rPr>
        <w:t>OEB staff notes that the</w:t>
      </w:r>
      <w:r>
        <w:rPr>
          <w:rFonts w:ascii="Arial" w:hAnsi="Arial" w:cs="Arial"/>
          <w:sz w:val="24"/>
          <w:szCs w:val="24"/>
        </w:rPr>
        <w:t xml:space="preserve"> total non-RPP Class B consumption on Tab 6.1a</w:t>
      </w:r>
      <w:r w:rsidR="0001319D">
        <w:rPr>
          <w:rFonts w:ascii="Arial" w:hAnsi="Arial" w:cs="Arial"/>
          <w:sz w:val="24"/>
          <w:szCs w:val="24"/>
        </w:rPr>
        <w:t>, cell D20 shows</w:t>
      </w:r>
      <w:r>
        <w:rPr>
          <w:rFonts w:ascii="Arial" w:hAnsi="Arial" w:cs="Arial"/>
          <w:sz w:val="24"/>
          <w:szCs w:val="24"/>
        </w:rPr>
        <w:t xml:space="preserve"> 160,276,145 </w:t>
      </w:r>
      <w:proofErr w:type="spellStart"/>
      <w:r>
        <w:rPr>
          <w:rFonts w:ascii="Arial" w:hAnsi="Arial" w:cs="Arial"/>
          <w:sz w:val="24"/>
          <w:szCs w:val="24"/>
        </w:rPr>
        <w:t>kWhs</w:t>
      </w:r>
      <w:proofErr w:type="spellEnd"/>
      <w:r>
        <w:rPr>
          <w:rFonts w:ascii="Arial" w:hAnsi="Arial" w:cs="Arial"/>
          <w:sz w:val="24"/>
          <w:szCs w:val="24"/>
        </w:rPr>
        <w:t xml:space="preserve">. OEB staff </w:t>
      </w:r>
      <w:r w:rsidR="00F9667C" w:rsidRPr="00DF5593">
        <w:rPr>
          <w:rFonts w:ascii="Arial" w:hAnsi="Arial" w:cs="Arial"/>
          <w:sz w:val="24"/>
          <w:szCs w:val="24"/>
        </w:rPr>
        <w:t xml:space="preserve">OEB staff is unable to reconcile the data entered in cell </w:t>
      </w:r>
      <w:r w:rsidR="00F9667C">
        <w:rPr>
          <w:rFonts w:ascii="Arial" w:hAnsi="Arial" w:cs="Arial"/>
          <w:sz w:val="24"/>
          <w:szCs w:val="24"/>
        </w:rPr>
        <w:t>D</w:t>
      </w:r>
      <w:r w:rsidR="00F9667C" w:rsidRPr="00DF5593">
        <w:rPr>
          <w:rFonts w:ascii="Arial" w:hAnsi="Arial" w:cs="Arial"/>
          <w:sz w:val="24"/>
          <w:szCs w:val="24"/>
        </w:rPr>
        <w:t xml:space="preserve">20. Please provide an explanation </w:t>
      </w:r>
      <w:r w:rsidR="00F9667C">
        <w:rPr>
          <w:rFonts w:ascii="Arial" w:hAnsi="Arial" w:cs="Arial"/>
          <w:sz w:val="24"/>
          <w:szCs w:val="24"/>
        </w:rPr>
        <w:t>of</w:t>
      </w:r>
      <w:r w:rsidR="00F9667C" w:rsidRPr="00DF5593">
        <w:rPr>
          <w:rFonts w:ascii="Arial" w:hAnsi="Arial" w:cs="Arial"/>
          <w:sz w:val="24"/>
          <w:szCs w:val="24"/>
        </w:rPr>
        <w:t xml:space="preserve"> the discrepancy. </w:t>
      </w:r>
      <w:r w:rsidR="00405EBE">
        <w:rPr>
          <w:rFonts w:ascii="Arial" w:hAnsi="Arial" w:cs="Arial"/>
          <w:sz w:val="24"/>
          <w:szCs w:val="24"/>
        </w:rPr>
        <w:t>If correction is needed, OEB staff will make the adjustment.</w:t>
      </w:r>
    </w:p>
    <w:p w:rsidR="00741833" w:rsidRDefault="00741833" w:rsidP="00F9667C">
      <w:pPr>
        <w:spacing w:after="0"/>
        <w:rPr>
          <w:rFonts w:ascii="Arial" w:hAnsi="Arial" w:cs="Arial"/>
          <w:sz w:val="24"/>
          <w:szCs w:val="24"/>
        </w:rPr>
      </w:pPr>
    </w:p>
    <w:p w:rsidR="00741833" w:rsidRDefault="00741833" w:rsidP="00F9667C">
      <w:pPr>
        <w:spacing w:after="0"/>
        <w:rPr>
          <w:rFonts w:ascii="Arial" w:hAnsi="Arial" w:cs="Arial"/>
          <w:sz w:val="24"/>
          <w:szCs w:val="24"/>
        </w:rPr>
      </w:pPr>
      <w:r>
        <w:rPr>
          <w:noProof/>
          <w:lang w:eastAsia="en-CA"/>
        </w:rPr>
        <w:drawing>
          <wp:inline distT="0" distB="0" distL="0" distR="0" wp14:anchorId="5C227F4D" wp14:editId="0E51357A">
            <wp:extent cx="5943600" cy="2659061"/>
            <wp:effectExtent l="19050" t="19050" r="19050" b="27305"/>
            <wp:docPr id="3" name="Picture 1" descr="C:\Users\wongch\AppData\Local\Temp\SNAGHTML51de5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ch\AppData\Local\Temp\SNAGHTML51de52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59061"/>
                    </a:xfrm>
                    <a:prstGeom prst="rect">
                      <a:avLst/>
                    </a:prstGeom>
                    <a:noFill/>
                    <a:ln>
                      <a:solidFill>
                        <a:schemeClr val="tx1"/>
                      </a:solidFill>
                    </a:ln>
                  </pic:spPr>
                </pic:pic>
              </a:graphicData>
            </a:graphic>
          </wp:inline>
        </w:drawing>
      </w:r>
    </w:p>
    <w:p w:rsidR="00741833" w:rsidRDefault="00741833" w:rsidP="00F9667C">
      <w:pPr>
        <w:spacing w:after="0"/>
        <w:rPr>
          <w:rFonts w:ascii="Arial" w:hAnsi="Arial" w:cs="Arial"/>
          <w:color w:val="FF0000"/>
          <w:sz w:val="24"/>
          <w:szCs w:val="24"/>
        </w:rPr>
      </w:pPr>
    </w:p>
    <w:p w:rsidR="004935C5" w:rsidRPr="004935C5" w:rsidRDefault="004935C5" w:rsidP="004935C5">
      <w:pPr>
        <w:spacing w:after="0"/>
        <w:rPr>
          <w:rFonts w:ascii="Arial" w:hAnsi="Arial" w:cs="Arial"/>
          <w:color w:val="FF0000"/>
          <w:sz w:val="24"/>
          <w:szCs w:val="24"/>
        </w:rPr>
      </w:pPr>
      <w:r>
        <w:rPr>
          <w:rFonts w:ascii="Arial" w:hAnsi="Arial" w:cs="Arial"/>
          <w:color w:val="FF0000"/>
          <w:sz w:val="24"/>
          <w:szCs w:val="24"/>
        </w:rPr>
        <w:t xml:space="preserve">Westario Power is requesting a change to the IRM.  160,276,145 is the uplifted consumption value and 34,852,090 is the unadjusted value.  As per the model instructions Westario Power is requesting the value of 160,276,145 be adjusted to </w:t>
      </w:r>
      <w:r w:rsidR="00CE639B">
        <w:rPr>
          <w:rFonts w:ascii="Arial" w:hAnsi="Arial" w:cs="Arial"/>
          <w:color w:val="FF0000"/>
          <w:sz w:val="24"/>
          <w:szCs w:val="24"/>
        </w:rPr>
        <w:t>its</w:t>
      </w:r>
      <w:r>
        <w:rPr>
          <w:rFonts w:ascii="Arial" w:hAnsi="Arial" w:cs="Arial"/>
          <w:color w:val="FF0000"/>
          <w:sz w:val="24"/>
          <w:szCs w:val="24"/>
        </w:rPr>
        <w:t xml:space="preserve"> non-adjusted </w:t>
      </w:r>
      <w:r w:rsidR="00CE639B">
        <w:rPr>
          <w:rFonts w:ascii="Arial" w:hAnsi="Arial" w:cs="Arial"/>
          <w:color w:val="FF0000"/>
          <w:sz w:val="24"/>
          <w:szCs w:val="24"/>
        </w:rPr>
        <w:t xml:space="preserve">or metered </w:t>
      </w:r>
      <w:r>
        <w:rPr>
          <w:rFonts w:ascii="Arial" w:hAnsi="Arial" w:cs="Arial"/>
          <w:color w:val="FF0000"/>
          <w:sz w:val="24"/>
          <w:szCs w:val="24"/>
        </w:rPr>
        <w:t xml:space="preserve">value of 149,790,790. (Please note that Westario’s uplift/adjustment factor at the time of submission was </w:t>
      </w:r>
      <w:proofErr w:type="gramStart"/>
      <w:r w:rsidR="00CE639B">
        <w:rPr>
          <w:rFonts w:ascii="Arial" w:hAnsi="Arial" w:cs="Arial"/>
          <w:color w:val="FF0000"/>
          <w:sz w:val="24"/>
          <w:szCs w:val="24"/>
        </w:rPr>
        <w:t>1.07%</w:t>
      </w:r>
      <w:proofErr w:type="gramEnd"/>
      <w:r>
        <w:rPr>
          <w:rFonts w:ascii="Arial" w:hAnsi="Arial" w:cs="Arial"/>
          <w:color w:val="FF0000"/>
          <w:sz w:val="24"/>
          <w:szCs w:val="24"/>
        </w:rPr>
        <w:t>.)</w:t>
      </w:r>
    </w:p>
    <w:p w:rsidR="00741833" w:rsidRDefault="00741833" w:rsidP="00F9667C">
      <w:pPr>
        <w:spacing w:after="0"/>
        <w:rPr>
          <w:rFonts w:ascii="Arial" w:hAnsi="Arial" w:cs="Arial"/>
          <w:sz w:val="24"/>
          <w:szCs w:val="24"/>
        </w:rPr>
      </w:pPr>
    </w:p>
    <w:p w:rsidR="0013313E" w:rsidRDefault="0013313E">
      <w:pPr>
        <w:rPr>
          <w:rFonts w:ascii="Arial" w:hAnsi="Arial" w:cs="Arial"/>
          <w:b/>
          <w:sz w:val="24"/>
          <w:szCs w:val="24"/>
        </w:rPr>
      </w:pPr>
      <w:r>
        <w:rPr>
          <w:rFonts w:ascii="Arial" w:hAnsi="Arial" w:cs="Arial"/>
          <w:b/>
          <w:sz w:val="24"/>
          <w:szCs w:val="24"/>
        </w:rPr>
        <w:br w:type="page"/>
      </w:r>
    </w:p>
    <w:p w:rsidR="00741833" w:rsidRDefault="00741833" w:rsidP="00F9667C">
      <w:pPr>
        <w:spacing w:after="0"/>
        <w:rPr>
          <w:rFonts w:ascii="Arial" w:hAnsi="Arial" w:cs="Arial"/>
          <w:b/>
          <w:sz w:val="24"/>
          <w:szCs w:val="24"/>
        </w:rPr>
      </w:pPr>
      <w:r w:rsidRPr="00741833">
        <w:rPr>
          <w:rFonts w:ascii="Arial" w:hAnsi="Arial" w:cs="Arial"/>
          <w:b/>
          <w:sz w:val="24"/>
          <w:szCs w:val="24"/>
        </w:rPr>
        <w:lastRenderedPageBreak/>
        <w:t>Staff Question #4</w:t>
      </w:r>
    </w:p>
    <w:p w:rsidR="00741833" w:rsidRPr="00741833" w:rsidRDefault="00741833" w:rsidP="00F9667C">
      <w:pPr>
        <w:spacing w:after="0"/>
        <w:rPr>
          <w:rFonts w:ascii="Arial" w:hAnsi="Arial" w:cs="Arial"/>
          <w:b/>
          <w:sz w:val="24"/>
          <w:szCs w:val="24"/>
        </w:rPr>
      </w:pPr>
      <w:r>
        <w:rPr>
          <w:rFonts w:ascii="Arial" w:hAnsi="Arial" w:cs="Arial"/>
          <w:b/>
          <w:sz w:val="24"/>
          <w:szCs w:val="24"/>
        </w:rPr>
        <w:t>Ref: Tab 6.1a GA Allocation</w:t>
      </w:r>
    </w:p>
    <w:p w:rsidR="00F9667C" w:rsidRDefault="00F9667C" w:rsidP="00F9667C">
      <w:pPr>
        <w:spacing w:after="0"/>
        <w:rPr>
          <w:rFonts w:ascii="Arial" w:hAnsi="Arial" w:cs="Arial"/>
          <w:b/>
          <w:sz w:val="24"/>
          <w:szCs w:val="24"/>
        </w:rPr>
      </w:pPr>
    </w:p>
    <w:p w:rsidR="00741833" w:rsidRDefault="00271FBD" w:rsidP="00F9667C">
      <w:pPr>
        <w:spacing w:after="0"/>
        <w:rPr>
          <w:rFonts w:ascii="Arial" w:hAnsi="Arial" w:cs="Arial"/>
          <w:sz w:val="24"/>
          <w:szCs w:val="24"/>
        </w:rPr>
      </w:pPr>
      <w:r>
        <w:rPr>
          <w:rFonts w:ascii="Arial" w:hAnsi="Arial" w:cs="Arial"/>
          <w:sz w:val="24"/>
          <w:szCs w:val="24"/>
        </w:rPr>
        <w:t xml:space="preserve">Please confirm if the </w:t>
      </w:r>
      <w:r w:rsidR="00741833" w:rsidRPr="00D367D1">
        <w:rPr>
          <w:rFonts w:ascii="Arial" w:hAnsi="Arial" w:cs="Arial"/>
          <w:sz w:val="24"/>
          <w:szCs w:val="24"/>
        </w:rPr>
        <w:t xml:space="preserve">“Year the Account 1589 GA Balance Last Disposed” </w:t>
      </w:r>
      <w:r>
        <w:rPr>
          <w:rFonts w:ascii="Arial" w:hAnsi="Arial" w:cs="Arial"/>
          <w:sz w:val="24"/>
          <w:szCs w:val="24"/>
        </w:rPr>
        <w:t>were last cleared should be 2015 (i.e. In 2017 IRM Application (EB-2016-0113), the OEB approved the disposition of Account 1589, Principal Balance of ($696,807) and Interest Balance of ($10,359).</w:t>
      </w:r>
    </w:p>
    <w:p w:rsidR="00F9667C" w:rsidRPr="00DF5593" w:rsidRDefault="00741833" w:rsidP="00F9667C">
      <w:pPr>
        <w:spacing w:after="0"/>
        <w:rPr>
          <w:rFonts w:ascii="Arial" w:hAnsi="Arial" w:cs="Arial"/>
          <w:b/>
          <w:sz w:val="24"/>
          <w:szCs w:val="24"/>
        </w:rPr>
      </w:pPr>
      <w:r>
        <w:rPr>
          <w:noProof/>
          <w:lang w:eastAsia="en-CA"/>
        </w:rPr>
        <w:drawing>
          <wp:inline distT="0" distB="0" distL="0" distR="0" wp14:anchorId="02195714" wp14:editId="2F640FE5">
            <wp:extent cx="5943600" cy="1465580"/>
            <wp:effectExtent l="19050" t="19050" r="1905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65580"/>
                    </a:xfrm>
                    <a:prstGeom prst="rect">
                      <a:avLst/>
                    </a:prstGeom>
                    <a:ln>
                      <a:solidFill>
                        <a:schemeClr val="tx1"/>
                      </a:solidFill>
                    </a:ln>
                  </pic:spPr>
                </pic:pic>
              </a:graphicData>
            </a:graphic>
          </wp:inline>
        </w:drawing>
      </w:r>
    </w:p>
    <w:p w:rsidR="00741833" w:rsidRDefault="00741833" w:rsidP="00F9667C">
      <w:pPr>
        <w:spacing w:after="0"/>
        <w:rPr>
          <w:rFonts w:ascii="Arial" w:hAnsi="Arial" w:cs="Arial"/>
          <w:b/>
          <w:sz w:val="24"/>
          <w:szCs w:val="24"/>
        </w:rPr>
      </w:pPr>
    </w:p>
    <w:p w:rsidR="004935C5" w:rsidRPr="004935C5" w:rsidRDefault="0074223E" w:rsidP="004935C5">
      <w:pPr>
        <w:spacing w:after="0" w:line="240" w:lineRule="auto"/>
        <w:rPr>
          <w:rFonts w:ascii="Arial" w:hAnsi="Arial" w:cs="Arial"/>
          <w:color w:val="FF0000"/>
          <w:sz w:val="24"/>
          <w:szCs w:val="24"/>
        </w:rPr>
      </w:pPr>
      <w:r>
        <w:rPr>
          <w:rFonts w:ascii="Arial" w:hAnsi="Arial" w:cs="Arial"/>
          <w:color w:val="FF0000"/>
          <w:sz w:val="24"/>
          <w:szCs w:val="24"/>
        </w:rPr>
        <w:t xml:space="preserve">Yes </w:t>
      </w:r>
      <w:r w:rsidR="004935C5" w:rsidRPr="004935C5">
        <w:rPr>
          <w:rFonts w:ascii="Arial" w:hAnsi="Arial" w:cs="Arial"/>
          <w:color w:val="FF0000"/>
          <w:sz w:val="24"/>
          <w:szCs w:val="24"/>
        </w:rPr>
        <w:t>Westario Powe</w:t>
      </w:r>
      <w:r>
        <w:rPr>
          <w:rFonts w:ascii="Arial" w:hAnsi="Arial" w:cs="Arial"/>
          <w:color w:val="FF0000"/>
          <w:sz w:val="24"/>
          <w:szCs w:val="24"/>
        </w:rPr>
        <w:t>r’s last disposition was in 2017</w:t>
      </w:r>
      <w:r w:rsidR="004935C5" w:rsidRPr="004935C5">
        <w:rPr>
          <w:rFonts w:ascii="Arial" w:hAnsi="Arial" w:cs="Arial"/>
          <w:color w:val="FF0000"/>
          <w:sz w:val="24"/>
          <w:szCs w:val="24"/>
        </w:rPr>
        <w:t xml:space="preserve"> for the Balance of December </w:t>
      </w:r>
      <w:r>
        <w:rPr>
          <w:rFonts w:ascii="Arial" w:hAnsi="Arial" w:cs="Arial"/>
          <w:color w:val="FF0000"/>
          <w:sz w:val="24"/>
          <w:szCs w:val="24"/>
        </w:rPr>
        <w:t>31, 2015</w:t>
      </w:r>
      <w:r w:rsidR="004935C5" w:rsidRPr="004935C5">
        <w:rPr>
          <w:rFonts w:ascii="Arial" w:hAnsi="Arial" w:cs="Arial"/>
          <w:color w:val="FF0000"/>
          <w:sz w:val="24"/>
          <w:szCs w:val="24"/>
        </w:rPr>
        <w:t>.  Westario Power requests the OEB to please update disposition accordingly.</w:t>
      </w:r>
    </w:p>
    <w:p w:rsidR="004935C5" w:rsidRPr="004935C5" w:rsidRDefault="004935C5" w:rsidP="00F9667C">
      <w:pPr>
        <w:spacing w:after="0"/>
        <w:rPr>
          <w:rFonts w:ascii="Arial" w:hAnsi="Arial" w:cs="Arial"/>
          <w:b/>
          <w:color w:val="FF0000"/>
          <w:sz w:val="24"/>
          <w:szCs w:val="24"/>
        </w:rPr>
      </w:pPr>
    </w:p>
    <w:p w:rsidR="00F9667C" w:rsidRPr="00DF5593" w:rsidRDefault="00C54B6F" w:rsidP="00F9667C">
      <w:pPr>
        <w:spacing w:after="0"/>
        <w:rPr>
          <w:rFonts w:ascii="Arial" w:hAnsi="Arial" w:cs="Arial"/>
          <w:b/>
          <w:sz w:val="24"/>
          <w:szCs w:val="24"/>
        </w:rPr>
      </w:pPr>
      <w:r>
        <w:rPr>
          <w:rFonts w:ascii="Arial" w:hAnsi="Arial" w:cs="Arial"/>
          <w:b/>
          <w:sz w:val="24"/>
          <w:szCs w:val="24"/>
        </w:rPr>
        <w:t xml:space="preserve">Staff </w:t>
      </w:r>
      <w:r w:rsidR="00F9667C" w:rsidRPr="00DF5593">
        <w:rPr>
          <w:rFonts w:ascii="Arial" w:hAnsi="Arial" w:cs="Arial"/>
          <w:b/>
          <w:sz w:val="24"/>
          <w:szCs w:val="24"/>
        </w:rPr>
        <w:t>Question</w:t>
      </w:r>
      <w:r w:rsidR="00F9667C">
        <w:rPr>
          <w:rFonts w:ascii="Arial" w:hAnsi="Arial" w:cs="Arial"/>
          <w:b/>
          <w:sz w:val="24"/>
          <w:szCs w:val="24"/>
        </w:rPr>
        <w:t xml:space="preserve"> </w:t>
      </w:r>
      <w:r w:rsidR="00741833">
        <w:rPr>
          <w:rFonts w:ascii="Arial" w:hAnsi="Arial" w:cs="Arial"/>
          <w:b/>
          <w:sz w:val="24"/>
          <w:szCs w:val="24"/>
        </w:rPr>
        <w:t>#5</w:t>
      </w:r>
    </w:p>
    <w:p w:rsidR="00F9667C" w:rsidRPr="00DF5593" w:rsidRDefault="00F9667C" w:rsidP="00F9667C">
      <w:pPr>
        <w:spacing w:after="0"/>
        <w:rPr>
          <w:rFonts w:ascii="Arial" w:hAnsi="Arial" w:cs="Arial"/>
          <w:b/>
          <w:sz w:val="24"/>
          <w:szCs w:val="24"/>
        </w:rPr>
      </w:pPr>
      <w:r w:rsidRPr="00DF5593">
        <w:rPr>
          <w:rFonts w:ascii="Arial" w:hAnsi="Arial" w:cs="Arial"/>
          <w:b/>
          <w:sz w:val="24"/>
          <w:szCs w:val="24"/>
        </w:rPr>
        <w:t>Ref: Tab 6.2a CBR</w:t>
      </w:r>
      <w:r w:rsidR="00C54B6F">
        <w:rPr>
          <w:rFonts w:ascii="Arial" w:hAnsi="Arial" w:cs="Arial"/>
          <w:b/>
          <w:sz w:val="24"/>
          <w:szCs w:val="24"/>
        </w:rPr>
        <w:t xml:space="preserve"> </w:t>
      </w:r>
      <w:proofErr w:type="spellStart"/>
      <w:r w:rsidR="00C54B6F">
        <w:rPr>
          <w:rFonts w:ascii="Arial" w:hAnsi="Arial" w:cs="Arial"/>
          <w:b/>
          <w:sz w:val="24"/>
          <w:szCs w:val="24"/>
        </w:rPr>
        <w:t>B_Allocation</w:t>
      </w:r>
      <w:proofErr w:type="spellEnd"/>
    </w:p>
    <w:p w:rsidR="001815ED" w:rsidRDefault="00F9667C" w:rsidP="00F9667C">
      <w:pPr>
        <w:spacing w:after="0"/>
        <w:rPr>
          <w:rFonts w:ascii="Arial" w:hAnsi="Arial" w:cs="Arial"/>
          <w:sz w:val="24"/>
          <w:szCs w:val="24"/>
        </w:rPr>
      </w:pPr>
      <w:r>
        <w:rPr>
          <w:rFonts w:ascii="Arial" w:hAnsi="Arial" w:cs="Arial"/>
          <w:sz w:val="24"/>
          <w:szCs w:val="24"/>
        </w:rPr>
        <w:t xml:space="preserve">OEB staff notes that the total </w:t>
      </w:r>
      <w:r w:rsidR="0001319D">
        <w:rPr>
          <w:rFonts w:ascii="Arial" w:hAnsi="Arial" w:cs="Arial"/>
          <w:sz w:val="24"/>
          <w:szCs w:val="24"/>
        </w:rPr>
        <w:t xml:space="preserve">Class B consumption on Tab 6.2a, cell D 20 </w:t>
      </w:r>
      <w:r>
        <w:rPr>
          <w:rFonts w:ascii="Arial" w:hAnsi="Arial" w:cs="Arial"/>
          <w:sz w:val="24"/>
          <w:szCs w:val="24"/>
        </w:rPr>
        <w:t xml:space="preserve">of the IRM rate model </w:t>
      </w:r>
      <w:r w:rsidR="0001319D">
        <w:rPr>
          <w:rFonts w:ascii="Arial" w:hAnsi="Arial" w:cs="Arial"/>
          <w:sz w:val="24"/>
          <w:szCs w:val="24"/>
        </w:rPr>
        <w:t>also shows</w:t>
      </w:r>
      <w:r w:rsidR="0010454C">
        <w:rPr>
          <w:rFonts w:ascii="Arial" w:hAnsi="Arial" w:cs="Arial"/>
          <w:sz w:val="24"/>
          <w:szCs w:val="24"/>
        </w:rPr>
        <w:t xml:space="preserve"> 160,276,145 </w:t>
      </w:r>
      <w:proofErr w:type="spellStart"/>
      <w:r w:rsidR="0010454C">
        <w:rPr>
          <w:rFonts w:ascii="Arial" w:hAnsi="Arial" w:cs="Arial"/>
          <w:sz w:val="24"/>
          <w:szCs w:val="24"/>
        </w:rPr>
        <w:t>kWhs</w:t>
      </w:r>
      <w:proofErr w:type="spellEnd"/>
      <w:r w:rsidR="0010454C">
        <w:rPr>
          <w:rFonts w:ascii="Arial" w:hAnsi="Arial" w:cs="Arial"/>
          <w:sz w:val="24"/>
          <w:szCs w:val="24"/>
        </w:rPr>
        <w:t>.</w:t>
      </w:r>
      <w:r w:rsidRPr="00DF5593">
        <w:rPr>
          <w:rFonts w:ascii="Arial" w:hAnsi="Arial" w:cs="Arial"/>
          <w:sz w:val="24"/>
          <w:szCs w:val="24"/>
        </w:rPr>
        <w:t xml:space="preserve"> OEB staff is unable to reconcile the data entered in cell </w:t>
      </w:r>
      <w:r>
        <w:rPr>
          <w:rFonts w:ascii="Arial" w:hAnsi="Arial" w:cs="Arial"/>
          <w:sz w:val="24"/>
          <w:szCs w:val="24"/>
        </w:rPr>
        <w:t>D</w:t>
      </w:r>
      <w:r w:rsidRPr="00DF5593">
        <w:rPr>
          <w:rFonts w:ascii="Arial" w:hAnsi="Arial" w:cs="Arial"/>
          <w:sz w:val="24"/>
          <w:szCs w:val="24"/>
        </w:rPr>
        <w:t>20. Please provide an explanation for the discrepancy. If correction is needed, OEB staff will make the adjustment.</w:t>
      </w:r>
    </w:p>
    <w:p w:rsidR="001815ED" w:rsidRDefault="001815ED" w:rsidP="00F9667C">
      <w:pPr>
        <w:spacing w:after="0"/>
        <w:rPr>
          <w:rFonts w:ascii="Arial" w:hAnsi="Arial" w:cs="Arial"/>
          <w:sz w:val="24"/>
          <w:szCs w:val="24"/>
        </w:rPr>
      </w:pPr>
    </w:p>
    <w:p w:rsidR="001815ED" w:rsidRDefault="001815ED" w:rsidP="00F9667C">
      <w:pPr>
        <w:spacing w:after="0"/>
        <w:rPr>
          <w:rFonts w:ascii="Arial" w:hAnsi="Arial" w:cs="Arial"/>
          <w:sz w:val="24"/>
          <w:szCs w:val="24"/>
        </w:rPr>
      </w:pPr>
      <w:r>
        <w:rPr>
          <w:noProof/>
          <w:lang w:eastAsia="en-CA"/>
        </w:rPr>
        <w:drawing>
          <wp:inline distT="0" distB="0" distL="0" distR="0" wp14:anchorId="152AFF88" wp14:editId="6F0C39BD">
            <wp:extent cx="5943600" cy="2169795"/>
            <wp:effectExtent l="19050" t="19050" r="1905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69795"/>
                    </a:xfrm>
                    <a:prstGeom prst="rect">
                      <a:avLst/>
                    </a:prstGeom>
                    <a:ln>
                      <a:solidFill>
                        <a:schemeClr val="tx1"/>
                      </a:solidFill>
                    </a:ln>
                  </pic:spPr>
                </pic:pic>
              </a:graphicData>
            </a:graphic>
          </wp:inline>
        </w:drawing>
      </w:r>
    </w:p>
    <w:p w:rsidR="001815ED" w:rsidRDefault="001815ED" w:rsidP="00F9667C">
      <w:pPr>
        <w:spacing w:after="0"/>
        <w:rPr>
          <w:rFonts w:ascii="Arial" w:hAnsi="Arial" w:cs="Arial"/>
          <w:sz w:val="24"/>
          <w:szCs w:val="24"/>
        </w:rPr>
      </w:pPr>
    </w:p>
    <w:p w:rsidR="001815ED" w:rsidRPr="004935C5" w:rsidRDefault="004935C5" w:rsidP="00F9667C">
      <w:pPr>
        <w:spacing w:after="0"/>
        <w:rPr>
          <w:rFonts w:ascii="Arial" w:hAnsi="Arial" w:cs="Arial"/>
          <w:color w:val="FF0000"/>
          <w:sz w:val="24"/>
          <w:szCs w:val="24"/>
        </w:rPr>
      </w:pPr>
      <w:r>
        <w:rPr>
          <w:rFonts w:ascii="Arial" w:hAnsi="Arial" w:cs="Arial"/>
          <w:color w:val="FF0000"/>
          <w:sz w:val="24"/>
          <w:szCs w:val="24"/>
        </w:rPr>
        <w:t xml:space="preserve">As stated in Question #3, Westario Power is requesting a change to cell D20 in tab 6.1a this change should be carried over to Tab 6.2a. </w:t>
      </w:r>
    </w:p>
    <w:p w:rsidR="004B3C1F" w:rsidRDefault="004B3C1F" w:rsidP="00ED3CE0">
      <w:pPr>
        <w:spacing w:after="0"/>
        <w:rPr>
          <w:rFonts w:ascii="Arial" w:hAnsi="Arial" w:cs="Arial"/>
          <w:b/>
          <w:sz w:val="24"/>
          <w:szCs w:val="24"/>
        </w:rPr>
      </w:pPr>
    </w:p>
    <w:p w:rsidR="00D26D19" w:rsidRDefault="00D26D19" w:rsidP="00D26D19">
      <w:pPr>
        <w:spacing w:after="0"/>
        <w:rPr>
          <w:rFonts w:ascii="Arial" w:hAnsi="Arial" w:cs="Arial"/>
          <w:b/>
          <w:sz w:val="24"/>
          <w:szCs w:val="24"/>
        </w:rPr>
      </w:pPr>
      <w:r>
        <w:rPr>
          <w:rFonts w:ascii="Arial" w:hAnsi="Arial" w:cs="Arial"/>
          <w:b/>
          <w:sz w:val="24"/>
          <w:szCs w:val="24"/>
        </w:rPr>
        <w:t>Staff Question #6</w:t>
      </w:r>
    </w:p>
    <w:p w:rsidR="00D26D19" w:rsidRDefault="00D26D19" w:rsidP="00D26D19">
      <w:pPr>
        <w:spacing w:after="0"/>
        <w:rPr>
          <w:rFonts w:ascii="Arial" w:hAnsi="Arial" w:cs="Arial"/>
          <w:b/>
          <w:sz w:val="24"/>
          <w:szCs w:val="24"/>
        </w:rPr>
      </w:pPr>
      <w:r>
        <w:rPr>
          <w:rFonts w:ascii="Arial" w:hAnsi="Arial" w:cs="Arial"/>
          <w:b/>
          <w:sz w:val="24"/>
          <w:szCs w:val="24"/>
        </w:rPr>
        <w:t>Ref: Settlement Agreement for EB-2017-0084</w:t>
      </w:r>
    </w:p>
    <w:p w:rsidR="00D26D19" w:rsidRDefault="00D26D19" w:rsidP="001815ED">
      <w:pPr>
        <w:spacing w:after="0"/>
        <w:rPr>
          <w:rFonts w:ascii="Arial" w:hAnsi="Arial" w:cs="Arial"/>
          <w:b/>
          <w:sz w:val="24"/>
          <w:szCs w:val="24"/>
        </w:rPr>
      </w:pPr>
    </w:p>
    <w:p w:rsidR="00D26D19" w:rsidRDefault="00D26D19" w:rsidP="001815ED">
      <w:pPr>
        <w:spacing w:after="0"/>
        <w:rPr>
          <w:rFonts w:ascii="Arial" w:hAnsi="Arial" w:cs="Arial"/>
          <w:sz w:val="24"/>
          <w:szCs w:val="24"/>
        </w:rPr>
      </w:pPr>
      <w:r>
        <w:rPr>
          <w:rFonts w:ascii="Arial" w:hAnsi="Arial" w:cs="Arial"/>
          <w:sz w:val="24"/>
          <w:szCs w:val="24"/>
        </w:rPr>
        <w:t>As part of the settlement agreement for issue 4.2, the Applicant agreed not to dispose of its December 31, 2016 balances in accounts 1588 and 1589. In addition, the Applicant committed to undertake an internal review</w:t>
      </w:r>
      <w:r w:rsidR="00CA22DB">
        <w:rPr>
          <w:rFonts w:ascii="Arial" w:hAnsi="Arial" w:cs="Arial"/>
          <w:sz w:val="24"/>
          <w:szCs w:val="24"/>
        </w:rPr>
        <w:t xml:space="preserve"> of its commodity accounts</w:t>
      </w:r>
      <w:r>
        <w:rPr>
          <w:rFonts w:ascii="Arial" w:hAnsi="Arial" w:cs="Arial"/>
          <w:sz w:val="24"/>
          <w:szCs w:val="24"/>
        </w:rPr>
        <w:t xml:space="preserve"> to assess the processes that underpin the accumulation of the</w:t>
      </w:r>
      <w:r w:rsidR="00CA22DB">
        <w:rPr>
          <w:rFonts w:ascii="Arial" w:hAnsi="Arial" w:cs="Arial"/>
          <w:sz w:val="24"/>
          <w:szCs w:val="24"/>
        </w:rPr>
        <w:t>se</w:t>
      </w:r>
      <w:r>
        <w:rPr>
          <w:rFonts w:ascii="Arial" w:hAnsi="Arial" w:cs="Arial"/>
          <w:sz w:val="24"/>
          <w:szCs w:val="24"/>
        </w:rPr>
        <w:t xml:space="preserve"> balances </w:t>
      </w:r>
      <w:r w:rsidR="00CA22DB">
        <w:rPr>
          <w:rFonts w:ascii="Arial" w:hAnsi="Arial" w:cs="Arial"/>
          <w:sz w:val="24"/>
          <w:szCs w:val="24"/>
        </w:rPr>
        <w:t>and</w:t>
      </w:r>
      <w:r>
        <w:rPr>
          <w:rFonts w:ascii="Arial" w:hAnsi="Arial" w:cs="Arial"/>
          <w:sz w:val="24"/>
          <w:szCs w:val="24"/>
        </w:rPr>
        <w:t xml:space="preserve"> to</w:t>
      </w:r>
      <w:r w:rsidR="00CA22DB">
        <w:rPr>
          <w:rFonts w:ascii="Arial" w:hAnsi="Arial" w:cs="Arial"/>
          <w:sz w:val="24"/>
          <w:szCs w:val="24"/>
        </w:rPr>
        <w:t xml:space="preserve"> </w:t>
      </w:r>
      <w:r>
        <w:rPr>
          <w:rFonts w:ascii="Arial" w:hAnsi="Arial" w:cs="Arial"/>
          <w:sz w:val="24"/>
          <w:szCs w:val="24"/>
        </w:rPr>
        <w:t>ensure that they are accurate. In addition, the Applicant agreed to explain the results of its internal review at its next rates proceeding</w:t>
      </w:r>
      <w:r w:rsidR="00CA22DB">
        <w:rPr>
          <w:rFonts w:ascii="Arial" w:hAnsi="Arial" w:cs="Arial"/>
          <w:sz w:val="24"/>
          <w:szCs w:val="24"/>
        </w:rPr>
        <w:t>.</w:t>
      </w:r>
    </w:p>
    <w:p w:rsidR="00CA22DB" w:rsidRDefault="00CA22DB" w:rsidP="001815ED">
      <w:pPr>
        <w:spacing w:after="0"/>
        <w:rPr>
          <w:rFonts w:ascii="Arial" w:hAnsi="Arial" w:cs="Arial"/>
          <w:sz w:val="24"/>
          <w:szCs w:val="24"/>
        </w:rPr>
      </w:pPr>
    </w:p>
    <w:p w:rsidR="00CA22DB" w:rsidRPr="00D26D19" w:rsidRDefault="00CA22DB" w:rsidP="001815ED">
      <w:pPr>
        <w:spacing w:after="0"/>
        <w:rPr>
          <w:rFonts w:ascii="Arial" w:hAnsi="Arial" w:cs="Arial"/>
          <w:sz w:val="24"/>
          <w:szCs w:val="24"/>
        </w:rPr>
      </w:pPr>
      <w:r>
        <w:rPr>
          <w:rFonts w:ascii="Arial" w:hAnsi="Arial" w:cs="Arial"/>
          <w:sz w:val="24"/>
          <w:szCs w:val="24"/>
        </w:rPr>
        <w:t>Accordingly, please explain what the Applicant did to review and validate its processes what were the results of this review? What changes were implemented as a result of this review?</w:t>
      </w:r>
    </w:p>
    <w:p w:rsidR="00D26D19" w:rsidRDefault="00D26D19" w:rsidP="001815ED">
      <w:pPr>
        <w:spacing w:after="0"/>
        <w:rPr>
          <w:rFonts w:ascii="Arial" w:hAnsi="Arial" w:cs="Arial"/>
          <w:b/>
          <w:sz w:val="24"/>
          <w:szCs w:val="24"/>
        </w:rPr>
      </w:pPr>
    </w:p>
    <w:p w:rsidR="00F7398F" w:rsidRPr="006F7318" w:rsidRDefault="00F7398F" w:rsidP="001815ED">
      <w:pPr>
        <w:spacing w:after="0"/>
        <w:rPr>
          <w:rFonts w:ascii="Arial" w:hAnsi="Arial" w:cs="Arial"/>
          <w:color w:val="FF0000"/>
          <w:sz w:val="24"/>
          <w:szCs w:val="24"/>
        </w:rPr>
      </w:pPr>
      <w:r>
        <w:rPr>
          <w:rFonts w:ascii="Arial" w:hAnsi="Arial" w:cs="Arial"/>
          <w:color w:val="FF0000"/>
          <w:sz w:val="24"/>
          <w:szCs w:val="24"/>
        </w:rPr>
        <w:t xml:space="preserve">Aside from performing a more detailed monthly analysis, going forward </w:t>
      </w:r>
      <w:r w:rsidR="005615CE">
        <w:rPr>
          <w:rFonts w:ascii="Arial" w:hAnsi="Arial" w:cs="Arial"/>
          <w:color w:val="FF0000"/>
          <w:sz w:val="24"/>
          <w:szCs w:val="24"/>
        </w:rPr>
        <w:t>quarterly</w:t>
      </w:r>
      <w:r>
        <w:rPr>
          <w:rFonts w:ascii="Arial" w:hAnsi="Arial" w:cs="Arial"/>
          <w:color w:val="FF0000"/>
          <w:sz w:val="24"/>
          <w:szCs w:val="24"/>
        </w:rPr>
        <w:t xml:space="preserve"> true-ups will be performed using the OEB’s GA Workform as back-up and confirmation that </w:t>
      </w:r>
      <w:r w:rsidRPr="006F7318">
        <w:rPr>
          <w:rFonts w:ascii="Arial" w:hAnsi="Arial" w:cs="Arial"/>
          <w:color w:val="FF0000"/>
          <w:sz w:val="24"/>
          <w:szCs w:val="24"/>
        </w:rPr>
        <w:t xml:space="preserve">all costs have been applied correctly. </w:t>
      </w:r>
    </w:p>
    <w:p w:rsidR="004935C5" w:rsidRPr="006F7318" w:rsidRDefault="004935C5" w:rsidP="001815ED">
      <w:pPr>
        <w:spacing w:after="0"/>
        <w:rPr>
          <w:rFonts w:ascii="Arial" w:hAnsi="Arial" w:cs="Arial"/>
          <w:color w:val="FF0000"/>
          <w:sz w:val="24"/>
          <w:szCs w:val="24"/>
        </w:rPr>
      </w:pPr>
    </w:p>
    <w:p w:rsidR="00F7398F" w:rsidRPr="006F7318" w:rsidRDefault="008A108C" w:rsidP="00F7398F">
      <w:pPr>
        <w:spacing w:after="0"/>
        <w:rPr>
          <w:rFonts w:ascii="Arial" w:eastAsia="Times New Roman" w:hAnsi="Arial" w:cs="Arial"/>
          <w:color w:val="FF0000"/>
          <w:sz w:val="24"/>
          <w:szCs w:val="24"/>
        </w:rPr>
      </w:pPr>
      <w:r w:rsidRPr="006F7318">
        <w:rPr>
          <w:rFonts w:ascii="Arial" w:eastAsia="Times New Roman" w:hAnsi="Arial" w:cs="Arial"/>
          <w:color w:val="FF0000"/>
          <w:sz w:val="24"/>
          <w:szCs w:val="24"/>
        </w:rPr>
        <w:t xml:space="preserve">Here are the results </w:t>
      </w:r>
      <w:r w:rsidR="00F7398F" w:rsidRPr="006F7318">
        <w:rPr>
          <w:rFonts w:ascii="Arial" w:eastAsia="Times New Roman" w:hAnsi="Arial" w:cs="Arial"/>
          <w:color w:val="FF0000"/>
          <w:sz w:val="24"/>
          <w:szCs w:val="24"/>
        </w:rPr>
        <w:t>of o</w:t>
      </w:r>
      <w:r w:rsidRPr="006F7318">
        <w:rPr>
          <w:rFonts w:ascii="Arial" w:eastAsia="Times New Roman" w:hAnsi="Arial" w:cs="Arial"/>
          <w:color w:val="FF0000"/>
          <w:sz w:val="24"/>
          <w:szCs w:val="24"/>
        </w:rPr>
        <w:t>ur internal audit.</w:t>
      </w:r>
    </w:p>
    <w:p w:rsidR="00F7398F" w:rsidRPr="006F7318" w:rsidRDefault="00F7398F" w:rsidP="00F7398F">
      <w:pPr>
        <w:spacing w:after="0"/>
        <w:rPr>
          <w:rFonts w:ascii="Arial" w:eastAsia="Times New Roman" w:hAnsi="Arial" w:cs="Arial"/>
          <w:color w:val="FF0000"/>
          <w:sz w:val="24"/>
          <w:szCs w:val="24"/>
        </w:rPr>
      </w:pPr>
    </w:p>
    <w:p w:rsidR="00F7398F" w:rsidRPr="006F7318" w:rsidRDefault="00F7398F" w:rsidP="00F7398F">
      <w:pPr>
        <w:spacing w:after="0"/>
        <w:rPr>
          <w:rFonts w:ascii="Arial" w:eastAsia="Times New Roman" w:hAnsi="Arial" w:cs="Arial"/>
          <w:color w:val="FF0000"/>
          <w:sz w:val="24"/>
          <w:szCs w:val="24"/>
        </w:rPr>
      </w:pPr>
      <w:r w:rsidRPr="006F7318">
        <w:rPr>
          <w:rFonts w:ascii="Arial" w:eastAsia="Times New Roman" w:hAnsi="Arial" w:cs="Arial"/>
          <w:color w:val="FF0000"/>
          <w:sz w:val="24"/>
          <w:szCs w:val="24"/>
        </w:rPr>
        <w:t xml:space="preserve">Westario has always posted charge type 1142 directly to 1588 and is continuing to do so. Starting in late 2017 Westario changed their Class B GA calculation approach to </w:t>
      </w:r>
      <w:r w:rsidR="005615CE" w:rsidRPr="006F7318">
        <w:rPr>
          <w:rFonts w:ascii="Arial" w:eastAsia="Times New Roman" w:hAnsi="Arial" w:cs="Arial"/>
          <w:color w:val="FF0000"/>
          <w:sz w:val="24"/>
          <w:szCs w:val="24"/>
        </w:rPr>
        <w:t>for booking</w:t>
      </w:r>
      <w:r w:rsidRPr="006F7318">
        <w:rPr>
          <w:rFonts w:ascii="Arial" w:eastAsia="Times New Roman" w:hAnsi="Arial" w:cs="Arial"/>
          <w:color w:val="FF0000"/>
          <w:sz w:val="24"/>
          <w:szCs w:val="24"/>
        </w:rPr>
        <w:t xml:space="preserve"> line charge ty</w:t>
      </w:r>
      <w:r w:rsidR="005615CE" w:rsidRPr="006F7318">
        <w:rPr>
          <w:rFonts w:ascii="Arial" w:eastAsia="Times New Roman" w:hAnsi="Arial" w:cs="Arial"/>
          <w:color w:val="FF0000"/>
          <w:sz w:val="24"/>
          <w:szCs w:val="24"/>
        </w:rPr>
        <w:t>pe 148 from the IESO invoice from an average percentage split to a</w:t>
      </w:r>
      <w:r w:rsidRPr="006F7318">
        <w:rPr>
          <w:rFonts w:ascii="Arial" w:eastAsia="Times New Roman" w:hAnsi="Arial" w:cs="Arial"/>
          <w:color w:val="FF0000"/>
          <w:sz w:val="24"/>
          <w:szCs w:val="24"/>
        </w:rPr>
        <w:t xml:space="preserve"> prorating split based on </w:t>
      </w:r>
      <w:r w:rsidR="005615CE" w:rsidRPr="006F7318">
        <w:rPr>
          <w:rFonts w:ascii="Arial" w:eastAsia="Times New Roman" w:hAnsi="Arial" w:cs="Arial"/>
          <w:color w:val="FF0000"/>
          <w:sz w:val="24"/>
          <w:szCs w:val="24"/>
        </w:rPr>
        <w:t xml:space="preserve">the prior month’s </w:t>
      </w:r>
      <w:r w:rsidRPr="006F7318">
        <w:rPr>
          <w:rFonts w:ascii="Arial" w:eastAsia="Times New Roman" w:hAnsi="Arial" w:cs="Arial"/>
          <w:color w:val="FF0000"/>
          <w:sz w:val="24"/>
          <w:szCs w:val="24"/>
        </w:rPr>
        <w:t>RPP and non-RPP co</w:t>
      </w:r>
      <w:r w:rsidR="005615CE" w:rsidRPr="006F7318">
        <w:rPr>
          <w:rFonts w:ascii="Arial" w:eastAsia="Times New Roman" w:hAnsi="Arial" w:cs="Arial"/>
          <w:color w:val="FF0000"/>
          <w:sz w:val="24"/>
          <w:szCs w:val="24"/>
        </w:rPr>
        <w:t xml:space="preserve">nsumption for Class B consumers.  Splits values have and will continue to be </w:t>
      </w:r>
      <w:r w:rsidRPr="006F7318">
        <w:rPr>
          <w:rFonts w:ascii="Arial" w:eastAsia="Times New Roman" w:hAnsi="Arial" w:cs="Arial"/>
          <w:color w:val="FF0000"/>
          <w:sz w:val="24"/>
          <w:szCs w:val="24"/>
        </w:rPr>
        <w:t>book</w:t>
      </w:r>
      <w:r w:rsidR="005615CE" w:rsidRPr="006F7318">
        <w:rPr>
          <w:rFonts w:ascii="Arial" w:eastAsia="Times New Roman" w:hAnsi="Arial" w:cs="Arial"/>
          <w:color w:val="FF0000"/>
          <w:sz w:val="24"/>
          <w:szCs w:val="24"/>
        </w:rPr>
        <w:t>ed</w:t>
      </w:r>
      <w:r w:rsidRPr="006F7318">
        <w:rPr>
          <w:rFonts w:ascii="Arial" w:eastAsia="Times New Roman" w:hAnsi="Arial" w:cs="Arial"/>
          <w:color w:val="FF0000"/>
          <w:sz w:val="24"/>
          <w:szCs w:val="24"/>
        </w:rPr>
        <w:t xml:space="preserve"> accordingly into accounts 1588 for RPP and 1589 for non-RPP portion</w:t>
      </w:r>
      <w:r w:rsidR="005615CE" w:rsidRPr="006F7318">
        <w:rPr>
          <w:rFonts w:ascii="Arial" w:eastAsia="Times New Roman" w:hAnsi="Arial" w:cs="Arial"/>
          <w:color w:val="FF0000"/>
          <w:sz w:val="24"/>
          <w:szCs w:val="24"/>
        </w:rPr>
        <w:t xml:space="preserve">. </w:t>
      </w:r>
      <w:r w:rsidRPr="006F7318">
        <w:rPr>
          <w:rFonts w:ascii="Arial" w:eastAsia="Times New Roman" w:hAnsi="Arial" w:cs="Arial"/>
          <w:color w:val="FF0000"/>
          <w:sz w:val="24"/>
          <w:szCs w:val="24"/>
        </w:rPr>
        <w:t xml:space="preserve"> In prior years GA was calculated on all Class B consumers then a split was based on average percentage rati</w:t>
      </w:r>
      <w:r w:rsidR="005615CE" w:rsidRPr="006F7318">
        <w:rPr>
          <w:rFonts w:ascii="Arial" w:eastAsia="Times New Roman" w:hAnsi="Arial" w:cs="Arial"/>
          <w:color w:val="FF0000"/>
          <w:sz w:val="24"/>
          <w:szCs w:val="24"/>
        </w:rPr>
        <w:t>o of RPP and non-RPP consumers using</w:t>
      </w:r>
      <w:r w:rsidRPr="006F7318">
        <w:rPr>
          <w:rFonts w:ascii="Arial" w:eastAsia="Times New Roman" w:hAnsi="Arial" w:cs="Arial"/>
          <w:color w:val="FF0000"/>
          <w:sz w:val="24"/>
          <w:szCs w:val="24"/>
        </w:rPr>
        <w:t xml:space="preserve"> the average of the prior 2 years.  </w:t>
      </w:r>
      <w:r w:rsidR="005615CE" w:rsidRPr="006F7318">
        <w:rPr>
          <w:rFonts w:ascii="Arial" w:eastAsia="Times New Roman" w:hAnsi="Arial" w:cs="Arial"/>
          <w:color w:val="FF0000"/>
          <w:sz w:val="24"/>
          <w:szCs w:val="24"/>
        </w:rPr>
        <w:t>T</w:t>
      </w:r>
      <w:r w:rsidR="000222B1">
        <w:rPr>
          <w:rFonts w:ascii="Arial" w:eastAsia="Times New Roman" w:hAnsi="Arial" w:cs="Arial"/>
          <w:color w:val="FF0000"/>
          <w:sz w:val="24"/>
          <w:szCs w:val="24"/>
        </w:rPr>
        <w:t>he new</w:t>
      </w:r>
      <w:r w:rsidRPr="006F7318">
        <w:rPr>
          <w:rFonts w:ascii="Arial" w:eastAsia="Times New Roman" w:hAnsi="Arial" w:cs="Arial"/>
          <w:color w:val="FF0000"/>
          <w:sz w:val="24"/>
          <w:szCs w:val="24"/>
        </w:rPr>
        <w:t xml:space="preserve"> methodology </w:t>
      </w:r>
      <w:r w:rsidR="000222B1">
        <w:rPr>
          <w:rFonts w:ascii="Arial" w:eastAsia="Times New Roman" w:hAnsi="Arial" w:cs="Arial"/>
          <w:color w:val="FF0000"/>
          <w:sz w:val="24"/>
          <w:szCs w:val="24"/>
        </w:rPr>
        <w:t>provides a smaller and more reasonable</w:t>
      </w:r>
      <w:r w:rsidRPr="006F7318">
        <w:rPr>
          <w:rFonts w:ascii="Arial" w:eastAsia="Times New Roman" w:hAnsi="Arial" w:cs="Arial"/>
          <w:color w:val="FF0000"/>
          <w:sz w:val="24"/>
          <w:szCs w:val="24"/>
        </w:rPr>
        <w:t xml:space="preserve"> true-up </w:t>
      </w:r>
      <w:r w:rsidR="004420B3" w:rsidRPr="006F7318">
        <w:rPr>
          <w:rFonts w:ascii="Arial" w:eastAsia="Times New Roman" w:hAnsi="Arial" w:cs="Arial"/>
          <w:color w:val="FF0000"/>
          <w:sz w:val="24"/>
          <w:szCs w:val="24"/>
        </w:rPr>
        <w:t>variant</w:t>
      </w:r>
      <w:r w:rsidRPr="006F7318">
        <w:rPr>
          <w:rFonts w:ascii="Arial" w:eastAsia="Times New Roman" w:hAnsi="Arial" w:cs="Arial"/>
          <w:color w:val="FF0000"/>
          <w:sz w:val="24"/>
          <w:szCs w:val="24"/>
        </w:rPr>
        <w:t xml:space="preserve">.  </w:t>
      </w:r>
      <w:r w:rsidR="000222B1">
        <w:rPr>
          <w:rFonts w:ascii="Arial" w:eastAsia="Times New Roman" w:hAnsi="Arial" w:cs="Arial"/>
          <w:color w:val="FF0000"/>
          <w:sz w:val="24"/>
          <w:szCs w:val="24"/>
        </w:rPr>
        <w:t>T</w:t>
      </w:r>
      <w:r w:rsidR="004420B3" w:rsidRPr="006F7318">
        <w:rPr>
          <w:rFonts w:ascii="Arial" w:eastAsia="Times New Roman" w:hAnsi="Arial" w:cs="Arial"/>
          <w:color w:val="FF0000"/>
          <w:sz w:val="24"/>
          <w:szCs w:val="24"/>
        </w:rPr>
        <w:t>he initial split was based on accrued consumption while</w:t>
      </w:r>
      <w:r w:rsidRPr="006F7318">
        <w:rPr>
          <w:rFonts w:ascii="Arial" w:eastAsia="Times New Roman" w:hAnsi="Arial" w:cs="Arial"/>
          <w:color w:val="FF0000"/>
          <w:sz w:val="24"/>
          <w:szCs w:val="24"/>
        </w:rPr>
        <w:t xml:space="preserve"> the true-up</w:t>
      </w:r>
      <w:r w:rsidR="004420B3" w:rsidRPr="006F7318">
        <w:rPr>
          <w:rFonts w:ascii="Arial" w:eastAsia="Times New Roman" w:hAnsi="Arial" w:cs="Arial"/>
          <w:color w:val="FF0000"/>
          <w:sz w:val="24"/>
          <w:szCs w:val="24"/>
        </w:rPr>
        <w:t xml:space="preserve"> values</w:t>
      </w:r>
      <w:r w:rsidRPr="006F7318">
        <w:rPr>
          <w:rFonts w:ascii="Arial" w:eastAsia="Times New Roman" w:hAnsi="Arial" w:cs="Arial"/>
          <w:color w:val="FF0000"/>
          <w:sz w:val="24"/>
          <w:szCs w:val="24"/>
        </w:rPr>
        <w:t xml:space="preserve"> is based on </w:t>
      </w:r>
      <w:r w:rsidR="004420B3" w:rsidRPr="006F7318">
        <w:rPr>
          <w:rFonts w:ascii="Arial" w:eastAsia="Times New Roman" w:hAnsi="Arial" w:cs="Arial"/>
          <w:color w:val="FF0000"/>
          <w:sz w:val="24"/>
          <w:szCs w:val="24"/>
        </w:rPr>
        <w:t xml:space="preserve">actual </w:t>
      </w:r>
      <w:r w:rsidR="005615CE" w:rsidRPr="006F7318">
        <w:rPr>
          <w:rFonts w:ascii="Arial" w:eastAsia="Times New Roman" w:hAnsi="Arial" w:cs="Arial"/>
          <w:color w:val="FF0000"/>
          <w:sz w:val="24"/>
          <w:szCs w:val="24"/>
        </w:rPr>
        <w:t>billed consumption and will be performed quarterly starting in mid-2018.</w:t>
      </w:r>
      <w:r w:rsidR="001D2863">
        <w:rPr>
          <w:rFonts w:ascii="Arial" w:eastAsia="Times New Roman" w:hAnsi="Arial" w:cs="Arial"/>
          <w:color w:val="FF0000"/>
          <w:sz w:val="24"/>
          <w:szCs w:val="24"/>
        </w:rPr>
        <w:t xml:space="preserve"> Unbilled revenue calculation has been scrutinized and edited to enhance the accuracy of the monthly accrual and a true up performed as required on a quarterly basis.</w:t>
      </w:r>
    </w:p>
    <w:p w:rsidR="004935C5" w:rsidRPr="004935C5" w:rsidRDefault="004935C5" w:rsidP="001815ED">
      <w:pPr>
        <w:spacing w:after="0"/>
        <w:rPr>
          <w:rFonts w:ascii="Arial" w:hAnsi="Arial" w:cs="Arial"/>
          <w:color w:val="FF0000"/>
          <w:sz w:val="24"/>
          <w:szCs w:val="24"/>
        </w:rPr>
      </w:pPr>
    </w:p>
    <w:p w:rsidR="00A34C75" w:rsidRPr="000222B1" w:rsidRDefault="008A108C" w:rsidP="008A108C">
      <w:pPr>
        <w:spacing w:after="0"/>
        <w:rPr>
          <w:rFonts w:ascii="Arial" w:eastAsia="Times New Roman" w:hAnsi="Arial" w:cs="Arial"/>
          <w:color w:val="FF0000"/>
          <w:sz w:val="24"/>
          <w:szCs w:val="24"/>
        </w:rPr>
      </w:pPr>
      <w:r w:rsidRPr="000222B1">
        <w:rPr>
          <w:rFonts w:ascii="Arial" w:eastAsia="Times New Roman" w:hAnsi="Arial" w:cs="Arial"/>
          <w:color w:val="FF0000"/>
          <w:sz w:val="24"/>
          <w:szCs w:val="24"/>
        </w:rPr>
        <w:t xml:space="preserve">Westario Power </w:t>
      </w:r>
      <w:r w:rsidR="002E735A" w:rsidRPr="000222B1">
        <w:rPr>
          <w:rFonts w:ascii="Arial" w:eastAsia="Times New Roman" w:hAnsi="Arial" w:cs="Arial"/>
          <w:color w:val="FF0000"/>
          <w:sz w:val="24"/>
          <w:szCs w:val="24"/>
        </w:rPr>
        <w:t>submitted the</w:t>
      </w:r>
      <w:r w:rsidR="001D2863">
        <w:rPr>
          <w:rFonts w:ascii="Arial" w:eastAsia="Times New Roman" w:hAnsi="Arial" w:cs="Arial"/>
          <w:color w:val="FF0000"/>
          <w:sz w:val="24"/>
          <w:szCs w:val="24"/>
        </w:rPr>
        <w:t xml:space="preserve"> p</w:t>
      </w:r>
      <w:r w:rsidR="008325D7">
        <w:rPr>
          <w:rFonts w:ascii="Arial" w:eastAsia="Times New Roman" w:hAnsi="Arial" w:cs="Arial"/>
          <w:color w:val="FF0000"/>
          <w:sz w:val="24"/>
          <w:szCs w:val="24"/>
        </w:rPr>
        <w:t>rior year adjustments required i</w:t>
      </w:r>
      <w:r w:rsidR="001D2863">
        <w:rPr>
          <w:rFonts w:ascii="Arial" w:eastAsia="Times New Roman" w:hAnsi="Arial" w:cs="Arial"/>
          <w:color w:val="FF0000"/>
          <w:sz w:val="24"/>
          <w:szCs w:val="24"/>
        </w:rPr>
        <w:t>n accounts 1588 and 1589 on</w:t>
      </w:r>
      <w:r w:rsidR="002E735A" w:rsidRPr="000222B1">
        <w:rPr>
          <w:rFonts w:ascii="Arial" w:eastAsia="Times New Roman" w:hAnsi="Arial" w:cs="Arial"/>
          <w:color w:val="FF0000"/>
          <w:sz w:val="24"/>
          <w:szCs w:val="24"/>
        </w:rPr>
        <w:t xml:space="preserve"> the GA workform.</w:t>
      </w:r>
    </w:p>
    <w:p w:rsidR="008A108C" w:rsidRDefault="008A108C" w:rsidP="008A108C">
      <w:pPr>
        <w:spacing w:after="0"/>
        <w:rPr>
          <w:rFonts w:ascii="Arial" w:hAnsi="Arial" w:cs="Arial"/>
          <w:b/>
          <w:sz w:val="24"/>
          <w:szCs w:val="24"/>
        </w:rPr>
      </w:pPr>
    </w:p>
    <w:p w:rsidR="001815ED" w:rsidRDefault="001815ED" w:rsidP="001815ED">
      <w:pPr>
        <w:spacing w:after="0"/>
        <w:rPr>
          <w:rFonts w:ascii="Arial" w:hAnsi="Arial" w:cs="Arial"/>
          <w:b/>
          <w:sz w:val="24"/>
          <w:szCs w:val="24"/>
        </w:rPr>
      </w:pPr>
      <w:r>
        <w:rPr>
          <w:rFonts w:ascii="Arial" w:hAnsi="Arial" w:cs="Arial"/>
          <w:b/>
          <w:sz w:val="24"/>
          <w:szCs w:val="24"/>
        </w:rPr>
        <w:t>S</w:t>
      </w:r>
      <w:r w:rsidR="00CA22DB">
        <w:rPr>
          <w:rFonts w:ascii="Arial" w:hAnsi="Arial" w:cs="Arial"/>
          <w:b/>
          <w:sz w:val="24"/>
          <w:szCs w:val="24"/>
        </w:rPr>
        <w:t>taff Question #7</w:t>
      </w:r>
    </w:p>
    <w:p w:rsidR="001815ED" w:rsidRDefault="001815ED" w:rsidP="001815ED">
      <w:pPr>
        <w:spacing w:after="0"/>
        <w:rPr>
          <w:rFonts w:ascii="Arial" w:hAnsi="Arial" w:cs="Arial"/>
          <w:b/>
          <w:sz w:val="24"/>
          <w:szCs w:val="24"/>
        </w:rPr>
      </w:pPr>
      <w:r>
        <w:rPr>
          <w:rFonts w:ascii="Arial" w:hAnsi="Arial" w:cs="Arial"/>
          <w:b/>
          <w:sz w:val="24"/>
          <w:szCs w:val="24"/>
        </w:rPr>
        <w:t>Ref: DVA Continuity Schedule, Account 1588</w:t>
      </w:r>
    </w:p>
    <w:p w:rsidR="001815ED" w:rsidRDefault="001815ED" w:rsidP="001815ED">
      <w:pPr>
        <w:spacing w:after="0"/>
        <w:rPr>
          <w:rFonts w:ascii="Arial" w:hAnsi="Arial" w:cs="Arial"/>
          <w:b/>
          <w:sz w:val="24"/>
          <w:szCs w:val="24"/>
        </w:rPr>
      </w:pPr>
    </w:p>
    <w:p w:rsidR="001815ED" w:rsidRDefault="001815ED" w:rsidP="001815ED">
      <w:pPr>
        <w:rPr>
          <w:rFonts w:ascii="Arial" w:hAnsi="Arial" w:cs="Arial"/>
          <w:sz w:val="24"/>
          <w:szCs w:val="24"/>
        </w:rPr>
      </w:pPr>
      <w:r>
        <w:rPr>
          <w:rFonts w:ascii="Arial" w:hAnsi="Arial" w:cs="Arial"/>
          <w:sz w:val="24"/>
          <w:szCs w:val="24"/>
        </w:rPr>
        <w:t>With respect to the balance in Account 1588 as at December 31, 2017, given that the variance between RPP revenue and the cost of energy attributable to RPP customers is settled with the IESO on a monthly basis and the Applicant has indicated that all required RPP settlement true-ups for 2017 have been accrued as part of the 2017 ending balance in the DVA continuity schedule, the expectation is that any remaining amounts in account 1588 should be relatively small and close to zero (the difference between amounts billed at the approved total loss factor versus actual system losses for the year).</w:t>
      </w:r>
    </w:p>
    <w:p w:rsidR="001815ED" w:rsidRDefault="00D26D19" w:rsidP="001815ED">
      <w:pPr>
        <w:rPr>
          <w:rFonts w:ascii="Arial" w:hAnsi="Arial" w:cs="Arial"/>
          <w:sz w:val="24"/>
          <w:szCs w:val="24"/>
        </w:rPr>
      </w:pPr>
      <w:r>
        <w:rPr>
          <w:rFonts w:ascii="Arial" w:hAnsi="Arial" w:cs="Arial"/>
          <w:sz w:val="24"/>
          <w:szCs w:val="24"/>
        </w:rPr>
        <w:t>Accordingly, the Applicant is seeking disposition of approximately $3.7 million in account 1588 as at December 31, 2017.  P</w:t>
      </w:r>
      <w:r w:rsidR="001815ED">
        <w:rPr>
          <w:rFonts w:ascii="Arial" w:hAnsi="Arial" w:cs="Arial"/>
          <w:sz w:val="24"/>
          <w:szCs w:val="24"/>
        </w:rPr>
        <w:t>lease explain what th</w:t>
      </w:r>
      <w:r w:rsidR="00CD0D72">
        <w:rPr>
          <w:rFonts w:ascii="Arial" w:hAnsi="Arial" w:cs="Arial"/>
          <w:sz w:val="24"/>
          <w:szCs w:val="24"/>
        </w:rPr>
        <w:t>e</w:t>
      </w:r>
      <w:r>
        <w:rPr>
          <w:rFonts w:ascii="Arial" w:hAnsi="Arial" w:cs="Arial"/>
          <w:sz w:val="24"/>
          <w:szCs w:val="24"/>
        </w:rPr>
        <w:t xml:space="preserve"> remaining variance in</w:t>
      </w:r>
      <w:r w:rsidR="00CD0D72">
        <w:rPr>
          <w:rFonts w:ascii="Arial" w:hAnsi="Arial" w:cs="Arial"/>
          <w:sz w:val="24"/>
          <w:szCs w:val="24"/>
        </w:rPr>
        <w:t xml:space="preserve"> this account</w:t>
      </w:r>
      <w:r>
        <w:rPr>
          <w:rFonts w:ascii="Arial" w:hAnsi="Arial" w:cs="Arial"/>
          <w:sz w:val="24"/>
          <w:szCs w:val="24"/>
        </w:rPr>
        <w:t xml:space="preserve"> </w:t>
      </w:r>
      <w:r w:rsidR="001815ED">
        <w:rPr>
          <w:rFonts w:ascii="Arial" w:hAnsi="Arial" w:cs="Arial"/>
          <w:sz w:val="24"/>
          <w:szCs w:val="24"/>
        </w:rPr>
        <w:t>pertains to.</w:t>
      </w:r>
    </w:p>
    <w:p w:rsidR="00F06AC5" w:rsidRDefault="006E2D45" w:rsidP="00F06AC5">
      <w:pPr>
        <w:spacing w:after="0"/>
        <w:rPr>
          <w:rFonts w:ascii="Arial" w:eastAsia="Times New Roman" w:hAnsi="Arial" w:cs="Arial"/>
          <w:color w:val="FF0000"/>
          <w:sz w:val="24"/>
          <w:szCs w:val="24"/>
        </w:rPr>
      </w:pPr>
      <w:r>
        <w:rPr>
          <w:rFonts w:ascii="Arial" w:eastAsia="Times New Roman" w:hAnsi="Arial" w:cs="Arial"/>
          <w:color w:val="FF0000"/>
          <w:sz w:val="24"/>
          <w:szCs w:val="24"/>
        </w:rPr>
        <w:t>After the GA True-up audit Westario Power proceeded to audit RPP Settlement it was determined af</w:t>
      </w:r>
      <w:r w:rsidR="001D2863">
        <w:rPr>
          <w:rFonts w:ascii="Arial" w:eastAsia="Times New Roman" w:hAnsi="Arial" w:cs="Arial"/>
          <w:color w:val="FF0000"/>
          <w:sz w:val="24"/>
          <w:szCs w:val="24"/>
        </w:rPr>
        <w:t>ter</w:t>
      </w:r>
      <w:r w:rsidRPr="006E2D45">
        <w:rPr>
          <w:rFonts w:ascii="Arial" w:eastAsia="Times New Roman" w:hAnsi="Arial" w:cs="Arial"/>
          <w:color w:val="FF0000"/>
          <w:sz w:val="24"/>
          <w:szCs w:val="24"/>
        </w:rPr>
        <w:t xml:space="preserve"> review that some of 2016</w:t>
      </w:r>
      <w:r w:rsidR="001D2863">
        <w:rPr>
          <w:rFonts w:ascii="Arial" w:eastAsia="Times New Roman" w:hAnsi="Arial" w:cs="Arial"/>
          <w:color w:val="FF0000"/>
          <w:sz w:val="24"/>
          <w:szCs w:val="24"/>
        </w:rPr>
        <w:t xml:space="preserve"> and 2017</w:t>
      </w:r>
      <w:r w:rsidRPr="006E2D45">
        <w:rPr>
          <w:rFonts w:ascii="Arial" w:eastAsia="Times New Roman" w:hAnsi="Arial" w:cs="Arial"/>
          <w:color w:val="FF0000"/>
          <w:sz w:val="24"/>
          <w:szCs w:val="24"/>
        </w:rPr>
        <w:t xml:space="preserve"> RPP settlement submissions were incorrect.  </w:t>
      </w:r>
      <w:r>
        <w:rPr>
          <w:rFonts w:ascii="Arial" w:eastAsia="Times New Roman" w:hAnsi="Arial" w:cs="Arial"/>
          <w:color w:val="FF0000"/>
          <w:sz w:val="24"/>
          <w:szCs w:val="24"/>
        </w:rPr>
        <w:t xml:space="preserve">True-up </w:t>
      </w:r>
      <w:r w:rsidRPr="006E2D45">
        <w:rPr>
          <w:rFonts w:ascii="Arial" w:eastAsia="Times New Roman" w:hAnsi="Arial" w:cs="Arial"/>
          <w:color w:val="FF0000"/>
          <w:sz w:val="24"/>
          <w:szCs w:val="24"/>
        </w:rPr>
        <w:t>adjust</w:t>
      </w:r>
      <w:r w:rsidR="001D2863">
        <w:rPr>
          <w:rFonts w:ascii="Arial" w:eastAsia="Times New Roman" w:hAnsi="Arial" w:cs="Arial"/>
          <w:color w:val="FF0000"/>
          <w:sz w:val="24"/>
          <w:szCs w:val="24"/>
        </w:rPr>
        <w:t>ments and reconciliation are in the process of being completed in 2018 and will</w:t>
      </w:r>
      <w:r w:rsidR="00385745">
        <w:rPr>
          <w:rFonts w:ascii="Arial" w:eastAsia="Times New Roman" w:hAnsi="Arial" w:cs="Arial"/>
          <w:color w:val="FF0000"/>
          <w:sz w:val="24"/>
          <w:szCs w:val="24"/>
        </w:rPr>
        <w:t xml:space="preserve"> submitted with 2018 IESO monthly settlement submissions.  </w:t>
      </w:r>
      <w:r w:rsidR="00FC4D41">
        <w:rPr>
          <w:rFonts w:ascii="Arial" w:eastAsia="Times New Roman" w:hAnsi="Arial" w:cs="Arial"/>
          <w:color w:val="FF0000"/>
          <w:sz w:val="24"/>
          <w:szCs w:val="24"/>
        </w:rPr>
        <w:t xml:space="preserve">These true-ups greatly decreased </w:t>
      </w:r>
      <w:r w:rsidR="00C85B56">
        <w:rPr>
          <w:rFonts w:ascii="Arial" w:eastAsia="Times New Roman" w:hAnsi="Arial" w:cs="Arial"/>
          <w:color w:val="FF0000"/>
          <w:sz w:val="24"/>
          <w:szCs w:val="24"/>
        </w:rPr>
        <w:t>the amount in 1588 t</w:t>
      </w:r>
      <w:r w:rsidR="00385745">
        <w:rPr>
          <w:rFonts w:ascii="Arial" w:eastAsia="Times New Roman" w:hAnsi="Arial" w:cs="Arial"/>
          <w:color w:val="FF0000"/>
          <w:sz w:val="24"/>
          <w:szCs w:val="24"/>
        </w:rPr>
        <w:t>herefore Westario Power is not seeking</w:t>
      </w:r>
      <w:r w:rsidR="001D2863">
        <w:rPr>
          <w:rFonts w:ascii="Arial" w:eastAsia="Times New Roman" w:hAnsi="Arial" w:cs="Arial"/>
          <w:color w:val="FF0000"/>
          <w:sz w:val="24"/>
          <w:szCs w:val="24"/>
        </w:rPr>
        <w:t xml:space="preserve"> disposition of</w:t>
      </w:r>
      <w:r w:rsidR="00385745">
        <w:rPr>
          <w:rFonts w:ascii="Arial" w:eastAsia="Times New Roman" w:hAnsi="Arial" w:cs="Arial"/>
          <w:color w:val="FF0000"/>
          <w:sz w:val="24"/>
          <w:szCs w:val="24"/>
        </w:rPr>
        <w:t xml:space="preserve"> </w:t>
      </w:r>
      <w:r w:rsidR="001D2863">
        <w:rPr>
          <w:rFonts w:ascii="Arial" w:eastAsia="Times New Roman" w:hAnsi="Arial" w:cs="Arial"/>
          <w:color w:val="FF0000"/>
          <w:sz w:val="24"/>
          <w:szCs w:val="24"/>
        </w:rPr>
        <w:t>$3.7 million.</w:t>
      </w:r>
      <w:r w:rsidR="007A06FC">
        <w:rPr>
          <w:rFonts w:ascii="Arial" w:eastAsia="Times New Roman" w:hAnsi="Arial" w:cs="Arial"/>
          <w:color w:val="FF0000"/>
          <w:sz w:val="24"/>
          <w:szCs w:val="24"/>
        </w:rPr>
        <w:t xml:space="preserve">  Westario Power’s practice is for e</w:t>
      </w:r>
      <w:r w:rsidR="00F06AC5">
        <w:rPr>
          <w:rFonts w:ascii="Arial" w:eastAsia="Times New Roman" w:hAnsi="Arial" w:cs="Arial"/>
          <w:color w:val="FF0000"/>
          <w:sz w:val="24"/>
          <w:szCs w:val="24"/>
        </w:rPr>
        <w:t xml:space="preserve">rrors from previous periods </w:t>
      </w:r>
      <w:r w:rsidR="007A06FC">
        <w:rPr>
          <w:rFonts w:ascii="Arial" w:eastAsia="Times New Roman" w:hAnsi="Arial" w:cs="Arial"/>
          <w:color w:val="FF0000"/>
          <w:sz w:val="24"/>
          <w:szCs w:val="24"/>
        </w:rPr>
        <w:t>be</w:t>
      </w:r>
      <w:r w:rsidR="00F06AC5">
        <w:rPr>
          <w:rFonts w:ascii="Arial" w:eastAsia="Times New Roman" w:hAnsi="Arial" w:cs="Arial"/>
          <w:color w:val="FF0000"/>
          <w:sz w:val="24"/>
          <w:szCs w:val="24"/>
        </w:rPr>
        <w:t xml:space="preserve"> adjusted in month that they were discovered and reflected in the </w:t>
      </w:r>
      <w:r w:rsidR="007A06FC">
        <w:rPr>
          <w:rFonts w:ascii="Arial" w:eastAsia="Times New Roman" w:hAnsi="Arial" w:cs="Arial"/>
          <w:color w:val="FF0000"/>
          <w:sz w:val="24"/>
          <w:szCs w:val="24"/>
        </w:rPr>
        <w:t>current IESO submission.  These errors were discovered after we performed an intern</w:t>
      </w:r>
      <w:r w:rsidR="001D2863">
        <w:rPr>
          <w:rFonts w:ascii="Arial" w:eastAsia="Times New Roman" w:hAnsi="Arial" w:cs="Arial"/>
          <w:color w:val="FF0000"/>
          <w:sz w:val="24"/>
          <w:szCs w:val="24"/>
        </w:rPr>
        <w:t>al audit on our Account 1588 and 1589.</w:t>
      </w:r>
      <w:r w:rsidR="007A06FC">
        <w:rPr>
          <w:rFonts w:ascii="Arial" w:eastAsia="Times New Roman" w:hAnsi="Arial" w:cs="Arial"/>
          <w:color w:val="FF0000"/>
          <w:sz w:val="24"/>
          <w:szCs w:val="24"/>
        </w:rPr>
        <w:t xml:space="preserve"> </w:t>
      </w:r>
    </w:p>
    <w:p w:rsidR="00F06AC5" w:rsidRDefault="00F06AC5" w:rsidP="006E2D45">
      <w:pPr>
        <w:spacing w:after="0"/>
        <w:rPr>
          <w:rFonts w:ascii="Arial" w:eastAsia="Times New Roman" w:hAnsi="Arial" w:cs="Arial"/>
          <w:color w:val="FF0000"/>
          <w:sz w:val="24"/>
          <w:szCs w:val="24"/>
        </w:rPr>
      </w:pPr>
    </w:p>
    <w:p w:rsidR="004420B3" w:rsidRDefault="004420B3" w:rsidP="00ED3CE0">
      <w:pPr>
        <w:spacing w:after="0"/>
        <w:rPr>
          <w:rFonts w:ascii="Arial" w:hAnsi="Arial" w:cs="Arial"/>
          <w:b/>
          <w:sz w:val="24"/>
          <w:szCs w:val="24"/>
        </w:rPr>
      </w:pPr>
    </w:p>
    <w:p w:rsidR="0013313E" w:rsidRDefault="0013313E">
      <w:pPr>
        <w:rPr>
          <w:rFonts w:ascii="Arial" w:hAnsi="Arial" w:cs="Arial"/>
          <w:b/>
          <w:sz w:val="24"/>
          <w:szCs w:val="24"/>
        </w:rPr>
      </w:pPr>
      <w:r>
        <w:rPr>
          <w:rFonts w:ascii="Arial" w:hAnsi="Arial" w:cs="Arial"/>
          <w:b/>
          <w:sz w:val="24"/>
          <w:szCs w:val="24"/>
        </w:rPr>
        <w:br w:type="page"/>
      </w:r>
    </w:p>
    <w:p w:rsidR="00BD2BCF" w:rsidRDefault="00BD2BCF" w:rsidP="00BD2BCF">
      <w:pPr>
        <w:spacing w:after="0"/>
        <w:rPr>
          <w:rFonts w:ascii="Arial" w:hAnsi="Arial" w:cs="Arial"/>
          <w:b/>
          <w:sz w:val="24"/>
          <w:szCs w:val="24"/>
        </w:rPr>
      </w:pPr>
      <w:r>
        <w:rPr>
          <w:rFonts w:ascii="Arial" w:hAnsi="Arial" w:cs="Arial"/>
          <w:b/>
          <w:sz w:val="24"/>
          <w:szCs w:val="24"/>
        </w:rPr>
        <w:lastRenderedPageBreak/>
        <w:t>Staff Question #8</w:t>
      </w:r>
    </w:p>
    <w:p w:rsidR="001815ED" w:rsidRDefault="00BD2BCF" w:rsidP="00BD2BCF">
      <w:pPr>
        <w:spacing w:after="0"/>
        <w:rPr>
          <w:rFonts w:ascii="Arial" w:hAnsi="Arial" w:cs="Arial"/>
          <w:b/>
          <w:sz w:val="24"/>
          <w:szCs w:val="24"/>
        </w:rPr>
      </w:pPr>
      <w:r>
        <w:rPr>
          <w:rFonts w:ascii="Arial" w:hAnsi="Arial" w:cs="Arial"/>
          <w:b/>
          <w:sz w:val="24"/>
          <w:szCs w:val="24"/>
        </w:rPr>
        <w:t>Ref: Responses for Appendix A of the GA Analysis Workform Instruct</w:t>
      </w:r>
      <w:r w:rsidR="001E54C6">
        <w:rPr>
          <w:rFonts w:ascii="Arial" w:hAnsi="Arial" w:cs="Arial"/>
          <w:b/>
          <w:sz w:val="24"/>
          <w:szCs w:val="24"/>
        </w:rPr>
        <w:t>i</w:t>
      </w:r>
      <w:r>
        <w:rPr>
          <w:rFonts w:ascii="Arial" w:hAnsi="Arial" w:cs="Arial"/>
          <w:b/>
          <w:sz w:val="24"/>
          <w:szCs w:val="24"/>
        </w:rPr>
        <w:t>ons</w:t>
      </w:r>
    </w:p>
    <w:p w:rsidR="00BD2BCF" w:rsidRDefault="00BD2BCF" w:rsidP="00BD2BCF">
      <w:pPr>
        <w:spacing w:after="0"/>
        <w:rPr>
          <w:rFonts w:ascii="Arial" w:hAnsi="Arial" w:cs="Arial"/>
          <w:b/>
          <w:sz w:val="24"/>
          <w:szCs w:val="24"/>
        </w:rPr>
      </w:pPr>
    </w:p>
    <w:p w:rsidR="00BD2BCF" w:rsidRDefault="00BD2BCF" w:rsidP="00BD2BCF">
      <w:pPr>
        <w:spacing w:after="0"/>
        <w:rPr>
          <w:rFonts w:ascii="Arial" w:hAnsi="Arial" w:cs="Arial"/>
          <w:sz w:val="24"/>
          <w:szCs w:val="24"/>
        </w:rPr>
      </w:pPr>
      <w:r>
        <w:rPr>
          <w:rFonts w:ascii="Arial" w:hAnsi="Arial" w:cs="Arial"/>
          <w:sz w:val="24"/>
          <w:szCs w:val="24"/>
        </w:rPr>
        <w:t>The Applicant has provided responses to the questions in Appendix A of the GA Analysis Workform</w:t>
      </w:r>
      <w:r w:rsidR="000465ED">
        <w:rPr>
          <w:rFonts w:ascii="Arial" w:hAnsi="Arial" w:cs="Arial"/>
          <w:sz w:val="24"/>
          <w:szCs w:val="24"/>
        </w:rPr>
        <w:t xml:space="preserve"> Instructions.  </w:t>
      </w:r>
      <w:r w:rsidR="006B27C1">
        <w:rPr>
          <w:rFonts w:ascii="Arial" w:hAnsi="Arial" w:cs="Arial"/>
          <w:sz w:val="24"/>
          <w:szCs w:val="24"/>
        </w:rPr>
        <w:t>:</w:t>
      </w:r>
    </w:p>
    <w:p w:rsidR="006B27C1" w:rsidRDefault="006B27C1" w:rsidP="00BD2BCF">
      <w:pPr>
        <w:spacing w:after="0"/>
        <w:rPr>
          <w:rFonts w:ascii="Arial" w:hAnsi="Arial" w:cs="Arial"/>
          <w:sz w:val="24"/>
          <w:szCs w:val="24"/>
        </w:rPr>
      </w:pPr>
    </w:p>
    <w:p w:rsidR="006B27C1" w:rsidRDefault="009F729D"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The Applicant ha</w:t>
      </w:r>
      <w:r w:rsidR="00F9321D">
        <w:rPr>
          <w:rFonts w:ascii="Arial" w:eastAsia="Times New Roman" w:hAnsi="Arial" w:cs="Arial"/>
          <w:sz w:val="24"/>
          <w:szCs w:val="24"/>
        </w:rPr>
        <w:t>s</w:t>
      </w:r>
      <w:r>
        <w:rPr>
          <w:rFonts w:ascii="Arial" w:eastAsia="Times New Roman" w:hAnsi="Arial" w:cs="Arial"/>
          <w:sz w:val="24"/>
          <w:szCs w:val="24"/>
        </w:rPr>
        <w:t xml:space="preserve"> not provided a response to Question 2b. </w:t>
      </w:r>
      <w:r w:rsidR="006B27C1" w:rsidRPr="009F729D">
        <w:rPr>
          <w:rFonts w:ascii="Arial" w:eastAsia="Times New Roman" w:hAnsi="Arial" w:cs="Arial"/>
          <w:sz w:val="24"/>
          <w:szCs w:val="24"/>
        </w:rPr>
        <w:t>Please</w:t>
      </w:r>
      <w:r>
        <w:rPr>
          <w:rFonts w:ascii="Arial" w:eastAsia="Times New Roman" w:hAnsi="Arial" w:cs="Arial"/>
          <w:sz w:val="24"/>
          <w:szCs w:val="24"/>
        </w:rPr>
        <w:t xml:space="preserve"> refer to Question 2b of Appendix A and provide the required </w:t>
      </w:r>
      <w:r w:rsidR="00F9321D">
        <w:rPr>
          <w:rFonts w:ascii="Arial" w:eastAsia="Times New Roman" w:hAnsi="Arial" w:cs="Arial"/>
          <w:sz w:val="24"/>
          <w:szCs w:val="24"/>
        </w:rPr>
        <w:t>information</w:t>
      </w:r>
      <w:r>
        <w:rPr>
          <w:rFonts w:ascii="Arial" w:eastAsia="Times New Roman" w:hAnsi="Arial" w:cs="Arial"/>
          <w:sz w:val="24"/>
          <w:szCs w:val="24"/>
        </w:rPr>
        <w:t>.</w:t>
      </w:r>
    </w:p>
    <w:p w:rsidR="00D41581" w:rsidRDefault="00D41581" w:rsidP="00D41581">
      <w:pPr>
        <w:spacing w:after="0"/>
        <w:rPr>
          <w:rFonts w:ascii="Arial" w:eastAsia="Times New Roman" w:hAnsi="Arial" w:cs="Arial"/>
          <w:sz w:val="24"/>
          <w:szCs w:val="24"/>
        </w:rPr>
      </w:pPr>
    </w:p>
    <w:p w:rsidR="00D41581" w:rsidRDefault="00D41581" w:rsidP="00D41581">
      <w:pPr>
        <w:spacing w:after="0"/>
        <w:rPr>
          <w:rFonts w:ascii="Arial" w:eastAsia="Times New Roman" w:hAnsi="Arial" w:cs="Arial"/>
          <w:color w:val="FF0000"/>
          <w:sz w:val="24"/>
          <w:szCs w:val="24"/>
        </w:rPr>
      </w:pPr>
      <w:r>
        <w:rPr>
          <w:rFonts w:ascii="Arial" w:eastAsia="Times New Roman" w:hAnsi="Arial" w:cs="Arial"/>
          <w:color w:val="FF0000"/>
          <w:sz w:val="24"/>
          <w:szCs w:val="24"/>
        </w:rPr>
        <w:t xml:space="preserve">Currently Westario updates </w:t>
      </w:r>
      <w:r w:rsidR="00C44499">
        <w:rPr>
          <w:rFonts w:ascii="Arial" w:eastAsia="Times New Roman" w:hAnsi="Arial" w:cs="Arial"/>
          <w:color w:val="FF0000"/>
          <w:sz w:val="24"/>
          <w:szCs w:val="24"/>
        </w:rPr>
        <w:t xml:space="preserve">actual </w:t>
      </w:r>
      <w:r>
        <w:rPr>
          <w:rFonts w:ascii="Arial" w:eastAsia="Times New Roman" w:hAnsi="Arial" w:cs="Arial"/>
          <w:color w:val="FF0000"/>
          <w:sz w:val="24"/>
          <w:szCs w:val="24"/>
        </w:rPr>
        <w:t xml:space="preserve">consumption billed on a monthly basis and verifies monthly </w:t>
      </w:r>
      <w:proofErr w:type="spellStart"/>
      <w:r>
        <w:rPr>
          <w:rFonts w:ascii="Arial" w:eastAsia="Times New Roman" w:hAnsi="Arial" w:cs="Arial"/>
          <w:color w:val="FF0000"/>
          <w:sz w:val="24"/>
          <w:szCs w:val="24"/>
        </w:rPr>
        <w:t>kWhs</w:t>
      </w:r>
      <w:proofErr w:type="spellEnd"/>
      <w:r>
        <w:rPr>
          <w:rFonts w:ascii="Arial" w:eastAsia="Times New Roman" w:hAnsi="Arial" w:cs="Arial"/>
          <w:color w:val="FF0000"/>
          <w:sz w:val="24"/>
          <w:szCs w:val="24"/>
        </w:rPr>
        <w:t xml:space="preserve"> back to January 2015.  </w:t>
      </w:r>
      <w:r w:rsidR="00C44499">
        <w:rPr>
          <w:rFonts w:ascii="Arial" w:eastAsia="Times New Roman" w:hAnsi="Arial" w:cs="Arial"/>
          <w:color w:val="FF0000"/>
          <w:sz w:val="24"/>
          <w:szCs w:val="24"/>
        </w:rPr>
        <w:t xml:space="preserve">The </w:t>
      </w:r>
      <w:r>
        <w:rPr>
          <w:rFonts w:ascii="Arial" w:eastAsia="Times New Roman" w:hAnsi="Arial" w:cs="Arial"/>
          <w:color w:val="FF0000"/>
          <w:sz w:val="24"/>
          <w:szCs w:val="24"/>
        </w:rPr>
        <w:t>month</w:t>
      </w:r>
      <w:r w:rsidR="00C44499">
        <w:rPr>
          <w:rFonts w:ascii="Arial" w:eastAsia="Times New Roman" w:hAnsi="Arial" w:cs="Arial"/>
          <w:color w:val="FF0000"/>
          <w:sz w:val="24"/>
          <w:szCs w:val="24"/>
        </w:rPr>
        <w:t>ly billed</w:t>
      </w:r>
      <w:r>
        <w:rPr>
          <w:rFonts w:ascii="Arial" w:eastAsia="Times New Roman" w:hAnsi="Arial" w:cs="Arial"/>
          <w:color w:val="FF0000"/>
          <w:sz w:val="24"/>
          <w:szCs w:val="24"/>
        </w:rPr>
        <w:t xml:space="preserve"> consump</w:t>
      </w:r>
      <w:r w:rsidR="00C44499">
        <w:rPr>
          <w:rFonts w:ascii="Arial" w:eastAsia="Times New Roman" w:hAnsi="Arial" w:cs="Arial"/>
          <w:color w:val="FF0000"/>
          <w:sz w:val="24"/>
          <w:szCs w:val="24"/>
        </w:rPr>
        <w:t xml:space="preserve">tion is then calculated based on the difference in price paid by WPI to price charged by WPI to </w:t>
      </w:r>
      <w:r w:rsidR="00CE639B">
        <w:rPr>
          <w:rFonts w:ascii="Arial" w:eastAsia="Times New Roman" w:hAnsi="Arial" w:cs="Arial"/>
          <w:color w:val="FF0000"/>
          <w:sz w:val="24"/>
          <w:szCs w:val="24"/>
        </w:rPr>
        <w:t>its</w:t>
      </w:r>
      <w:r w:rsidR="00C44499">
        <w:rPr>
          <w:rFonts w:ascii="Arial" w:eastAsia="Times New Roman" w:hAnsi="Arial" w:cs="Arial"/>
          <w:color w:val="FF0000"/>
          <w:sz w:val="24"/>
          <w:szCs w:val="24"/>
        </w:rPr>
        <w:t xml:space="preserve"> customer.  The difference is calculated for each month as follows. Total Price of Commodity is calculated as paid by WPI to IESO and includes average HOEP charged plus the actual GA rate.  This value is then subtracted from the TOU or tiered rate received by WPI. The remaining dollar value is then calculated by the actual billed consumption for that period.  This calculation is done for all TOU and Tiered price rates.  For the current settlement period an estimate is used based for commodity price, GA is based on the 2</w:t>
      </w:r>
      <w:r w:rsidR="00C44499" w:rsidRPr="00C44499">
        <w:rPr>
          <w:rFonts w:ascii="Arial" w:eastAsia="Times New Roman" w:hAnsi="Arial" w:cs="Arial"/>
          <w:color w:val="FF0000"/>
          <w:sz w:val="24"/>
          <w:szCs w:val="24"/>
          <w:vertAlign w:val="superscript"/>
        </w:rPr>
        <w:t>nd</w:t>
      </w:r>
      <w:r w:rsidR="00C44499">
        <w:rPr>
          <w:rFonts w:ascii="Arial" w:eastAsia="Times New Roman" w:hAnsi="Arial" w:cs="Arial"/>
          <w:color w:val="FF0000"/>
          <w:sz w:val="24"/>
          <w:szCs w:val="24"/>
        </w:rPr>
        <w:t xml:space="preserve"> estimate and consumption is based on</w:t>
      </w:r>
      <w:r w:rsidR="00E57C98">
        <w:rPr>
          <w:rFonts w:ascii="Arial" w:eastAsia="Times New Roman" w:hAnsi="Arial" w:cs="Arial"/>
          <w:color w:val="FF0000"/>
          <w:sz w:val="24"/>
          <w:szCs w:val="24"/>
        </w:rPr>
        <w:t xml:space="preserve"> a percentage of total load.  The following month once all data is available a true-up is performed. </w:t>
      </w:r>
    </w:p>
    <w:p w:rsidR="00E57C98" w:rsidRDefault="00E57C98" w:rsidP="00D41581">
      <w:pPr>
        <w:spacing w:after="0"/>
        <w:rPr>
          <w:rFonts w:ascii="Arial" w:eastAsia="Times New Roman" w:hAnsi="Arial" w:cs="Arial"/>
          <w:color w:val="FF0000"/>
          <w:sz w:val="24"/>
          <w:szCs w:val="24"/>
        </w:rPr>
      </w:pPr>
    </w:p>
    <w:p w:rsidR="00D41581" w:rsidRDefault="00C007D5" w:rsidP="00D41581">
      <w:pPr>
        <w:spacing w:after="0"/>
        <w:rPr>
          <w:rFonts w:ascii="Arial" w:eastAsia="Times New Roman" w:hAnsi="Arial" w:cs="Arial"/>
          <w:color w:val="FF0000"/>
          <w:sz w:val="24"/>
          <w:szCs w:val="24"/>
        </w:rPr>
      </w:pPr>
      <w:r>
        <w:rPr>
          <w:rFonts w:ascii="Arial" w:eastAsia="Times New Roman" w:hAnsi="Arial" w:cs="Arial"/>
          <w:color w:val="FF0000"/>
          <w:sz w:val="24"/>
          <w:szCs w:val="24"/>
        </w:rPr>
        <w:t>We have determined that CT1142 has not been</w:t>
      </w:r>
      <w:r w:rsidR="000222B1">
        <w:rPr>
          <w:rFonts w:ascii="Arial" w:eastAsia="Times New Roman" w:hAnsi="Arial" w:cs="Arial"/>
          <w:color w:val="FF0000"/>
          <w:sz w:val="24"/>
          <w:szCs w:val="24"/>
        </w:rPr>
        <w:t xml:space="preserve"> trued up properly for 2017 and in the process of doing so as a result of our internal audits confirm that </w:t>
      </w:r>
      <w:r w:rsidR="000222B1" w:rsidRPr="000222B1">
        <w:rPr>
          <w:rFonts w:ascii="Arial" w:eastAsia="Times New Roman" w:hAnsi="Arial" w:cs="Arial"/>
          <w:color w:val="FF0000"/>
          <w:sz w:val="24"/>
          <w:szCs w:val="24"/>
        </w:rPr>
        <w:t>that any remaining amounts in account 1588 should be relatively small and close to zero</w:t>
      </w:r>
      <w:r w:rsidR="000222B1">
        <w:rPr>
          <w:rFonts w:ascii="Arial" w:eastAsia="Times New Roman" w:hAnsi="Arial" w:cs="Arial"/>
          <w:color w:val="FF0000"/>
          <w:sz w:val="24"/>
          <w:szCs w:val="24"/>
        </w:rPr>
        <w:t>.</w:t>
      </w:r>
    </w:p>
    <w:p w:rsidR="000222B1" w:rsidRPr="00D41581" w:rsidRDefault="000222B1" w:rsidP="00D41581">
      <w:pPr>
        <w:spacing w:after="0"/>
        <w:rPr>
          <w:rFonts w:ascii="Arial" w:eastAsia="Times New Roman" w:hAnsi="Arial" w:cs="Arial"/>
          <w:color w:val="FF0000"/>
          <w:sz w:val="24"/>
          <w:szCs w:val="24"/>
        </w:rPr>
      </w:pPr>
    </w:p>
    <w:p w:rsidR="009F729D" w:rsidRDefault="00F9321D"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The </w:t>
      </w:r>
      <w:r w:rsidR="009F729D">
        <w:rPr>
          <w:rFonts w:ascii="Arial" w:eastAsia="Times New Roman" w:hAnsi="Arial" w:cs="Arial"/>
          <w:sz w:val="24"/>
          <w:szCs w:val="24"/>
        </w:rPr>
        <w:t>response</w:t>
      </w:r>
      <w:r>
        <w:rPr>
          <w:rFonts w:ascii="Arial" w:eastAsia="Times New Roman" w:hAnsi="Arial" w:cs="Arial"/>
          <w:sz w:val="24"/>
          <w:szCs w:val="24"/>
        </w:rPr>
        <w:t xml:space="preserve"> provided to</w:t>
      </w:r>
      <w:r w:rsidR="009F729D">
        <w:rPr>
          <w:rFonts w:ascii="Arial" w:eastAsia="Times New Roman" w:hAnsi="Arial" w:cs="Arial"/>
          <w:sz w:val="24"/>
          <w:szCs w:val="24"/>
        </w:rPr>
        <w:t xml:space="preserve"> 2d indicates that the CT 1142 true-ups are reflected in the DVA continuity schedule, with the exception of the adjustments mentioned in part c.  Please confirm that the only adjustments</w:t>
      </w:r>
      <w:r>
        <w:rPr>
          <w:rFonts w:ascii="Arial" w:eastAsia="Times New Roman" w:hAnsi="Arial" w:cs="Arial"/>
          <w:sz w:val="24"/>
          <w:szCs w:val="24"/>
        </w:rPr>
        <w:t xml:space="preserve"> mentioned in part c</w:t>
      </w:r>
      <w:r w:rsidR="009F729D">
        <w:rPr>
          <w:rFonts w:ascii="Arial" w:eastAsia="Times New Roman" w:hAnsi="Arial" w:cs="Arial"/>
          <w:sz w:val="24"/>
          <w:szCs w:val="24"/>
        </w:rPr>
        <w:t xml:space="preserve"> that have been excluded are “a small amount of billing adjustments that relate to 2017 consumption year”.  Also, please provide the dollar value of these billing adjustments that are being referred to</w:t>
      </w:r>
      <w:r w:rsidR="009D0AEB">
        <w:rPr>
          <w:rFonts w:ascii="Arial" w:eastAsia="Times New Roman" w:hAnsi="Arial" w:cs="Arial"/>
          <w:sz w:val="24"/>
          <w:szCs w:val="24"/>
        </w:rPr>
        <w:t>.</w:t>
      </w:r>
    </w:p>
    <w:p w:rsidR="009D0AEB" w:rsidRDefault="009D0AEB" w:rsidP="009D0AEB">
      <w:pPr>
        <w:pStyle w:val="ListParagraph"/>
        <w:spacing w:after="0"/>
        <w:rPr>
          <w:rFonts w:ascii="Arial" w:eastAsia="Times New Roman" w:hAnsi="Arial" w:cs="Arial"/>
          <w:sz w:val="24"/>
          <w:szCs w:val="24"/>
        </w:rPr>
      </w:pPr>
    </w:p>
    <w:p w:rsidR="00C72ACF" w:rsidRDefault="001174EB" w:rsidP="00C72ACF">
      <w:pPr>
        <w:pStyle w:val="ListParagraph"/>
        <w:ind w:left="0"/>
        <w:rPr>
          <w:rFonts w:ascii="Arial" w:eastAsia="Times New Roman" w:hAnsi="Arial" w:cs="Arial"/>
          <w:color w:val="FF0000"/>
          <w:sz w:val="24"/>
          <w:szCs w:val="24"/>
        </w:rPr>
      </w:pPr>
      <w:r>
        <w:rPr>
          <w:rFonts w:ascii="Arial" w:eastAsia="Times New Roman" w:hAnsi="Arial" w:cs="Arial"/>
          <w:color w:val="FF0000"/>
          <w:sz w:val="24"/>
          <w:szCs w:val="24"/>
        </w:rPr>
        <w:t>We are unable to dollarize the billing adjustments referred to in 2c and unable to include these in any true up balances. The net impact is minimal and will be reflected in any settlement amounts required in fiscal year 2018.</w:t>
      </w:r>
    </w:p>
    <w:p w:rsidR="00E57C98" w:rsidRDefault="00E57C98" w:rsidP="009D0AEB">
      <w:pPr>
        <w:pStyle w:val="ListParagraph"/>
        <w:spacing w:after="0"/>
        <w:rPr>
          <w:rFonts w:ascii="Arial" w:eastAsia="Times New Roman" w:hAnsi="Arial" w:cs="Arial"/>
          <w:sz w:val="24"/>
          <w:szCs w:val="24"/>
        </w:rPr>
      </w:pPr>
    </w:p>
    <w:p w:rsidR="009F729D" w:rsidRDefault="009F729D"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Question 2e requires that you quantify the adjustment specifically related to the CT 1142 true-up that the Applicant has recorded </w:t>
      </w:r>
      <w:r w:rsidR="000A34F1">
        <w:rPr>
          <w:rFonts w:ascii="Arial" w:eastAsia="Times New Roman" w:hAnsi="Arial" w:cs="Arial"/>
          <w:sz w:val="24"/>
          <w:szCs w:val="24"/>
        </w:rPr>
        <w:t xml:space="preserve">in the </w:t>
      </w:r>
      <w:r>
        <w:rPr>
          <w:rFonts w:ascii="Arial" w:eastAsia="Times New Roman" w:hAnsi="Arial" w:cs="Arial"/>
          <w:sz w:val="24"/>
          <w:szCs w:val="24"/>
        </w:rPr>
        <w:t xml:space="preserve"> </w:t>
      </w:r>
      <w:r w:rsidR="000A34F1">
        <w:rPr>
          <w:rFonts w:ascii="Arial" w:eastAsia="Times New Roman" w:hAnsi="Arial" w:cs="Arial"/>
          <w:sz w:val="24"/>
          <w:szCs w:val="24"/>
        </w:rPr>
        <w:t>“</w:t>
      </w:r>
      <w:r>
        <w:rPr>
          <w:rFonts w:ascii="Arial" w:eastAsia="Times New Roman" w:hAnsi="Arial" w:cs="Arial"/>
          <w:sz w:val="24"/>
          <w:szCs w:val="24"/>
        </w:rPr>
        <w:t>principal adjustment</w:t>
      </w:r>
      <w:r w:rsidR="000A34F1">
        <w:rPr>
          <w:rFonts w:ascii="Arial" w:eastAsia="Times New Roman" w:hAnsi="Arial" w:cs="Arial"/>
          <w:sz w:val="24"/>
          <w:szCs w:val="24"/>
        </w:rPr>
        <w:t>” column of</w:t>
      </w:r>
      <w:r>
        <w:rPr>
          <w:rFonts w:ascii="Arial" w:eastAsia="Times New Roman" w:hAnsi="Arial" w:cs="Arial"/>
          <w:sz w:val="24"/>
          <w:szCs w:val="24"/>
        </w:rPr>
        <w:t xml:space="preserve"> the DVA continuity schedule, accordingly please quantify.  Also please </w:t>
      </w:r>
      <w:r>
        <w:rPr>
          <w:rFonts w:ascii="Arial" w:eastAsia="Times New Roman" w:hAnsi="Arial" w:cs="Arial"/>
          <w:sz w:val="24"/>
          <w:szCs w:val="24"/>
        </w:rPr>
        <w:lastRenderedPageBreak/>
        <w:t xml:space="preserve">break-out the </w:t>
      </w:r>
      <w:r w:rsidR="009D0AEB">
        <w:rPr>
          <w:rFonts w:ascii="Arial" w:eastAsia="Times New Roman" w:hAnsi="Arial" w:cs="Arial"/>
          <w:sz w:val="24"/>
          <w:szCs w:val="24"/>
        </w:rPr>
        <w:t>CT 1142 true-up recorded as a principal adjustment in DVA continuity schedule for both 2016 and 2017.</w:t>
      </w:r>
    </w:p>
    <w:p w:rsidR="009D0AEB" w:rsidRDefault="009D0AEB" w:rsidP="009D0AEB">
      <w:pPr>
        <w:pStyle w:val="ListParagraph"/>
        <w:rPr>
          <w:rFonts w:ascii="Arial" w:eastAsia="Times New Roman" w:hAnsi="Arial" w:cs="Arial"/>
          <w:sz w:val="24"/>
          <w:szCs w:val="24"/>
        </w:rPr>
      </w:pPr>
    </w:p>
    <w:p w:rsidR="00201B69" w:rsidRPr="00201B69" w:rsidRDefault="008E60A8" w:rsidP="00F06AC5">
      <w:pPr>
        <w:pStyle w:val="ListParagraph"/>
        <w:ind w:left="0"/>
        <w:rPr>
          <w:rFonts w:ascii="Arial" w:eastAsia="Times New Roman" w:hAnsi="Arial" w:cs="Arial"/>
          <w:color w:val="FF0000"/>
          <w:sz w:val="24"/>
          <w:szCs w:val="24"/>
        </w:rPr>
      </w:pPr>
      <w:r w:rsidRPr="00AB214E">
        <w:rPr>
          <w:rFonts w:ascii="Arial" w:eastAsia="Times New Roman" w:hAnsi="Arial" w:cs="Arial"/>
          <w:color w:val="FF0000"/>
          <w:sz w:val="24"/>
          <w:szCs w:val="24"/>
        </w:rPr>
        <w:t>The adjustments related to CT 1142 are treated as transactions in the cost of power account and factored into the monthly adjustment for account 1588.  There is no dollar value related to CT 1142 that is reflected in the Principal Adjustments column of the DVA Continuity Schedule.  The amounts reflected in the Principal Adjustments column for 2016 and 2017 relate to GA true-ups that should have been recorded in the year but were not, they have been included in the principal adjustments column so that the impact of these missed true-ups are not factored into the disposition rate riders for the year.</w:t>
      </w:r>
    </w:p>
    <w:p w:rsidR="00201B69" w:rsidRPr="009D0AEB" w:rsidRDefault="00201B69" w:rsidP="009D0AEB">
      <w:pPr>
        <w:pStyle w:val="ListParagraph"/>
        <w:rPr>
          <w:rFonts w:ascii="Arial" w:eastAsia="Times New Roman" w:hAnsi="Arial" w:cs="Arial"/>
          <w:sz w:val="24"/>
          <w:szCs w:val="24"/>
        </w:rPr>
      </w:pPr>
    </w:p>
    <w:p w:rsidR="009D0AEB" w:rsidRDefault="009D0AEB"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For the response provided </w:t>
      </w:r>
      <w:r w:rsidR="000A34F1">
        <w:rPr>
          <w:rFonts w:ascii="Arial" w:eastAsia="Times New Roman" w:hAnsi="Arial" w:cs="Arial"/>
          <w:sz w:val="24"/>
          <w:szCs w:val="24"/>
        </w:rPr>
        <w:t>for</w:t>
      </w:r>
      <w:r w:rsidR="00C96FD2">
        <w:rPr>
          <w:rFonts w:ascii="Arial" w:eastAsia="Times New Roman" w:hAnsi="Arial" w:cs="Arial"/>
          <w:sz w:val="24"/>
          <w:szCs w:val="24"/>
        </w:rPr>
        <w:t xml:space="preserve"> Question</w:t>
      </w:r>
      <w:r>
        <w:rPr>
          <w:rFonts w:ascii="Arial" w:eastAsia="Times New Roman" w:hAnsi="Arial" w:cs="Arial"/>
          <w:sz w:val="24"/>
          <w:szCs w:val="24"/>
        </w:rPr>
        <w:t xml:space="preserve"> 3a, please confirm </w:t>
      </w:r>
      <w:r w:rsidR="00C96FD2">
        <w:rPr>
          <w:rFonts w:ascii="Arial" w:eastAsia="Times New Roman" w:hAnsi="Arial" w:cs="Arial"/>
          <w:sz w:val="24"/>
          <w:szCs w:val="24"/>
        </w:rPr>
        <w:t>whether</w:t>
      </w:r>
      <w:r w:rsidR="00CF5DF6">
        <w:rPr>
          <w:rFonts w:ascii="Arial" w:eastAsia="Times New Roman" w:hAnsi="Arial" w:cs="Arial"/>
          <w:sz w:val="24"/>
          <w:szCs w:val="24"/>
        </w:rPr>
        <w:t xml:space="preserve"> </w:t>
      </w:r>
      <w:r w:rsidR="000A34F1">
        <w:rPr>
          <w:rFonts w:ascii="Arial" w:eastAsia="Times New Roman" w:hAnsi="Arial" w:cs="Arial"/>
          <w:sz w:val="24"/>
          <w:szCs w:val="24"/>
        </w:rPr>
        <w:t>the Applicant</w:t>
      </w:r>
      <w:r>
        <w:rPr>
          <w:rFonts w:ascii="Arial" w:eastAsia="Times New Roman" w:hAnsi="Arial" w:cs="Arial"/>
          <w:sz w:val="24"/>
          <w:szCs w:val="24"/>
        </w:rPr>
        <w:t xml:space="preserve"> </w:t>
      </w:r>
      <w:r w:rsidR="00C96FD2">
        <w:rPr>
          <w:rFonts w:ascii="Arial" w:eastAsia="Times New Roman" w:hAnsi="Arial" w:cs="Arial"/>
          <w:sz w:val="24"/>
          <w:szCs w:val="24"/>
        </w:rPr>
        <w:t xml:space="preserve">initially </w:t>
      </w:r>
      <w:r>
        <w:rPr>
          <w:rFonts w:ascii="Arial" w:eastAsia="Times New Roman" w:hAnsi="Arial" w:cs="Arial"/>
          <w:sz w:val="24"/>
          <w:szCs w:val="24"/>
        </w:rPr>
        <w:t>records the monthly CT 148 charge from the IESO in their G/L</w:t>
      </w:r>
      <w:r w:rsidR="000A34F1">
        <w:rPr>
          <w:rFonts w:ascii="Arial" w:eastAsia="Times New Roman" w:hAnsi="Arial" w:cs="Arial"/>
          <w:sz w:val="24"/>
          <w:szCs w:val="24"/>
        </w:rPr>
        <w:t xml:space="preserve"> prior to receiving the actual invoice (i.e. based on the 2</w:t>
      </w:r>
      <w:r w:rsidR="000A34F1" w:rsidRPr="000A34F1">
        <w:rPr>
          <w:rFonts w:ascii="Arial" w:eastAsia="Times New Roman" w:hAnsi="Arial" w:cs="Arial"/>
          <w:sz w:val="24"/>
          <w:szCs w:val="24"/>
          <w:vertAlign w:val="superscript"/>
        </w:rPr>
        <w:t>nd</w:t>
      </w:r>
      <w:r w:rsidR="000A34F1">
        <w:rPr>
          <w:rFonts w:ascii="Arial" w:eastAsia="Times New Roman" w:hAnsi="Arial" w:cs="Arial"/>
          <w:sz w:val="24"/>
          <w:szCs w:val="24"/>
        </w:rPr>
        <w:t xml:space="preserve"> GA estimate</w:t>
      </w:r>
      <w:r w:rsidR="00F9321D">
        <w:rPr>
          <w:rFonts w:ascii="Arial" w:eastAsia="Times New Roman" w:hAnsi="Arial" w:cs="Arial"/>
          <w:sz w:val="24"/>
          <w:szCs w:val="24"/>
        </w:rPr>
        <w:t xml:space="preserve"> multiplied by estimated consumption</w:t>
      </w:r>
      <w:r w:rsidR="000A34F1">
        <w:rPr>
          <w:rFonts w:ascii="Arial" w:eastAsia="Times New Roman" w:hAnsi="Arial" w:cs="Arial"/>
          <w:sz w:val="24"/>
          <w:szCs w:val="24"/>
        </w:rPr>
        <w:t>) or does</w:t>
      </w:r>
      <w:r w:rsidR="00F9321D">
        <w:rPr>
          <w:rFonts w:ascii="Arial" w:eastAsia="Times New Roman" w:hAnsi="Arial" w:cs="Arial"/>
          <w:sz w:val="24"/>
          <w:szCs w:val="24"/>
        </w:rPr>
        <w:t xml:space="preserve"> the</w:t>
      </w:r>
      <w:r w:rsidR="000A34F1">
        <w:rPr>
          <w:rFonts w:ascii="Arial" w:eastAsia="Times New Roman" w:hAnsi="Arial" w:cs="Arial"/>
          <w:sz w:val="24"/>
          <w:szCs w:val="24"/>
        </w:rPr>
        <w:t xml:space="preserve"> Applicant </w:t>
      </w:r>
      <w:r>
        <w:rPr>
          <w:rFonts w:ascii="Arial" w:eastAsia="Times New Roman" w:hAnsi="Arial" w:cs="Arial"/>
          <w:sz w:val="24"/>
          <w:szCs w:val="24"/>
        </w:rPr>
        <w:t xml:space="preserve">only </w:t>
      </w:r>
      <w:r w:rsidR="000A34F1">
        <w:rPr>
          <w:rFonts w:ascii="Arial" w:eastAsia="Times New Roman" w:hAnsi="Arial" w:cs="Arial"/>
          <w:sz w:val="24"/>
          <w:szCs w:val="24"/>
        </w:rPr>
        <w:t>recorded CT 148 in their G/L once</w:t>
      </w:r>
      <w:r>
        <w:rPr>
          <w:rFonts w:ascii="Arial" w:eastAsia="Times New Roman" w:hAnsi="Arial" w:cs="Arial"/>
          <w:sz w:val="24"/>
          <w:szCs w:val="24"/>
        </w:rPr>
        <w:t xml:space="preserve"> the actual invoice from the IESO</w:t>
      </w:r>
      <w:r w:rsidR="000A34F1">
        <w:rPr>
          <w:rFonts w:ascii="Arial" w:eastAsia="Times New Roman" w:hAnsi="Arial" w:cs="Arial"/>
          <w:sz w:val="24"/>
          <w:szCs w:val="24"/>
        </w:rPr>
        <w:t xml:space="preserve"> is received?</w:t>
      </w:r>
      <w:r w:rsidR="00CF5DF6">
        <w:rPr>
          <w:rFonts w:ascii="Arial" w:eastAsia="Times New Roman" w:hAnsi="Arial" w:cs="Arial"/>
          <w:sz w:val="24"/>
          <w:szCs w:val="24"/>
        </w:rPr>
        <w:t>.</w:t>
      </w:r>
    </w:p>
    <w:p w:rsidR="000A34F1" w:rsidRDefault="000A34F1" w:rsidP="000A34F1">
      <w:pPr>
        <w:pStyle w:val="ListParagraph"/>
        <w:rPr>
          <w:rFonts w:ascii="Arial" w:eastAsia="Times New Roman" w:hAnsi="Arial" w:cs="Arial"/>
          <w:sz w:val="24"/>
          <w:szCs w:val="24"/>
        </w:rPr>
      </w:pPr>
    </w:p>
    <w:p w:rsidR="00CF7A40" w:rsidRPr="00CF7A40" w:rsidRDefault="00CF7A40" w:rsidP="00F06AC5">
      <w:pPr>
        <w:pStyle w:val="ListParagraph"/>
        <w:ind w:left="0"/>
        <w:rPr>
          <w:rFonts w:ascii="Arial" w:eastAsia="Times New Roman" w:hAnsi="Arial" w:cs="Arial"/>
          <w:color w:val="FF0000"/>
          <w:sz w:val="24"/>
          <w:szCs w:val="24"/>
        </w:rPr>
      </w:pPr>
      <w:r>
        <w:rPr>
          <w:rFonts w:ascii="Arial" w:eastAsia="Times New Roman" w:hAnsi="Arial" w:cs="Arial"/>
          <w:color w:val="FF0000"/>
          <w:sz w:val="24"/>
          <w:szCs w:val="24"/>
        </w:rPr>
        <w:t xml:space="preserve">Currently, Westario Power records CT 148 after the IESO invoice has been received.  </w:t>
      </w:r>
    </w:p>
    <w:p w:rsidR="00CF7A40" w:rsidRPr="000A34F1" w:rsidRDefault="00CF7A40" w:rsidP="000A34F1">
      <w:pPr>
        <w:pStyle w:val="ListParagraph"/>
        <w:rPr>
          <w:rFonts w:ascii="Arial" w:eastAsia="Times New Roman" w:hAnsi="Arial" w:cs="Arial"/>
          <w:sz w:val="24"/>
          <w:szCs w:val="24"/>
        </w:rPr>
      </w:pPr>
    </w:p>
    <w:p w:rsidR="00FC194E" w:rsidRPr="00FC194E" w:rsidRDefault="000A34F1" w:rsidP="00FC194E">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In the response provided to Question 3b, the Applicant discusses the </w:t>
      </w:r>
      <w:r w:rsidR="00607733">
        <w:rPr>
          <w:rFonts w:ascii="Arial" w:eastAsia="Times New Roman" w:hAnsi="Arial" w:cs="Arial"/>
          <w:sz w:val="24"/>
          <w:szCs w:val="24"/>
        </w:rPr>
        <w:t>CT 148 true-up that is required</w:t>
      </w:r>
      <w:r w:rsidR="00F9321D">
        <w:rPr>
          <w:rFonts w:ascii="Arial" w:eastAsia="Times New Roman" w:hAnsi="Arial" w:cs="Arial"/>
          <w:sz w:val="24"/>
          <w:szCs w:val="24"/>
        </w:rPr>
        <w:t xml:space="preserve"> with respect</w:t>
      </w:r>
      <w:r w:rsidR="00607733">
        <w:rPr>
          <w:rFonts w:ascii="Arial" w:eastAsia="Times New Roman" w:hAnsi="Arial" w:cs="Arial"/>
          <w:sz w:val="24"/>
          <w:szCs w:val="24"/>
        </w:rPr>
        <w:t xml:space="preserve"> to the split between RPP and Non-RPP.  Is there also a</w:t>
      </w:r>
      <w:r w:rsidR="00F9321D">
        <w:rPr>
          <w:rFonts w:ascii="Arial" w:eastAsia="Times New Roman" w:hAnsi="Arial" w:cs="Arial"/>
          <w:sz w:val="24"/>
          <w:szCs w:val="24"/>
        </w:rPr>
        <w:t>n adjustment that is required in order</w:t>
      </w:r>
      <w:r w:rsidR="00607733">
        <w:rPr>
          <w:rFonts w:ascii="Arial" w:eastAsia="Times New Roman" w:hAnsi="Arial" w:cs="Arial"/>
          <w:sz w:val="24"/>
          <w:szCs w:val="24"/>
        </w:rPr>
        <w:t xml:space="preserve"> to true-up the estimated</w:t>
      </w:r>
      <w:r w:rsidR="00F9321D">
        <w:rPr>
          <w:rFonts w:ascii="Arial" w:eastAsia="Times New Roman" w:hAnsi="Arial" w:cs="Arial"/>
          <w:sz w:val="24"/>
          <w:szCs w:val="24"/>
        </w:rPr>
        <w:t xml:space="preserve"> GA</w:t>
      </w:r>
      <w:r w:rsidR="00607733">
        <w:rPr>
          <w:rFonts w:ascii="Arial" w:eastAsia="Times New Roman" w:hAnsi="Arial" w:cs="Arial"/>
          <w:sz w:val="24"/>
          <w:szCs w:val="24"/>
        </w:rPr>
        <w:t xml:space="preserve"> rate used initially to actual? If not, please explain why </w:t>
      </w:r>
      <w:r w:rsidR="00DD7D54">
        <w:rPr>
          <w:rFonts w:ascii="Arial" w:eastAsia="Times New Roman" w:hAnsi="Arial" w:cs="Arial"/>
          <w:sz w:val="24"/>
          <w:szCs w:val="24"/>
        </w:rPr>
        <w:t>it is not required</w:t>
      </w:r>
      <w:r w:rsidR="00607733">
        <w:rPr>
          <w:rFonts w:ascii="Arial" w:eastAsia="Times New Roman" w:hAnsi="Arial" w:cs="Arial"/>
          <w:sz w:val="24"/>
          <w:szCs w:val="24"/>
        </w:rPr>
        <w:t>.</w:t>
      </w:r>
    </w:p>
    <w:p w:rsidR="00066C75" w:rsidRDefault="00066C75" w:rsidP="00066C75">
      <w:pPr>
        <w:pStyle w:val="ListParagraph"/>
        <w:rPr>
          <w:rFonts w:ascii="Arial" w:eastAsia="Times New Roman" w:hAnsi="Arial" w:cs="Arial"/>
          <w:sz w:val="24"/>
          <w:szCs w:val="24"/>
        </w:rPr>
      </w:pPr>
    </w:p>
    <w:p w:rsidR="00F06AC5" w:rsidRDefault="003345CE" w:rsidP="00F06AC5">
      <w:pPr>
        <w:pStyle w:val="ListParagraph"/>
        <w:ind w:left="0"/>
        <w:rPr>
          <w:rFonts w:ascii="Arial" w:eastAsia="Times New Roman" w:hAnsi="Arial" w:cs="Arial"/>
          <w:color w:val="FF0000"/>
          <w:sz w:val="24"/>
          <w:szCs w:val="24"/>
        </w:rPr>
      </w:pPr>
      <w:r>
        <w:rPr>
          <w:rFonts w:ascii="Arial" w:eastAsia="Times New Roman" w:hAnsi="Arial" w:cs="Arial"/>
          <w:color w:val="FF0000"/>
          <w:sz w:val="24"/>
          <w:szCs w:val="24"/>
        </w:rPr>
        <w:t>The true incorporates both volume and $</w:t>
      </w:r>
      <w:r w:rsidR="000A6E32">
        <w:rPr>
          <w:rFonts w:ascii="Arial" w:eastAsia="Times New Roman" w:hAnsi="Arial" w:cs="Arial"/>
          <w:color w:val="FF0000"/>
          <w:sz w:val="24"/>
          <w:szCs w:val="24"/>
        </w:rPr>
        <w:t xml:space="preserve">. Here are the required adjustment required for 2016 and 2017.  These adjustments have been added to the DVA schedule under the </w:t>
      </w:r>
      <w:r w:rsidR="000A6E32" w:rsidRPr="000A6E32">
        <w:rPr>
          <w:rFonts w:ascii="Arial" w:eastAsia="Times New Roman" w:hAnsi="Arial" w:cs="Arial"/>
          <w:color w:val="FF0000"/>
          <w:sz w:val="24"/>
          <w:szCs w:val="24"/>
        </w:rPr>
        <w:t xml:space="preserve">Principal Adjustments </w:t>
      </w:r>
      <w:r w:rsidR="000A6E32">
        <w:rPr>
          <w:rFonts w:ascii="Arial" w:eastAsia="Times New Roman" w:hAnsi="Arial" w:cs="Arial"/>
          <w:color w:val="FF0000"/>
          <w:sz w:val="24"/>
          <w:szCs w:val="24"/>
        </w:rPr>
        <w:t>Columns, column AV for 2016 and column BF for 2017.</w:t>
      </w:r>
    </w:p>
    <w:p w:rsidR="000A6E32" w:rsidRDefault="000A6E32" w:rsidP="000A6E32">
      <w:pPr>
        <w:pStyle w:val="ListParagraph"/>
        <w:spacing w:after="0"/>
        <w:ind w:left="0"/>
        <w:rPr>
          <w:rFonts w:ascii="Arial" w:eastAsia="Times New Roman" w:hAnsi="Arial" w:cs="Arial"/>
          <w:color w:val="FF0000"/>
          <w:sz w:val="24"/>
          <w:szCs w:val="24"/>
        </w:rPr>
      </w:pPr>
    </w:p>
    <w:p w:rsidR="000A6E32" w:rsidRDefault="000A6E32" w:rsidP="000A6E32">
      <w:pPr>
        <w:spacing w:after="0"/>
        <w:rPr>
          <w:rFonts w:ascii="Arial" w:eastAsia="Times New Roman" w:hAnsi="Arial" w:cs="Arial"/>
          <w:color w:val="FF0000"/>
          <w:sz w:val="24"/>
          <w:lang w:eastAsia="en-CA"/>
        </w:rPr>
      </w:pPr>
      <w:r>
        <w:rPr>
          <w:rFonts w:ascii="Arial" w:eastAsia="Times New Roman" w:hAnsi="Arial" w:cs="Arial"/>
          <w:color w:val="FF0000"/>
          <w:sz w:val="24"/>
          <w:lang w:eastAsia="en-CA"/>
        </w:rPr>
        <w:t>For 2016 the following is required:</w:t>
      </w:r>
    </w:p>
    <w:p w:rsidR="000A6E32" w:rsidRPr="000A6E32" w:rsidRDefault="000A6E32" w:rsidP="000A6E32">
      <w:pPr>
        <w:spacing w:after="0"/>
        <w:rPr>
          <w:rFonts w:ascii="Arial" w:eastAsia="Times New Roman" w:hAnsi="Arial" w:cs="Arial"/>
          <w:color w:val="FF0000"/>
          <w:sz w:val="24"/>
          <w:lang w:eastAsia="en-CA"/>
        </w:rPr>
      </w:pPr>
      <w:r w:rsidRPr="000A6E32">
        <w:rPr>
          <w:rFonts w:ascii="Arial" w:eastAsia="Times New Roman" w:hAnsi="Arial" w:cs="Arial"/>
          <w:color w:val="FF0000"/>
          <w:sz w:val="24"/>
          <w:lang w:eastAsia="en-CA"/>
        </w:rPr>
        <w:t>Debit to account 1588</w:t>
      </w:r>
      <w:r w:rsidRPr="000A6E32">
        <w:rPr>
          <w:rFonts w:ascii="Arial" w:eastAsia="Times New Roman" w:hAnsi="Arial" w:cs="Arial"/>
          <w:color w:val="FF0000"/>
          <w:sz w:val="24"/>
          <w:szCs w:val="24"/>
        </w:rPr>
        <w:t xml:space="preserve"> for RPP </w:t>
      </w:r>
      <w:r>
        <w:rPr>
          <w:rFonts w:ascii="Arial" w:eastAsia="Times New Roman" w:hAnsi="Arial" w:cs="Arial"/>
          <w:color w:val="FF0000"/>
          <w:sz w:val="24"/>
          <w:szCs w:val="24"/>
        </w:rPr>
        <w:t>for</w:t>
      </w:r>
      <w:r>
        <w:rPr>
          <w:rFonts w:ascii="Arial" w:eastAsia="Times New Roman" w:hAnsi="Arial" w:cs="Arial"/>
          <w:color w:val="FF0000"/>
          <w:sz w:val="24"/>
          <w:szCs w:val="24"/>
        </w:rPr>
        <w:tab/>
      </w:r>
      <w:r w:rsidRPr="000A6E32">
        <w:rPr>
          <w:rFonts w:ascii="Arial" w:eastAsia="Times New Roman" w:hAnsi="Arial" w:cs="Arial"/>
          <w:color w:val="FF0000"/>
          <w:sz w:val="24"/>
          <w:szCs w:val="24"/>
        </w:rPr>
        <w:tab/>
      </w:r>
      <w:r w:rsidRPr="000A6E32">
        <w:rPr>
          <w:rFonts w:ascii="Arial" w:eastAsia="Times New Roman" w:hAnsi="Arial" w:cs="Arial"/>
          <w:color w:val="FF0000"/>
          <w:sz w:val="24"/>
          <w:lang w:eastAsia="en-CA"/>
        </w:rPr>
        <w:tab/>
      </w:r>
      <w:r w:rsidRPr="000A6E32">
        <w:rPr>
          <w:rFonts w:ascii="Arial" w:eastAsia="Times New Roman" w:hAnsi="Arial" w:cs="Arial"/>
          <w:color w:val="FF0000"/>
          <w:sz w:val="24"/>
          <w:lang w:eastAsia="en-CA"/>
        </w:rPr>
        <w:tab/>
        <w:t>$562,353</w:t>
      </w:r>
    </w:p>
    <w:p w:rsidR="000A6E32" w:rsidRDefault="000A6E32" w:rsidP="000A6E32">
      <w:pPr>
        <w:spacing w:after="0"/>
        <w:rPr>
          <w:rFonts w:ascii="Arial" w:eastAsia="Times New Roman" w:hAnsi="Arial" w:cs="Arial"/>
          <w:color w:val="FF0000"/>
          <w:sz w:val="24"/>
          <w:lang w:eastAsia="en-CA"/>
        </w:rPr>
      </w:pPr>
      <w:r w:rsidRPr="000A6E32">
        <w:rPr>
          <w:rFonts w:ascii="Arial" w:eastAsia="Times New Roman" w:hAnsi="Arial" w:cs="Arial"/>
          <w:color w:val="FF0000"/>
          <w:sz w:val="24"/>
          <w:lang w:eastAsia="en-CA"/>
        </w:rPr>
        <w:t xml:space="preserve">Credit to account 1589 </w:t>
      </w:r>
      <w:r>
        <w:rPr>
          <w:rFonts w:ascii="Arial" w:eastAsia="Times New Roman" w:hAnsi="Arial" w:cs="Arial"/>
          <w:color w:val="FF0000"/>
          <w:sz w:val="24"/>
          <w:szCs w:val="24"/>
        </w:rPr>
        <w:t>for Non-RPP for</w:t>
      </w:r>
      <w:r>
        <w:rPr>
          <w:rFonts w:ascii="Arial" w:eastAsia="Times New Roman" w:hAnsi="Arial" w:cs="Arial"/>
          <w:color w:val="FF0000"/>
          <w:sz w:val="24"/>
          <w:lang w:eastAsia="en-CA"/>
        </w:rPr>
        <w:tab/>
      </w:r>
      <w:r>
        <w:rPr>
          <w:rFonts w:ascii="Arial" w:eastAsia="Times New Roman" w:hAnsi="Arial" w:cs="Arial"/>
          <w:color w:val="FF0000"/>
          <w:sz w:val="24"/>
          <w:lang w:eastAsia="en-CA"/>
        </w:rPr>
        <w:tab/>
      </w:r>
      <w:r w:rsidRPr="000A6E32">
        <w:rPr>
          <w:rFonts w:ascii="Arial" w:eastAsia="Times New Roman" w:hAnsi="Arial" w:cs="Arial"/>
          <w:color w:val="FF0000"/>
          <w:sz w:val="24"/>
          <w:lang w:eastAsia="en-CA"/>
        </w:rPr>
        <w:tab/>
        <w:t>$562,353</w:t>
      </w:r>
    </w:p>
    <w:p w:rsidR="000A6E32" w:rsidRPr="000A6E32" w:rsidRDefault="000A6E32" w:rsidP="000A6E32">
      <w:pPr>
        <w:spacing w:after="0"/>
        <w:rPr>
          <w:rFonts w:ascii="Arial" w:eastAsia="Times New Roman" w:hAnsi="Arial" w:cs="Arial"/>
          <w:color w:val="FF0000"/>
          <w:sz w:val="24"/>
          <w:lang w:eastAsia="en-CA"/>
        </w:rPr>
      </w:pPr>
    </w:p>
    <w:p w:rsidR="000A6E32" w:rsidRDefault="000A6E32" w:rsidP="000A6E32">
      <w:pPr>
        <w:spacing w:after="0"/>
        <w:rPr>
          <w:rFonts w:ascii="Arial" w:eastAsia="Times New Roman" w:hAnsi="Arial" w:cs="Arial"/>
          <w:color w:val="FF0000"/>
          <w:sz w:val="24"/>
          <w:lang w:eastAsia="en-CA"/>
        </w:rPr>
      </w:pPr>
      <w:r>
        <w:rPr>
          <w:rFonts w:ascii="Arial" w:eastAsia="Times New Roman" w:hAnsi="Arial" w:cs="Arial"/>
          <w:color w:val="FF0000"/>
          <w:sz w:val="24"/>
          <w:lang w:eastAsia="en-CA"/>
        </w:rPr>
        <w:t>For 2017 the following is required:</w:t>
      </w:r>
    </w:p>
    <w:p w:rsidR="000A6E32" w:rsidRPr="000A6E32" w:rsidRDefault="000A6E32" w:rsidP="000A6E32">
      <w:pPr>
        <w:spacing w:after="0"/>
        <w:rPr>
          <w:rFonts w:ascii="Arial" w:eastAsia="Times New Roman" w:hAnsi="Arial" w:cs="Arial"/>
          <w:color w:val="FF0000"/>
          <w:sz w:val="24"/>
          <w:szCs w:val="24"/>
          <w:lang w:eastAsia="en-CA"/>
        </w:rPr>
      </w:pPr>
      <w:r w:rsidRPr="000A6E32">
        <w:rPr>
          <w:rFonts w:ascii="Arial" w:eastAsia="Times New Roman" w:hAnsi="Arial" w:cs="Arial"/>
          <w:color w:val="FF0000"/>
          <w:sz w:val="24"/>
          <w:szCs w:val="24"/>
        </w:rPr>
        <w:t xml:space="preserve">Debit account 1588 for RPP </w:t>
      </w:r>
      <w:r>
        <w:rPr>
          <w:rFonts w:ascii="Arial" w:eastAsia="Times New Roman" w:hAnsi="Arial" w:cs="Arial"/>
          <w:color w:val="FF0000"/>
          <w:sz w:val="24"/>
          <w:szCs w:val="24"/>
        </w:rPr>
        <w:t>for</w:t>
      </w:r>
      <w:r>
        <w:rPr>
          <w:rFonts w:ascii="Arial" w:eastAsia="Times New Roman" w:hAnsi="Arial" w:cs="Arial"/>
          <w:color w:val="FF0000"/>
          <w:sz w:val="24"/>
          <w:szCs w:val="24"/>
        </w:rPr>
        <w:tab/>
      </w:r>
      <w:r w:rsidRPr="000A6E32">
        <w:rPr>
          <w:rFonts w:ascii="Arial" w:eastAsia="Times New Roman" w:hAnsi="Arial" w:cs="Arial"/>
          <w:color w:val="FF0000"/>
          <w:sz w:val="24"/>
          <w:szCs w:val="24"/>
        </w:rPr>
        <w:tab/>
      </w:r>
      <w:r w:rsidRPr="000A6E32">
        <w:rPr>
          <w:rFonts w:ascii="Arial" w:eastAsia="Times New Roman" w:hAnsi="Arial" w:cs="Arial"/>
          <w:color w:val="FF0000"/>
          <w:sz w:val="24"/>
          <w:szCs w:val="24"/>
        </w:rPr>
        <w:tab/>
      </w:r>
      <w:r w:rsidRPr="000A6E32">
        <w:rPr>
          <w:rFonts w:ascii="Arial" w:eastAsia="Times New Roman" w:hAnsi="Arial" w:cs="Arial"/>
          <w:color w:val="FF0000"/>
          <w:sz w:val="24"/>
          <w:szCs w:val="24"/>
        </w:rPr>
        <w:tab/>
      </w:r>
      <w:r w:rsidRPr="000A6E32">
        <w:rPr>
          <w:rFonts w:ascii="Arial" w:eastAsia="Times New Roman" w:hAnsi="Arial" w:cs="Arial"/>
          <w:color w:val="FF0000"/>
          <w:sz w:val="24"/>
          <w:szCs w:val="24"/>
          <w:lang w:eastAsia="en-CA"/>
        </w:rPr>
        <w:t>$</w:t>
      </w:r>
      <w:r w:rsidRPr="000A6E32">
        <w:rPr>
          <w:rFonts w:ascii="Arial" w:eastAsia="Times New Roman" w:hAnsi="Arial" w:cs="Arial"/>
          <w:color w:val="FF0000"/>
          <w:sz w:val="24"/>
          <w:szCs w:val="24"/>
        </w:rPr>
        <w:t>2,160,310</w:t>
      </w:r>
    </w:p>
    <w:p w:rsidR="000A6E32" w:rsidRPr="000A6E32" w:rsidRDefault="000A6E32" w:rsidP="000A6E32">
      <w:pPr>
        <w:spacing w:after="0"/>
        <w:rPr>
          <w:rFonts w:ascii="Arial" w:eastAsia="Times New Roman" w:hAnsi="Arial" w:cs="Arial"/>
          <w:color w:val="FF0000"/>
          <w:sz w:val="24"/>
          <w:szCs w:val="24"/>
          <w:lang w:eastAsia="en-CA"/>
        </w:rPr>
      </w:pPr>
      <w:r w:rsidRPr="000A6E32">
        <w:rPr>
          <w:rFonts w:ascii="Arial" w:eastAsia="Times New Roman" w:hAnsi="Arial" w:cs="Arial"/>
          <w:color w:val="FF0000"/>
          <w:sz w:val="24"/>
          <w:szCs w:val="24"/>
        </w:rPr>
        <w:t>Credit account 1589 for Non-RPP</w:t>
      </w:r>
      <w:r>
        <w:rPr>
          <w:rFonts w:ascii="Arial" w:eastAsia="Times New Roman" w:hAnsi="Arial" w:cs="Arial"/>
          <w:color w:val="FF0000"/>
          <w:sz w:val="24"/>
          <w:szCs w:val="24"/>
        </w:rPr>
        <w:t xml:space="preserve"> for</w:t>
      </w:r>
      <w:r>
        <w:rPr>
          <w:rFonts w:ascii="Arial" w:eastAsia="Times New Roman" w:hAnsi="Arial" w:cs="Arial"/>
          <w:color w:val="FF0000"/>
          <w:sz w:val="24"/>
          <w:szCs w:val="24"/>
        </w:rPr>
        <w:tab/>
      </w:r>
      <w:r w:rsidRPr="000A6E32">
        <w:rPr>
          <w:rFonts w:ascii="Arial" w:hAnsi="Arial" w:cs="Arial"/>
          <w:color w:val="FF0000"/>
          <w:sz w:val="24"/>
          <w:szCs w:val="24"/>
        </w:rPr>
        <w:t xml:space="preserve"> </w:t>
      </w:r>
      <w:r w:rsidRPr="000A6E32">
        <w:rPr>
          <w:rFonts w:ascii="Arial" w:hAnsi="Arial" w:cs="Arial"/>
          <w:color w:val="FF0000"/>
          <w:sz w:val="24"/>
          <w:szCs w:val="24"/>
        </w:rPr>
        <w:tab/>
      </w:r>
      <w:r w:rsidRPr="000A6E32">
        <w:rPr>
          <w:rFonts w:ascii="Arial" w:hAnsi="Arial" w:cs="Arial"/>
          <w:color w:val="FF0000"/>
          <w:sz w:val="24"/>
          <w:szCs w:val="24"/>
        </w:rPr>
        <w:tab/>
      </w:r>
      <w:r w:rsidRPr="000A6E32">
        <w:rPr>
          <w:rFonts w:ascii="Arial" w:eastAsia="Times New Roman" w:hAnsi="Arial" w:cs="Arial"/>
          <w:color w:val="FF0000"/>
          <w:sz w:val="24"/>
          <w:szCs w:val="24"/>
          <w:lang w:eastAsia="en-CA"/>
        </w:rPr>
        <w:t>$</w:t>
      </w:r>
      <w:r w:rsidRPr="000A6E32">
        <w:rPr>
          <w:rFonts w:ascii="Arial" w:eastAsia="Times New Roman" w:hAnsi="Arial" w:cs="Arial"/>
          <w:color w:val="FF0000"/>
          <w:sz w:val="24"/>
          <w:szCs w:val="24"/>
        </w:rPr>
        <w:t>2,160,310</w:t>
      </w:r>
    </w:p>
    <w:p w:rsidR="000A6E32" w:rsidRPr="000A6E32" w:rsidRDefault="000A6E32" w:rsidP="00F06AC5">
      <w:pPr>
        <w:pStyle w:val="ListParagraph"/>
        <w:ind w:left="0"/>
        <w:rPr>
          <w:rFonts w:ascii="Arial" w:eastAsia="Times New Roman" w:hAnsi="Arial" w:cs="Arial"/>
          <w:color w:val="FF0000"/>
          <w:sz w:val="24"/>
          <w:szCs w:val="24"/>
        </w:rPr>
      </w:pPr>
    </w:p>
    <w:p w:rsidR="00F06AC5" w:rsidRPr="00066C75" w:rsidRDefault="00F06AC5" w:rsidP="00066C75">
      <w:pPr>
        <w:pStyle w:val="ListParagraph"/>
        <w:rPr>
          <w:rFonts w:ascii="Arial" w:eastAsia="Times New Roman" w:hAnsi="Arial" w:cs="Arial"/>
          <w:sz w:val="24"/>
          <w:szCs w:val="24"/>
        </w:rPr>
      </w:pPr>
    </w:p>
    <w:p w:rsidR="00066C75" w:rsidRDefault="00066C75"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In the response provided fro 3d and 3e, it appears that the applicant indicating that it had not been recording the CT 148 true-up at all for both 2016 and 2017, </w:t>
      </w:r>
      <w:r>
        <w:rPr>
          <w:rFonts w:ascii="Arial" w:eastAsia="Times New Roman" w:hAnsi="Arial" w:cs="Arial"/>
          <w:sz w:val="24"/>
          <w:szCs w:val="24"/>
        </w:rPr>
        <w:lastRenderedPageBreak/>
        <w:t>and then recorded a comprehensive true-up for all of 2016 and 2017 during 2018</w:t>
      </w:r>
      <w:r w:rsidR="00504439">
        <w:rPr>
          <w:rFonts w:ascii="Arial" w:eastAsia="Times New Roman" w:hAnsi="Arial" w:cs="Arial"/>
          <w:sz w:val="24"/>
          <w:szCs w:val="24"/>
        </w:rPr>
        <w:t xml:space="preserve"> (for all 24 months).  Please confirm whether this understanding is correct and if not, please clarify what was done.</w:t>
      </w:r>
    </w:p>
    <w:p w:rsidR="00FC194E" w:rsidRDefault="00FC194E" w:rsidP="00FC194E">
      <w:pPr>
        <w:pStyle w:val="ListParagraph"/>
        <w:rPr>
          <w:rFonts w:ascii="Arial" w:eastAsia="Times New Roman" w:hAnsi="Arial" w:cs="Arial"/>
          <w:sz w:val="24"/>
          <w:szCs w:val="24"/>
        </w:rPr>
      </w:pPr>
    </w:p>
    <w:p w:rsidR="00CF7A40" w:rsidRPr="00CF7A40" w:rsidRDefault="00CF7A40" w:rsidP="00F06AC5">
      <w:pPr>
        <w:pStyle w:val="ListParagraph"/>
        <w:ind w:left="0"/>
        <w:rPr>
          <w:rFonts w:ascii="Arial" w:eastAsia="Times New Roman" w:hAnsi="Arial" w:cs="Arial"/>
          <w:color w:val="FF0000"/>
          <w:sz w:val="24"/>
          <w:szCs w:val="24"/>
        </w:rPr>
      </w:pPr>
      <w:r>
        <w:rPr>
          <w:rFonts w:ascii="Arial" w:eastAsia="Times New Roman" w:hAnsi="Arial" w:cs="Arial"/>
          <w:color w:val="FF0000"/>
          <w:sz w:val="24"/>
          <w:szCs w:val="24"/>
        </w:rPr>
        <w:t>Westario Power did perform a partial true-up in late 2017 for 2017 but the true-up was too low.  A better and more defined true-up was performed in 2018 for both 2016 &amp; 2017.</w:t>
      </w:r>
    </w:p>
    <w:p w:rsidR="00CF7A40" w:rsidRPr="00FC194E" w:rsidRDefault="00CF7A40" w:rsidP="00FC194E">
      <w:pPr>
        <w:pStyle w:val="ListParagraph"/>
        <w:rPr>
          <w:rFonts w:ascii="Arial" w:eastAsia="Times New Roman" w:hAnsi="Arial" w:cs="Arial"/>
          <w:sz w:val="24"/>
          <w:szCs w:val="24"/>
        </w:rPr>
      </w:pPr>
    </w:p>
    <w:p w:rsidR="00FC194E" w:rsidRDefault="00FC194E" w:rsidP="009F729D">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 xml:space="preserve">In the responses provided for Appendix A, the Applicant has indicated the RPP vs Non RPP split used for the purposes of calculating CT 1142 and for the allocation of CT 148 are initially based on an estimate.  Is the same estimate of </w:t>
      </w:r>
      <w:r w:rsidR="00DD7D54">
        <w:rPr>
          <w:rFonts w:ascii="Arial" w:eastAsia="Times New Roman" w:hAnsi="Arial" w:cs="Arial"/>
          <w:sz w:val="24"/>
          <w:szCs w:val="24"/>
        </w:rPr>
        <w:t xml:space="preserve">the </w:t>
      </w:r>
      <w:r>
        <w:rPr>
          <w:rFonts w:ascii="Arial" w:eastAsia="Times New Roman" w:hAnsi="Arial" w:cs="Arial"/>
          <w:sz w:val="24"/>
          <w:szCs w:val="24"/>
        </w:rPr>
        <w:t xml:space="preserve">RPP vs Non RPP </w:t>
      </w:r>
      <w:r w:rsidR="00DD7D54">
        <w:rPr>
          <w:rFonts w:ascii="Arial" w:eastAsia="Times New Roman" w:hAnsi="Arial" w:cs="Arial"/>
          <w:sz w:val="24"/>
          <w:szCs w:val="24"/>
        </w:rPr>
        <w:t>split used for</w:t>
      </w:r>
      <w:r>
        <w:rPr>
          <w:rFonts w:ascii="Arial" w:eastAsia="Times New Roman" w:hAnsi="Arial" w:cs="Arial"/>
          <w:sz w:val="24"/>
          <w:szCs w:val="24"/>
        </w:rPr>
        <w:t xml:space="preserve"> both </w:t>
      </w:r>
      <w:r w:rsidR="00DD7D54">
        <w:rPr>
          <w:rFonts w:ascii="Arial" w:eastAsia="Times New Roman" w:hAnsi="Arial" w:cs="Arial"/>
          <w:sz w:val="24"/>
          <w:szCs w:val="24"/>
        </w:rPr>
        <w:t>purposes</w:t>
      </w:r>
      <w:r>
        <w:rPr>
          <w:rFonts w:ascii="Arial" w:eastAsia="Times New Roman" w:hAnsi="Arial" w:cs="Arial"/>
          <w:sz w:val="24"/>
          <w:szCs w:val="24"/>
        </w:rPr>
        <w:t>? Please explain.</w:t>
      </w:r>
    </w:p>
    <w:p w:rsidR="00AE01B7" w:rsidRPr="00AE01B7" w:rsidRDefault="00AE01B7" w:rsidP="00AE01B7">
      <w:pPr>
        <w:pStyle w:val="ListParagraph"/>
        <w:rPr>
          <w:rFonts w:ascii="Arial" w:eastAsia="Times New Roman" w:hAnsi="Arial" w:cs="Arial"/>
          <w:sz w:val="24"/>
          <w:szCs w:val="24"/>
        </w:rPr>
      </w:pPr>
    </w:p>
    <w:p w:rsidR="00AE01B7" w:rsidRDefault="00AE01B7" w:rsidP="00F06AC5">
      <w:pPr>
        <w:pStyle w:val="ListParagraph"/>
        <w:spacing w:after="0"/>
        <w:ind w:left="0"/>
        <w:rPr>
          <w:rFonts w:ascii="Arial" w:eastAsia="Times New Roman" w:hAnsi="Arial" w:cs="Arial"/>
          <w:color w:val="FF0000"/>
          <w:sz w:val="24"/>
          <w:szCs w:val="24"/>
        </w:rPr>
      </w:pPr>
      <w:r>
        <w:rPr>
          <w:rFonts w:ascii="Arial" w:eastAsia="Times New Roman" w:hAnsi="Arial" w:cs="Arial"/>
          <w:color w:val="FF0000"/>
          <w:sz w:val="24"/>
          <w:szCs w:val="24"/>
        </w:rPr>
        <w:t>No</w:t>
      </w:r>
      <w:r w:rsidRPr="00AE01B7">
        <w:rPr>
          <w:rFonts w:ascii="Arial" w:eastAsia="Times New Roman" w:hAnsi="Arial" w:cs="Arial"/>
          <w:color w:val="FF0000"/>
          <w:sz w:val="24"/>
          <w:szCs w:val="24"/>
        </w:rPr>
        <w:t xml:space="preserve">, </w:t>
      </w:r>
      <w:r>
        <w:rPr>
          <w:rFonts w:ascii="Arial" w:eastAsia="Times New Roman" w:hAnsi="Arial" w:cs="Arial"/>
          <w:color w:val="FF0000"/>
          <w:sz w:val="24"/>
          <w:szCs w:val="24"/>
        </w:rPr>
        <w:t>the estimated split</w:t>
      </w:r>
      <w:r w:rsidR="00661BFF">
        <w:rPr>
          <w:rFonts w:ascii="Arial" w:eastAsia="Times New Roman" w:hAnsi="Arial" w:cs="Arial"/>
          <w:color w:val="FF0000"/>
          <w:sz w:val="24"/>
          <w:szCs w:val="24"/>
        </w:rPr>
        <w:t xml:space="preserve"> for CT1142</w:t>
      </w:r>
      <w:r>
        <w:rPr>
          <w:rFonts w:ascii="Arial" w:eastAsia="Times New Roman" w:hAnsi="Arial" w:cs="Arial"/>
          <w:color w:val="FF0000"/>
          <w:sz w:val="24"/>
          <w:szCs w:val="24"/>
        </w:rPr>
        <w:t xml:space="preserve"> </w:t>
      </w:r>
      <w:r w:rsidR="00661BFF">
        <w:rPr>
          <w:rFonts w:ascii="Arial" w:eastAsia="Times New Roman" w:hAnsi="Arial" w:cs="Arial"/>
          <w:color w:val="FF0000"/>
          <w:sz w:val="24"/>
          <w:szCs w:val="24"/>
        </w:rPr>
        <w:t>is addressed in the initial</w:t>
      </w:r>
      <w:r w:rsidR="008325D7">
        <w:rPr>
          <w:rFonts w:ascii="Arial" w:eastAsia="Times New Roman" w:hAnsi="Arial" w:cs="Arial"/>
          <w:color w:val="FF0000"/>
          <w:sz w:val="24"/>
          <w:szCs w:val="24"/>
        </w:rPr>
        <w:t xml:space="preserve"> Appendix A</w:t>
      </w:r>
      <w:r w:rsidR="00661BFF">
        <w:rPr>
          <w:rFonts w:ascii="Arial" w:eastAsia="Times New Roman" w:hAnsi="Arial" w:cs="Arial"/>
          <w:color w:val="FF0000"/>
          <w:sz w:val="24"/>
          <w:szCs w:val="24"/>
        </w:rPr>
        <w:t xml:space="preserve"> question</w:t>
      </w:r>
      <w:r w:rsidR="008506A4">
        <w:rPr>
          <w:rFonts w:ascii="Arial" w:eastAsia="Times New Roman" w:hAnsi="Arial" w:cs="Arial"/>
          <w:color w:val="FF0000"/>
          <w:sz w:val="24"/>
          <w:szCs w:val="24"/>
        </w:rPr>
        <w:t xml:space="preserve"> </w:t>
      </w:r>
      <w:r w:rsidR="00661BFF">
        <w:rPr>
          <w:rFonts w:ascii="Arial" w:eastAsia="Times New Roman" w:hAnsi="Arial" w:cs="Arial"/>
          <w:color w:val="FF0000"/>
          <w:sz w:val="24"/>
          <w:szCs w:val="24"/>
        </w:rPr>
        <w:t>2a and this is different than CT 148 split since the calculation is required on day 4 for CT1142. The CT 148 split is based on actual billed consumption for that month.</w:t>
      </w:r>
    </w:p>
    <w:p w:rsidR="000F10D0" w:rsidRPr="000F10D0" w:rsidRDefault="000F10D0" w:rsidP="000F10D0">
      <w:pPr>
        <w:pStyle w:val="ListParagraph"/>
        <w:rPr>
          <w:rFonts w:ascii="Arial" w:eastAsia="Times New Roman" w:hAnsi="Arial" w:cs="Arial"/>
          <w:sz w:val="24"/>
          <w:szCs w:val="24"/>
        </w:rPr>
      </w:pPr>
    </w:p>
    <w:p w:rsidR="00321FBB" w:rsidRDefault="000F10D0" w:rsidP="001E54C6">
      <w:pPr>
        <w:pStyle w:val="ListParagraph"/>
        <w:numPr>
          <w:ilvl w:val="0"/>
          <w:numId w:val="25"/>
        </w:numPr>
        <w:spacing w:after="0"/>
        <w:rPr>
          <w:rFonts w:ascii="Arial" w:eastAsia="Times New Roman" w:hAnsi="Arial" w:cs="Arial"/>
          <w:sz w:val="24"/>
          <w:szCs w:val="24"/>
        </w:rPr>
      </w:pPr>
      <w:r>
        <w:rPr>
          <w:rFonts w:ascii="Arial" w:eastAsia="Times New Roman" w:hAnsi="Arial" w:cs="Arial"/>
          <w:sz w:val="24"/>
          <w:szCs w:val="24"/>
        </w:rPr>
        <w:t>In the response provided to question 4e of the 2017 GA Analysis workform, the Applicant is indicating that the principal adjustments proposed in 4d of Appendix do not reconcile to the DVA continuity schedule.  However, upon review of the DVA continuity schedule, it does reconcile for 2016 but doesn’t for 2017. The</w:t>
      </w:r>
      <w:r w:rsidR="00DD7D54">
        <w:rPr>
          <w:rFonts w:ascii="Arial" w:eastAsia="Times New Roman" w:hAnsi="Arial" w:cs="Arial"/>
          <w:sz w:val="24"/>
          <w:szCs w:val="24"/>
        </w:rPr>
        <w:t xml:space="preserve"> explanation that is currently provided is</w:t>
      </w:r>
      <w:r>
        <w:rPr>
          <w:rFonts w:ascii="Arial" w:eastAsia="Times New Roman" w:hAnsi="Arial" w:cs="Arial"/>
          <w:sz w:val="24"/>
          <w:szCs w:val="24"/>
        </w:rPr>
        <w:t xml:space="preserve"> not adequate to support why it doesn’t reconcile.  Please update as there appears to be a disconnect between the response provided in 4e and what actually got recorded in the DVA continuity schedule</w:t>
      </w:r>
      <w:r w:rsidR="00DD7D54">
        <w:rPr>
          <w:rFonts w:ascii="Arial" w:eastAsia="Times New Roman" w:hAnsi="Arial" w:cs="Arial"/>
          <w:sz w:val="24"/>
          <w:szCs w:val="24"/>
        </w:rPr>
        <w:t xml:space="preserve"> as a principal adjustment</w:t>
      </w:r>
      <w:r>
        <w:rPr>
          <w:rFonts w:ascii="Arial" w:eastAsia="Times New Roman" w:hAnsi="Arial" w:cs="Arial"/>
          <w:sz w:val="24"/>
          <w:szCs w:val="24"/>
        </w:rPr>
        <w:t>.</w:t>
      </w:r>
    </w:p>
    <w:p w:rsidR="00825552" w:rsidRDefault="00825552" w:rsidP="00AB3328">
      <w:pPr>
        <w:spacing w:after="0"/>
        <w:rPr>
          <w:rFonts w:ascii="Arial" w:eastAsia="Times New Roman" w:hAnsi="Arial" w:cs="Arial"/>
          <w:sz w:val="24"/>
          <w:szCs w:val="24"/>
        </w:rPr>
      </w:pPr>
    </w:p>
    <w:p w:rsidR="00AB3328" w:rsidRPr="00144F19" w:rsidRDefault="00144F19" w:rsidP="00144F19">
      <w:pPr>
        <w:pStyle w:val="ListParagraph"/>
        <w:ind w:left="0"/>
        <w:rPr>
          <w:rFonts w:ascii="Arial" w:eastAsia="Times New Roman" w:hAnsi="Arial" w:cs="Arial"/>
          <w:color w:val="FF0000"/>
          <w:sz w:val="24"/>
          <w:szCs w:val="24"/>
        </w:rPr>
      </w:pPr>
      <w:r w:rsidRPr="00144F19">
        <w:rPr>
          <w:rFonts w:ascii="Arial" w:eastAsia="Times New Roman" w:hAnsi="Arial" w:cs="Arial"/>
          <w:color w:val="FF0000"/>
          <w:sz w:val="24"/>
          <w:szCs w:val="24"/>
        </w:rPr>
        <w:t>Yes it does reconcile for 2016 and the answer provided in Appendix A regarding 2017 is incorrect.</w:t>
      </w:r>
      <w:r w:rsidR="008325D7">
        <w:rPr>
          <w:rFonts w:ascii="Arial" w:eastAsia="Times New Roman" w:hAnsi="Arial" w:cs="Arial"/>
          <w:color w:val="FF0000"/>
          <w:sz w:val="24"/>
          <w:szCs w:val="24"/>
        </w:rPr>
        <w:t xml:space="preserve"> The amount fo</w:t>
      </w:r>
      <w:r>
        <w:rPr>
          <w:rFonts w:ascii="Arial" w:eastAsia="Times New Roman" w:hAnsi="Arial" w:cs="Arial"/>
          <w:color w:val="FF0000"/>
          <w:sz w:val="24"/>
          <w:szCs w:val="24"/>
        </w:rPr>
        <w:t xml:space="preserve">r 2017 </w:t>
      </w:r>
      <w:r w:rsidR="008325D7">
        <w:rPr>
          <w:rFonts w:ascii="Arial" w:eastAsia="Times New Roman" w:hAnsi="Arial" w:cs="Arial"/>
          <w:color w:val="FF0000"/>
          <w:sz w:val="24"/>
          <w:szCs w:val="24"/>
        </w:rPr>
        <w:t>true up</w:t>
      </w:r>
      <w:r>
        <w:rPr>
          <w:rFonts w:ascii="Arial" w:eastAsia="Times New Roman" w:hAnsi="Arial" w:cs="Arial"/>
          <w:color w:val="FF0000"/>
          <w:sz w:val="24"/>
          <w:szCs w:val="24"/>
        </w:rPr>
        <w:t xml:space="preserve"> ad</w:t>
      </w:r>
      <w:r w:rsidR="00CE639B">
        <w:rPr>
          <w:rFonts w:ascii="Arial" w:eastAsia="Times New Roman" w:hAnsi="Arial" w:cs="Arial"/>
          <w:color w:val="FF0000"/>
          <w:sz w:val="24"/>
          <w:szCs w:val="24"/>
        </w:rPr>
        <w:t>justed in 2018 should be a debit</w:t>
      </w:r>
      <w:r>
        <w:rPr>
          <w:rFonts w:ascii="Arial" w:eastAsia="Times New Roman" w:hAnsi="Arial" w:cs="Arial"/>
          <w:color w:val="FF0000"/>
          <w:sz w:val="24"/>
          <w:szCs w:val="24"/>
        </w:rPr>
        <w:t xml:space="preserve"> </w:t>
      </w:r>
      <w:r w:rsidR="00CE639B">
        <w:rPr>
          <w:rFonts w:ascii="Arial" w:eastAsia="Times New Roman" w:hAnsi="Arial" w:cs="Arial"/>
          <w:color w:val="FF0000"/>
          <w:sz w:val="24"/>
          <w:szCs w:val="24"/>
        </w:rPr>
        <w:t>of $</w:t>
      </w:r>
      <w:r>
        <w:rPr>
          <w:rFonts w:ascii="Arial" w:eastAsia="Times New Roman" w:hAnsi="Arial" w:cs="Arial"/>
          <w:color w:val="FF0000"/>
          <w:sz w:val="24"/>
          <w:szCs w:val="24"/>
        </w:rPr>
        <w:t xml:space="preserve">2,160,310 </w:t>
      </w:r>
      <w:r w:rsidR="00CE639B">
        <w:rPr>
          <w:rFonts w:ascii="Arial" w:eastAsia="Times New Roman" w:hAnsi="Arial" w:cs="Arial"/>
          <w:color w:val="FF0000"/>
          <w:sz w:val="24"/>
          <w:szCs w:val="24"/>
        </w:rPr>
        <w:t xml:space="preserve">to account 1588 </w:t>
      </w:r>
      <w:r>
        <w:rPr>
          <w:rFonts w:ascii="Arial" w:eastAsia="Times New Roman" w:hAnsi="Arial" w:cs="Arial"/>
          <w:color w:val="FF0000"/>
          <w:sz w:val="24"/>
          <w:szCs w:val="24"/>
        </w:rPr>
        <w:t xml:space="preserve">and </w:t>
      </w:r>
      <w:r w:rsidR="00CE639B">
        <w:rPr>
          <w:rFonts w:ascii="Arial" w:eastAsia="Times New Roman" w:hAnsi="Arial" w:cs="Arial"/>
          <w:color w:val="FF0000"/>
          <w:sz w:val="24"/>
          <w:szCs w:val="24"/>
        </w:rPr>
        <w:t>a c</w:t>
      </w:r>
      <w:r>
        <w:rPr>
          <w:rFonts w:ascii="Arial" w:eastAsia="Times New Roman" w:hAnsi="Arial" w:cs="Arial"/>
          <w:color w:val="FF0000"/>
          <w:sz w:val="24"/>
          <w:szCs w:val="24"/>
        </w:rPr>
        <w:t>r</w:t>
      </w:r>
      <w:r w:rsidR="00CE639B">
        <w:rPr>
          <w:rFonts w:ascii="Arial" w:eastAsia="Times New Roman" w:hAnsi="Arial" w:cs="Arial"/>
          <w:color w:val="FF0000"/>
          <w:sz w:val="24"/>
          <w:szCs w:val="24"/>
        </w:rPr>
        <w:t>edit</w:t>
      </w:r>
      <w:r>
        <w:rPr>
          <w:rFonts w:ascii="Arial" w:eastAsia="Times New Roman" w:hAnsi="Arial" w:cs="Arial"/>
          <w:color w:val="FF0000"/>
          <w:sz w:val="24"/>
          <w:szCs w:val="24"/>
        </w:rPr>
        <w:t xml:space="preserve"> </w:t>
      </w:r>
      <w:r w:rsidR="00CE639B">
        <w:rPr>
          <w:rFonts w:ascii="Arial" w:eastAsia="Times New Roman" w:hAnsi="Arial" w:cs="Arial"/>
          <w:color w:val="FF0000"/>
          <w:sz w:val="24"/>
          <w:szCs w:val="24"/>
        </w:rPr>
        <w:t xml:space="preserve">to account </w:t>
      </w:r>
      <w:r>
        <w:rPr>
          <w:rFonts w:ascii="Arial" w:eastAsia="Times New Roman" w:hAnsi="Arial" w:cs="Arial"/>
          <w:color w:val="FF0000"/>
          <w:sz w:val="24"/>
          <w:szCs w:val="24"/>
        </w:rPr>
        <w:t xml:space="preserve">1589 </w:t>
      </w:r>
      <w:r w:rsidR="00CE639B">
        <w:rPr>
          <w:rFonts w:ascii="Arial" w:eastAsia="Times New Roman" w:hAnsi="Arial" w:cs="Arial"/>
          <w:color w:val="FF0000"/>
          <w:sz w:val="24"/>
          <w:szCs w:val="24"/>
        </w:rPr>
        <w:t>of $</w:t>
      </w:r>
      <w:r>
        <w:rPr>
          <w:rFonts w:ascii="Arial" w:eastAsia="Times New Roman" w:hAnsi="Arial" w:cs="Arial"/>
          <w:color w:val="FF0000"/>
          <w:sz w:val="24"/>
          <w:szCs w:val="24"/>
        </w:rPr>
        <w:t>2,160,310</w:t>
      </w:r>
      <w:r w:rsidR="00CE639B">
        <w:rPr>
          <w:rFonts w:ascii="Arial" w:eastAsia="Times New Roman" w:hAnsi="Arial" w:cs="Arial"/>
          <w:color w:val="FF0000"/>
          <w:sz w:val="24"/>
          <w:szCs w:val="24"/>
        </w:rPr>
        <w:t>.</w:t>
      </w:r>
    </w:p>
    <w:p w:rsidR="000A6E32" w:rsidRPr="00144F19" w:rsidRDefault="000A6E32" w:rsidP="00144F19">
      <w:pPr>
        <w:pStyle w:val="ListParagraph"/>
        <w:ind w:left="0"/>
        <w:rPr>
          <w:rFonts w:ascii="Arial" w:eastAsia="Times New Roman" w:hAnsi="Arial" w:cs="Arial"/>
          <w:color w:val="FF0000"/>
          <w:sz w:val="24"/>
          <w:szCs w:val="24"/>
        </w:rPr>
      </w:pPr>
    </w:p>
    <w:p w:rsidR="005F7D08" w:rsidRDefault="005F7D08">
      <w:pPr>
        <w:rPr>
          <w:rFonts w:ascii="Arial" w:hAnsi="Arial" w:cs="Arial"/>
          <w:b/>
          <w:sz w:val="24"/>
          <w:szCs w:val="24"/>
        </w:rPr>
      </w:pPr>
      <w:r>
        <w:rPr>
          <w:rFonts w:ascii="Arial" w:hAnsi="Arial" w:cs="Arial"/>
          <w:b/>
          <w:sz w:val="24"/>
          <w:szCs w:val="24"/>
        </w:rPr>
        <w:br w:type="page"/>
      </w:r>
    </w:p>
    <w:p w:rsidR="001E54C6" w:rsidRDefault="001E54C6" w:rsidP="001E54C6">
      <w:pPr>
        <w:spacing w:after="0"/>
        <w:rPr>
          <w:rFonts w:ascii="Arial" w:hAnsi="Arial" w:cs="Arial"/>
          <w:b/>
          <w:sz w:val="24"/>
          <w:szCs w:val="24"/>
        </w:rPr>
      </w:pPr>
      <w:r>
        <w:rPr>
          <w:rFonts w:ascii="Arial" w:hAnsi="Arial" w:cs="Arial"/>
          <w:b/>
          <w:sz w:val="24"/>
          <w:szCs w:val="24"/>
        </w:rPr>
        <w:lastRenderedPageBreak/>
        <w:t>S</w:t>
      </w:r>
      <w:r w:rsidR="00FC194E">
        <w:rPr>
          <w:rFonts w:ascii="Arial" w:hAnsi="Arial" w:cs="Arial"/>
          <w:b/>
          <w:sz w:val="24"/>
          <w:szCs w:val="24"/>
        </w:rPr>
        <w:t>taff Question #9</w:t>
      </w:r>
    </w:p>
    <w:p w:rsidR="001E54C6" w:rsidRPr="001E54C6" w:rsidRDefault="001E54C6" w:rsidP="001E54C6">
      <w:pPr>
        <w:spacing w:after="0"/>
        <w:rPr>
          <w:rFonts w:ascii="Arial" w:eastAsia="Times New Roman" w:hAnsi="Arial" w:cs="Arial"/>
          <w:sz w:val="24"/>
          <w:szCs w:val="24"/>
        </w:rPr>
      </w:pPr>
      <w:r>
        <w:rPr>
          <w:rFonts w:ascii="Arial" w:hAnsi="Arial" w:cs="Arial"/>
          <w:b/>
          <w:sz w:val="24"/>
          <w:szCs w:val="24"/>
        </w:rPr>
        <w:t>Ref: 2016 GA Analysis Workform</w:t>
      </w:r>
    </w:p>
    <w:p w:rsidR="006B27C1" w:rsidRDefault="006B27C1" w:rsidP="006B27C1">
      <w:pPr>
        <w:spacing w:after="0"/>
        <w:rPr>
          <w:rFonts w:ascii="Arial" w:eastAsia="Times New Roman" w:hAnsi="Arial" w:cs="Arial"/>
          <w:sz w:val="24"/>
          <w:szCs w:val="24"/>
        </w:rPr>
      </w:pPr>
    </w:p>
    <w:p w:rsidR="00FC194E" w:rsidRPr="00DF5050" w:rsidRDefault="00FC194E" w:rsidP="00DF5050">
      <w:pPr>
        <w:pStyle w:val="ListParagraph"/>
        <w:numPr>
          <w:ilvl w:val="0"/>
          <w:numId w:val="26"/>
        </w:numPr>
        <w:spacing w:after="0"/>
        <w:rPr>
          <w:rFonts w:ascii="Arial" w:eastAsia="Times New Roman" w:hAnsi="Arial" w:cs="Arial"/>
          <w:sz w:val="24"/>
          <w:szCs w:val="24"/>
        </w:rPr>
      </w:pPr>
      <w:r w:rsidRPr="00DF5050">
        <w:rPr>
          <w:rFonts w:ascii="Arial" w:eastAsia="Times New Roman" w:hAnsi="Arial" w:cs="Arial"/>
          <w:sz w:val="24"/>
          <w:szCs w:val="24"/>
        </w:rPr>
        <w:t>The Applicant has recorded a true-up adjustment of debit $562,353</w:t>
      </w:r>
      <w:r w:rsidR="00DF5050" w:rsidRPr="00DF5050">
        <w:rPr>
          <w:rFonts w:ascii="Arial" w:eastAsia="Times New Roman" w:hAnsi="Arial" w:cs="Arial"/>
          <w:sz w:val="24"/>
          <w:szCs w:val="24"/>
        </w:rPr>
        <w:t xml:space="preserve"> as adjustment 10 in Note 5 of the GA Analysis Workform</w:t>
      </w:r>
    </w:p>
    <w:p w:rsidR="00DF5050" w:rsidRDefault="00FC194E" w:rsidP="00DF5050">
      <w:pPr>
        <w:pStyle w:val="ListParagraph"/>
        <w:numPr>
          <w:ilvl w:val="2"/>
          <w:numId w:val="26"/>
        </w:numPr>
        <w:spacing w:after="0"/>
        <w:ind w:left="1710" w:hanging="450"/>
        <w:rPr>
          <w:rFonts w:ascii="Arial" w:eastAsia="Times New Roman" w:hAnsi="Arial" w:cs="Arial"/>
          <w:sz w:val="24"/>
          <w:szCs w:val="24"/>
        </w:rPr>
      </w:pPr>
      <w:r>
        <w:rPr>
          <w:rFonts w:ascii="Arial" w:eastAsia="Times New Roman" w:hAnsi="Arial" w:cs="Arial"/>
          <w:sz w:val="24"/>
          <w:szCs w:val="24"/>
        </w:rPr>
        <w:t xml:space="preserve">Please explain </w:t>
      </w:r>
      <w:r w:rsidR="001770D0">
        <w:rPr>
          <w:rFonts w:ascii="Arial" w:eastAsia="Times New Roman" w:hAnsi="Arial" w:cs="Arial"/>
          <w:sz w:val="24"/>
          <w:szCs w:val="24"/>
        </w:rPr>
        <w:t xml:space="preserve">in detail </w:t>
      </w:r>
      <w:r>
        <w:rPr>
          <w:rFonts w:ascii="Arial" w:eastAsia="Times New Roman" w:hAnsi="Arial" w:cs="Arial"/>
          <w:sz w:val="24"/>
          <w:szCs w:val="24"/>
        </w:rPr>
        <w:t>what this true-up adjustment specifically pertains to</w:t>
      </w:r>
      <w:r w:rsidR="00DF5050">
        <w:rPr>
          <w:rFonts w:ascii="Arial" w:eastAsia="Times New Roman" w:hAnsi="Arial" w:cs="Arial"/>
          <w:sz w:val="24"/>
          <w:szCs w:val="24"/>
        </w:rPr>
        <w:t xml:space="preserve"> and</w:t>
      </w:r>
      <w:r w:rsidR="00F9321D">
        <w:rPr>
          <w:rFonts w:ascii="Arial" w:eastAsia="Times New Roman" w:hAnsi="Arial" w:cs="Arial"/>
          <w:sz w:val="24"/>
          <w:szCs w:val="24"/>
        </w:rPr>
        <w:t xml:space="preserve"> accordingly</w:t>
      </w:r>
      <w:r w:rsidR="00DF5050">
        <w:rPr>
          <w:rFonts w:ascii="Arial" w:eastAsia="Times New Roman" w:hAnsi="Arial" w:cs="Arial"/>
          <w:sz w:val="24"/>
          <w:szCs w:val="24"/>
        </w:rPr>
        <w:t xml:space="preserve"> update the explanation provided</w:t>
      </w:r>
      <w:r w:rsidR="00F9321D">
        <w:rPr>
          <w:rFonts w:ascii="Arial" w:eastAsia="Times New Roman" w:hAnsi="Arial" w:cs="Arial"/>
          <w:sz w:val="24"/>
          <w:szCs w:val="24"/>
        </w:rPr>
        <w:t>.</w:t>
      </w:r>
    </w:p>
    <w:p w:rsidR="00FC194E" w:rsidRDefault="00DF5050" w:rsidP="00DF5050">
      <w:pPr>
        <w:pStyle w:val="ListParagraph"/>
        <w:numPr>
          <w:ilvl w:val="2"/>
          <w:numId w:val="26"/>
        </w:numPr>
        <w:spacing w:after="0"/>
        <w:ind w:left="1710" w:hanging="450"/>
        <w:rPr>
          <w:rFonts w:ascii="Arial" w:eastAsia="Times New Roman" w:hAnsi="Arial" w:cs="Arial"/>
          <w:sz w:val="24"/>
          <w:szCs w:val="24"/>
        </w:rPr>
      </w:pPr>
      <w:r>
        <w:rPr>
          <w:rFonts w:ascii="Arial" w:eastAsia="Times New Roman" w:hAnsi="Arial" w:cs="Arial"/>
          <w:sz w:val="24"/>
          <w:szCs w:val="24"/>
        </w:rPr>
        <w:t>I</w:t>
      </w:r>
      <w:r w:rsidR="001770D0">
        <w:rPr>
          <w:rFonts w:ascii="Arial" w:eastAsia="Times New Roman" w:hAnsi="Arial" w:cs="Arial"/>
          <w:sz w:val="24"/>
          <w:szCs w:val="24"/>
        </w:rPr>
        <w:t>s</w:t>
      </w:r>
      <w:r>
        <w:rPr>
          <w:rFonts w:ascii="Arial" w:eastAsia="Times New Roman" w:hAnsi="Arial" w:cs="Arial"/>
          <w:sz w:val="24"/>
          <w:szCs w:val="24"/>
        </w:rPr>
        <w:t xml:space="preserve"> this true-up</w:t>
      </w:r>
      <w:r w:rsidR="001770D0">
        <w:rPr>
          <w:rFonts w:ascii="Arial" w:eastAsia="Times New Roman" w:hAnsi="Arial" w:cs="Arial"/>
          <w:sz w:val="24"/>
          <w:szCs w:val="24"/>
        </w:rPr>
        <w:t xml:space="preserve"> comprised of</w:t>
      </w:r>
      <w:r>
        <w:rPr>
          <w:rFonts w:ascii="Arial" w:eastAsia="Times New Roman" w:hAnsi="Arial" w:cs="Arial"/>
          <w:sz w:val="24"/>
          <w:szCs w:val="24"/>
        </w:rPr>
        <w:t xml:space="preserve"> multiple elements </w:t>
      </w:r>
      <w:r w:rsidR="00F03108">
        <w:rPr>
          <w:rFonts w:ascii="Arial" w:eastAsia="Times New Roman" w:hAnsi="Arial" w:cs="Arial"/>
          <w:sz w:val="24"/>
          <w:szCs w:val="24"/>
        </w:rPr>
        <w:t>(i.e. true-up to the actual GA rate, true-up for actual RPP vs Non RPP split for the purpose of allocating CT 148, true-up of CT 1142 in order to reflect the updated RPP vs Non-RPP split  etc)</w:t>
      </w:r>
      <w:r>
        <w:rPr>
          <w:rFonts w:ascii="Arial" w:eastAsia="Times New Roman" w:hAnsi="Arial" w:cs="Arial"/>
          <w:sz w:val="24"/>
          <w:szCs w:val="24"/>
        </w:rPr>
        <w:t>. If so, please break-out this</w:t>
      </w:r>
      <w:r w:rsidR="00691A52">
        <w:rPr>
          <w:rFonts w:ascii="Arial" w:eastAsia="Times New Roman" w:hAnsi="Arial" w:cs="Arial"/>
          <w:sz w:val="24"/>
          <w:szCs w:val="24"/>
        </w:rPr>
        <w:t xml:space="preserve"> balance into its</w:t>
      </w:r>
      <w:r w:rsidR="00FC194E">
        <w:rPr>
          <w:rFonts w:ascii="Arial" w:eastAsia="Times New Roman" w:hAnsi="Arial" w:cs="Arial"/>
          <w:sz w:val="24"/>
          <w:szCs w:val="24"/>
        </w:rPr>
        <w:t xml:space="preserve"> components </w:t>
      </w:r>
      <w:r>
        <w:rPr>
          <w:rFonts w:ascii="Arial" w:eastAsia="Times New Roman" w:hAnsi="Arial" w:cs="Arial"/>
          <w:sz w:val="24"/>
          <w:szCs w:val="24"/>
        </w:rPr>
        <w:t>that are being</w:t>
      </w:r>
      <w:r w:rsidR="00FC194E">
        <w:rPr>
          <w:rFonts w:ascii="Arial" w:eastAsia="Times New Roman" w:hAnsi="Arial" w:cs="Arial"/>
          <w:sz w:val="24"/>
          <w:szCs w:val="24"/>
        </w:rPr>
        <w:t xml:space="preserve"> trued-up </w:t>
      </w:r>
    </w:p>
    <w:p w:rsidR="00AA0438" w:rsidRDefault="00AA0438" w:rsidP="00DF5050">
      <w:pPr>
        <w:pStyle w:val="ListParagraph"/>
        <w:numPr>
          <w:ilvl w:val="2"/>
          <w:numId w:val="26"/>
        </w:numPr>
        <w:spacing w:after="0"/>
        <w:ind w:left="1710" w:hanging="450"/>
        <w:rPr>
          <w:rFonts w:ascii="Arial" w:eastAsia="Times New Roman" w:hAnsi="Arial" w:cs="Arial"/>
          <w:sz w:val="24"/>
          <w:szCs w:val="24"/>
        </w:rPr>
      </w:pPr>
      <w:r>
        <w:rPr>
          <w:rFonts w:ascii="Arial" w:eastAsia="Times New Roman" w:hAnsi="Arial" w:cs="Arial"/>
          <w:sz w:val="24"/>
          <w:szCs w:val="24"/>
        </w:rPr>
        <w:t xml:space="preserve">The true-up adjustment </w:t>
      </w:r>
      <w:r w:rsidR="00DF5050">
        <w:rPr>
          <w:rFonts w:ascii="Arial" w:eastAsia="Times New Roman" w:hAnsi="Arial" w:cs="Arial"/>
          <w:sz w:val="24"/>
          <w:szCs w:val="24"/>
        </w:rPr>
        <w:t xml:space="preserve">as </w:t>
      </w:r>
      <w:r>
        <w:rPr>
          <w:rFonts w:ascii="Arial" w:eastAsia="Times New Roman" w:hAnsi="Arial" w:cs="Arial"/>
          <w:sz w:val="24"/>
          <w:szCs w:val="24"/>
        </w:rPr>
        <w:t>recorded is a debit to account 1589</w:t>
      </w:r>
      <w:r w:rsidR="00C76B61">
        <w:rPr>
          <w:rFonts w:ascii="Arial" w:eastAsia="Times New Roman" w:hAnsi="Arial" w:cs="Arial"/>
          <w:sz w:val="24"/>
          <w:szCs w:val="24"/>
        </w:rPr>
        <w:t xml:space="preserve">. </w:t>
      </w:r>
      <w:r>
        <w:rPr>
          <w:rFonts w:ascii="Arial" w:eastAsia="Times New Roman" w:hAnsi="Arial" w:cs="Arial"/>
          <w:sz w:val="24"/>
          <w:szCs w:val="24"/>
        </w:rPr>
        <w:t>Sufficient explanation has not been provided to support the direction of th</w:t>
      </w:r>
      <w:r w:rsidR="00642D9E">
        <w:rPr>
          <w:rFonts w:ascii="Arial" w:eastAsia="Times New Roman" w:hAnsi="Arial" w:cs="Arial"/>
          <w:sz w:val="24"/>
          <w:szCs w:val="24"/>
        </w:rPr>
        <w:t>is adjustment (</w:t>
      </w:r>
      <w:r>
        <w:rPr>
          <w:rFonts w:ascii="Arial" w:eastAsia="Times New Roman" w:hAnsi="Arial" w:cs="Arial"/>
          <w:sz w:val="24"/>
          <w:szCs w:val="24"/>
        </w:rPr>
        <w:t>debit</w:t>
      </w:r>
      <w:r w:rsidR="00642D9E">
        <w:rPr>
          <w:rFonts w:ascii="Arial" w:eastAsia="Times New Roman" w:hAnsi="Arial" w:cs="Arial"/>
          <w:sz w:val="24"/>
          <w:szCs w:val="24"/>
        </w:rPr>
        <w:t>)</w:t>
      </w:r>
      <w:r>
        <w:rPr>
          <w:rFonts w:ascii="Arial" w:eastAsia="Times New Roman" w:hAnsi="Arial" w:cs="Arial"/>
          <w:sz w:val="24"/>
          <w:szCs w:val="24"/>
        </w:rPr>
        <w:t>.  Please provide</w:t>
      </w:r>
      <w:r w:rsidR="00642D9E">
        <w:rPr>
          <w:rFonts w:ascii="Arial" w:eastAsia="Times New Roman" w:hAnsi="Arial" w:cs="Arial"/>
          <w:sz w:val="24"/>
          <w:szCs w:val="24"/>
        </w:rPr>
        <w:t xml:space="preserve"> this</w:t>
      </w:r>
      <w:r>
        <w:rPr>
          <w:rFonts w:ascii="Arial" w:eastAsia="Times New Roman" w:hAnsi="Arial" w:cs="Arial"/>
          <w:sz w:val="24"/>
          <w:szCs w:val="24"/>
        </w:rPr>
        <w:t xml:space="preserve"> additional </w:t>
      </w:r>
      <w:r w:rsidR="00642D9E">
        <w:rPr>
          <w:rFonts w:ascii="Arial" w:eastAsia="Times New Roman" w:hAnsi="Arial" w:cs="Arial"/>
          <w:sz w:val="24"/>
          <w:szCs w:val="24"/>
        </w:rPr>
        <w:t>information</w:t>
      </w:r>
      <w:r w:rsidR="00C76B61">
        <w:rPr>
          <w:rFonts w:ascii="Arial" w:eastAsia="Times New Roman" w:hAnsi="Arial" w:cs="Arial"/>
          <w:sz w:val="24"/>
          <w:szCs w:val="24"/>
        </w:rPr>
        <w:t xml:space="preserve"> and</w:t>
      </w:r>
      <w:r w:rsidR="00DF5050">
        <w:rPr>
          <w:rFonts w:ascii="Arial" w:eastAsia="Times New Roman" w:hAnsi="Arial" w:cs="Arial"/>
          <w:sz w:val="24"/>
          <w:szCs w:val="24"/>
        </w:rPr>
        <w:t xml:space="preserve"> update the explanation provided in Note 5</w:t>
      </w:r>
      <w:r w:rsidR="00642D9E">
        <w:rPr>
          <w:rFonts w:ascii="Arial" w:eastAsia="Times New Roman" w:hAnsi="Arial" w:cs="Arial"/>
          <w:sz w:val="24"/>
          <w:szCs w:val="24"/>
        </w:rPr>
        <w:t xml:space="preserve"> to reflect the</w:t>
      </w:r>
      <w:r w:rsidR="00DF5050">
        <w:rPr>
          <w:rFonts w:ascii="Arial" w:eastAsia="Times New Roman" w:hAnsi="Arial" w:cs="Arial"/>
          <w:sz w:val="24"/>
          <w:szCs w:val="24"/>
        </w:rPr>
        <w:t xml:space="preserve"> additional detail</w:t>
      </w:r>
      <w:r>
        <w:rPr>
          <w:rFonts w:ascii="Arial" w:eastAsia="Times New Roman" w:hAnsi="Arial" w:cs="Arial"/>
          <w:sz w:val="24"/>
          <w:szCs w:val="24"/>
        </w:rPr>
        <w:t>.</w:t>
      </w:r>
    </w:p>
    <w:p w:rsidR="00AA0438" w:rsidRDefault="00AA0438" w:rsidP="00DF5050">
      <w:pPr>
        <w:pStyle w:val="ListParagraph"/>
        <w:numPr>
          <w:ilvl w:val="2"/>
          <w:numId w:val="26"/>
        </w:numPr>
        <w:spacing w:after="0"/>
        <w:ind w:left="1710" w:hanging="450"/>
        <w:rPr>
          <w:rFonts w:ascii="Arial" w:eastAsia="Times New Roman" w:hAnsi="Arial" w:cs="Arial"/>
          <w:sz w:val="24"/>
          <w:szCs w:val="24"/>
        </w:rPr>
      </w:pPr>
      <w:r>
        <w:rPr>
          <w:rFonts w:ascii="Arial" w:eastAsia="Times New Roman" w:hAnsi="Arial" w:cs="Arial"/>
          <w:sz w:val="24"/>
          <w:szCs w:val="24"/>
        </w:rPr>
        <w:t xml:space="preserve">Please provide the supporting calculations for each of the true-up adjustments identified in </w:t>
      </w:r>
      <w:r w:rsidR="00691A52">
        <w:rPr>
          <w:rFonts w:ascii="Arial" w:eastAsia="Times New Roman" w:hAnsi="Arial" w:cs="Arial"/>
          <w:sz w:val="24"/>
          <w:szCs w:val="24"/>
        </w:rPr>
        <w:t>ii.</w:t>
      </w:r>
      <w:r>
        <w:rPr>
          <w:rFonts w:ascii="Arial" w:eastAsia="Times New Roman" w:hAnsi="Arial" w:cs="Arial"/>
          <w:sz w:val="24"/>
          <w:szCs w:val="24"/>
        </w:rPr>
        <w:t xml:space="preserve"> </w:t>
      </w:r>
      <w:proofErr w:type="gramStart"/>
      <w:r>
        <w:rPr>
          <w:rFonts w:ascii="Arial" w:eastAsia="Times New Roman" w:hAnsi="Arial" w:cs="Arial"/>
          <w:sz w:val="24"/>
          <w:szCs w:val="24"/>
        </w:rPr>
        <w:t>above</w:t>
      </w:r>
      <w:proofErr w:type="gramEnd"/>
      <w:r>
        <w:rPr>
          <w:rFonts w:ascii="Arial" w:eastAsia="Times New Roman" w:hAnsi="Arial" w:cs="Arial"/>
          <w:sz w:val="24"/>
          <w:szCs w:val="24"/>
        </w:rPr>
        <w:t>.</w:t>
      </w:r>
    </w:p>
    <w:p w:rsidR="00AA0438" w:rsidRPr="001047EA" w:rsidRDefault="00AA0438" w:rsidP="00DF5050">
      <w:pPr>
        <w:pStyle w:val="ListParagraph"/>
        <w:numPr>
          <w:ilvl w:val="2"/>
          <w:numId w:val="26"/>
        </w:numPr>
        <w:tabs>
          <w:tab w:val="left" w:pos="1710"/>
        </w:tabs>
        <w:spacing w:after="0"/>
        <w:ind w:left="1710" w:hanging="450"/>
        <w:rPr>
          <w:rFonts w:ascii="Arial" w:eastAsia="Times New Roman" w:hAnsi="Arial" w:cs="Arial"/>
          <w:sz w:val="24"/>
          <w:szCs w:val="24"/>
        </w:rPr>
      </w:pPr>
      <w:r>
        <w:rPr>
          <w:rFonts w:ascii="Arial" w:eastAsia="Times New Roman" w:hAnsi="Arial" w:cs="Arial"/>
          <w:sz w:val="24"/>
          <w:szCs w:val="24"/>
        </w:rPr>
        <w:t>Please confirm that the total true-up adjustment that the Applicant has proposed to record in the “Principal Adjustments” column for 2016 of $562,353 does not form part of the balance in the “Transaction Debit / (Credit) during 2017” column of the DVA continuity schedule (i.e. it wasn’t actually recorded in 2017).</w:t>
      </w:r>
      <w:r w:rsidR="009546CE">
        <w:rPr>
          <w:rFonts w:ascii="Arial" w:eastAsia="Times New Roman" w:hAnsi="Arial" w:cs="Arial"/>
          <w:sz w:val="24"/>
          <w:szCs w:val="24"/>
        </w:rPr>
        <w:t xml:space="preserve"> When did the Applicant actually </w:t>
      </w:r>
      <w:r w:rsidR="009546CE" w:rsidRPr="001047EA">
        <w:rPr>
          <w:rFonts w:ascii="Arial" w:eastAsia="Times New Roman" w:hAnsi="Arial" w:cs="Arial"/>
          <w:sz w:val="24"/>
          <w:szCs w:val="24"/>
        </w:rPr>
        <w:t>record it?</w:t>
      </w:r>
    </w:p>
    <w:p w:rsidR="002F02C2" w:rsidRPr="001047EA" w:rsidRDefault="002F02C2" w:rsidP="006F7318">
      <w:pPr>
        <w:pStyle w:val="ListParagraph"/>
        <w:spacing w:after="0"/>
        <w:ind w:left="0"/>
        <w:rPr>
          <w:rFonts w:ascii="Arial" w:eastAsia="Times New Roman" w:hAnsi="Arial" w:cs="Arial"/>
          <w:sz w:val="24"/>
          <w:szCs w:val="24"/>
        </w:rPr>
      </w:pPr>
    </w:p>
    <w:p w:rsidR="00757DA0" w:rsidRPr="001047EA" w:rsidRDefault="00757DA0" w:rsidP="006F7318">
      <w:pPr>
        <w:pStyle w:val="ListParagraph"/>
        <w:numPr>
          <w:ilvl w:val="0"/>
          <w:numId w:val="37"/>
        </w:numPr>
        <w:spacing w:after="0"/>
        <w:ind w:hanging="720"/>
        <w:rPr>
          <w:rFonts w:ascii="Arial" w:eastAsia="Times New Roman" w:hAnsi="Arial" w:cs="Arial"/>
          <w:color w:val="FF0000"/>
          <w:sz w:val="24"/>
          <w:szCs w:val="24"/>
        </w:rPr>
      </w:pPr>
      <w:r w:rsidRPr="001047EA">
        <w:rPr>
          <w:rFonts w:ascii="Arial" w:eastAsia="Times New Roman" w:hAnsi="Arial" w:cs="Arial"/>
          <w:color w:val="FF0000"/>
          <w:sz w:val="24"/>
          <w:szCs w:val="24"/>
        </w:rPr>
        <w:t xml:space="preserve">The amount for CT 148 is allocated in 2016 in the DVA Continuity Schedule based off the estimated split between RPP and non-RPP.  If the correction for 2016 had been made in the year the result would have been reallocating $562,353 from account 1589 to account 1588.  The result is that 2016’s closing principal balance for account 1589 should be $(856,161) instead of $(1,418,514) and account 1588’s closing balance should be $2,101,194 instead of $2,663,547.  Since these adjustments were not recorded until </w:t>
      </w:r>
      <w:r w:rsidR="004C0341" w:rsidRPr="001047EA">
        <w:rPr>
          <w:rFonts w:ascii="Arial" w:eastAsia="Times New Roman" w:hAnsi="Arial" w:cs="Arial"/>
          <w:color w:val="FF0000"/>
          <w:sz w:val="24"/>
          <w:szCs w:val="24"/>
        </w:rPr>
        <w:t xml:space="preserve">mid </w:t>
      </w:r>
      <w:r w:rsidRPr="001047EA">
        <w:rPr>
          <w:rFonts w:ascii="Arial" w:eastAsia="Times New Roman" w:hAnsi="Arial" w:cs="Arial"/>
          <w:color w:val="FF0000"/>
          <w:sz w:val="24"/>
          <w:szCs w:val="24"/>
        </w:rPr>
        <w:t>2018 they are not reflected</w:t>
      </w:r>
      <w:r w:rsidR="004C0341" w:rsidRPr="001047EA">
        <w:rPr>
          <w:rFonts w:ascii="Arial" w:eastAsia="Times New Roman" w:hAnsi="Arial" w:cs="Arial"/>
          <w:color w:val="FF0000"/>
          <w:sz w:val="24"/>
          <w:szCs w:val="24"/>
        </w:rPr>
        <w:t xml:space="preserve"> on the DVA continuity schedule</w:t>
      </w:r>
      <w:r w:rsidR="004C0341" w:rsidRPr="001047EA">
        <w:rPr>
          <w:rFonts w:ascii="Arial" w:eastAsia="Times New Roman" w:hAnsi="Arial" w:cs="Arial"/>
          <w:b/>
          <w:color w:val="FF0000"/>
          <w:sz w:val="24"/>
          <w:szCs w:val="24"/>
        </w:rPr>
        <w:t xml:space="preserve">.  </w:t>
      </w:r>
    </w:p>
    <w:p w:rsidR="00825552" w:rsidRDefault="00825552" w:rsidP="006F7318">
      <w:pPr>
        <w:pStyle w:val="ListParagraph"/>
        <w:tabs>
          <w:tab w:val="left" w:pos="1134"/>
        </w:tabs>
        <w:spacing w:after="0"/>
        <w:ind w:left="0" w:hanging="720"/>
        <w:rPr>
          <w:rFonts w:ascii="Arial" w:eastAsia="Times New Roman" w:hAnsi="Arial" w:cs="Arial"/>
          <w:color w:val="FF0000"/>
          <w:sz w:val="24"/>
          <w:szCs w:val="24"/>
        </w:rPr>
      </w:pPr>
    </w:p>
    <w:p w:rsidR="00825552" w:rsidRPr="006F7318" w:rsidRDefault="00825552" w:rsidP="006F7318">
      <w:pPr>
        <w:pStyle w:val="ListParagraph"/>
        <w:numPr>
          <w:ilvl w:val="0"/>
          <w:numId w:val="37"/>
        </w:numPr>
        <w:tabs>
          <w:tab w:val="left" w:pos="1134"/>
        </w:tabs>
        <w:spacing w:after="0"/>
        <w:ind w:hanging="720"/>
        <w:rPr>
          <w:rFonts w:ascii="Arial" w:eastAsia="Times New Roman" w:hAnsi="Arial" w:cs="Arial"/>
          <w:color w:val="FF0000"/>
          <w:sz w:val="24"/>
          <w:szCs w:val="24"/>
        </w:rPr>
      </w:pPr>
      <w:r w:rsidRPr="006F7318">
        <w:rPr>
          <w:rFonts w:ascii="Arial" w:eastAsia="Times New Roman" w:hAnsi="Arial" w:cs="Arial"/>
          <w:color w:val="FF0000"/>
          <w:sz w:val="24"/>
          <w:szCs w:val="24"/>
        </w:rPr>
        <w:t xml:space="preserve">The true-up pertains to multiple elements.  It is the GA reconciliation from estimate to actual and the split between RPP and </w:t>
      </w:r>
      <w:r w:rsidR="00F912AB" w:rsidRPr="006F7318">
        <w:rPr>
          <w:rFonts w:ascii="Arial" w:eastAsia="Times New Roman" w:hAnsi="Arial" w:cs="Arial"/>
          <w:color w:val="FF0000"/>
          <w:sz w:val="24"/>
          <w:szCs w:val="24"/>
        </w:rPr>
        <w:t>Non-RPP</w:t>
      </w:r>
      <w:r w:rsidRPr="006F7318">
        <w:rPr>
          <w:rFonts w:ascii="Arial" w:eastAsia="Times New Roman" w:hAnsi="Arial" w:cs="Arial"/>
          <w:color w:val="FF0000"/>
          <w:sz w:val="24"/>
          <w:szCs w:val="24"/>
        </w:rPr>
        <w:t xml:space="preserve"> customers.  </w:t>
      </w:r>
    </w:p>
    <w:p w:rsidR="00704C35" w:rsidRPr="00704C35" w:rsidRDefault="00704C35" w:rsidP="006F7318">
      <w:pPr>
        <w:pStyle w:val="ListParagraph"/>
        <w:ind w:left="0" w:hanging="720"/>
        <w:rPr>
          <w:rFonts w:ascii="Arial" w:eastAsia="Times New Roman" w:hAnsi="Arial" w:cs="Arial"/>
          <w:color w:val="FF0000"/>
          <w:sz w:val="24"/>
          <w:szCs w:val="24"/>
        </w:rPr>
      </w:pPr>
    </w:p>
    <w:p w:rsidR="00265C42" w:rsidRPr="006F7318" w:rsidRDefault="00265C42" w:rsidP="006F7318">
      <w:pPr>
        <w:pStyle w:val="ListParagraph"/>
        <w:numPr>
          <w:ilvl w:val="0"/>
          <w:numId w:val="37"/>
        </w:numPr>
        <w:spacing w:after="0"/>
        <w:ind w:hanging="720"/>
        <w:rPr>
          <w:rFonts w:ascii="Arial" w:eastAsia="Times New Roman" w:hAnsi="Arial" w:cs="Arial"/>
          <w:color w:val="FF0000"/>
          <w:sz w:val="24"/>
          <w:szCs w:val="24"/>
        </w:rPr>
      </w:pPr>
      <w:r w:rsidRPr="006F7318">
        <w:rPr>
          <w:rFonts w:ascii="Arial" w:eastAsia="Times New Roman" w:hAnsi="Arial" w:cs="Arial"/>
          <w:color w:val="FF0000"/>
          <w:sz w:val="24"/>
          <w:szCs w:val="24"/>
        </w:rPr>
        <w:t xml:space="preserve">After the 2016 Workform was completed it was determined </w:t>
      </w:r>
      <w:r w:rsidRPr="006F7318">
        <w:rPr>
          <w:rFonts w:ascii="Arial" w:hAnsi="Arial" w:cs="Arial"/>
          <w:color w:val="FF0000"/>
          <w:sz w:val="24"/>
          <w:szCs w:val="24"/>
        </w:rPr>
        <w:t xml:space="preserve">Westario Power under estimated the amount of the GA paid for </w:t>
      </w:r>
      <w:r w:rsidR="00F912AB" w:rsidRPr="006F7318">
        <w:rPr>
          <w:rFonts w:ascii="Arial" w:hAnsi="Arial" w:cs="Arial"/>
          <w:color w:val="FF0000"/>
          <w:sz w:val="24"/>
          <w:szCs w:val="24"/>
        </w:rPr>
        <w:t>Non-RPP</w:t>
      </w:r>
      <w:r w:rsidRPr="006F7318">
        <w:rPr>
          <w:rFonts w:ascii="Arial" w:hAnsi="Arial" w:cs="Arial"/>
          <w:color w:val="FF0000"/>
          <w:sz w:val="24"/>
          <w:szCs w:val="24"/>
        </w:rPr>
        <w:t xml:space="preserve"> customers and over estimated for RPP customers.  Therefore a debit is required to increase 1589 </w:t>
      </w:r>
      <w:r w:rsidRPr="006F7318">
        <w:rPr>
          <w:rFonts w:ascii="Arial" w:hAnsi="Arial" w:cs="Arial"/>
          <w:color w:val="FF0000"/>
          <w:sz w:val="24"/>
          <w:szCs w:val="24"/>
        </w:rPr>
        <w:lastRenderedPageBreak/>
        <w:t xml:space="preserve">and a credit is required to decrease account 1588 to decrease the effect on RPP customers and increase the effect on </w:t>
      </w:r>
      <w:r w:rsidR="00F912AB" w:rsidRPr="006F7318">
        <w:rPr>
          <w:rFonts w:ascii="Arial" w:hAnsi="Arial" w:cs="Arial"/>
          <w:color w:val="FF0000"/>
          <w:sz w:val="24"/>
          <w:szCs w:val="24"/>
        </w:rPr>
        <w:t>Non-RPP</w:t>
      </w:r>
      <w:r w:rsidRPr="006F7318">
        <w:rPr>
          <w:rFonts w:ascii="Arial" w:hAnsi="Arial" w:cs="Arial"/>
          <w:color w:val="FF0000"/>
          <w:sz w:val="24"/>
          <w:szCs w:val="24"/>
        </w:rPr>
        <w:t xml:space="preserve"> customers.</w:t>
      </w:r>
    </w:p>
    <w:p w:rsidR="00E06F38" w:rsidRPr="00E06F38" w:rsidRDefault="00E06F38" w:rsidP="006F7318">
      <w:pPr>
        <w:spacing w:after="0"/>
        <w:ind w:hanging="720"/>
        <w:rPr>
          <w:rFonts w:ascii="Arial" w:eastAsia="Times New Roman" w:hAnsi="Arial" w:cs="Arial"/>
          <w:color w:val="FF0000"/>
          <w:sz w:val="24"/>
          <w:szCs w:val="24"/>
        </w:rPr>
      </w:pPr>
    </w:p>
    <w:p w:rsidR="00E06F38" w:rsidRPr="006F7318" w:rsidRDefault="00E06F38" w:rsidP="006F7318">
      <w:pPr>
        <w:pStyle w:val="ListParagraph"/>
        <w:numPr>
          <w:ilvl w:val="0"/>
          <w:numId w:val="37"/>
        </w:numPr>
        <w:spacing w:after="0"/>
        <w:ind w:hanging="720"/>
        <w:rPr>
          <w:rFonts w:ascii="Arial" w:eastAsia="Times New Roman" w:hAnsi="Arial" w:cs="Arial"/>
          <w:color w:val="FF0000"/>
          <w:sz w:val="24"/>
          <w:szCs w:val="24"/>
        </w:rPr>
      </w:pPr>
      <w:r w:rsidRPr="006F7318">
        <w:rPr>
          <w:rFonts w:ascii="Arial" w:eastAsia="Times New Roman" w:hAnsi="Arial" w:cs="Arial"/>
          <w:color w:val="FF0000"/>
          <w:sz w:val="24"/>
          <w:szCs w:val="24"/>
        </w:rPr>
        <w:t xml:space="preserve">Total recorded in 2016 for GA </w:t>
      </w:r>
      <w:r w:rsidR="00F912AB" w:rsidRPr="006F7318">
        <w:rPr>
          <w:rFonts w:ascii="Arial" w:eastAsia="Times New Roman" w:hAnsi="Arial" w:cs="Arial"/>
          <w:color w:val="FF0000"/>
          <w:sz w:val="24"/>
          <w:szCs w:val="24"/>
        </w:rPr>
        <w:t>Non-RPP</w:t>
      </w:r>
      <w:r w:rsidRPr="006F7318">
        <w:rPr>
          <w:rFonts w:ascii="Arial" w:eastAsia="Times New Roman" w:hAnsi="Arial" w:cs="Arial"/>
          <w:color w:val="FF0000"/>
          <w:sz w:val="24"/>
          <w:szCs w:val="24"/>
        </w:rPr>
        <w:t xml:space="preserve"> based on estimate was $19,785,573.46 but actual value should have been $20,347,926.38 so the </w:t>
      </w:r>
      <w:r w:rsidR="00F912AB" w:rsidRPr="006F7318">
        <w:rPr>
          <w:rFonts w:ascii="Arial" w:eastAsia="Times New Roman" w:hAnsi="Arial" w:cs="Arial"/>
          <w:color w:val="FF0000"/>
          <w:sz w:val="24"/>
          <w:szCs w:val="24"/>
        </w:rPr>
        <w:t>NON-RPP</w:t>
      </w:r>
      <w:r w:rsidRPr="006F7318">
        <w:rPr>
          <w:rFonts w:ascii="Arial" w:eastAsia="Times New Roman" w:hAnsi="Arial" w:cs="Arial"/>
          <w:color w:val="FF0000"/>
          <w:sz w:val="24"/>
          <w:szCs w:val="24"/>
        </w:rPr>
        <w:t xml:space="preserve"> </w:t>
      </w:r>
      <w:r w:rsidR="00CE639B" w:rsidRPr="006F7318">
        <w:rPr>
          <w:rFonts w:ascii="Arial" w:eastAsia="Times New Roman" w:hAnsi="Arial" w:cs="Arial"/>
          <w:color w:val="FF0000"/>
          <w:sz w:val="24"/>
          <w:szCs w:val="24"/>
        </w:rPr>
        <w:t>customers’</w:t>
      </w:r>
      <w:r w:rsidRPr="006F7318">
        <w:rPr>
          <w:rFonts w:ascii="Arial" w:eastAsia="Times New Roman" w:hAnsi="Arial" w:cs="Arial"/>
          <w:color w:val="FF0000"/>
          <w:sz w:val="24"/>
          <w:szCs w:val="24"/>
        </w:rPr>
        <w:t xml:space="preserve"> portion was understated by $562,353, therefore a debit is needed to increase the GA </w:t>
      </w:r>
      <w:r w:rsidR="00F912AB" w:rsidRPr="006F7318">
        <w:rPr>
          <w:rFonts w:ascii="Arial" w:eastAsia="Times New Roman" w:hAnsi="Arial" w:cs="Arial"/>
          <w:color w:val="FF0000"/>
          <w:sz w:val="24"/>
          <w:szCs w:val="24"/>
        </w:rPr>
        <w:t>NON-RPP</w:t>
      </w:r>
      <w:r w:rsidRPr="006F7318">
        <w:rPr>
          <w:rFonts w:ascii="Arial" w:eastAsia="Times New Roman" w:hAnsi="Arial" w:cs="Arial"/>
          <w:color w:val="FF0000"/>
          <w:sz w:val="24"/>
          <w:szCs w:val="24"/>
        </w:rPr>
        <w:t xml:space="preserve"> portion.  </w:t>
      </w:r>
    </w:p>
    <w:p w:rsidR="00E06F38" w:rsidRDefault="00E06F38" w:rsidP="006F7318">
      <w:pPr>
        <w:pStyle w:val="ListParagraph"/>
        <w:spacing w:after="0"/>
        <w:ind w:left="0" w:hanging="720"/>
        <w:rPr>
          <w:rFonts w:ascii="Arial" w:eastAsia="Times New Roman" w:hAnsi="Arial" w:cs="Arial"/>
          <w:color w:val="FF0000"/>
          <w:sz w:val="24"/>
          <w:szCs w:val="24"/>
        </w:rPr>
      </w:pPr>
    </w:p>
    <w:p w:rsidR="00265C42" w:rsidRPr="006F7318" w:rsidRDefault="00265C42" w:rsidP="006F7318">
      <w:pPr>
        <w:pStyle w:val="ListParagraph"/>
        <w:spacing w:after="0"/>
        <w:ind w:left="-426"/>
        <w:rPr>
          <w:rFonts w:ascii="Arial" w:eastAsia="Times New Roman" w:hAnsi="Arial" w:cs="Arial"/>
          <w:color w:val="FF0000"/>
          <w:sz w:val="24"/>
          <w:szCs w:val="24"/>
        </w:rPr>
      </w:pPr>
      <w:r>
        <w:rPr>
          <w:noProof/>
          <w:lang w:eastAsia="en-CA"/>
        </w:rPr>
        <w:drawing>
          <wp:inline distT="0" distB="0" distL="0" distR="0" wp14:anchorId="600050B3" wp14:editId="75A65E6C">
            <wp:extent cx="6636928" cy="3057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4129" cy="3060842"/>
                    </a:xfrm>
                    <a:prstGeom prst="rect">
                      <a:avLst/>
                    </a:prstGeom>
                  </pic:spPr>
                </pic:pic>
              </a:graphicData>
            </a:graphic>
          </wp:inline>
        </w:drawing>
      </w:r>
    </w:p>
    <w:p w:rsidR="00E06F38" w:rsidRDefault="00E06F38" w:rsidP="006F7318">
      <w:pPr>
        <w:spacing w:after="0"/>
        <w:ind w:hanging="720"/>
        <w:rPr>
          <w:rFonts w:ascii="Arial" w:eastAsia="Times New Roman" w:hAnsi="Arial" w:cs="Arial"/>
          <w:color w:val="FF0000"/>
          <w:sz w:val="24"/>
          <w:szCs w:val="24"/>
        </w:rPr>
      </w:pPr>
    </w:p>
    <w:p w:rsidR="00265C42" w:rsidRPr="006F7318" w:rsidRDefault="00265C42" w:rsidP="006F7318">
      <w:pPr>
        <w:pStyle w:val="ListParagraph"/>
        <w:numPr>
          <w:ilvl w:val="0"/>
          <w:numId w:val="37"/>
        </w:numPr>
        <w:spacing w:after="0"/>
        <w:ind w:hanging="720"/>
        <w:rPr>
          <w:rFonts w:ascii="Arial" w:eastAsia="Times New Roman" w:hAnsi="Arial" w:cs="Arial"/>
          <w:color w:val="FF0000"/>
          <w:sz w:val="24"/>
          <w:szCs w:val="24"/>
        </w:rPr>
      </w:pPr>
      <w:r w:rsidRPr="006F7318">
        <w:rPr>
          <w:rFonts w:ascii="Arial" w:eastAsia="Times New Roman" w:hAnsi="Arial" w:cs="Arial"/>
          <w:color w:val="FF0000"/>
          <w:sz w:val="24"/>
          <w:szCs w:val="24"/>
        </w:rPr>
        <w:t>Westario is confirming</w:t>
      </w:r>
      <w:r w:rsidR="00794E86" w:rsidRPr="006F7318">
        <w:rPr>
          <w:rFonts w:ascii="Arial" w:eastAsia="Times New Roman" w:hAnsi="Arial" w:cs="Arial"/>
          <w:color w:val="FF0000"/>
          <w:sz w:val="24"/>
          <w:szCs w:val="24"/>
        </w:rPr>
        <w:t xml:space="preserve"> that </w:t>
      </w:r>
      <w:r w:rsidRPr="006F7318">
        <w:rPr>
          <w:rFonts w:ascii="Arial" w:eastAsia="Times New Roman" w:hAnsi="Arial" w:cs="Arial"/>
          <w:color w:val="FF0000"/>
          <w:sz w:val="24"/>
          <w:szCs w:val="24"/>
        </w:rPr>
        <w:t xml:space="preserve">the total true-up adjustment </w:t>
      </w:r>
      <w:r w:rsidR="00144F19">
        <w:rPr>
          <w:rFonts w:ascii="Arial" w:eastAsia="Times New Roman" w:hAnsi="Arial" w:cs="Arial"/>
          <w:color w:val="FF0000"/>
          <w:sz w:val="24"/>
          <w:szCs w:val="24"/>
        </w:rPr>
        <w:t>we</w:t>
      </w:r>
      <w:r w:rsidR="00794E86" w:rsidRPr="006F7318">
        <w:rPr>
          <w:rFonts w:ascii="Arial" w:eastAsia="Times New Roman" w:hAnsi="Arial" w:cs="Arial"/>
          <w:color w:val="FF0000"/>
          <w:sz w:val="24"/>
          <w:szCs w:val="24"/>
        </w:rPr>
        <w:t xml:space="preserve"> are proposing </w:t>
      </w:r>
      <w:r w:rsidRPr="006F7318">
        <w:rPr>
          <w:rFonts w:ascii="Arial" w:eastAsia="Times New Roman" w:hAnsi="Arial" w:cs="Arial"/>
          <w:color w:val="FF0000"/>
          <w:sz w:val="24"/>
          <w:szCs w:val="24"/>
        </w:rPr>
        <w:t>in the “Principal Adjustments” column for 2016 of $562,353 does not form part of the balance in the “Transaction Debit / (Credit) during 2017” column of the DVA continuity schedule</w:t>
      </w:r>
      <w:r w:rsidR="00794E86" w:rsidRPr="006F7318">
        <w:rPr>
          <w:rFonts w:ascii="Arial" w:eastAsia="Times New Roman" w:hAnsi="Arial" w:cs="Arial"/>
          <w:color w:val="FF0000"/>
          <w:sz w:val="24"/>
          <w:szCs w:val="24"/>
        </w:rPr>
        <w:t xml:space="preserve"> and is a separate request. </w:t>
      </w:r>
      <w:r w:rsidR="00144F19">
        <w:rPr>
          <w:rFonts w:ascii="Arial" w:eastAsia="Times New Roman" w:hAnsi="Arial" w:cs="Arial"/>
          <w:color w:val="FF0000"/>
          <w:sz w:val="24"/>
          <w:szCs w:val="24"/>
        </w:rPr>
        <w:t>The transaction will be posted in 2018.</w:t>
      </w:r>
    </w:p>
    <w:p w:rsidR="00794E86" w:rsidRPr="00794E86" w:rsidRDefault="00794E86" w:rsidP="006F7318">
      <w:pPr>
        <w:pStyle w:val="ListParagraph"/>
        <w:spacing w:after="0"/>
        <w:ind w:left="0"/>
        <w:rPr>
          <w:rFonts w:ascii="Arial" w:eastAsia="Times New Roman" w:hAnsi="Arial" w:cs="Arial"/>
          <w:color w:val="FF0000"/>
          <w:sz w:val="24"/>
          <w:szCs w:val="24"/>
        </w:rPr>
      </w:pPr>
    </w:p>
    <w:p w:rsidR="002F02C2" w:rsidRDefault="002F02C2" w:rsidP="002F02C2">
      <w:pPr>
        <w:pStyle w:val="ListParagraph"/>
        <w:numPr>
          <w:ilvl w:val="0"/>
          <w:numId w:val="26"/>
        </w:numPr>
        <w:tabs>
          <w:tab w:val="left" w:pos="1710"/>
        </w:tabs>
        <w:spacing w:after="0"/>
        <w:rPr>
          <w:rFonts w:ascii="Arial" w:eastAsia="Times New Roman" w:hAnsi="Arial" w:cs="Arial"/>
          <w:sz w:val="24"/>
          <w:szCs w:val="24"/>
        </w:rPr>
      </w:pPr>
      <w:r>
        <w:rPr>
          <w:rFonts w:ascii="Arial" w:eastAsia="Times New Roman" w:hAnsi="Arial" w:cs="Arial"/>
          <w:sz w:val="24"/>
          <w:szCs w:val="24"/>
        </w:rPr>
        <w:t>The applicant has recorded true-up adjustments for 2a and 2b in Note 5 of the</w:t>
      </w:r>
      <w:r w:rsidR="00846C3E">
        <w:rPr>
          <w:rFonts w:ascii="Arial" w:eastAsia="Times New Roman" w:hAnsi="Arial" w:cs="Arial"/>
          <w:sz w:val="24"/>
          <w:szCs w:val="24"/>
        </w:rPr>
        <w:t xml:space="preserve"> 2016</w:t>
      </w:r>
      <w:r>
        <w:rPr>
          <w:rFonts w:ascii="Arial" w:eastAsia="Times New Roman" w:hAnsi="Arial" w:cs="Arial"/>
          <w:sz w:val="24"/>
          <w:szCs w:val="24"/>
        </w:rPr>
        <w:t xml:space="preserve"> GA Analysis Workform</w:t>
      </w:r>
      <w:r w:rsidR="00611998">
        <w:rPr>
          <w:rFonts w:ascii="Arial" w:eastAsia="Times New Roman" w:hAnsi="Arial" w:cs="Arial"/>
          <w:sz w:val="24"/>
          <w:szCs w:val="24"/>
        </w:rPr>
        <w:t>.</w:t>
      </w:r>
    </w:p>
    <w:p w:rsidR="00611998" w:rsidRDefault="00611998" w:rsidP="00611998">
      <w:pPr>
        <w:pStyle w:val="ListParagraph"/>
        <w:numPr>
          <w:ilvl w:val="2"/>
          <w:numId w:val="26"/>
        </w:numPr>
        <w:tabs>
          <w:tab w:val="left" w:pos="1710"/>
        </w:tabs>
        <w:spacing w:after="0"/>
        <w:ind w:left="1710" w:hanging="540"/>
        <w:rPr>
          <w:rFonts w:ascii="Arial" w:eastAsia="Times New Roman" w:hAnsi="Arial" w:cs="Arial"/>
          <w:sz w:val="24"/>
          <w:szCs w:val="24"/>
        </w:rPr>
      </w:pPr>
      <w:r>
        <w:rPr>
          <w:rFonts w:ascii="Arial" w:eastAsia="Times New Roman" w:hAnsi="Arial" w:cs="Arial"/>
          <w:sz w:val="24"/>
          <w:szCs w:val="24"/>
        </w:rPr>
        <w:t>Please add explanation that supports the direction of each of these adjustments</w:t>
      </w:r>
      <w:r w:rsidR="00846C3E">
        <w:rPr>
          <w:rFonts w:ascii="Arial" w:eastAsia="Times New Roman" w:hAnsi="Arial" w:cs="Arial"/>
          <w:sz w:val="24"/>
          <w:szCs w:val="24"/>
        </w:rPr>
        <w:t xml:space="preserve"> (i.e. why a debit and a credit are appropriate for 2a and 2b respectively</w:t>
      </w:r>
      <w:r>
        <w:rPr>
          <w:rFonts w:ascii="Arial" w:eastAsia="Times New Roman" w:hAnsi="Arial" w:cs="Arial"/>
          <w:sz w:val="24"/>
          <w:szCs w:val="24"/>
        </w:rPr>
        <w:t>.</w:t>
      </w:r>
    </w:p>
    <w:p w:rsidR="00846C3E" w:rsidRDefault="00846C3E" w:rsidP="00611998">
      <w:pPr>
        <w:pStyle w:val="ListParagraph"/>
        <w:numPr>
          <w:ilvl w:val="2"/>
          <w:numId w:val="26"/>
        </w:numPr>
        <w:tabs>
          <w:tab w:val="left" w:pos="1710"/>
        </w:tabs>
        <w:spacing w:after="0"/>
        <w:ind w:left="1710" w:hanging="540"/>
        <w:rPr>
          <w:rFonts w:ascii="Arial" w:eastAsia="Times New Roman" w:hAnsi="Arial" w:cs="Arial"/>
          <w:sz w:val="24"/>
          <w:szCs w:val="24"/>
        </w:rPr>
      </w:pPr>
      <w:r>
        <w:rPr>
          <w:rFonts w:ascii="Arial" w:eastAsia="Times New Roman" w:hAnsi="Arial" w:cs="Arial"/>
          <w:sz w:val="24"/>
          <w:szCs w:val="24"/>
        </w:rPr>
        <w:t>What months are being accrued for?</w:t>
      </w:r>
    </w:p>
    <w:p w:rsidR="00611998" w:rsidRDefault="00611998" w:rsidP="00611998">
      <w:pPr>
        <w:pStyle w:val="ListParagraph"/>
        <w:numPr>
          <w:ilvl w:val="2"/>
          <w:numId w:val="26"/>
        </w:numPr>
        <w:tabs>
          <w:tab w:val="left" w:pos="1710"/>
        </w:tabs>
        <w:spacing w:after="0"/>
        <w:ind w:left="1710" w:hanging="540"/>
        <w:rPr>
          <w:rFonts w:ascii="Arial" w:eastAsia="Times New Roman" w:hAnsi="Arial" w:cs="Arial"/>
          <w:sz w:val="24"/>
          <w:szCs w:val="24"/>
        </w:rPr>
      </w:pPr>
      <w:r>
        <w:rPr>
          <w:rFonts w:ascii="Arial" w:eastAsia="Times New Roman" w:hAnsi="Arial" w:cs="Arial"/>
          <w:sz w:val="24"/>
          <w:szCs w:val="24"/>
        </w:rPr>
        <w:t>Please explain how the Applicant has quantified each of these amounts a</w:t>
      </w:r>
      <w:r w:rsidR="00F03108">
        <w:rPr>
          <w:rFonts w:ascii="Arial" w:eastAsia="Times New Roman" w:hAnsi="Arial" w:cs="Arial"/>
          <w:sz w:val="24"/>
          <w:szCs w:val="24"/>
        </w:rPr>
        <w:t>nd provide the supporting calcula</w:t>
      </w:r>
      <w:r>
        <w:rPr>
          <w:rFonts w:ascii="Arial" w:eastAsia="Times New Roman" w:hAnsi="Arial" w:cs="Arial"/>
          <w:sz w:val="24"/>
          <w:szCs w:val="24"/>
        </w:rPr>
        <w:t>tions.</w:t>
      </w:r>
    </w:p>
    <w:p w:rsidR="00B436D3" w:rsidRDefault="00B436D3" w:rsidP="00611998">
      <w:pPr>
        <w:pStyle w:val="ListParagraph"/>
        <w:numPr>
          <w:ilvl w:val="2"/>
          <w:numId w:val="26"/>
        </w:numPr>
        <w:tabs>
          <w:tab w:val="left" w:pos="1710"/>
        </w:tabs>
        <w:spacing w:after="0"/>
        <w:ind w:left="1710" w:hanging="540"/>
        <w:rPr>
          <w:rFonts w:ascii="Arial" w:eastAsia="Times New Roman" w:hAnsi="Arial" w:cs="Arial"/>
          <w:sz w:val="24"/>
          <w:szCs w:val="24"/>
        </w:rPr>
      </w:pPr>
      <w:r>
        <w:rPr>
          <w:rFonts w:ascii="Arial" w:eastAsia="Times New Roman" w:hAnsi="Arial" w:cs="Arial"/>
          <w:sz w:val="24"/>
          <w:szCs w:val="24"/>
        </w:rPr>
        <w:t>Was the amount shown in 2b actually recorded in 2017?</w:t>
      </w:r>
    </w:p>
    <w:p w:rsidR="007A3B5B" w:rsidRPr="007A3B5B" w:rsidRDefault="007A3B5B" w:rsidP="007A3B5B">
      <w:pPr>
        <w:pStyle w:val="ListParagraph"/>
        <w:numPr>
          <w:ilvl w:val="2"/>
          <w:numId w:val="26"/>
        </w:numPr>
        <w:spacing w:after="0"/>
        <w:ind w:left="1710" w:hanging="540"/>
        <w:rPr>
          <w:rFonts w:ascii="Arial" w:eastAsia="Times New Roman" w:hAnsi="Arial" w:cs="Arial"/>
          <w:sz w:val="24"/>
          <w:szCs w:val="24"/>
        </w:rPr>
      </w:pPr>
      <w:r>
        <w:rPr>
          <w:rFonts w:ascii="Arial" w:eastAsia="Times New Roman" w:hAnsi="Arial" w:cs="Arial"/>
          <w:sz w:val="24"/>
          <w:szCs w:val="24"/>
        </w:rPr>
        <w:lastRenderedPageBreak/>
        <w:t>Why has the Applicant not recorded the true-up adjustment shown in 2b of Note 5 in the GA Analysis Workform as a principal adjustment for 2016 in the DVA continuity schedule?</w:t>
      </w:r>
    </w:p>
    <w:p w:rsidR="00321FBB" w:rsidRDefault="00321FBB" w:rsidP="00321FBB">
      <w:pPr>
        <w:pStyle w:val="ListParagraph"/>
        <w:tabs>
          <w:tab w:val="left" w:pos="1710"/>
        </w:tabs>
        <w:spacing w:after="0"/>
        <w:ind w:left="1710"/>
        <w:rPr>
          <w:rFonts w:ascii="Arial" w:eastAsia="Times New Roman" w:hAnsi="Arial" w:cs="Arial"/>
          <w:sz w:val="24"/>
          <w:szCs w:val="24"/>
        </w:rPr>
      </w:pPr>
    </w:p>
    <w:p w:rsidR="005F7D08" w:rsidRPr="001047EA" w:rsidRDefault="00120843" w:rsidP="001047EA">
      <w:pPr>
        <w:pStyle w:val="ListParagraph"/>
        <w:numPr>
          <w:ilvl w:val="0"/>
          <w:numId w:val="40"/>
        </w:numPr>
        <w:tabs>
          <w:tab w:val="left" w:pos="1276"/>
        </w:tabs>
        <w:spacing w:after="0"/>
        <w:ind w:hanging="720"/>
        <w:rPr>
          <w:rFonts w:ascii="Arial" w:eastAsia="Times New Roman" w:hAnsi="Arial" w:cs="Arial"/>
          <w:color w:val="FF0000"/>
          <w:sz w:val="24"/>
          <w:szCs w:val="24"/>
        </w:rPr>
      </w:pPr>
      <w:r w:rsidRPr="001047EA">
        <w:rPr>
          <w:rFonts w:ascii="Arial" w:eastAsia="Times New Roman" w:hAnsi="Arial" w:cs="Arial"/>
          <w:color w:val="FF0000"/>
          <w:sz w:val="24"/>
          <w:szCs w:val="24"/>
        </w:rPr>
        <w:t xml:space="preserve">These adjustment are reconciliations for the unbilled revenue. </w:t>
      </w:r>
      <w:r w:rsidR="00161960" w:rsidRPr="001047EA">
        <w:rPr>
          <w:rFonts w:ascii="Arial" w:eastAsia="Times New Roman" w:hAnsi="Arial" w:cs="Arial"/>
          <w:color w:val="FF0000"/>
          <w:sz w:val="24"/>
          <w:szCs w:val="24"/>
        </w:rPr>
        <w:t>Westario Power accruals on a monthly basis</w:t>
      </w:r>
      <w:r w:rsidR="00F912AB" w:rsidRPr="001047EA">
        <w:rPr>
          <w:rFonts w:ascii="Arial" w:eastAsia="Times New Roman" w:hAnsi="Arial" w:cs="Arial"/>
          <w:color w:val="FF0000"/>
          <w:sz w:val="24"/>
          <w:szCs w:val="24"/>
        </w:rPr>
        <w:t xml:space="preserve"> for unbilled revenue.</w:t>
      </w:r>
      <w:r w:rsidR="00161960" w:rsidRPr="001047EA">
        <w:rPr>
          <w:rFonts w:ascii="Arial" w:eastAsia="Times New Roman" w:hAnsi="Arial" w:cs="Arial"/>
          <w:color w:val="FF0000"/>
          <w:sz w:val="24"/>
          <w:szCs w:val="24"/>
        </w:rPr>
        <w:t xml:space="preserve"> </w:t>
      </w:r>
      <w:r w:rsidR="00F912AB" w:rsidRPr="001047EA">
        <w:rPr>
          <w:rFonts w:ascii="Arial" w:eastAsia="Times New Roman" w:hAnsi="Arial" w:cs="Arial"/>
          <w:color w:val="FF0000"/>
          <w:sz w:val="24"/>
          <w:szCs w:val="24"/>
        </w:rPr>
        <w:t>T</w:t>
      </w:r>
      <w:r w:rsidR="00161960" w:rsidRPr="001047EA">
        <w:rPr>
          <w:rFonts w:ascii="Arial" w:eastAsia="Times New Roman" w:hAnsi="Arial" w:cs="Arial"/>
          <w:color w:val="FF0000"/>
          <w:sz w:val="24"/>
          <w:szCs w:val="24"/>
        </w:rPr>
        <w:t xml:space="preserve">he accruals which these adjustments relate to are do to a fiscal year change so December 2015’s accrual is reversed in 2016 and offset the bills produced in the </w:t>
      </w:r>
      <w:r w:rsidR="00F912AB" w:rsidRPr="001047EA">
        <w:rPr>
          <w:rFonts w:ascii="Arial" w:eastAsia="Times New Roman" w:hAnsi="Arial" w:cs="Arial"/>
          <w:color w:val="FF0000"/>
          <w:sz w:val="24"/>
          <w:szCs w:val="24"/>
        </w:rPr>
        <w:t>current for</w:t>
      </w:r>
      <w:r w:rsidR="00161960" w:rsidRPr="001047EA">
        <w:rPr>
          <w:rFonts w:ascii="Arial" w:eastAsia="Times New Roman" w:hAnsi="Arial" w:cs="Arial"/>
          <w:color w:val="FF0000"/>
          <w:sz w:val="24"/>
          <w:szCs w:val="24"/>
        </w:rPr>
        <w:t xml:space="preserve"> prior consumption period.  The difference in this </w:t>
      </w:r>
      <w:r w:rsidR="00F912AB" w:rsidRPr="001047EA">
        <w:rPr>
          <w:rFonts w:ascii="Arial" w:eastAsia="Times New Roman" w:hAnsi="Arial" w:cs="Arial"/>
          <w:color w:val="FF0000"/>
          <w:sz w:val="24"/>
          <w:szCs w:val="24"/>
        </w:rPr>
        <w:t xml:space="preserve">case was $23,051.80 debit between December 2015’s accrual and actual billed for this period in 2016. </w:t>
      </w:r>
      <w:r w:rsidR="00E04677" w:rsidRPr="001047EA">
        <w:rPr>
          <w:rFonts w:ascii="Arial" w:eastAsia="Times New Roman" w:hAnsi="Arial" w:cs="Arial"/>
          <w:color w:val="FF0000"/>
          <w:sz w:val="24"/>
          <w:szCs w:val="24"/>
        </w:rPr>
        <w:t xml:space="preserve"> There is </w:t>
      </w:r>
      <w:r w:rsidR="00CE639B" w:rsidRPr="001047EA">
        <w:rPr>
          <w:rFonts w:ascii="Arial" w:eastAsia="Times New Roman" w:hAnsi="Arial" w:cs="Arial"/>
          <w:color w:val="FF0000"/>
          <w:sz w:val="24"/>
          <w:szCs w:val="24"/>
        </w:rPr>
        <w:t>a $</w:t>
      </w:r>
      <w:r w:rsidR="00F912AB" w:rsidRPr="001047EA">
        <w:rPr>
          <w:rFonts w:ascii="Arial" w:eastAsia="Times New Roman" w:hAnsi="Arial" w:cs="Arial"/>
          <w:color w:val="FF0000"/>
          <w:sz w:val="24"/>
          <w:szCs w:val="24"/>
        </w:rPr>
        <w:t xml:space="preserve">231,348.00 credit between December 2016’s accrual and actual billed for this period in 2017. </w:t>
      </w:r>
      <w:r w:rsidR="00914840" w:rsidRPr="001047EA">
        <w:rPr>
          <w:rFonts w:ascii="Arial" w:eastAsia="Times New Roman" w:hAnsi="Arial" w:cs="Arial"/>
          <w:color w:val="FF0000"/>
          <w:sz w:val="24"/>
          <w:szCs w:val="24"/>
        </w:rPr>
        <w:t>Please see GA Workform Back Up 2016 for c</w:t>
      </w:r>
      <w:r w:rsidR="00794E86" w:rsidRPr="001047EA">
        <w:rPr>
          <w:rFonts w:ascii="Arial" w:eastAsia="Times New Roman" w:hAnsi="Arial" w:cs="Arial"/>
          <w:color w:val="FF0000"/>
          <w:sz w:val="24"/>
          <w:szCs w:val="24"/>
        </w:rPr>
        <w:t>alculations.  Tab “Adjustment 2a</w:t>
      </w:r>
      <w:r w:rsidR="00F912AB" w:rsidRPr="001047EA">
        <w:rPr>
          <w:rFonts w:ascii="Arial" w:eastAsia="Times New Roman" w:hAnsi="Arial" w:cs="Arial"/>
          <w:color w:val="FF0000"/>
          <w:sz w:val="24"/>
          <w:szCs w:val="24"/>
        </w:rPr>
        <w:t xml:space="preserve"> &amp; 2b</w:t>
      </w:r>
      <w:r w:rsidR="00914840" w:rsidRPr="001047EA">
        <w:rPr>
          <w:rFonts w:ascii="Arial" w:eastAsia="Times New Roman" w:hAnsi="Arial" w:cs="Arial"/>
          <w:color w:val="FF0000"/>
          <w:sz w:val="24"/>
          <w:szCs w:val="24"/>
        </w:rPr>
        <w:t xml:space="preserve">” has the completed calculations for </w:t>
      </w:r>
      <w:r w:rsidR="00F912AB" w:rsidRPr="001047EA">
        <w:rPr>
          <w:rFonts w:ascii="Arial" w:eastAsia="Times New Roman" w:hAnsi="Arial" w:cs="Arial"/>
          <w:color w:val="FF0000"/>
          <w:sz w:val="24"/>
          <w:szCs w:val="24"/>
        </w:rPr>
        <w:t>Non-RPP</w:t>
      </w:r>
      <w:r w:rsidR="00914840" w:rsidRPr="001047EA">
        <w:rPr>
          <w:rFonts w:ascii="Arial" w:eastAsia="Times New Roman" w:hAnsi="Arial" w:cs="Arial"/>
          <w:color w:val="FF0000"/>
          <w:sz w:val="24"/>
          <w:szCs w:val="24"/>
        </w:rPr>
        <w:t xml:space="preserve"> GA adjustment.</w:t>
      </w:r>
      <w:r w:rsidR="005F7D08" w:rsidRPr="001047EA">
        <w:rPr>
          <w:rFonts w:ascii="Arial" w:eastAsia="Times New Roman" w:hAnsi="Arial" w:cs="Arial"/>
          <w:color w:val="FF0000"/>
          <w:sz w:val="24"/>
          <w:szCs w:val="24"/>
        </w:rPr>
        <w:t xml:space="preserve">  </w:t>
      </w:r>
    </w:p>
    <w:p w:rsidR="006F7318" w:rsidRDefault="006F7318" w:rsidP="001047EA">
      <w:pPr>
        <w:pStyle w:val="ListParagraph"/>
        <w:tabs>
          <w:tab w:val="left" w:pos="1276"/>
        </w:tabs>
        <w:spacing w:after="0"/>
        <w:ind w:left="709" w:hanging="720"/>
        <w:rPr>
          <w:rFonts w:ascii="Arial" w:eastAsia="Times New Roman" w:hAnsi="Arial" w:cs="Arial"/>
          <w:color w:val="FF0000"/>
          <w:sz w:val="24"/>
          <w:szCs w:val="24"/>
        </w:rPr>
      </w:pPr>
    </w:p>
    <w:p w:rsidR="00120843" w:rsidRDefault="00120843" w:rsidP="001047EA">
      <w:pPr>
        <w:pStyle w:val="ListParagraph"/>
        <w:numPr>
          <w:ilvl w:val="0"/>
          <w:numId w:val="40"/>
        </w:numPr>
        <w:tabs>
          <w:tab w:val="left" w:pos="1276"/>
        </w:tabs>
        <w:spacing w:after="0"/>
        <w:ind w:hanging="720"/>
        <w:rPr>
          <w:rFonts w:ascii="Arial" w:eastAsia="Times New Roman" w:hAnsi="Arial" w:cs="Arial"/>
          <w:color w:val="FF0000"/>
          <w:sz w:val="24"/>
          <w:szCs w:val="24"/>
        </w:rPr>
      </w:pPr>
      <w:r w:rsidRPr="001047EA">
        <w:rPr>
          <w:rFonts w:ascii="Arial" w:eastAsia="Times New Roman" w:hAnsi="Arial" w:cs="Arial"/>
          <w:color w:val="FF0000"/>
          <w:sz w:val="24"/>
          <w:szCs w:val="24"/>
        </w:rPr>
        <w:t>Westario Power accruals on a monthly basis for unbilled revenue. These adjustments are relate to fiscal year changes and represent December’s accrual being reversed in the following year in January.</w:t>
      </w:r>
    </w:p>
    <w:p w:rsidR="001047EA" w:rsidRPr="001047EA" w:rsidRDefault="001047EA" w:rsidP="001047EA">
      <w:pPr>
        <w:pStyle w:val="ListParagraph"/>
        <w:rPr>
          <w:rFonts w:ascii="Arial" w:eastAsia="Times New Roman" w:hAnsi="Arial" w:cs="Arial"/>
          <w:color w:val="FF0000"/>
          <w:sz w:val="24"/>
          <w:szCs w:val="24"/>
        </w:rPr>
      </w:pPr>
    </w:p>
    <w:p w:rsidR="001047EA" w:rsidRPr="001047EA" w:rsidRDefault="001047EA" w:rsidP="001047EA">
      <w:pPr>
        <w:pStyle w:val="ListParagraph"/>
        <w:numPr>
          <w:ilvl w:val="0"/>
          <w:numId w:val="40"/>
        </w:numPr>
        <w:tabs>
          <w:tab w:val="left" w:pos="1276"/>
        </w:tabs>
        <w:spacing w:after="0"/>
        <w:ind w:hanging="720"/>
        <w:rPr>
          <w:rFonts w:ascii="Arial" w:eastAsia="Times New Roman" w:hAnsi="Arial" w:cs="Arial"/>
          <w:color w:val="FF0000"/>
          <w:sz w:val="24"/>
          <w:szCs w:val="24"/>
        </w:rPr>
      </w:pPr>
    </w:p>
    <w:p w:rsidR="00120843" w:rsidRDefault="00120843" w:rsidP="001047EA">
      <w:pPr>
        <w:pStyle w:val="ListParagraph"/>
        <w:tabs>
          <w:tab w:val="left" w:pos="1276"/>
        </w:tabs>
        <w:spacing w:after="0"/>
        <w:rPr>
          <w:rFonts w:ascii="Arial" w:eastAsia="Times New Roman" w:hAnsi="Arial" w:cs="Arial"/>
          <w:color w:val="FF0000"/>
          <w:sz w:val="24"/>
          <w:szCs w:val="24"/>
        </w:rPr>
      </w:pPr>
      <w:r>
        <w:rPr>
          <w:noProof/>
          <w:lang w:eastAsia="en-CA"/>
        </w:rPr>
        <w:drawing>
          <wp:inline distT="0" distB="0" distL="0" distR="0" wp14:anchorId="1D21DF7A" wp14:editId="378708B0">
            <wp:extent cx="5943600" cy="21837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83765"/>
                    </a:xfrm>
                    <a:prstGeom prst="rect">
                      <a:avLst/>
                    </a:prstGeom>
                  </pic:spPr>
                </pic:pic>
              </a:graphicData>
            </a:graphic>
          </wp:inline>
        </w:drawing>
      </w:r>
    </w:p>
    <w:p w:rsidR="00120843" w:rsidRDefault="00120843" w:rsidP="001047EA">
      <w:pPr>
        <w:pStyle w:val="ListParagraph"/>
        <w:tabs>
          <w:tab w:val="left" w:pos="1276"/>
        </w:tabs>
        <w:spacing w:after="0"/>
        <w:ind w:left="709" w:hanging="720"/>
        <w:rPr>
          <w:rFonts w:ascii="Arial" w:eastAsia="Times New Roman" w:hAnsi="Arial" w:cs="Arial"/>
          <w:color w:val="FF0000"/>
          <w:sz w:val="24"/>
          <w:szCs w:val="24"/>
        </w:rPr>
      </w:pPr>
    </w:p>
    <w:p w:rsidR="00120843" w:rsidRDefault="00120843" w:rsidP="001047EA">
      <w:pPr>
        <w:pStyle w:val="ListParagraph"/>
        <w:tabs>
          <w:tab w:val="left" w:pos="1276"/>
        </w:tabs>
        <w:spacing w:after="0"/>
        <w:rPr>
          <w:rFonts w:ascii="Arial" w:eastAsia="Times New Roman" w:hAnsi="Arial" w:cs="Arial"/>
          <w:color w:val="FF0000"/>
          <w:sz w:val="24"/>
          <w:szCs w:val="24"/>
        </w:rPr>
      </w:pPr>
      <w:r>
        <w:rPr>
          <w:noProof/>
          <w:lang w:eastAsia="en-CA"/>
        </w:rPr>
        <w:lastRenderedPageBreak/>
        <w:drawing>
          <wp:inline distT="0" distB="0" distL="0" distR="0" wp14:anchorId="285CF05A" wp14:editId="107D73F5">
            <wp:extent cx="5857875" cy="212598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442"/>
                    <a:stretch/>
                  </pic:blipFill>
                  <pic:spPr bwMode="auto">
                    <a:xfrm>
                      <a:off x="0" y="0"/>
                      <a:ext cx="5857875" cy="2125980"/>
                    </a:xfrm>
                    <a:prstGeom prst="rect">
                      <a:avLst/>
                    </a:prstGeom>
                    <a:ln>
                      <a:noFill/>
                    </a:ln>
                    <a:extLst>
                      <a:ext uri="{53640926-AAD7-44D8-BBD7-CCE9431645EC}">
                        <a14:shadowObscured xmlns:a14="http://schemas.microsoft.com/office/drawing/2010/main"/>
                      </a:ext>
                    </a:extLst>
                  </pic:spPr>
                </pic:pic>
              </a:graphicData>
            </a:graphic>
          </wp:inline>
        </w:drawing>
      </w:r>
    </w:p>
    <w:p w:rsidR="00120843" w:rsidRDefault="00120843" w:rsidP="001047EA">
      <w:pPr>
        <w:pStyle w:val="ListParagraph"/>
        <w:tabs>
          <w:tab w:val="left" w:pos="1276"/>
        </w:tabs>
        <w:spacing w:after="0"/>
        <w:ind w:left="709" w:hanging="720"/>
        <w:rPr>
          <w:rFonts w:ascii="Arial" w:eastAsia="Times New Roman" w:hAnsi="Arial" w:cs="Arial"/>
          <w:color w:val="FF0000"/>
          <w:sz w:val="24"/>
          <w:szCs w:val="24"/>
        </w:rPr>
      </w:pPr>
    </w:p>
    <w:p w:rsidR="001047EA" w:rsidRDefault="00F77582" w:rsidP="001047EA">
      <w:pPr>
        <w:pStyle w:val="ListParagraph"/>
        <w:numPr>
          <w:ilvl w:val="0"/>
          <w:numId w:val="40"/>
        </w:numPr>
        <w:tabs>
          <w:tab w:val="left" w:pos="1276"/>
        </w:tabs>
        <w:spacing w:after="0"/>
        <w:ind w:left="709" w:hanging="720"/>
        <w:rPr>
          <w:rFonts w:ascii="Arial" w:eastAsia="Times New Roman" w:hAnsi="Arial" w:cs="Arial"/>
          <w:color w:val="FF0000"/>
          <w:sz w:val="24"/>
          <w:szCs w:val="24"/>
        </w:rPr>
      </w:pPr>
      <w:r w:rsidRPr="001047EA">
        <w:rPr>
          <w:rFonts w:ascii="Arial" w:eastAsia="Times New Roman" w:hAnsi="Arial" w:cs="Arial"/>
          <w:color w:val="FF0000"/>
          <w:sz w:val="24"/>
          <w:szCs w:val="24"/>
        </w:rPr>
        <w:t>Yes this amount would have been recorded in 2017 as part of</w:t>
      </w:r>
      <w:r w:rsidR="00065F14">
        <w:rPr>
          <w:rFonts w:ascii="Arial" w:eastAsia="Times New Roman" w:hAnsi="Arial" w:cs="Arial"/>
          <w:color w:val="FF0000"/>
          <w:sz w:val="24"/>
          <w:szCs w:val="24"/>
        </w:rPr>
        <w:t xml:space="preserve"> the billed amount in January 2</w:t>
      </w:r>
      <w:r w:rsidRPr="001047EA">
        <w:rPr>
          <w:rFonts w:ascii="Arial" w:eastAsia="Times New Roman" w:hAnsi="Arial" w:cs="Arial"/>
          <w:color w:val="FF0000"/>
          <w:sz w:val="24"/>
          <w:szCs w:val="24"/>
        </w:rPr>
        <w:t>0</w:t>
      </w:r>
      <w:r w:rsidR="00065F14">
        <w:rPr>
          <w:rFonts w:ascii="Arial" w:eastAsia="Times New Roman" w:hAnsi="Arial" w:cs="Arial"/>
          <w:color w:val="FF0000"/>
          <w:sz w:val="24"/>
          <w:szCs w:val="24"/>
        </w:rPr>
        <w:t>1</w:t>
      </w:r>
      <w:r w:rsidRPr="001047EA">
        <w:rPr>
          <w:rFonts w:ascii="Arial" w:eastAsia="Times New Roman" w:hAnsi="Arial" w:cs="Arial"/>
          <w:color w:val="FF0000"/>
          <w:sz w:val="24"/>
          <w:szCs w:val="24"/>
        </w:rPr>
        <w:t>7</w:t>
      </w:r>
      <w:r w:rsidR="001047EA" w:rsidRPr="001047EA">
        <w:rPr>
          <w:rFonts w:ascii="Arial" w:eastAsia="Times New Roman" w:hAnsi="Arial" w:cs="Arial"/>
          <w:color w:val="FF0000"/>
          <w:sz w:val="24"/>
          <w:szCs w:val="24"/>
        </w:rPr>
        <w:t xml:space="preserve">. </w:t>
      </w:r>
    </w:p>
    <w:p w:rsidR="001047EA" w:rsidRDefault="001047EA" w:rsidP="001047EA">
      <w:pPr>
        <w:pStyle w:val="ListParagraph"/>
        <w:tabs>
          <w:tab w:val="left" w:pos="1276"/>
        </w:tabs>
        <w:spacing w:after="0"/>
        <w:ind w:left="709"/>
        <w:rPr>
          <w:rFonts w:ascii="Arial" w:eastAsia="Times New Roman" w:hAnsi="Arial" w:cs="Arial"/>
          <w:color w:val="FF0000"/>
          <w:sz w:val="24"/>
          <w:szCs w:val="24"/>
        </w:rPr>
      </w:pPr>
    </w:p>
    <w:p w:rsidR="00F77582" w:rsidRPr="001047EA" w:rsidRDefault="00120843" w:rsidP="001047EA">
      <w:pPr>
        <w:pStyle w:val="ListParagraph"/>
        <w:numPr>
          <w:ilvl w:val="0"/>
          <w:numId w:val="40"/>
        </w:numPr>
        <w:tabs>
          <w:tab w:val="left" w:pos="1276"/>
        </w:tabs>
        <w:spacing w:after="0"/>
        <w:ind w:left="709" w:hanging="720"/>
        <w:rPr>
          <w:rFonts w:ascii="Arial" w:eastAsia="Times New Roman" w:hAnsi="Arial" w:cs="Arial"/>
          <w:color w:val="FF0000"/>
          <w:sz w:val="24"/>
          <w:szCs w:val="24"/>
        </w:rPr>
      </w:pPr>
      <w:r w:rsidRPr="001047EA">
        <w:rPr>
          <w:rFonts w:ascii="Arial" w:eastAsia="Times New Roman" w:hAnsi="Arial" w:cs="Arial"/>
          <w:color w:val="FF0000"/>
          <w:sz w:val="24"/>
          <w:szCs w:val="24"/>
        </w:rPr>
        <w:t>Since the true-ups was actually recorded in the year that the consumption was billed Westario Power recorded them as part of DVA schedule</w:t>
      </w:r>
      <w:r w:rsidR="00391758" w:rsidRPr="001047EA">
        <w:rPr>
          <w:rFonts w:ascii="Arial" w:eastAsia="Times New Roman" w:hAnsi="Arial" w:cs="Arial"/>
          <w:color w:val="FF0000"/>
          <w:sz w:val="24"/>
          <w:szCs w:val="24"/>
        </w:rPr>
        <w:t xml:space="preserve"> in the transaction column</w:t>
      </w:r>
      <w:r w:rsidRPr="001047EA">
        <w:rPr>
          <w:rFonts w:ascii="Arial" w:eastAsia="Times New Roman" w:hAnsi="Arial" w:cs="Arial"/>
          <w:color w:val="FF0000"/>
          <w:sz w:val="24"/>
          <w:szCs w:val="24"/>
        </w:rPr>
        <w:t xml:space="preserve"> for that year. </w:t>
      </w:r>
      <w:r w:rsidR="008325D7" w:rsidRPr="001047EA">
        <w:rPr>
          <w:rFonts w:ascii="Arial" w:eastAsia="Times New Roman" w:hAnsi="Arial" w:cs="Arial"/>
          <w:color w:val="FF0000"/>
          <w:sz w:val="24"/>
          <w:szCs w:val="24"/>
        </w:rPr>
        <w:t>In othe</w:t>
      </w:r>
      <w:r w:rsidR="00F77582" w:rsidRPr="001047EA">
        <w:rPr>
          <w:rFonts w:ascii="Arial" w:eastAsia="Times New Roman" w:hAnsi="Arial" w:cs="Arial"/>
          <w:color w:val="FF0000"/>
          <w:sz w:val="24"/>
          <w:szCs w:val="24"/>
        </w:rPr>
        <w:t>r words if we recorded it in 2016 as a principle adjustment it would have shown as a reversal of the principal adjustment in 2017 so the impact is NIL.</w:t>
      </w:r>
    </w:p>
    <w:p w:rsidR="00914840" w:rsidRPr="00391758" w:rsidRDefault="00120843" w:rsidP="00F77582">
      <w:pPr>
        <w:pStyle w:val="ListParagraph"/>
        <w:tabs>
          <w:tab w:val="left" w:pos="1276"/>
        </w:tabs>
        <w:spacing w:after="0"/>
        <w:ind w:left="1710"/>
        <w:rPr>
          <w:rFonts w:ascii="Arial" w:eastAsia="Times New Roman" w:hAnsi="Arial" w:cs="Arial"/>
          <w:sz w:val="24"/>
          <w:szCs w:val="24"/>
        </w:rPr>
      </w:pPr>
      <w:r w:rsidRPr="00391758">
        <w:rPr>
          <w:rFonts w:ascii="Arial" w:eastAsia="Times New Roman" w:hAnsi="Arial" w:cs="Arial"/>
          <w:color w:val="FF0000"/>
          <w:sz w:val="24"/>
          <w:szCs w:val="24"/>
        </w:rPr>
        <w:t xml:space="preserve"> </w:t>
      </w:r>
    </w:p>
    <w:p w:rsidR="00B436D3" w:rsidRDefault="00B436D3" w:rsidP="00B436D3">
      <w:pPr>
        <w:pStyle w:val="ListParagraph"/>
        <w:numPr>
          <w:ilvl w:val="0"/>
          <w:numId w:val="26"/>
        </w:numPr>
        <w:tabs>
          <w:tab w:val="left" w:pos="1710"/>
        </w:tabs>
        <w:spacing w:after="0"/>
        <w:rPr>
          <w:rFonts w:ascii="Arial" w:eastAsia="Times New Roman" w:hAnsi="Arial" w:cs="Arial"/>
          <w:sz w:val="24"/>
          <w:szCs w:val="24"/>
        </w:rPr>
      </w:pPr>
      <w:r>
        <w:rPr>
          <w:rFonts w:ascii="Arial" w:eastAsia="Times New Roman" w:hAnsi="Arial" w:cs="Arial"/>
          <w:sz w:val="24"/>
          <w:szCs w:val="24"/>
        </w:rPr>
        <w:t>The applicant has recorded an adjustment of $233,010 to account for the change in customer billing from the 1</w:t>
      </w:r>
      <w:r w:rsidRPr="00B436D3">
        <w:rPr>
          <w:rFonts w:ascii="Arial" w:eastAsia="Times New Roman" w:hAnsi="Arial" w:cs="Arial"/>
          <w:sz w:val="24"/>
          <w:szCs w:val="24"/>
          <w:vertAlign w:val="superscript"/>
        </w:rPr>
        <w:t>st</w:t>
      </w:r>
      <w:r>
        <w:rPr>
          <w:rFonts w:ascii="Arial" w:eastAsia="Times New Roman" w:hAnsi="Arial" w:cs="Arial"/>
          <w:sz w:val="24"/>
          <w:szCs w:val="24"/>
        </w:rPr>
        <w:t xml:space="preserve"> estimate to the 2</w:t>
      </w:r>
      <w:r w:rsidRPr="00B436D3">
        <w:rPr>
          <w:rFonts w:ascii="Arial" w:eastAsia="Times New Roman" w:hAnsi="Arial" w:cs="Arial"/>
          <w:sz w:val="24"/>
          <w:szCs w:val="24"/>
          <w:vertAlign w:val="superscript"/>
        </w:rPr>
        <w:t>nd</w:t>
      </w:r>
      <w:r>
        <w:rPr>
          <w:rFonts w:ascii="Arial" w:eastAsia="Times New Roman" w:hAnsi="Arial" w:cs="Arial"/>
          <w:sz w:val="24"/>
          <w:szCs w:val="24"/>
        </w:rPr>
        <w:t xml:space="preserve"> estimate.</w:t>
      </w:r>
    </w:p>
    <w:p w:rsidR="00B436D3" w:rsidRDefault="00B436D3" w:rsidP="00B436D3">
      <w:pPr>
        <w:pStyle w:val="ListParagraph"/>
        <w:numPr>
          <w:ilvl w:val="2"/>
          <w:numId w:val="26"/>
        </w:numPr>
        <w:spacing w:after="0"/>
        <w:ind w:left="1710" w:hanging="540"/>
        <w:rPr>
          <w:rFonts w:ascii="Arial" w:eastAsia="Times New Roman" w:hAnsi="Arial" w:cs="Arial"/>
          <w:sz w:val="24"/>
          <w:szCs w:val="24"/>
        </w:rPr>
      </w:pPr>
      <w:r>
        <w:rPr>
          <w:rFonts w:ascii="Arial" w:eastAsia="Times New Roman" w:hAnsi="Arial" w:cs="Arial"/>
          <w:sz w:val="24"/>
          <w:szCs w:val="24"/>
        </w:rPr>
        <w:t>Please provide the calculation that w</w:t>
      </w:r>
      <w:r w:rsidR="006E5CD3">
        <w:rPr>
          <w:rFonts w:ascii="Arial" w:eastAsia="Times New Roman" w:hAnsi="Arial" w:cs="Arial"/>
          <w:sz w:val="24"/>
          <w:szCs w:val="24"/>
        </w:rPr>
        <w:t>as used to quantify this amount (using the monthly consumption data populated in Note 4 of the GA Analysis Workform).</w:t>
      </w:r>
    </w:p>
    <w:p w:rsidR="0036722F" w:rsidRDefault="00321FBB" w:rsidP="0036722F">
      <w:pPr>
        <w:pStyle w:val="ListParagraph"/>
        <w:numPr>
          <w:ilvl w:val="2"/>
          <w:numId w:val="26"/>
        </w:numPr>
        <w:spacing w:after="0"/>
        <w:ind w:left="1710" w:hanging="540"/>
        <w:rPr>
          <w:rFonts w:ascii="Arial" w:eastAsia="Times New Roman" w:hAnsi="Arial" w:cs="Arial"/>
          <w:sz w:val="24"/>
          <w:szCs w:val="24"/>
        </w:rPr>
      </w:pPr>
      <w:r>
        <w:rPr>
          <w:rFonts w:ascii="Arial" w:eastAsia="Times New Roman" w:hAnsi="Arial" w:cs="Arial"/>
          <w:sz w:val="24"/>
          <w:szCs w:val="24"/>
        </w:rPr>
        <w:t>Please confirm that the change in billing from the 1</w:t>
      </w:r>
      <w:r w:rsidRPr="00321FBB">
        <w:rPr>
          <w:rFonts w:ascii="Arial" w:eastAsia="Times New Roman" w:hAnsi="Arial" w:cs="Arial"/>
          <w:sz w:val="24"/>
          <w:szCs w:val="24"/>
          <w:vertAlign w:val="superscript"/>
        </w:rPr>
        <w:t>st</w:t>
      </w:r>
      <w:r>
        <w:rPr>
          <w:rFonts w:ascii="Arial" w:eastAsia="Times New Roman" w:hAnsi="Arial" w:cs="Arial"/>
          <w:sz w:val="24"/>
          <w:szCs w:val="24"/>
        </w:rPr>
        <w:t xml:space="preserve"> estimate to the 2</w:t>
      </w:r>
      <w:r w:rsidRPr="00321FBB">
        <w:rPr>
          <w:rFonts w:ascii="Arial" w:eastAsia="Times New Roman" w:hAnsi="Arial" w:cs="Arial"/>
          <w:sz w:val="24"/>
          <w:szCs w:val="24"/>
          <w:vertAlign w:val="superscript"/>
        </w:rPr>
        <w:t>nd</w:t>
      </w:r>
      <w:r>
        <w:rPr>
          <w:rFonts w:ascii="Arial" w:eastAsia="Times New Roman" w:hAnsi="Arial" w:cs="Arial"/>
          <w:sz w:val="24"/>
          <w:szCs w:val="24"/>
        </w:rPr>
        <w:t xml:space="preserve"> estimate was done for all rate classes.  Was there a lag in doing it for certain rate classes or was it implemented for al rate classes at the same time?</w:t>
      </w:r>
    </w:p>
    <w:p w:rsidR="0036722F" w:rsidRDefault="0036722F" w:rsidP="0036722F">
      <w:pPr>
        <w:pStyle w:val="ListParagraph"/>
        <w:spacing w:after="0"/>
        <w:ind w:left="1710"/>
        <w:rPr>
          <w:rFonts w:ascii="Arial" w:eastAsia="Times New Roman" w:hAnsi="Arial" w:cs="Arial"/>
          <w:sz w:val="24"/>
          <w:szCs w:val="24"/>
        </w:rPr>
      </w:pPr>
    </w:p>
    <w:p w:rsidR="00EB72FC" w:rsidRDefault="00957468" w:rsidP="006F7318">
      <w:pPr>
        <w:pStyle w:val="ListParagraph"/>
        <w:numPr>
          <w:ilvl w:val="0"/>
          <w:numId w:val="30"/>
        </w:numPr>
        <w:tabs>
          <w:tab w:val="left" w:pos="1276"/>
        </w:tabs>
        <w:spacing w:after="0"/>
        <w:ind w:left="709"/>
        <w:rPr>
          <w:rFonts w:ascii="Arial" w:eastAsia="Times New Roman" w:hAnsi="Arial" w:cs="Arial"/>
          <w:color w:val="FF0000"/>
          <w:sz w:val="24"/>
          <w:szCs w:val="24"/>
        </w:rPr>
      </w:pPr>
      <w:r>
        <w:rPr>
          <w:rFonts w:ascii="Arial" w:eastAsia="Times New Roman" w:hAnsi="Arial" w:cs="Arial"/>
          <w:color w:val="FF0000"/>
          <w:sz w:val="24"/>
          <w:szCs w:val="24"/>
        </w:rPr>
        <w:t>Westario power used the GA Analysis Workform to calculate the difference.  Westario prepared 2 versions of the workform for 2016.</w:t>
      </w:r>
      <w:r w:rsidR="009F09B9">
        <w:rPr>
          <w:rFonts w:ascii="Arial" w:eastAsia="Times New Roman" w:hAnsi="Arial" w:cs="Arial"/>
          <w:color w:val="FF0000"/>
          <w:sz w:val="24"/>
          <w:szCs w:val="24"/>
        </w:rPr>
        <w:t xml:space="preserve">  Here are the partial workforms and are summary for the difference.</w:t>
      </w:r>
    </w:p>
    <w:p w:rsidR="00957468" w:rsidRDefault="00957468" w:rsidP="006F7318">
      <w:pPr>
        <w:pStyle w:val="ListParagraph"/>
        <w:tabs>
          <w:tab w:val="left" w:pos="1276"/>
        </w:tabs>
        <w:spacing w:after="0"/>
        <w:ind w:left="709"/>
        <w:rPr>
          <w:rFonts w:ascii="Arial" w:eastAsia="Times New Roman" w:hAnsi="Arial" w:cs="Arial"/>
          <w:color w:val="FF0000"/>
          <w:sz w:val="24"/>
          <w:szCs w:val="24"/>
        </w:rPr>
      </w:pPr>
    </w:p>
    <w:p w:rsidR="00957468" w:rsidRDefault="00957468" w:rsidP="00957468">
      <w:pPr>
        <w:pStyle w:val="ListParagraph"/>
        <w:tabs>
          <w:tab w:val="left" w:pos="1276"/>
        </w:tabs>
        <w:spacing w:after="0"/>
        <w:ind w:left="1080"/>
        <w:rPr>
          <w:rFonts w:ascii="Arial" w:eastAsia="Times New Roman" w:hAnsi="Arial" w:cs="Arial"/>
          <w:color w:val="FF0000"/>
          <w:sz w:val="24"/>
          <w:szCs w:val="24"/>
        </w:rPr>
      </w:pPr>
      <w:r>
        <w:rPr>
          <w:noProof/>
          <w:lang w:eastAsia="en-CA"/>
        </w:rPr>
        <w:lastRenderedPageBreak/>
        <w:drawing>
          <wp:inline distT="0" distB="0" distL="0" distR="0" wp14:anchorId="394C4B56" wp14:editId="3EF2E694">
            <wp:extent cx="5095875" cy="1494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3085"/>
                    <a:stretch/>
                  </pic:blipFill>
                  <pic:spPr bwMode="auto">
                    <a:xfrm>
                      <a:off x="0" y="0"/>
                      <a:ext cx="5095875" cy="1494527"/>
                    </a:xfrm>
                    <a:prstGeom prst="rect">
                      <a:avLst/>
                    </a:prstGeom>
                    <a:ln>
                      <a:noFill/>
                    </a:ln>
                    <a:extLst>
                      <a:ext uri="{53640926-AAD7-44D8-BBD7-CCE9431645EC}">
                        <a14:shadowObscured xmlns:a14="http://schemas.microsoft.com/office/drawing/2010/main"/>
                      </a:ext>
                    </a:extLst>
                  </pic:spPr>
                </pic:pic>
              </a:graphicData>
            </a:graphic>
          </wp:inline>
        </w:drawing>
      </w:r>
    </w:p>
    <w:p w:rsidR="009F09B9" w:rsidRDefault="009F09B9" w:rsidP="00957468">
      <w:pPr>
        <w:pStyle w:val="ListParagraph"/>
        <w:tabs>
          <w:tab w:val="left" w:pos="1276"/>
        </w:tabs>
        <w:spacing w:after="0"/>
        <w:ind w:left="1080"/>
        <w:rPr>
          <w:rFonts w:ascii="Arial" w:eastAsia="Times New Roman" w:hAnsi="Arial" w:cs="Arial"/>
          <w:color w:val="FF0000"/>
          <w:sz w:val="24"/>
          <w:szCs w:val="24"/>
        </w:rPr>
      </w:pPr>
    </w:p>
    <w:p w:rsidR="009F09B9" w:rsidRDefault="009F09B9" w:rsidP="009F09B9">
      <w:pPr>
        <w:pStyle w:val="ListParagraph"/>
        <w:tabs>
          <w:tab w:val="left" w:pos="1276"/>
        </w:tabs>
        <w:spacing w:after="0"/>
        <w:ind w:left="284"/>
        <w:rPr>
          <w:rFonts w:ascii="Arial" w:eastAsia="Times New Roman" w:hAnsi="Arial" w:cs="Arial"/>
          <w:color w:val="FF0000"/>
          <w:sz w:val="24"/>
          <w:szCs w:val="24"/>
        </w:rPr>
      </w:pPr>
      <w:r>
        <w:rPr>
          <w:noProof/>
          <w:lang w:eastAsia="en-CA"/>
        </w:rPr>
        <w:drawing>
          <wp:inline distT="0" distB="0" distL="0" distR="0" wp14:anchorId="74075220" wp14:editId="119B420E">
            <wp:extent cx="5943600" cy="2305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305685"/>
                    </a:xfrm>
                    <a:prstGeom prst="rect">
                      <a:avLst/>
                    </a:prstGeom>
                  </pic:spPr>
                </pic:pic>
              </a:graphicData>
            </a:graphic>
          </wp:inline>
        </w:drawing>
      </w:r>
    </w:p>
    <w:p w:rsidR="009F09B9" w:rsidRDefault="009F09B9" w:rsidP="00957468">
      <w:pPr>
        <w:pStyle w:val="ListParagraph"/>
        <w:tabs>
          <w:tab w:val="left" w:pos="1276"/>
        </w:tabs>
        <w:spacing w:after="0"/>
        <w:ind w:left="1080"/>
        <w:rPr>
          <w:rFonts w:ascii="Arial" w:eastAsia="Times New Roman" w:hAnsi="Arial" w:cs="Arial"/>
          <w:color w:val="FF0000"/>
          <w:sz w:val="24"/>
          <w:szCs w:val="24"/>
        </w:rPr>
      </w:pPr>
    </w:p>
    <w:p w:rsidR="00957468" w:rsidRDefault="009F09B9" w:rsidP="009F09B9">
      <w:pPr>
        <w:pStyle w:val="ListParagraph"/>
        <w:tabs>
          <w:tab w:val="left" w:pos="1276"/>
        </w:tabs>
        <w:spacing w:after="0"/>
        <w:ind w:left="1080" w:hanging="796"/>
        <w:rPr>
          <w:rFonts w:ascii="Arial" w:eastAsia="Times New Roman" w:hAnsi="Arial" w:cs="Arial"/>
          <w:color w:val="FF0000"/>
          <w:sz w:val="24"/>
          <w:szCs w:val="24"/>
        </w:rPr>
      </w:pPr>
      <w:r>
        <w:rPr>
          <w:noProof/>
          <w:lang w:eastAsia="en-CA"/>
        </w:rPr>
        <w:drawing>
          <wp:inline distT="0" distB="0" distL="0" distR="0" wp14:anchorId="17E9F976" wp14:editId="76B23EE1">
            <wp:extent cx="5943600" cy="2298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298700"/>
                    </a:xfrm>
                    <a:prstGeom prst="rect">
                      <a:avLst/>
                    </a:prstGeom>
                  </pic:spPr>
                </pic:pic>
              </a:graphicData>
            </a:graphic>
          </wp:inline>
        </w:drawing>
      </w:r>
    </w:p>
    <w:p w:rsidR="009F09B9" w:rsidRDefault="009F09B9" w:rsidP="00957468">
      <w:pPr>
        <w:pStyle w:val="ListParagraph"/>
        <w:tabs>
          <w:tab w:val="left" w:pos="1276"/>
        </w:tabs>
        <w:spacing w:after="0"/>
        <w:ind w:left="1080"/>
        <w:rPr>
          <w:rFonts w:ascii="Arial" w:eastAsia="Times New Roman" w:hAnsi="Arial" w:cs="Arial"/>
          <w:color w:val="FF0000"/>
          <w:sz w:val="24"/>
          <w:szCs w:val="24"/>
        </w:rPr>
      </w:pPr>
    </w:p>
    <w:p w:rsidR="00957468" w:rsidRDefault="00957468" w:rsidP="00957468">
      <w:pPr>
        <w:pStyle w:val="ListParagraph"/>
        <w:tabs>
          <w:tab w:val="left" w:pos="1276"/>
        </w:tabs>
        <w:spacing w:after="0"/>
        <w:ind w:left="1080"/>
        <w:rPr>
          <w:rFonts w:ascii="Arial" w:eastAsia="Times New Roman" w:hAnsi="Arial" w:cs="Arial"/>
          <w:color w:val="FF0000"/>
          <w:sz w:val="24"/>
          <w:szCs w:val="24"/>
        </w:rPr>
      </w:pPr>
    </w:p>
    <w:p w:rsidR="00914840" w:rsidRDefault="00EB72FC" w:rsidP="006F7318">
      <w:pPr>
        <w:pStyle w:val="ListParagraph"/>
        <w:numPr>
          <w:ilvl w:val="0"/>
          <w:numId w:val="30"/>
        </w:numPr>
        <w:tabs>
          <w:tab w:val="left" w:pos="1276"/>
        </w:tabs>
        <w:spacing w:after="0"/>
        <w:ind w:left="709"/>
        <w:rPr>
          <w:rFonts w:ascii="Arial" w:eastAsia="Times New Roman" w:hAnsi="Arial" w:cs="Arial"/>
          <w:color w:val="FF0000"/>
          <w:sz w:val="24"/>
          <w:szCs w:val="24"/>
        </w:rPr>
      </w:pPr>
      <w:r>
        <w:rPr>
          <w:rFonts w:ascii="Arial" w:eastAsia="Times New Roman" w:hAnsi="Arial" w:cs="Arial"/>
          <w:color w:val="FF0000"/>
          <w:sz w:val="24"/>
          <w:szCs w:val="24"/>
        </w:rPr>
        <w:t>The implementation occurred for at the same time for all rate classes.  Therefore, all rates where effected as of June 1</w:t>
      </w:r>
      <w:r w:rsidRPr="00EB72FC">
        <w:rPr>
          <w:rFonts w:ascii="Arial" w:eastAsia="Times New Roman" w:hAnsi="Arial" w:cs="Arial"/>
          <w:color w:val="FF0000"/>
          <w:sz w:val="24"/>
          <w:szCs w:val="24"/>
          <w:vertAlign w:val="superscript"/>
        </w:rPr>
        <w:t>st</w:t>
      </w:r>
      <w:r>
        <w:rPr>
          <w:rFonts w:ascii="Arial" w:eastAsia="Times New Roman" w:hAnsi="Arial" w:cs="Arial"/>
          <w:color w:val="FF0000"/>
          <w:sz w:val="24"/>
          <w:szCs w:val="24"/>
        </w:rPr>
        <w:t>, 2016.</w:t>
      </w:r>
    </w:p>
    <w:p w:rsidR="00914840" w:rsidRPr="00914840" w:rsidRDefault="00914840" w:rsidP="006F7318">
      <w:pPr>
        <w:pStyle w:val="ListParagraph"/>
        <w:spacing w:after="0"/>
        <w:ind w:left="709"/>
        <w:rPr>
          <w:rFonts w:ascii="Arial" w:eastAsia="Times New Roman" w:hAnsi="Arial" w:cs="Arial"/>
          <w:color w:val="FF0000"/>
          <w:sz w:val="24"/>
          <w:szCs w:val="24"/>
        </w:rPr>
      </w:pPr>
    </w:p>
    <w:p w:rsidR="00914840" w:rsidRPr="0036722F" w:rsidRDefault="00914840" w:rsidP="0036722F">
      <w:pPr>
        <w:pStyle w:val="ListParagraph"/>
        <w:spacing w:after="0"/>
        <w:ind w:left="1710"/>
        <w:rPr>
          <w:rFonts w:ascii="Arial" w:eastAsia="Times New Roman" w:hAnsi="Arial" w:cs="Arial"/>
          <w:sz w:val="24"/>
          <w:szCs w:val="24"/>
        </w:rPr>
      </w:pPr>
    </w:p>
    <w:p w:rsidR="005F7D08" w:rsidRDefault="005F7D08">
      <w:pPr>
        <w:rPr>
          <w:rFonts w:ascii="Arial" w:hAnsi="Arial" w:cs="Arial"/>
          <w:b/>
          <w:sz w:val="24"/>
          <w:szCs w:val="24"/>
        </w:rPr>
      </w:pPr>
      <w:r>
        <w:rPr>
          <w:rFonts w:ascii="Arial" w:hAnsi="Arial" w:cs="Arial"/>
          <w:b/>
          <w:sz w:val="24"/>
          <w:szCs w:val="24"/>
        </w:rPr>
        <w:br w:type="page"/>
      </w:r>
    </w:p>
    <w:p w:rsidR="0036722F" w:rsidRDefault="0036722F" w:rsidP="0036722F">
      <w:pPr>
        <w:spacing w:after="0"/>
        <w:rPr>
          <w:rFonts w:ascii="Arial" w:eastAsia="Times New Roman" w:hAnsi="Arial" w:cs="Arial"/>
          <w:sz w:val="24"/>
          <w:szCs w:val="24"/>
        </w:rPr>
      </w:pPr>
      <w:r w:rsidRPr="0036722F">
        <w:rPr>
          <w:rFonts w:ascii="Arial" w:hAnsi="Arial" w:cs="Arial"/>
          <w:b/>
          <w:sz w:val="24"/>
          <w:szCs w:val="24"/>
        </w:rPr>
        <w:lastRenderedPageBreak/>
        <w:t>Staff Question #</w:t>
      </w:r>
      <w:r>
        <w:rPr>
          <w:rFonts w:ascii="Arial" w:hAnsi="Arial" w:cs="Arial"/>
          <w:b/>
          <w:sz w:val="24"/>
          <w:szCs w:val="24"/>
        </w:rPr>
        <w:t>10</w:t>
      </w:r>
    </w:p>
    <w:p w:rsidR="0036722F" w:rsidRDefault="0036722F" w:rsidP="0036722F">
      <w:pPr>
        <w:spacing w:after="0"/>
        <w:rPr>
          <w:rFonts w:ascii="Arial" w:hAnsi="Arial" w:cs="Arial"/>
          <w:b/>
          <w:sz w:val="24"/>
          <w:szCs w:val="24"/>
        </w:rPr>
      </w:pPr>
      <w:r w:rsidRPr="0036722F">
        <w:rPr>
          <w:rFonts w:ascii="Arial" w:hAnsi="Arial" w:cs="Arial"/>
          <w:b/>
          <w:sz w:val="24"/>
          <w:szCs w:val="24"/>
        </w:rPr>
        <w:t>Ref: 201</w:t>
      </w:r>
      <w:r>
        <w:rPr>
          <w:rFonts w:ascii="Arial" w:hAnsi="Arial" w:cs="Arial"/>
          <w:b/>
          <w:sz w:val="24"/>
          <w:szCs w:val="24"/>
        </w:rPr>
        <w:t>7</w:t>
      </w:r>
      <w:r w:rsidRPr="0036722F">
        <w:rPr>
          <w:rFonts w:ascii="Arial" w:hAnsi="Arial" w:cs="Arial"/>
          <w:b/>
          <w:sz w:val="24"/>
          <w:szCs w:val="24"/>
        </w:rPr>
        <w:t xml:space="preserve"> GA Analysis Workform</w:t>
      </w:r>
    </w:p>
    <w:p w:rsidR="0036722F" w:rsidRDefault="0036722F" w:rsidP="0036722F">
      <w:pPr>
        <w:spacing w:after="0"/>
        <w:rPr>
          <w:rFonts w:ascii="Arial" w:hAnsi="Arial" w:cs="Arial"/>
          <w:sz w:val="24"/>
          <w:szCs w:val="24"/>
        </w:rPr>
      </w:pPr>
    </w:p>
    <w:p w:rsidR="0036722F" w:rsidRDefault="0036722F" w:rsidP="0036722F">
      <w:pPr>
        <w:pStyle w:val="ListParagraph"/>
        <w:numPr>
          <w:ilvl w:val="0"/>
          <w:numId w:val="28"/>
        </w:numPr>
        <w:spacing w:after="0"/>
        <w:rPr>
          <w:rFonts w:ascii="Arial" w:hAnsi="Arial" w:cs="Arial"/>
          <w:sz w:val="24"/>
          <w:szCs w:val="24"/>
        </w:rPr>
      </w:pPr>
      <w:r>
        <w:rPr>
          <w:rFonts w:ascii="Arial" w:hAnsi="Arial" w:cs="Arial"/>
          <w:sz w:val="24"/>
          <w:szCs w:val="24"/>
        </w:rPr>
        <w:t xml:space="preserve">The Applicant has recorded a true-up adjustment of </w:t>
      </w:r>
      <w:r w:rsidR="00BC134E">
        <w:rPr>
          <w:rFonts w:ascii="Arial" w:hAnsi="Arial" w:cs="Arial"/>
          <w:sz w:val="24"/>
          <w:szCs w:val="24"/>
        </w:rPr>
        <w:t>$2,160,310 as adjustment 1b of Note 5 in the 2017 GA Analysis Workform.</w:t>
      </w:r>
    </w:p>
    <w:p w:rsidR="00FB73D7" w:rsidRPr="00FB73D7" w:rsidRDefault="001770D0" w:rsidP="00FB73D7">
      <w:pPr>
        <w:pStyle w:val="ListParagraph"/>
        <w:numPr>
          <w:ilvl w:val="2"/>
          <w:numId w:val="28"/>
        </w:numPr>
        <w:spacing w:after="0"/>
        <w:ind w:left="1710" w:hanging="540"/>
        <w:rPr>
          <w:rFonts w:ascii="Arial" w:eastAsia="Times New Roman" w:hAnsi="Arial" w:cs="Arial"/>
          <w:sz w:val="24"/>
          <w:szCs w:val="24"/>
        </w:rPr>
      </w:pPr>
      <w:r>
        <w:rPr>
          <w:rFonts w:ascii="Arial" w:eastAsia="Times New Roman" w:hAnsi="Arial" w:cs="Arial"/>
          <w:sz w:val="24"/>
          <w:szCs w:val="24"/>
        </w:rPr>
        <w:t>Is this true-up</w:t>
      </w:r>
      <w:r w:rsidR="00060976">
        <w:rPr>
          <w:rFonts w:ascii="Arial" w:eastAsia="Times New Roman" w:hAnsi="Arial" w:cs="Arial"/>
          <w:sz w:val="24"/>
          <w:szCs w:val="24"/>
        </w:rPr>
        <w:t xml:space="preserve"> adjustment a true-up for the RPP vs Non RPP split only, or is it</w:t>
      </w:r>
      <w:r>
        <w:rPr>
          <w:rFonts w:ascii="Arial" w:eastAsia="Times New Roman" w:hAnsi="Arial" w:cs="Arial"/>
          <w:sz w:val="24"/>
          <w:szCs w:val="24"/>
        </w:rPr>
        <w:t xml:space="preserve"> comprised of multiple elements (i.e. true-up to</w:t>
      </w:r>
      <w:r w:rsidR="00060625">
        <w:rPr>
          <w:rFonts w:ascii="Arial" w:eastAsia="Times New Roman" w:hAnsi="Arial" w:cs="Arial"/>
          <w:sz w:val="24"/>
          <w:szCs w:val="24"/>
        </w:rPr>
        <w:t xml:space="preserve"> the</w:t>
      </w:r>
      <w:r>
        <w:rPr>
          <w:rFonts w:ascii="Arial" w:eastAsia="Times New Roman" w:hAnsi="Arial" w:cs="Arial"/>
          <w:sz w:val="24"/>
          <w:szCs w:val="24"/>
        </w:rPr>
        <w:t xml:space="preserve"> actual GA rate</w:t>
      </w:r>
      <w:r w:rsidR="00F03108">
        <w:rPr>
          <w:rFonts w:ascii="Arial" w:eastAsia="Times New Roman" w:hAnsi="Arial" w:cs="Arial"/>
          <w:sz w:val="24"/>
          <w:szCs w:val="24"/>
        </w:rPr>
        <w:t xml:space="preserve">, </w:t>
      </w:r>
      <w:r>
        <w:rPr>
          <w:rFonts w:ascii="Arial" w:eastAsia="Times New Roman" w:hAnsi="Arial" w:cs="Arial"/>
          <w:sz w:val="24"/>
          <w:szCs w:val="24"/>
        </w:rPr>
        <w:t>true-up for actual RPP vs Non RPP split</w:t>
      </w:r>
      <w:r w:rsidR="00F03108">
        <w:rPr>
          <w:rFonts w:ascii="Arial" w:eastAsia="Times New Roman" w:hAnsi="Arial" w:cs="Arial"/>
          <w:sz w:val="24"/>
          <w:szCs w:val="24"/>
        </w:rPr>
        <w:t xml:space="preserve"> for the purpose of allocating CT 148, true-up to CT 1142 in order to reflect the updated RPP vs Non-RPP split </w:t>
      </w:r>
      <w:r>
        <w:rPr>
          <w:rFonts w:ascii="Arial" w:eastAsia="Times New Roman" w:hAnsi="Arial" w:cs="Arial"/>
          <w:sz w:val="24"/>
          <w:szCs w:val="24"/>
        </w:rPr>
        <w:t xml:space="preserve"> etc). If so, please break-out this</w:t>
      </w:r>
      <w:r w:rsidR="00691A52">
        <w:rPr>
          <w:rFonts w:ascii="Arial" w:eastAsia="Times New Roman" w:hAnsi="Arial" w:cs="Arial"/>
          <w:sz w:val="24"/>
          <w:szCs w:val="24"/>
        </w:rPr>
        <w:t xml:space="preserve"> balance into its</w:t>
      </w:r>
      <w:r>
        <w:rPr>
          <w:rFonts w:ascii="Arial" w:eastAsia="Times New Roman" w:hAnsi="Arial" w:cs="Arial"/>
          <w:sz w:val="24"/>
          <w:szCs w:val="24"/>
        </w:rPr>
        <w:t xml:space="preserve"> components that are being</w:t>
      </w:r>
      <w:r w:rsidR="00FB73D7">
        <w:rPr>
          <w:rFonts w:ascii="Arial" w:eastAsia="Times New Roman" w:hAnsi="Arial" w:cs="Arial"/>
          <w:sz w:val="24"/>
          <w:szCs w:val="24"/>
        </w:rPr>
        <w:t xml:space="preserve"> trued-up.</w:t>
      </w:r>
    </w:p>
    <w:p w:rsidR="00FB73D7" w:rsidRPr="00AB214E" w:rsidRDefault="00FB73D7" w:rsidP="00FB73D7">
      <w:pPr>
        <w:pStyle w:val="ListParagraph"/>
        <w:numPr>
          <w:ilvl w:val="2"/>
          <w:numId w:val="28"/>
        </w:numPr>
        <w:spacing w:after="0"/>
        <w:ind w:left="1710" w:hanging="540"/>
        <w:rPr>
          <w:rFonts w:ascii="Arial" w:hAnsi="Arial" w:cs="Arial"/>
          <w:sz w:val="24"/>
          <w:szCs w:val="24"/>
        </w:rPr>
      </w:pPr>
      <w:r w:rsidRPr="00AB214E">
        <w:rPr>
          <w:rFonts w:ascii="Arial" w:hAnsi="Arial" w:cs="Arial"/>
          <w:sz w:val="24"/>
          <w:szCs w:val="24"/>
        </w:rPr>
        <w:t>In the explanation provided, the Applicant has indicated that in the initial split of the RPP vs Non RPP Class B consumption, all consumption related to</w:t>
      </w:r>
      <w:r w:rsidR="00F9321D" w:rsidRPr="00AB214E">
        <w:rPr>
          <w:rFonts w:ascii="Arial" w:hAnsi="Arial" w:cs="Arial"/>
          <w:sz w:val="24"/>
          <w:szCs w:val="24"/>
        </w:rPr>
        <w:t xml:space="preserve"> its</w:t>
      </w:r>
      <w:r w:rsidRPr="00AB214E">
        <w:rPr>
          <w:rFonts w:ascii="Arial" w:hAnsi="Arial" w:cs="Arial"/>
          <w:sz w:val="24"/>
          <w:szCs w:val="24"/>
        </w:rPr>
        <w:t xml:space="preserve"> Class A customers was incorrectly included in the figures used to allocate costs to Non-RPP Class B customers, and therefore a significant true-up to account 1589 is required.</w:t>
      </w:r>
    </w:p>
    <w:p w:rsidR="00FB73D7" w:rsidRPr="00AB214E" w:rsidRDefault="00FB73D7" w:rsidP="00FB73D7">
      <w:pPr>
        <w:pStyle w:val="ListParagraph"/>
        <w:numPr>
          <w:ilvl w:val="3"/>
          <w:numId w:val="28"/>
        </w:numPr>
        <w:spacing w:after="0"/>
        <w:rPr>
          <w:rFonts w:ascii="Arial" w:hAnsi="Arial" w:cs="Arial"/>
          <w:sz w:val="24"/>
          <w:szCs w:val="24"/>
        </w:rPr>
      </w:pPr>
      <w:r w:rsidRPr="00AB214E">
        <w:rPr>
          <w:rFonts w:ascii="Arial" w:hAnsi="Arial" w:cs="Arial"/>
          <w:sz w:val="24"/>
          <w:szCs w:val="24"/>
        </w:rPr>
        <w:t>Please confirm that the above understanding is correct? If not, please clarify.</w:t>
      </w:r>
    </w:p>
    <w:p w:rsidR="00FB73D7" w:rsidRPr="00AB214E" w:rsidRDefault="00FB73D7" w:rsidP="00FB73D7">
      <w:pPr>
        <w:pStyle w:val="ListParagraph"/>
        <w:numPr>
          <w:ilvl w:val="3"/>
          <w:numId w:val="28"/>
        </w:numPr>
        <w:spacing w:after="0"/>
        <w:rPr>
          <w:rFonts w:ascii="Arial" w:hAnsi="Arial" w:cs="Arial"/>
          <w:sz w:val="24"/>
          <w:szCs w:val="24"/>
        </w:rPr>
      </w:pPr>
      <w:r w:rsidRPr="00AB214E">
        <w:rPr>
          <w:rFonts w:ascii="Arial" w:hAnsi="Arial" w:cs="Arial"/>
          <w:sz w:val="24"/>
          <w:szCs w:val="24"/>
        </w:rPr>
        <w:t>Do the amounts that are now being reallocated to account 1588 as a result of this adjustment mean that there is still a pending settlement adjustment with the IESO that needs to be recorded in account 1588</w:t>
      </w:r>
      <w:r w:rsidR="00F9321D" w:rsidRPr="00AB214E">
        <w:rPr>
          <w:rFonts w:ascii="Arial" w:hAnsi="Arial" w:cs="Arial"/>
          <w:sz w:val="24"/>
          <w:szCs w:val="24"/>
        </w:rPr>
        <w:t xml:space="preserve"> as well</w:t>
      </w:r>
      <w:r w:rsidRPr="00AB214E">
        <w:rPr>
          <w:rFonts w:ascii="Arial" w:hAnsi="Arial" w:cs="Arial"/>
          <w:sz w:val="24"/>
          <w:szCs w:val="24"/>
        </w:rPr>
        <w:t xml:space="preserve">? </w:t>
      </w:r>
    </w:p>
    <w:p w:rsidR="00FB73D7" w:rsidRPr="00AB214E" w:rsidRDefault="00FB73D7" w:rsidP="00FB73D7">
      <w:pPr>
        <w:pStyle w:val="ListParagraph"/>
        <w:numPr>
          <w:ilvl w:val="3"/>
          <w:numId w:val="28"/>
        </w:numPr>
        <w:spacing w:after="0"/>
        <w:rPr>
          <w:rFonts w:ascii="Arial" w:hAnsi="Arial" w:cs="Arial"/>
          <w:sz w:val="24"/>
          <w:szCs w:val="24"/>
        </w:rPr>
      </w:pPr>
      <w:r w:rsidRPr="00AB214E">
        <w:rPr>
          <w:rFonts w:ascii="Arial" w:hAnsi="Arial" w:cs="Arial"/>
          <w:sz w:val="24"/>
          <w:szCs w:val="24"/>
        </w:rPr>
        <w:t>If so, then quantify this adjustment and reflect it as a principal adjustment against account 1588 in the DVA continuity schedule.</w:t>
      </w:r>
    </w:p>
    <w:p w:rsidR="00642D9E" w:rsidRDefault="00C76B61" w:rsidP="00691A52">
      <w:pPr>
        <w:pStyle w:val="ListParagraph"/>
        <w:numPr>
          <w:ilvl w:val="2"/>
          <w:numId w:val="28"/>
        </w:numPr>
        <w:spacing w:after="0"/>
        <w:ind w:left="1710" w:hanging="540"/>
        <w:rPr>
          <w:rFonts w:ascii="Arial" w:eastAsia="Times New Roman" w:hAnsi="Arial" w:cs="Arial"/>
          <w:sz w:val="24"/>
          <w:szCs w:val="24"/>
        </w:rPr>
      </w:pPr>
      <w:r>
        <w:rPr>
          <w:rFonts w:ascii="Arial" w:hAnsi="Arial" w:cs="Arial"/>
          <w:sz w:val="24"/>
          <w:szCs w:val="24"/>
        </w:rPr>
        <w:t xml:space="preserve">The true-up adjustment as recorded </w:t>
      </w:r>
      <w:r w:rsidR="00642D9E">
        <w:rPr>
          <w:rFonts w:ascii="Arial" w:hAnsi="Arial" w:cs="Arial"/>
          <w:sz w:val="24"/>
          <w:szCs w:val="24"/>
        </w:rPr>
        <w:t xml:space="preserve">is a credit to account 1589 </w:t>
      </w:r>
      <w:r w:rsidR="00642D9E">
        <w:rPr>
          <w:rFonts w:ascii="Arial" w:eastAsia="Times New Roman" w:hAnsi="Arial" w:cs="Arial"/>
          <w:sz w:val="24"/>
          <w:szCs w:val="24"/>
        </w:rPr>
        <w:t>Sufficient explanation has not been provided to support the direction of this adjustment (credit).  Please provide this additional information and update the explanation provided in Note 5 to reflect the additional detail.</w:t>
      </w:r>
    </w:p>
    <w:p w:rsidR="00691A52" w:rsidRDefault="00691A52" w:rsidP="00691A52">
      <w:pPr>
        <w:pStyle w:val="ListParagraph"/>
        <w:numPr>
          <w:ilvl w:val="2"/>
          <w:numId w:val="28"/>
        </w:numPr>
        <w:spacing w:after="0"/>
        <w:ind w:left="1710" w:hanging="540"/>
        <w:rPr>
          <w:rFonts w:ascii="Arial" w:eastAsia="Times New Roman" w:hAnsi="Arial" w:cs="Arial"/>
          <w:sz w:val="24"/>
          <w:szCs w:val="24"/>
        </w:rPr>
      </w:pPr>
      <w:r>
        <w:rPr>
          <w:rFonts w:ascii="Arial" w:hAnsi="Arial" w:cs="Arial"/>
          <w:sz w:val="24"/>
          <w:szCs w:val="24"/>
        </w:rPr>
        <w:t xml:space="preserve">Please provide the supporting calculations for each </w:t>
      </w:r>
      <w:r>
        <w:rPr>
          <w:rFonts w:ascii="Arial" w:eastAsia="Times New Roman" w:hAnsi="Arial" w:cs="Arial"/>
          <w:sz w:val="24"/>
          <w:szCs w:val="24"/>
        </w:rPr>
        <w:t xml:space="preserve">of the true-up adjustments identified in </w:t>
      </w:r>
      <w:r w:rsidR="007C79EB">
        <w:rPr>
          <w:rFonts w:ascii="Arial" w:eastAsia="Times New Roman" w:hAnsi="Arial" w:cs="Arial"/>
          <w:sz w:val="24"/>
          <w:szCs w:val="24"/>
        </w:rPr>
        <w:t>i</w:t>
      </w:r>
      <w:r>
        <w:rPr>
          <w:rFonts w:ascii="Arial" w:eastAsia="Times New Roman" w:hAnsi="Arial" w:cs="Arial"/>
          <w:sz w:val="24"/>
          <w:szCs w:val="24"/>
        </w:rPr>
        <w:t>. above.</w:t>
      </w:r>
    </w:p>
    <w:p w:rsidR="001770D0" w:rsidRDefault="00691A52" w:rsidP="00BC134E">
      <w:pPr>
        <w:pStyle w:val="ListParagraph"/>
        <w:numPr>
          <w:ilvl w:val="2"/>
          <w:numId w:val="28"/>
        </w:numPr>
        <w:spacing w:after="0"/>
        <w:ind w:left="1710" w:hanging="540"/>
        <w:rPr>
          <w:rFonts w:ascii="Arial" w:hAnsi="Arial" w:cs="Arial"/>
          <w:sz w:val="24"/>
          <w:szCs w:val="24"/>
        </w:rPr>
      </w:pPr>
      <w:r>
        <w:rPr>
          <w:rFonts w:ascii="Arial" w:hAnsi="Arial" w:cs="Arial"/>
          <w:sz w:val="24"/>
          <w:szCs w:val="24"/>
        </w:rPr>
        <w:t>Please confirm that this true-up adjustment</w:t>
      </w:r>
      <w:r w:rsidR="00FB73D7">
        <w:rPr>
          <w:rFonts w:ascii="Arial" w:hAnsi="Arial" w:cs="Arial"/>
          <w:sz w:val="24"/>
          <w:szCs w:val="24"/>
        </w:rPr>
        <w:t>s</w:t>
      </w:r>
      <w:r>
        <w:rPr>
          <w:rFonts w:ascii="Arial" w:hAnsi="Arial" w:cs="Arial"/>
          <w:sz w:val="24"/>
          <w:szCs w:val="24"/>
        </w:rPr>
        <w:t xml:space="preserve"> ha</w:t>
      </w:r>
      <w:r w:rsidR="00FB73D7">
        <w:rPr>
          <w:rFonts w:ascii="Arial" w:hAnsi="Arial" w:cs="Arial"/>
          <w:sz w:val="24"/>
          <w:szCs w:val="24"/>
        </w:rPr>
        <w:t>ve</w:t>
      </w:r>
      <w:r>
        <w:rPr>
          <w:rFonts w:ascii="Arial" w:hAnsi="Arial" w:cs="Arial"/>
          <w:sz w:val="24"/>
          <w:szCs w:val="24"/>
        </w:rPr>
        <w:t xml:space="preserve"> actually been recorded</w:t>
      </w:r>
      <w:r w:rsidR="00FB73D7">
        <w:rPr>
          <w:rFonts w:ascii="Arial" w:hAnsi="Arial" w:cs="Arial"/>
          <w:sz w:val="24"/>
          <w:szCs w:val="24"/>
        </w:rPr>
        <w:t xml:space="preserve"> by the applicant</w:t>
      </w:r>
      <w:r>
        <w:rPr>
          <w:rFonts w:ascii="Arial" w:hAnsi="Arial" w:cs="Arial"/>
          <w:sz w:val="24"/>
          <w:szCs w:val="24"/>
        </w:rPr>
        <w:t xml:space="preserve"> in 2018.</w:t>
      </w:r>
    </w:p>
    <w:p w:rsidR="006C28D2" w:rsidRDefault="006C28D2" w:rsidP="006C28D2">
      <w:pPr>
        <w:pStyle w:val="ListParagraph"/>
        <w:spacing w:after="0"/>
        <w:ind w:left="1710"/>
        <w:rPr>
          <w:rFonts w:ascii="Arial" w:hAnsi="Arial" w:cs="Arial"/>
          <w:sz w:val="24"/>
          <w:szCs w:val="24"/>
        </w:rPr>
      </w:pPr>
    </w:p>
    <w:p w:rsidR="00FC57EA" w:rsidRPr="007B44BF" w:rsidRDefault="00FC57EA" w:rsidP="001047EA">
      <w:pPr>
        <w:pStyle w:val="ListParagraph"/>
        <w:numPr>
          <w:ilvl w:val="0"/>
          <w:numId w:val="34"/>
        </w:numPr>
        <w:tabs>
          <w:tab w:val="left" w:pos="709"/>
          <w:tab w:val="left" w:pos="851"/>
        </w:tabs>
        <w:spacing w:after="0"/>
        <w:ind w:left="709" w:hanging="709"/>
        <w:rPr>
          <w:rFonts w:ascii="Arial" w:eastAsia="Times New Roman" w:hAnsi="Arial" w:cs="Arial"/>
          <w:color w:val="FF0000"/>
          <w:sz w:val="24"/>
          <w:szCs w:val="24"/>
        </w:rPr>
      </w:pPr>
      <w:r w:rsidRPr="007B44BF">
        <w:rPr>
          <w:rFonts w:ascii="Arial" w:eastAsia="Times New Roman" w:hAnsi="Arial" w:cs="Arial"/>
          <w:color w:val="FF0000"/>
          <w:sz w:val="24"/>
          <w:szCs w:val="24"/>
        </w:rPr>
        <w:t xml:space="preserve">The true-up </w:t>
      </w:r>
      <w:r w:rsidR="005275C0" w:rsidRPr="007B44BF">
        <w:rPr>
          <w:rFonts w:ascii="Arial" w:eastAsia="Times New Roman" w:hAnsi="Arial" w:cs="Arial"/>
          <w:color w:val="FF0000"/>
          <w:sz w:val="24"/>
          <w:szCs w:val="24"/>
        </w:rPr>
        <w:t xml:space="preserve">adjustment only pertains to the RPP and Non-RPP split.  See calculation in part iv) below </w:t>
      </w:r>
    </w:p>
    <w:p w:rsidR="00FC57EA" w:rsidRDefault="00FC57EA" w:rsidP="001047EA">
      <w:pPr>
        <w:pStyle w:val="ListParagraph"/>
        <w:tabs>
          <w:tab w:val="left" w:pos="709"/>
          <w:tab w:val="left" w:pos="851"/>
        </w:tabs>
        <w:spacing w:after="0"/>
        <w:ind w:left="709" w:hanging="709"/>
        <w:rPr>
          <w:rFonts w:ascii="Arial" w:eastAsia="Times New Roman" w:hAnsi="Arial" w:cs="Arial"/>
          <w:color w:val="FF0000"/>
          <w:sz w:val="24"/>
          <w:szCs w:val="24"/>
        </w:rPr>
      </w:pPr>
    </w:p>
    <w:p w:rsidR="0067542C" w:rsidRPr="007B44BF" w:rsidRDefault="0067542C" w:rsidP="001047EA">
      <w:pPr>
        <w:pStyle w:val="ListParagraph"/>
        <w:numPr>
          <w:ilvl w:val="0"/>
          <w:numId w:val="34"/>
        </w:numPr>
        <w:tabs>
          <w:tab w:val="left" w:pos="709"/>
          <w:tab w:val="left" w:pos="851"/>
        </w:tabs>
        <w:spacing w:after="0"/>
        <w:ind w:left="709" w:hanging="709"/>
        <w:rPr>
          <w:rFonts w:ascii="Arial" w:eastAsia="Times New Roman" w:hAnsi="Arial" w:cs="Arial"/>
          <w:color w:val="FF0000"/>
          <w:sz w:val="24"/>
          <w:szCs w:val="24"/>
        </w:rPr>
      </w:pPr>
    </w:p>
    <w:p w:rsidR="0067542C" w:rsidRPr="007B44BF" w:rsidRDefault="0067542C" w:rsidP="0067542C">
      <w:pPr>
        <w:pStyle w:val="ListParagraph"/>
        <w:rPr>
          <w:rFonts w:ascii="Arial" w:eastAsia="Times New Roman" w:hAnsi="Arial" w:cs="Arial"/>
          <w:color w:val="FF0000"/>
          <w:sz w:val="24"/>
          <w:szCs w:val="24"/>
        </w:rPr>
      </w:pPr>
    </w:p>
    <w:p w:rsidR="00FC57EA" w:rsidRPr="007B44BF" w:rsidRDefault="0067542C" w:rsidP="0067542C">
      <w:pPr>
        <w:pStyle w:val="ListParagraph"/>
        <w:numPr>
          <w:ilvl w:val="1"/>
          <w:numId w:val="34"/>
        </w:numPr>
        <w:tabs>
          <w:tab w:val="left" w:pos="709"/>
          <w:tab w:val="left" w:pos="851"/>
        </w:tabs>
        <w:spacing w:after="0"/>
        <w:rPr>
          <w:rFonts w:ascii="Arial" w:eastAsia="Times New Roman" w:hAnsi="Arial" w:cs="Arial"/>
          <w:color w:val="FF0000"/>
          <w:sz w:val="24"/>
          <w:szCs w:val="24"/>
        </w:rPr>
      </w:pPr>
      <w:r w:rsidRPr="007B44BF">
        <w:rPr>
          <w:rFonts w:ascii="Arial" w:eastAsia="Times New Roman" w:hAnsi="Arial" w:cs="Arial"/>
          <w:color w:val="FF0000"/>
          <w:sz w:val="24"/>
          <w:szCs w:val="24"/>
        </w:rPr>
        <w:t xml:space="preserve">This is correct.  </w:t>
      </w:r>
    </w:p>
    <w:p w:rsidR="0067542C" w:rsidRDefault="005275C0" w:rsidP="0067542C">
      <w:pPr>
        <w:pStyle w:val="ListParagraph"/>
        <w:numPr>
          <w:ilvl w:val="1"/>
          <w:numId w:val="34"/>
        </w:numPr>
        <w:tabs>
          <w:tab w:val="left" w:pos="709"/>
          <w:tab w:val="left" w:pos="851"/>
        </w:tabs>
        <w:spacing w:after="0"/>
        <w:rPr>
          <w:rFonts w:ascii="Arial" w:eastAsia="Times New Roman" w:hAnsi="Arial" w:cs="Arial"/>
          <w:color w:val="FF0000"/>
          <w:sz w:val="24"/>
          <w:szCs w:val="24"/>
        </w:rPr>
      </w:pPr>
      <w:r w:rsidRPr="007B44BF">
        <w:rPr>
          <w:rFonts w:ascii="Arial" w:eastAsia="Times New Roman" w:hAnsi="Arial" w:cs="Arial"/>
          <w:color w:val="FF0000"/>
          <w:sz w:val="24"/>
          <w:szCs w:val="24"/>
        </w:rPr>
        <w:lastRenderedPageBreak/>
        <w:t>A</w:t>
      </w:r>
      <w:r w:rsidR="00AB214E">
        <w:rPr>
          <w:rFonts w:ascii="Arial" w:eastAsia="Times New Roman" w:hAnsi="Arial" w:cs="Arial"/>
          <w:color w:val="FF0000"/>
          <w:sz w:val="24"/>
          <w:szCs w:val="24"/>
        </w:rPr>
        <w:t xml:space="preserve"> pending settlement was</w:t>
      </w:r>
      <w:r w:rsidR="0067542C" w:rsidRPr="007B44BF">
        <w:rPr>
          <w:rFonts w:ascii="Arial" w:eastAsia="Times New Roman" w:hAnsi="Arial" w:cs="Arial"/>
          <w:color w:val="FF0000"/>
          <w:sz w:val="24"/>
          <w:szCs w:val="24"/>
        </w:rPr>
        <w:t xml:space="preserve"> required with the IESO</w:t>
      </w:r>
      <w:r w:rsidR="00AB214E">
        <w:rPr>
          <w:rFonts w:ascii="Arial" w:eastAsia="Times New Roman" w:hAnsi="Arial" w:cs="Arial"/>
          <w:color w:val="FF0000"/>
          <w:sz w:val="24"/>
          <w:szCs w:val="24"/>
        </w:rPr>
        <w:t xml:space="preserve"> at the end of 2017, this has now been settled in 2018</w:t>
      </w:r>
      <w:r w:rsidRPr="007B44BF">
        <w:rPr>
          <w:rFonts w:ascii="Arial" w:eastAsia="Times New Roman" w:hAnsi="Arial" w:cs="Arial"/>
          <w:color w:val="FF0000"/>
          <w:sz w:val="24"/>
          <w:szCs w:val="24"/>
        </w:rPr>
        <w:t>.</w:t>
      </w:r>
      <w:r w:rsidR="00AB214E">
        <w:rPr>
          <w:rFonts w:ascii="Arial" w:eastAsia="Times New Roman" w:hAnsi="Arial" w:cs="Arial"/>
          <w:color w:val="FF0000"/>
          <w:sz w:val="24"/>
          <w:szCs w:val="24"/>
        </w:rPr>
        <w:t xml:space="preserve">  The amount of this true-up was $1,940,236.36</w:t>
      </w:r>
      <w:r w:rsidR="007B44BF" w:rsidRPr="007B44BF">
        <w:rPr>
          <w:rFonts w:ascii="Arial" w:eastAsia="Times New Roman" w:hAnsi="Arial" w:cs="Arial"/>
          <w:color w:val="FF0000"/>
          <w:sz w:val="24"/>
          <w:szCs w:val="24"/>
        </w:rPr>
        <w:t xml:space="preserve">.  </w:t>
      </w:r>
    </w:p>
    <w:p w:rsidR="007B44BF" w:rsidRPr="00AB214E" w:rsidRDefault="00AB214E" w:rsidP="0067542C">
      <w:pPr>
        <w:pStyle w:val="ListParagraph"/>
        <w:numPr>
          <w:ilvl w:val="1"/>
          <w:numId w:val="34"/>
        </w:numPr>
        <w:tabs>
          <w:tab w:val="left" w:pos="709"/>
          <w:tab w:val="left" w:pos="851"/>
        </w:tabs>
        <w:spacing w:after="0"/>
        <w:rPr>
          <w:rFonts w:ascii="Arial" w:eastAsia="Times New Roman" w:hAnsi="Arial" w:cs="Arial"/>
          <w:color w:val="FF0000"/>
          <w:sz w:val="24"/>
          <w:szCs w:val="24"/>
        </w:rPr>
      </w:pPr>
      <w:r w:rsidRPr="00AB214E">
        <w:rPr>
          <w:rFonts w:ascii="Arial" w:eastAsia="Times New Roman" w:hAnsi="Arial" w:cs="Arial"/>
          <w:color w:val="FF0000"/>
          <w:sz w:val="24"/>
          <w:szCs w:val="24"/>
        </w:rPr>
        <w:t>The difference is the result of calculated settlements with the IESO of $4,439,777.61 for 2017 while only $2,499,541.25 was recovered.</w:t>
      </w:r>
    </w:p>
    <w:p w:rsidR="00FC57EA" w:rsidRPr="00FC57EA" w:rsidRDefault="00FC57EA" w:rsidP="001047EA">
      <w:pPr>
        <w:pStyle w:val="ListParagraph"/>
        <w:tabs>
          <w:tab w:val="left" w:pos="709"/>
          <w:tab w:val="left" w:pos="851"/>
        </w:tabs>
        <w:ind w:left="709" w:hanging="709"/>
        <w:rPr>
          <w:rFonts w:ascii="Arial" w:eastAsia="Times New Roman" w:hAnsi="Arial" w:cs="Arial"/>
          <w:color w:val="FF0000"/>
          <w:sz w:val="24"/>
          <w:szCs w:val="24"/>
        </w:rPr>
      </w:pPr>
    </w:p>
    <w:p w:rsidR="00FC57EA" w:rsidRDefault="00FC57EA" w:rsidP="00032F62">
      <w:pPr>
        <w:pStyle w:val="ListParagraph"/>
        <w:numPr>
          <w:ilvl w:val="0"/>
          <w:numId w:val="34"/>
        </w:numPr>
        <w:tabs>
          <w:tab w:val="left" w:pos="709"/>
          <w:tab w:val="left" w:pos="851"/>
        </w:tabs>
        <w:spacing w:after="0"/>
        <w:ind w:left="709" w:hanging="709"/>
        <w:rPr>
          <w:rFonts w:ascii="Arial" w:eastAsia="Times New Roman" w:hAnsi="Arial" w:cs="Arial"/>
          <w:color w:val="00B0F0"/>
          <w:sz w:val="24"/>
          <w:szCs w:val="24"/>
        </w:rPr>
      </w:pPr>
      <w:r w:rsidRPr="00C114B4">
        <w:rPr>
          <w:rFonts w:ascii="Arial" w:eastAsia="Times New Roman" w:hAnsi="Arial" w:cs="Arial"/>
          <w:color w:val="FF0000"/>
          <w:sz w:val="24"/>
          <w:szCs w:val="24"/>
        </w:rPr>
        <w:t>See calculation below in response (</w:t>
      </w:r>
      <w:proofErr w:type="gramStart"/>
      <w:r w:rsidRPr="00C114B4">
        <w:rPr>
          <w:rFonts w:ascii="Arial" w:eastAsia="Times New Roman" w:hAnsi="Arial" w:cs="Arial"/>
          <w:color w:val="FF0000"/>
          <w:sz w:val="24"/>
          <w:szCs w:val="24"/>
        </w:rPr>
        <w:t>iv</w:t>
      </w:r>
      <w:proofErr w:type="gramEnd"/>
      <w:r w:rsidRPr="00C114B4">
        <w:rPr>
          <w:rFonts w:ascii="Arial" w:eastAsia="Times New Roman" w:hAnsi="Arial" w:cs="Arial"/>
          <w:color w:val="FF0000"/>
          <w:sz w:val="24"/>
          <w:szCs w:val="24"/>
        </w:rPr>
        <w:t xml:space="preserve">).                                                               </w:t>
      </w:r>
      <w:r w:rsidR="00232708" w:rsidRPr="00C114B4">
        <w:rPr>
          <w:rFonts w:ascii="Arial" w:eastAsia="Times New Roman" w:hAnsi="Arial" w:cs="Arial"/>
          <w:color w:val="00B0F0"/>
          <w:sz w:val="24"/>
          <w:szCs w:val="24"/>
        </w:rPr>
        <w:t>The amount for CT 148 is allocated in 2017 in the DVA Continuity Schedule based off the estimated split between RPP and non-RPP</w:t>
      </w:r>
      <w:r w:rsidR="00C114B4" w:rsidRPr="00C114B4">
        <w:rPr>
          <w:rFonts w:ascii="Arial" w:eastAsia="Times New Roman" w:hAnsi="Arial" w:cs="Arial"/>
          <w:color w:val="00B0F0"/>
          <w:sz w:val="24"/>
          <w:szCs w:val="24"/>
        </w:rPr>
        <w:t xml:space="preserve"> which was incorrect and overstated the consumption for Non</w:t>
      </w:r>
      <w:r w:rsidR="00C114B4">
        <w:rPr>
          <w:rFonts w:ascii="Arial" w:eastAsia="Times New Roman" w:hAnsi="Arial" w:cs="Arial"/>
          <w:color w:val="00B0F0"/>
          <w:sz w:val="24"/>
          <w:szCs w:val="24"/>
        </w:rPr>
        <w:t>-</w:t>
      </w:r>
      <w:r w:rsidR="00C114B4" w:rsidRPr="00C114B4">
        <w:rPr>
          <w:rFonts w:ascii="Arial" w:eastAsia="Times New Roman" w:hAnsi="Arial" w:cs="Arial"/>
          <w:color w:val="00B0F0"/>
          <w:sz w:val="24"/>
          <w:szCs w:val="24"/>
        </w:rPr>
        <w:t>RPP Class B customers.</w:t>
      </w:r>
      <w:r w:rsidR="00232708" w:rsidRPr="00C114B4">
        <w:rPr>
          <w:rFonts w:ascii="Arial" w:eastAsia="Times New Roman" w:hAnsi="Arial" w:cs="Arial"/>
          <w:color w:val="00B0F0"/>
          <w:sz w:val="24"/>
          <w:szCs w:val="24"/>
        </w:rPr>
        <w:t xml:space="preserve"> </w:t>
      </w:r>
      <w:r w:rsidR="00C114B4" w:rsidRPr="00C114B4">
        <w:rPr>
          <w:rFonts w:ascii="Arial" w:eastAsia="Times New Roman" w:hAnsi="Arial" w:cs="Arial"/>
          <w:color w:val="00B0F0"/>
          <w:sz w:val="24"/>
          <w:szCs w:val="24"/>
        </w:rPr>
        <w:t xml:space="preserve">The actual split calculation was performed during the GA workform completion process which resulted in a credit to account 1589.  </w:t>
      </w:r>
    </w:p>
    <w:p w:rsidR="00C114B4" w:rsidRPr="00C114B4" w:rsidRDefault="00C114B4" w:rsidP="00C114B4">
      <w:pPr>
        <w:pStyle w:val="ListParagraph"/>
        <w:rPr>
          <w:rFonts w:ascii="Arial" w:eastAsia="Times New Roman" w:hAnsi="Arial" w:cs="Arial"/>
          <w:color w:val="00B0F0"/>
          <w:sz w:val="24"/>
          <w:szCs w:val="24"/>
        </w:rPr>
      </w:pPr>
    </w:p>
    <w:p w:rsidR="00232708" w:rsidRPr="00FC57EA" w:rsidRDefault="00232708" w:rsidP="001047EA">
      <w:pPr>
        <w:pStyle w:val="ListParagraph"/>
        <w:numPr>
          <w:ilvl w:val="0"/>
          <w:numId w:val="34"/>
        </w:numPr>
        <w:tabs>
          <w:tab w:val="left" w:pos="709"/>
          <w:tab w:val="left" w:pos="851"/>
        </w:tabs>
        <w:spacing w:after="0"/>
        <w:ind w:left="709" w:hanging="709"/>
        <w:rPr>
          <w:rFonts w:ascii="Arial" w:eastAsia="Times New Roman" w:hAnsi="Arial" w:cs="Arial"/>
          <w:color w:val="FF0000"/>
          <w:sz w:val="24"/>
          <w:szCs w:val="24"/>
        </w:rPr>
      </w:pPr>
      <w:r w:rsidRPr="00FC57EA">
        <w:rPr>
          <w:rFonts w:ascii="Arial" w:eastAsia="Times New Roman" w:hAnsi="Arial" w:cs="Arial"/>
          <w:color w:val="FF0000"/>
          <w:sz w:val="24"/>
          <w:szCs w:val="24"/>
        </w:rPr>
        <w:t xml:space="preserve"> </w:t>
      </w:r>
      <w:r w:rsidR="00FC57EA">
        <w:rPr>
          <w:rFonts w:ascii="Arial" w:eastAsia="Times New Roman" w:hAnsi="Arial" w:cs="Arial"/>
          <w:color w:val="FF0000"/>
          <w:sz w:val="24"/>
          <w:szCs w:val="24"/>
        </w:rPr>
        <w:t>See calculation below.</w:t>
      </w:r>
    </w:p>
    <w:p w:rsidR="00232708" w:rsidRPr="00704C35" w:rsidRDefault="00232708" w:rsidP="006F7318">
      <w:pPr>
        <w:pStyle w:val="ListParagraph"/>
        <w:tabs>
          <w:tab w:val="left" w:pos="567"/>
        </w:tabs>
        <w:ind w:left="709"/>
        <w:rPr>
          <w:rFonts w:ascii="Arial" w:eastAsia="Times New Roman" w:hAnsi="Arial" w:cs="Arial"/>
          <w:color w:val="FF0000"/>
          <w:sz w:val="24"/>
          <w:szCs w:val="24"/>
        </w:rPr>
      </w:pPr>
    </w:p>
    <w:p w:rsidR="00E04677" w:rsidRDefault="00E04677" w:rsidP="00E04677">
      <w:pPr>
        <w:pStyle w:val="ListParagraph"/>
        <w:spacing w:after="0"/>
        <w:ind w:left="0"/>
        <w:rPr>
          <w:rFonts w:ascii="Arial" w:hAnsi="Arial" w:cs="Arial"/>
          <w:sz w:val="24"/>
          <w:szCs w:val="24"/>
        </w:rPr>
      </w:pPr>
      <w:r>
        <w:rPr>
          <w:noProof/>
          <w:lang w:eastAsia="en-CA"/>
        </w:rPr>
        <w:drawing>
          <wp:inline distT="0" distB="0" distL="0" distR="0" wp14:anchorId="5BB36F01" wp14:editId="007B22F8">
            <wp:extent cx="6472671" cy="2519916"/>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5839" cy="2525042"/>
                    </a:xfrm>
                    <a:prstGeom prst="rect">
                      <a:avLst/>
                    </a:prstGeom>
                  </pic:spPr>
                </pic:pic>
              </a:graphicData>
            </a:graphic>
          </wp:inline>
        </w:drawing>
      </w:r>
    </w:p>
    <w:p w:rsidR="00232708" w:rsidRDefault="00232708" w:rsidP="006C28D2">
      <w:pPr>
        <w:pStyle w:val="ListParagraph"/>
        <w:spacing w:after="0"/>
        <w:ind w:left="1710"/>
        <w:rPr>
          <w:rFonts w:ascii="Arial" w:hAnsi="Arial" w:cs="Arial"/>
          <w:sz w:val="24"/>
          <w:szCs w:val="24"/>
        </w:rPr>
      </w:pPr>
    </w:p>
    <w:p w:rsidR="00FC57EA" w:rsidRPr="00FC57EA" w:rsidRDefault="00105E87" w:rsidP="001047EA">
      <w:pPr>
        <w:pStyle w:val="ListParagraph"/>
        <w:numPr>
          <w:ilvl w:val="0"/>
          <w:numId w:val="34"/>
        </w:numPr>
        <w:spacing w:after="0"/>
        <w:ind w:left="709"/>
        <w:rPr>
          <w:rFonts w:ascii="Arial" w:hAnsi="Arial" w:cs="Arial"/>
          <w:color w:val="FF0000"/>
          <w:sz w:val="24"/>
          <w:szCs w:val="24"/>
        </w:rPr>
      </w:pPr>
      <w:r>
        <w:rPr>
          <w:rFonts w:ascii="Arial" w:hAnsi="Arial" w:cs="Arial"/>
          <w:color w:val="FF0000"/>
          <w:sz w:val="24"/>
          <w:szCs w:val="24"/>
        </w:rPr>
        <w:t>Yes, the t</w:t>
      </w:r>
      <w:r w:rsidR="00FC57EA">
        <w:rPr>
          <w:rFonts w:ascii="Arial" w:hAnsi="Arial" w:cs="Arial"/>
          <w:color w:val="FF0000"/>
          <w:sz w:val="24"/>
          <w:szCs w:val="24"/>
        </w:rPr>
        <w:t xml:space="preserve">rue-up </w:t>
      </w:r>
      <w:r w:rsidR="00CE639B">
        <w:rPr>
          <w:rFonts w:ascii="Arial" w:hAnsi="Arial" w:cs="Arial"/>
          <w:color w:val="FF0000"/>
          <w:sz w:val="24"/>
          <w:szCs w:val="24"/>
        </w:rPr>
        <w:t>adjustments</w:t>
      </w:r>
      <w:r w:rsidR="00FC57EA">
        <w:rPr>
          <w:rFonts w:ascii="Arial" w:hAnsi="Arial" w:cs="Arial"/>
          <w:color w:val="FF0000"/>
          <w:sz w:val="24"/>
          <w:szCs w:val="24"/>
        </w:rPr>
        <w:t xml:space="preserve"> have been completed in 2018.</w:t>
      </w:r>
    </w:p>
    <w:p w:rsidR="00FC57EA" w:rsidRPr="00FC57EA" w:rsidRDefault="00FC57EA" w:rsidP="00FC57EA">
      <w:pPr>
        <w:spacing w:after="0"/>
        <w:rPr>
          <w:rFonts w:ascii="Arial" w:hAnsi="Arial" w:cs="Arial"/>
          <w:color w:val="FF0000"/>
          <w:sz w:val="24"/>
          <w:szCs w:val="24"/>
        </w:rPr>
      </w:pPr>
    </w:p>
    <w:p w:rsidR="006C28D2" w:rsidRDefault="006C28D2" w:rsidP="006C28D2">
      <w:pPr>
        <w:pStyle w:val="ListParagraph"/>
        <w:numPr>
          <w:ilvl w:val="0"/>
          <w:numId w:val="28"/>
        </w:numPr>
        <w:spacing w:after="0"/>
        <w:rPr>
          <w:rFonts w:ascii="Arial" w:hAnsi="Arial" w:cs="Arial"/>
          <w:sz w:val="24"/>
          <w:szCs w:val="24"/>
        </w:rPr>
      </w:pPr>
      <w:r>
        <w:rPr>
          <w:rFonts w:ascii="Arial" w:hAnsi="Arial" w:cs="Arial"/>
          <w:sz w:val="24"/>
          <w:szCs w:val="24"/>
        </w:rPr>
        <w:t>Please explain why the applicant is not proposing to reverse the principal adjustment recorded in the 2016 DVA continuity schedule of $562,353 as adjustment 1a of the 2017 GA Analysis Workform (and as a principal adjustment in the 2017 DVA continuity schedule).</w:t>
      </w:r>
    </w:p>
    <w:p w:rsidR="006C28D2" w:rsidRDefault="006C28D2" w:rsidP="006C28D2">
      <w:pPr>
        <w:pStyle w:val="ListParagraph"/>
        <w:spacing w:after="0"/>
        <w:rPr>
          <w:rFonts w:ascii="Arial" w:hAnsi="Arial" w:cs="Arial"/>
          <w:sz w:val="24"/>
          <w:szCs w:val="24"/>
        </w:rPr>
      </w:pPr>
    </w:p>
    <w:p w:rsidR="00E04677" w:rsidRPr="00E04677" w:rsidRDefault="008325D7" w:rsidP="00E04677">
      <w:pPr>
        <w:pStyle w:val="ListParagraph"/>
        <w:spacing w:after="0"/>
        <w:ind w:left="0"/>
        <w:rPr>
          <w:rFonts w:ascii="Arial" w:hAnsi="Arial" w:cs="Arial"/>
          <w:color w:val="FF0000"/>
          <w:sz w:val="24"/>
          <w:szCs w:val="24"/>
        </w:rPr>
      </w:pPr>
      <w:r>
        <w:rPr>
          <w:rFonts w:ascii="Arial" w:hAnsi="Arial" w:cs="Arial"/>
          <w:color w:val="FF0000"/>
          <w:sz w:val="24"/>
          <w:szCs w:val="24"/>
        </w:rPr>
        <w:t>The 2016 true up was not posted in</w:t>
      </w:r>
      <w:r w:rsidR="00E04677">
        <w:rPr>
          <w:rFonts w:ascii="Arial" w:hAnsi="Arial" w:cs="Arial"/>
          <w:color w:val="FF0000"/>
          <w:sz w:val="24"/>
          <w:szCs w:val="24"/>
        </w:rPr>
        <w:t xml:space="preserve"> 2017</w:t>
      </w:r>
      <w:r w:rsidR="00756F74">
        <w:rPr>
          <w:rFonts w:ascii="Arial" w:hAnsi="Arial" w:cs="Arial"/>
          <w:color w:val="FF0000"/>
          <w:sz w:val="24"/>
          <w:szCs w:val="24"/>
        </w:rPr>
        <w:t>.  A</w:t>
      </w:r>
      <w:r w:rsidR="00E04677">
        <w:rPr>
          <w:rFonts w:ascii="Arial" w:hAnsi="Arial" w:cs="Arial"/>
          <w:color w:val="FF0000"/>
          <w:sz w:val="24"/>
          <w:szCs w:val="24"/>
        </w:rPr>
        <w:t>ll</w:t>
      </w:r>
      <w:r w:rsidR="00756F74">
        <w:rPr>
          <w:rFonts w:ascii="Arial" w:hAnsi="Arial" w:cs="Arial"/>
          <w:color w:val="FF0000"/>
          <w:sz w:val="24"/>
          <w:szCs w:val="24"/>
        </w:rPr>
        <w:t xml:space="preserve"> required </w:t>
      </w:r>
      <w:r w:rsidR="00E04677">
        <w:rPr>
          <w:rFonts w:ascii="Arial" w:hAnsi="Arial" w:cs="Arial"/>
          <w:color w:val="FF0000"/>
          <w:sz w:val="24"/>
          <w:szCs w:val="24"/>
        </w:rPr>
        <w:t>adjustments</w:t>
      </w:r>
      <w:r w:rsidR="00756F74">
        <w:rPr>
          <w:rFonts w:ascii="Arial" w:hAnsi="Arial" w:cs="Arial"/>
          <w:color w:val="FF0000"/>
          <w:sz w:val="24"/>
          <w:szCs w:val="24"/>
        </w:rPr>
        <w:t xml:space="preserve"> for true</w:t>
      </w:r>
      <w:r w:rsidR="00CE639B">
        <w:rPr>
          <w:rFonts w:ascii="Arial" w:hAnsi="Arial" w:cs="Arial"/>
          <w:color w:val="FF0000"/>
          <w:sz w:val="24"/>
          <w:szCs w:val="24"/>
        </w:rPr>
        <w:t>-</w:t>
      </w:r>
      <w:r w:rsidR="00756F74">
        <w:rPr>
          <w:rFonts w:ascii="Arial" w:hAnsi="Arial" w:cs="Arial"/>
          <w:color w:val="FF0000"/>
          <w:sz w:val="24"/>
          <w:szCs w:val="24"/>
        </w:rPr>
        <w:t>ups will be posted in 2018</w:t>
      </w:r>
      <w:r w:rsidR="00E04677">
        <w:rPr>
          <w:rFonts w:ascii="Arial" w:hAnsi="Arial" w:cs="Arial"/>
          <w:color w:val="FF0000"/>
          <w:sz w:val="24"/>
          <w:szCs w:val="24"/>
        </w:rPr>
        <w:t>, which can be noted on our 2018 Financial Statements when completed.</w:t>
      </w:r>
    </w:p>
    <w:p w:rsidR="00E04677" w:rsidRDefault="00E04677" w:rsidP="006C28D2">
      <w:pPr>
        <w:pStyle w:val="ListParagraph"/>
        <w:spacing w:after="0"/>
        <w:rPr>
          <w:rFonts w:ascii="Arial" w:hAnsi="Arial" w:cs="Arial"/>
          <w:sz w:val="24"/>
          <w:szCs w:val="24"/>
        </w:rPr>
      </w:pPr>
    </w:p>
    <w:p w:rsidR="006C28D2" w:rsidRDefault="006C28D2" w:rsidP="006C28D2">
      <w:pPr>
        <w:pStyle w:val="ListParagraph"/>
        <w:numPr>
          <w:ilvl w:val="0"/>
          <w:numId w:val="28"/>
        </w:numPr>
        <w:spacing w:after="0"/>
        <w:rPr>
          <w:rFonts w:ascii="Arial" w:hAnsi="Arial" w:cs="Arial"/>
          <w:sz w:val="24"/>
          <w:szCs w:val="24"/>
        </w:rPr>
      </w:pPr>
      <w:r>
        <w:rPr>
          <w:rFonts w:ascii="Arial" w:hAnsi="Arial" w:cs="Arial"/>
          <w:sz w:val="24"/>
          <w:szCs w:val="24"/>
        </w:rPr>
        <w:lastRenderedPageBreak/>
        <w:t>The Applicant has proposed a true-up of debit 490,510 as adjustment 9 of the 2017 GA Analysis Workform.</w:t>
      </w:r>
      <w:r w:rsidR="00296F6C">
        <w:rPr>
          <w:rFonts w:ascii="Arial" w:hAnsi="Arial" w:cs="Arial"/>
          <w:sz w:val="24"/>
          <w:szCs w:val="24"/>
        </w:rPr>
        <w:t xml:space="preserve"> It appears from the explanation that was provided that this adjustment is </w:t>
      </w:r>
      <w:r w:rsidR="00FF1324">
        <w:rPr>
          <w:rFonts w:ascii="Arial" w:hAnsi="Arial" w:cs="Arial"/>
          <w:sz w:val="24"/>
          <w:szCs w:val="24"/>
        </w:rPr>
        <w:t xml:space="preserve">the </w:t>
      </w:r>
      <w:r w:rsidR="00296F6C">
        <w:rPr>
          <w:rFonts w:ascii="Arial" w:hAnsi="Arial" w:cs="Arial"/>
          <w:sz w:val="24"/>
          <w:szCs w:val="24"/>
        </w:rPr>
        <w:t>revers</w:t>
      </w:r>
      <w:r w:rsidR="00FF1324">
        <w:rPr>
          <w:rFonts w:ascii="Arial" w:hAnsi="Arial" w:cs="Arial"/>
          <w:sz w:val="24"/>
          <w:szCs w:val="24"/>
        </w:rPr>
        <w:t>al of</w:t>
      </w:r>
      <w:r w:rsidR="00296F6C">
        <w:rPr>
          <w:rFonts w:ascii="Arial" w:hAnsi="Arial" w:cs="Arial"/>
          <w:sz w:val="24"/>
          <w:szCs w:val="24"/>
        </w:rPr>
        <w:t xml:space="preserve"> a previously recorded true-up </w:t>
      </w:r>
      <w:r w:rsidR="00FF1324">
        <w:rPr>
          <w:rFonts w:ascii="Arial" w:hAnsi="Arial" w:cs="Arial"/>
          <w:sz w:val="24"/>
          <w:szCs w:val="24"/>
        </w:rPr>
        <w:t>that</w:t>
      </w:r>
      <w:r w:rsidR="00296F6C">
        <w:rPr>
          <w:rFonts w:ascii="Arial" w:hAnsi="Arial" w:cs="Arial"/>
          <w:sz w:val="24"/>
          <w:szCs w:val="24"/>
        </w:rPr>
        <w:t xml:space="preserve"> was</w:t>
      </w:r>
      <w:r w:rsidR="00FF1324">
        <w:rPr>
          <w:rFonts w:ascii="Arial" w:hAnsi="Arial" w:cs="Arial"/>
          <w:sz w:val="24"/>
          <w:szCs w:val="24"/>
        </w:rPr>
        <w:t xml:space="preserve"> done</w:t>
      </w:r>
      <w:r w:rsidR="00296F6C">
        <w:rPr>
          <w:rFonts w:ascii="Arial" w:hAnsi="Arial" w:cs="Arial"/>
          <w:sz w:val="24"/>
          <w:szCs w:val="24"/>
        </w:rPr>
        <w:t xml:space="preserve"> incorrect</w:t>
      </w:r>
      <w:r w:rsidR="00FF1324">
        <w:rPr>
          <w:rFonts w:ascii="Arial" w:hAnsi="Arial" w:cs="Arial"/>
          <w:sz w:val="24"/>
          <w:szCs w:val="24"/>
        </w:rPr>
        <w:t>ly</w:t>
      </w:r>
      <w:r w:rsidR="00296F6C">
        <w:rPr>
          <w:rFonts w:ascii="Arial" w:hAnsi="Arial" w:cs="Arial"/>
          <w:sz w:val="24"/>
          <w:szCs w:val="24"/>
        </w:rPr>
        <w:t xml:space="preserve"> (and then recorded the correct one as</w:t>
      </w:r>
      <w:r w:rsidR="007C79EB">
        <w:rPr>
          <w:rFonts w:ascii="Arial" w:hAnsi="Arial" w:cs="Arial"/>
          <w:sz w:val="24"/>
          <w:szCs w:val="24"/>
        </w:rPr>
        <w:t xml:space="preserve"> shown in</w:t>
      </w:r>
      <w:r w:rsidR="00296F6C">
        <w:rPr>
          <w:rFonts w:ascii="Arial" w:hAnsi="Arial" w:cs="Arial"/>
          <w:sz w:val="24"/>
          <w:szCs w:val="24"/>
        </w:rPr>
        <w:t xml:space="preserve"> 1b</w:t>
      </w:r>
      <w:r w:rsidR="007C79EB">
        <w:rPr>
          <w:rFonts w:ascii="Arial" w:hAnsi="Arial" w:cs="Arial"/>
          <w:sz w:val="24"/>
          <w:szCs w:val="24"/>
        </w:rPr>
        <w:t xml:space="preserve"> of Note 5</w:t>
      </w:r>
      <w:r w:rsidR="00296F6C">
        <w:rPr>
          <w:rFonts w:ascii="Arial" w:hAnsi="Arial" w:cs="Arial"/>
          <w:sz w:val="24"/>
          <w:szCs w:val="24"/>
        </w:rPr>
        <w:t xml:space="preserve"> in the </w:t>
      </w:r>
      <w:r w:rsidR="00FF1324">
        <w:rPr>
          <w:rFonts w:ascii="Arial" w:hAnsi="Arial" w:cs="Arial"/>
          <w:sz w:val="24"/>
          <w:szCs w:val="24"/>
        </w:rPr>
        <w:t xml:space="preserve">2017 </w:t>
      </w:r>
      <w:r w:rsidR="00296F6C">
        <w:rPr>
          <w:rFonts w:ascii="Arial" w:hAnsi="Arial" w:cs="Arial"/>
          <w:sz w:val="24"/>
          <w:szCs w:val="24"/>
        </w:rPr>
        <w:t>GA Analysis Workform).</w:t>
      </w:r>
    </w:p>
    <w:p w:rsidR="009546CE" w:rsidRDefault="009546CE" w:rsidP="006C28D2">
      <w:pPr>
        <w:pStyle w:val="ListParagraph"/>
        <w:numPr>
          <w:ilvl w:val="2"/>
          <w:numId w:val="28"/>
        </w:numPr>
        <w:spacing w:after="0"/>
        <w:ind w:left="1710" w:hanging="450"/>
        <w:rPr>
          <w:rFonts w:ascii="Arial" w:hAnsi="Arial" w:cs="Arial"/>
          <w:sz w:val="24"/>
          <w:szCs w:val="24"/>
        </w:rPr>
      </w:pPr>
      <w:r>
        <w:rPr>
          <w:rFonts w:ascii="Arial" w:hAnsi="Arial" w:cs="Arial"/>
          <w:sz w:val="24"/>
          <w:szCs w:val="24"/>
        </w:rPr>
        <w:t>When the incorrect true-up amount was initially recorded, was it recorded as a credit to account 1589?</w:t>
      </w:r>
    </w:p>
    <w:p w:rsidR="006C28D2" w:rsidRDefault="00FF1324" w:rsidP="006C28D2">
      <w:pPr>
        <w:pStyle w:val="ListParagraph"/>
        <w:numPr>
          <w:ilvl w:val="2"/>
          <w:numId w:val="28"/>
        </w:numPr>
        <w:spacing w:after="0"/>
        <w:ind w:left="1710" w:hanging="450"/>
        <w:rPr>
          <w:rFonts w:ascii="Arial" w:hAnsi="Arial" w:cs="Arial"/>
          <w:sz w:val="24"/>
          <w:szCs w:val="24"/>
        </w:rPr>
      </w:pPr>
      <w:r>
        <w:rPr>
          <w:rFonts w:ascii="Arial" w:hAnsi="Arial" w:cs="Arial"/>
          <w:sz w:val="24"/>
          <w:szCs w:val="24"/>
        </w:rPr>
        <w:t>W</w:t>
      </w:r>
      <w:r w:rsidR="00FB73D7">
        <w:rPr>
          <w:rFonts w:ascii="Arial" w:hAnsi="Arial" w:cs="Arial"/>
          <w:sz w:val="24"/>
          <w:szCs w:val="24"/>
        </w:rPr>
        <w:t>as</w:t>
      </w:r>
      <w:r w:rsidR="00296F6C">
        <w:rPr>
          <w:rFonts w:ascii="Arial" w:hAnsi="Arial" w:cs="Arial"/>
          <w:sz w:val="24"/>
          <w:szCs w:val="24"/>
        </w:rPr>
        <w:t xml:space="preserve"> the $490,510 initial true-up actually</w:t>
      </w:r>
      <w:r w:rsidR="00FB73D7">
        <w:rPr>
          <w:rFonts w:ascii="Arial" w:hAnsi="Arial" w:cs="Arial"/>
          <w:sz w:val="24"/>
          <w:szCs w:val="24"/>
        </w:rPr>
        <w:t xml:space="preserve"> </w:t>
      </w:r>
      <w:r w:rsidR="00296F6C">
        <w:rPr>
          <w:rFonts w:ascii="Arial" w:hAnsi="Arial" w:cs="Arial"/>
          <w:sz w:val="24"/>
          <w:szCs w:val="24"/>
        </w:rPr>
        <w:t>recorded in 2017 (i.e. it is included in the DVA continuity schedule under the column “Transactions Debit / (Credit) during 2017)?</w:t>
      </w:r>
    </w:p>
    <w:p w:rsidR="00296F6C" w:rsidRPr="007B44BF" w:rsidRDefault="00296F6C" w:rsidP="006C28D2">
      <w:pPr>
        <w:pStyle w:val="ListParagraph"/>
        <w:numPr>
          <w:ilvl w:val="2"/>
          <w:numId w:val="28"/>
        </w:numPr>
        <w:spacing w:after="0"/>
        <w:ind w:left="1710" w:hanging="450"/>
        <w:rPr>
          <w:rFonts w:ascii="Arial" w:hAnsi="Arial" w:cs="Arial"/>
          <w:sz w:val="24"/>
          <w:szCs w:val="24"/>
        </w:rPr>
      </w:pPr>
      <w:r w:rsidRPr="007B44BF">
        <w:rPr>
          <w:rFonts w:ascii="Arial" w:hAnsi="Arial" w:cs="Arial"/>
          <w:sz w:val="24"/>
          <w:szCs w:val="24"/>
        </w:rPr>
        <w:t xml:space="preserve">If the answer to </w:t>
      </w:r>
      <w:r w:rsidR="007C79EB" w:rsidRPr="007B44BF">
        <w:rPr>
          <w:rFonts w:ascii="Arial" w:hAnsi="Arial" w:cs="Arial"/>
          <w:sz w:val="24"/>
          <w:szCs w:val="24"/>
        </w:rPr>
        <w:t xml:space="preserve">ii. </w:t>
      </w:r>
      <w:r w:rsidRPr="007B44BF">
        <w:rPr>
          <w:rFonts w:ascii="Arial" w:hAnsi="Arial" w:cs="Arial"/>
          <w:sz w:val="24"/>
          <w:szCs w:val="24"/>
        </w:rPr>
        <w:t>above is “yes”, then why is the Applicant not proposing to include this adjustment in the column “Principal Adjustments during 2017” for account 1589 in the DVA continuity schedule?</w:t>
      </w:r>
    </w:p>
    <w:p w:rsidR="007C79EB" w:rsidRPr="007B44BF" w:rsidRDefault="00846C3E" w:rsidP="007C79EB">
      <w:pPr>
        <w:pStyle w:val="ListParagraph"/>
        <w:numPr>
          <w:ilvl w:val="3"/>
          <w:numId w:val="28"/>
        </w:numPr>
        <w:spacing w:after="0"/>
        <w:rPr>
          <w:rFonts w:ascii="Arial" w:hAnsi="Arial" w:cs="Arial"/>
          <w:sz w:val="24"/>
          <w:szCs w:val="24"/>
        </w:rPr>
      </w:pPr>
      <w:r w:rsidRPr="007B44BF">
        <w:rPr>
          <w:rFonts w:ascii="Arial" w:hAnsi="Arial" w:cs="Arial"/>
          <w:sz w:val="24"/>
          <w:szCs w:val="24"/>
        </w:rPr>
        <w:t>In addition, if the answer</w:t>
      </w:r>
      <w:r w:rsidR="00FB73D7" w:rsidRPr="007B44BF">
        <w:rPr>
          <w:rFonts w:ascii="Arial" w:hAnsi="Arial" w:cs="Arial"/>
          <w:sz w:val="24"/>
          <w:szCs w:val="24"/>
        </w:rPr>
        <w:t xml:space="preserve"> to ii. above</w:t>
      </w:r>
      <w:r w:rsidRPr="007B44BF">
        <w:rPr>
          <w:rFonts w:ascii="Arial" w:hAnsi="Arial" w:cs="Arial"/>
          <w:sz w:val="24"/>
          <w:szCs w:val="24"/>
        </w:rPr>
        <w:t xml:space="preserve"> is “yes”, then why do</w:t>
      </w:r>
      <w:r w:rsidR="00FB73D7" w:rsidRPr="007B44BF">
        <w:rPr>
          <w:rFonts w:ascii="Arial" w:hAnsi="Arial" w:cs="Arial"/>
          <w:sz w:val="24"/>
          <w:szCs w:val="24"/>
        </w:rPr>
        <w:t>es</w:t>
      </w:r>
      <w:r w:rsidRPr="007B44BF">
        <w:rPr>
          <w:rFonts w:ascii="Arial" w:hAnsi="Arial" w:cs="Arial"/>
          <w:sz w:val="24"/>
          <w:szCs w:val="24"/>
        </w:rPr>
        <w:t xml:space="preserve"> </w:t>
      </w:r>
      <w:r w:rsidR="00FB73D7" w:rsidRPr="007B44BF">
        <w:rPr>
          <w:rFonts w:ascii="Arial" w:hAnsi="Arial" w:cs="Arial"/>
          <w:sz w:val="24"/>
          <w:szCs w:val="24"/>
        </w:rPr>
        <w:t>the Applicant</w:t>
      </w:r>
      <w:r w:rsidRPr="007B44BF">
        <w:rPr>
          <w:rFonts w:ascii="Arial" w:hAnsi="Arial" w:cs="Arial"/>
          <w:sz w:val="24"/>
          <w:szCs w:val="24"/>
        </w:rPr>
        <w:t xml:space="preserve"> indicate in </w:t>
      </w:r>
      <w:r w:rsidR="00FB73D7" w:rsidRPr="007B44BF">
        <w:rPr>
          <w:rFonts w:ascii="Arial" w:hAnsi="Arial" w:cs="Arial"/>
          <w:sz w:val="24"/>
          <w:szCs w:val="24"/>
        </w:rPr>
        <w:t>its</w:t>
      </w:r>
      <w:r w:rsidRPr="007B44BF">
        <w:rPr>
          <w:rFonts w:ascii="Arial" w:hAnsi="Arial" w:cs="Arial"/>
          <w:sz w:val="24"/>
          <w:szCs w:val="24"/>
        </w:rPr>
        <w:t xml:space="preserve"> response to question 4e of Appendix A from the GA Analysis Workform Instructions, that no true-ups for either 2016 and 2017 were actually recorded in the G/L until 2018.  </w:t>
      </w:r>
    </w:p>
    <w:p w:rsidR="007C79EB" w:rsidRPr="007B44BF" w:rsidRDefault="007C79EB" w:rsidP="006C28D2">
      <w:pPr>
        <w:pStyle w:val="ListParagraph"/>
        <w:numPr>
          <w:ilvl w:val="2"/>
          <w:numId w:val="28"/>
        </w:numPr>
        <w:spacing w:after="0"/>
        <w:ind w:left="1710" w:hanging="450"/>
        <w:rPr>
          <w:rFonts w:ascii="Arial" w:hAnsi="Arial" w:cs="Arial"/>
          <w:sz w:val="24"/>
          <w:szCs w:val="24"/>
        </w:rPr>
      </w:pPr>
      <w:r w:rsidRPr="007B44BF">
        <w:rPr>
          <w:rFonts w:ascii="Arial" w:hAnsi="Arial" w:cs="Arial"/>
          <w:sz w:val="24"/>
          <w:szCs w:val="24"/>
        </w:rPr>
        <w:t>If the answer to ii. above is “no”, then why would this adjustment even</w:t>
      </w:r>
      <w:r w:rsidR="00FB73D7" w:rsidRPr="007B44BF">
        <w:rPr>
          <w:rFonts w:ascii="Arial" w:hAnsi="Arial" w:cs="Arial"/>
          <w:sz w:val="24"/>
          <w:szCs w:val="24"/>
        </w:rPr>
        <w:t xml:space="preserve"> appear</w:t>
      </w:r>
      <w:r w:rsidRPr="007B44BF">
        <w:rPr>
          <w:rFonts w:ascii="Arial" w:hAnsi="Arial" w:cs="Arial"/>
          <w:sz w:val="24"/>
          <w:szCs w:val="24"/>
        </w:rPr>
        <w:t xml:space="preserve"> as a reconciling item in Note 5 of</w:t>
      </w:r>
      <w:r w:rsidR="00FB73D7" w:rsidRPr="007B44BF">
        <w:rPr>
          <w:rFonts w:ascii="Arial" w:hAnsi="Arial" w:cs="Arial"/>
          <w:sz w:val="24"/>
          <w:szCs w:val="24"/>
        </w:rPr>
        <w:t xml:space="preserve"> the</w:t>
      </w:r>
      <w:r w:rsidRPr="007B44BF">
        <w:rPr>
          <w:rFonts w:ascii="Arial" w:hAnsi="Arial" w:cs="Arial"/>
          <w:sz w:val="24"/>
          <w:szCs w:val="24"/>
        </w:rPr>
        <w:t xml:space="preserve"> 2017 GA Analysis workform?</w:t>
      </w:r>
    </w:p>
    <w:p w:rsidR="00C34EA3" w:rsidRDefault="00C34EA3" w:rsidP="00C34EA3">
      <w:pPr>
        <w:pStyle w:val="ListParagraph"/>
        <w:spacing w:after="0"/>
        <w:ind w:left="1710"/>
        <w:rPr>
          <w:rFonts w:ascii="Arial" w:hAnsi="Arial" w:cs="Arial"/>
          <w:sz w:val="24"/>
          <w:szCs w:val="24"/>
        </w:rPr>
      </w:pPr>
    </w:p>
    <w:p w:rsidR="00105E87" w:rsidRDefault="001047EA" w:rsidP="00C34EA3">
      <w:pPr>
        <w:pStyle w:val="ListParagraph"/>
        <w:numPr>
          <w:ilvl w:val="0"/>
          <w:numId w:val="33"/>
        </w:numPr>
        <w:spacing w:after="0"/>
        <w:rPr>
          <w:rFonts w:ascii="Arial" w:hAnsi="Arial" w:cs="Arial"/>
          <w:color w:val="FF0000"/>
          <w:sz w:val="24"/>
          <w:szCs w:val="24"/>
        </w:rPr>
      </w:pPr>
      <w:r>
        <w:rPr>
          <w:rFonts w:ascii="Arial" w:hAnsi="Arial" w:cs="Arial"/>
          <w:color w:val="FF0000"/>
          <w:sz w:val="24"/>
          <w:szCs w:val="24"/>
        </w:rPr>
        <w:t xml:space="preserve">The initial true-up was recorded as a </w:t>
      </w:r>
      <w:r w:rsidR="007C0BAD">
        <w:rPr>
          <w:rFonts w:ascii="Arial" w:hAnsi="Arial" w:cs="Arial"/>
          <w:color w:val="FF0000"/>
          <w:sz w:val="24"/>
          <w:szCs w:val="24"/>
        </w:rPr>
        <w:t xml:space="preserve">credit of </w:t>
      </w:r>
      <w:r w:rsidR="00C34EA3">
        <w:rPr>
          <w:rFonts w:ascii="Arial" w:hAnsi="Arial" w:cs="Arial"/>
          <w:color w:val="FF0000"/>
          <w:sz w:val="24"/>
          <w:szCs w:val="24"/>
        </w:rPr>
        <w:t xml:space="preserve">$490,510 </w:t>
      </w:r>
      <w:r w:rsidR="007C0BAD">
        <w:rPr>
          <w:rFonts w:ascii="Arial" w:hAnsi="Arial" w:cs="Arial"/>
          <w:color w:val="FF0000"/>
          <w:sz w:val="24"/>
          <w:szCs w:val="24"/>
        </w:rPr>
        <w:t>to account 1589.</w:t>
      </w:r>
    </w:p>
    <w:p w:rsidR="00CD0D72" w:rsidRDefault="007C0BAD" w:rsidP="00105E87">
      <w:pPr>
        <w:pStyle w:val="ListParagraph"/>
        <w:spacing w:after="0"/>
        <w:ind w:left="1080"/>
        <w:rPr>
          <w:rFonts w:ascii="Arial" w:hAnsi="Arial" w:cs="Arial"/>
          <w:color w:val="FF0000"/>
          <w:sz w:val="24"/>
          <w:szCs w:val="24"/>
        </w:rPr>
      </w:pPr>
      <w:r>
        <w:rPr>
          <w:rFonts w:ascii="Arial" w:hAnsi="Arial" w:cs="Arial"/>
          <w:color w:val="FF0000"/>
          <w:sz w:val="24"/>
          <w:szCs w:val="24"/>
        </w:rPr>
        <w:t xml:space="preserve"> </w:t>
      </w:r>
    </w:p>
    <w:p w:rsidR="00105E87" w:rsidRPr="00541BDB" w:rsidRDefault="007C0BAD" w:rsidP="006B3431">
      <w:pPr>
        <w:pStyle w:val="ListParagraph"/>
        <w:numPr>
          <w:ilvl w:val="0"/>
          <w:numId w:val="33"/>
        </w:numPr>
        <w:spacing w:after="0"/>
        <w:rPr>
          <w:rFonts w:ascii="Arial" w:hAnsi="Arial" w:cs="Arial"/>
          <w:color w:val="FF0000"/>
          <w:sz w:val="24"/>
          <w:szCs w:val="24"/>
        </w:rPr>
      </w:pPr>
      <w:r w:rsidRPr="00541BDB">
        <w:rPr>
          <w:rFonts w:ascii="Arial" w:hAnsi="Arial" w:cs="Arial"/>
          <w:color w:val="FF0000"/>
          <w:sz w:val="24"/>
          <w:szCs w:val="24"/>
        </w:rPr>
        <w:t xml:space="preserve">Yes, the true-up was recorded in 2017 and is part of the 2017 transactions column.  </w:t>
      </w:r>
    </w:p>
    <w:p w:rsidR="00105E87" w:rsidRDefault="00105E87" w:rsidP="00105E87">
      <w:pPr>
        <w:pStyle w:val="ListParagraph"/>
        <w:spacing w:after="0"/>
        <w:ind w:left="1080"/>
        <w:rPr>
          <w:rFonts w:ascii="Arial" w:hAnsi="Arial" w:cs="Arial"/>
          <w:color w:val="FF0000"/>
          <w:sz w:val="24"/>
          <w:szCs w:val="24"/>
        </w:rPr>
      </w:pPr>
    </w:p>
    <w:p w:rsidR="007C0BAD" w:rsidRPr="007B44BF" w:rsidRDefault="00CE44EE" w:rsidP="007C0BAD">
      <w:pPr>
        <w:pStyle w:val="ListParagraph"/>
        <w:numPr>
          <w:ilvl w:val="0"/>
          <w:numId w:val="33"/>
        </w:numPr>
        <w:spacing w:after="0"/>
        <w:rPr>
          <w:rFonts w:ascii="Arial" w:hAnsi="Arial" w:cs="Arial"/>
          <w:color w:val="FF0000"/>
          <w:sz w:val="24"/>
          <w:szCs w:val="24"/>
        </w:rPr>
      </w:pPr>
      <w:r w:rsidRPr="007B44BF">
        <w:rPr>
          <w:rFonts w:ascii="Arial" w:hAnsi="Arial" w:cs="Arial"/>
          <w:color w:val="FF0000"/>
          <w:sz w:val="24"/>
          <w:szCs w:val="24"/>
        </w:rPr>
        <w:t xml:space="preserve">This amount should be included in the Principal Adjustments column for 2017.  This will reduce the $2,160,310 to $1,669,800.  The reason that question 4e indicated true-ups were completed in 2018 is that it was referring to the corrections </w:t>
      </w:r>
      <w:r w:rsidR="00D055C4" w:rsidRPr="007B44BF">
        <w:rPr>
          <w:rFonts w:ascii="Arial" w:hAnsi="Arial" w:cs="Arial"/>
          <w:color w:val="FF0000"/>
          <w:sz w:val="24"/>
          <w:szCs w:val="24"/>
        </w:rPr>
        <w:t>from 4 d)</w:t>
      </w:r>
      <w:r w:rsidR="007B44BF" w:rsidRPr="007B44BF">
        <w:rPr>
          <w:rFonts w:ascii="Arial" w:hAnsi="Arial" w:cs="Arial"/>
          <w:color w:val="FF0000"/>
          <w:sz w:val="24"/>
          <w:szCs w:val="24"/>
        </w:rPr>
        <w:t>.  The $490,510 was recorded in 2017.</w:t>
      </w:r>
    </w:p>
    <w:p w:rsidR="00CD0D72" w:rsidRDefault="00CD0D72" w:rsidP="00CD0D72">
      <w:pPr>
        <w:spacing w:after="0"/>
        <w:rPr>
          <w:rFonts w:ascii="Arial" w:hAnsi="Arial" w:cs="Arial"/>
          <w:sz w:val="24"/>
          <w:szCs w:val="24"/>
        </w:rPr>
      </w:pPr>
    </w:p>
    <w:p w:rsidR="009546CE" w:rsidRDefault="009546CE" w:rsidP="009546CE">
      <w:pPr>
        <w:pStyle w:val="ListParagraph"/>
        <w:spacing w:after="0"/>
        <w:ind w:left="1710"/>
        <w:rPr>
          <w:rFonts w:ascii="Arial" w:hAnsi="Arial" w:cs="Arial"/>
          <w:sz w:val="24"/>
          <w:szCs w:val="24"/>
        </w:rPr>
      </w:pPr>
    </w:p>
    <w:p w:rsidR="009546CE" w:rsidRDefault="009546CE" w:rsidP="009546CE">
      <w:pPr>
        <w:pStyle w:val="ListParagraph"/>
        <w:numPr>
          <w:ilvl w:val="0"/>
          <w:numId w:val="28"/>
        </w:numPr>
        <w:spacing w:after="0"/>
        <w:rPr>
          <w:rFonts w:ascii="Arial" w:hAnsi="Arial" w:cs="Arial"/>
          <w:sz w:val="24"/>
          <w:szCs w:val="24"/>
        </w:rPr>
      </w:pPr>
      <w:r>
        <w:rPr>
          <w:rFonts w:ascii="Arial" w:hAnsi="Arial" w:cs="Arial"/>
          <w:sz w:val="24"/>
          <w:szCs w:val="24"/>
        </w:rPr>
        <w:t>In regards to adjustment 10 proposed in the 2017 GA Analysis Workform:</w:t>
      </w:r>
    </w:p>
    <w:p w:rsidR="009546CE" w:rsidRDefault="009546CE" w:rsidP="009546CE">
      <w:pPr>
        <w:pStyle w:val="ListParagraph"/>
        <w:numPr>
          <w:ilvl w:val="2"/>
          <w:numId w:val="28"/>
        </w:numPr>
        <w:spacing w:after="0"/>
        <w:ind w:left="1710" w:hanging="450"/>
        <w:rPr>
          <w:rFonts w:ascii="Arial" w:hAnsi="Arial" w:cs="Arial"/>
          <w:sz w:val="24"/>
          <w:szCs w:val="24"/>
        </w:rPr>
      </w:pPr>
      <w:r>
        <w:rPr>
          <w:rFonts w:ascii="Arial" w:hAnsi="Arial" w:cs="Arial"/>
          <w:sz w:val="24"/>
          <w:szCs w:val="24"/>
        </w:rPr>
        <w:t>Please provide more detail as to what this adjustment pertains to including detail to support the direction of the proposed adjustment (</w:t>
      </w:r>
      <w:r w:rsidR="00F9321D">
        <w:rPr>
          <w:rFonts w:ascii="Arial" w:hAnsi="Arial" w:cs="Arial"/>
          <w:sz w:val="24"/>
          <w:szCs w:val="24"/>
        </w:rPr>
        <w:t xml:space="preserve">why a </w:t>
      </w:r>
      <w:r>
        <w:rPr>
          <w:rFonts w:ascii="Arial" w:hAnsi="Arial" w:cs="Arial"/>
          <w:sz w:val="24"/>
          <w:szCs w:val="24"/>
        </w:rPr>
        <w:t>debit</w:t>
      </w:r>
      <w:r w:rsidR="00F9321D">
        <w:rPr>
          <w:rFonts w:ascii="Arial" w:hAnsi="Arial" w:cs="Arial"/>
          <w:sz w:val="24"/>
          <w:szCs w:val="24"/>
        </w:rPr>
        <w:t xml:space="preserve"> to account 1589 is appropriate</w:t>
      </w:r>
      <w:r>
        <w:rPr>
          <w:rFonts w:ascii="Arial" w:hAnsi="Arial" w:cs="Arial"/>
          <w:sz w:val="24"/>
          <w:szCs w:val="24"/>
        </w:rPr>
        <w:t>)?</w:t>
      </w:r>
    </w:p>
    <w:p w:rsidR="009546CE" w:rsidRDefault="009546CE" w:rsidP="009546CE">
      <w:pPr>
        <w:pStyle w:val="ListParagraph"/>
        <w:numPr>
          <w:ilvl w:val="2"/>
          <w:numId w:val="28"/>
        </w:numPr>
        <w:spacing w:after="0"/>
        <w:ind w:left="1710" w:hanging="450"/>
        <w:rPr>
          <w:rFonts w:ascii="Arial" w:hAnsi="Arial" w:cs="Arial"/>
          <w:sz w:val="24"/>
          <w:szCs w:val="24"/>
        </w:rPr>
      </w:pPr>
      <w:r>
        <w:rPr>
          <w:rFonts w:ascii="Arial" w:hAnsi="Arial" w:cs="Arial"/>
          <w:sz w:val="24"/>
          <w:szCs w:val="24"/>
        </w:rPr>
        <w:t>Why was a similar adjustment not proposed as part of the 2016 GA Analysis Workform?</w:t>
      </w:r>
    </w:p>
    <w:p w:rsidR="009546CE" w:rsidRDefault="009546CE" w:rsidP="009546CE">
      <w:pPr>
        <w:pStyle w:val="ListParagraph"/>
        <w:numPr>
          <w:ilvl w:val="2"/>
          <w:numId w:val="28"/>
        </w:numPr>
        <w:spacing w:after="0"/>
        <w:ind w:left="1710" w:hanging="450"/>
        <w:rPr>
          <w:rFonts w:ascii="Arial" w:hAnsi="Arial" w:cs="Arial"/>
          <w:sz w:val="24"/>
          <w:szCs w:val="24"/>
        </w:rPr>
      </w:pPr>
      <w:r>
        <w:rPr>
          <w:rFonts w:ascii="Arial" w:hAnsi="Arial" w:cs="Arial"/>
          <w:sz w:val="24"/>
          <w:szCs w:val="24"/>
        </w:rPr>
        <w:lastRenderedPageBreak/>
        <w:t>Please provide the calculation used to quantify the adjustment amount.</w:t>
      </w:r>
    </w:p>
    <w:p w:rsidR="009546CE" w:rsidRDefault="009546CE" w:rsidP="009546CE">
      <w:pPr>
        <w:pStyle w:val="ListParagraph"/>
        <w:numPr>
          <w:ilvl w:val="2"/>
          <w:numId w:val="28"/>
        </w:numPr>
        <w:spacing w:after="0"/>
        <w:ind w:left="1710" w:hanging="450"/>
        <w:rPr>
          <w:rFonts w:ascii="Arial" w:hAnsi="Arial" w:cs="Arial"/>
          <w:sz w:val="24"/>
          <w:szCs w:val="24"/>
        </w:rPr>
      </w:pPr>
      <w:r>
        <w:rPr>
          <w:rFonts w:ascii="Arial" w:hAnsi="Arial" w:cs="Arial"/>
          <w:sz w:val="24"/>
          <w:szCs w:val="24"/>
        </w:rPr>
        <w:t>Why has the applicant not included this balance as a principal adjustment in the</w:t>
      </w:r>
      <w:r w:rsidR="00FF1324">
        <w:rPr>
          <w:rFonts w:ascii="Arial" w:hAnsi="Arial" w:cs="Arial"/>
          <w:sz w:val="24"/>
          <w:szCs w:val="24"/>
        </w:rPr>
        <w:t xml:space="preserve"> 2017</w:t>
      </w:r>
      <w:r>
        <w:rPr>
          <w:rFonts w:ascii="Arial" w:hAnsi="Arial" w:cs="Arial"/>
          <w:sz w:val="24"/>
          <w:szCs w:val="24"/>
        </w:rPr>
        <w:t xml:space="preserve"> DVA continuity schedule?</w:t>
      </w:r>
    </w:p>
    <w:p w:rsidR="004E5A95" w:rsidRDefault="004E5A95" w:rsidP="009546CE">
      <w:pPr>
        <w:pStyle w:val="ListParagraph"/>
        <w:numPr>
          <w:ilvl w:val="2"/>
          <w:numId w:val="28"/>
        </w:numPr>
        <w:spacing w:after="0"/>
        <w:ind w:left="1710" w:hanging="450"/>
        <w:rPr>
          <w:rFonts w:ascii="Arial" w:hAnsi="Arial" w:cs="Arial"/>
          <w:sz w:val="24"/>
          <w:szCs w:val="24"/>
        </w:rPr>
      </w:pPr>
      <w:r>
        <w:rPr>
          <w:rFonts w:ascii="Arial" w:hAnsi="Arial" w:cs="Arial"/>
          <w:sz w:val="24"/>
          <w:szCs w:val="24"/>
        </w:rPr>
        <w:t>Has the Applicant actually recorded this true-up</w:t>
      </w:r>
      <w:r w:rsidR="00846C3E">
        <w:rPr>
          <w:rFonts w:ascii="Arial" w:hAnsi="Arial" w:cs="Arial"/>
          <w:sz w:val="24"/>
          <w:szCs w:val="24"/>
        </w:rPr>
        <w:t xml:space="preserve"> in their books</w:t>
      </w:r>
      <w:r>
        <w:rPr>
          <w:rFonts w:ascii="Arial" w:hAnsi="Arial" w:cs="Arial"/>
          <w:sz w:val="24"/>
          <w:szCs w:val="24"/>
        </w:rPr>
        <w:t>?</w:t>
      </w:r>
    </w:p>
    <w:p w:rsidR="00FB73D7" w:rsidRDefault="00FB73D7" w:rsidP="00FB73D7">
      <w:pPr>
        <w:pStyle w:val="ListParagraph"/>
        <w:spacing w:after="0"/>
        <w:ind w:left="1710"/>
        <w:rPr>
          <w:rFonts w:ascii="Arial" w:hAnsi="Arial" w:cs="Arial"/>
          <w:sz w:val="24"/>
          <w:szCs w:val="24"/>
        </w:rPr>
      </w:pPr>
    </w:p>
    <w:p w:rsidR="005F7D08" w:rsidRDefault="00715F8E" w:rsidP="005F7D08">
      <w:pPr>
        <w:pStyle w:val="ListParagraph"/>
        <w:numPr>
          <w:ilvl w:val="4"/>
          <w:numId w:val="28"/>
        </w:numPr>
        <w:spacing w:after="0"/>
        <w:ind w:left="1134"/>
        <w:rPr>
          <w:rFonts w:ascii="Arial" w:hAnsi="Arial" w:cs="Arial"/>
          <w:color w:val="FF0000"/>
          <w:sz w:val="24"/>
          <w:szCs w:val="24"/>
        </w:rPr>
      </w:pPr>
      <w:r>
        <w:rPr>
          <w:rFonts w:ascii="Arial" w:hAnsi="Arial" w:cs="Arial"/>
          <w:color w:val="FF0000"/>
          <w:sz w:val="24"/>
          <w:szCs w:val="24"/>
        </w:rPr>
        <w:t>The adjustment pertains to</w:t>
      </w:r>
      <w:r w:rsidR="007B44BF">
        <w:rPr>
          <w:rFonts w:ascii="Arial" w:hAnsi="Arial" w:cs="Arial"/>
          <w:color w:val="FF0000"/>
          <w:sz w:val="24"/>
          <w:szCs w:val="24"/>
        </w:rPr>
        <w:t xml:space="preserve"> multiple years of </w:t>
      </w:r>
      <w:proofErr w:type="gramStart"/>
      <w:r w:rsidR="007B44BF">
        <w:rPr>
          <w:rFonts w:ascii="Arial" w:hAnsi="Arial" w:cs="Arial"/>
          <w:color w:val="FF0000"/>
          <w:sz w:val="24"/>
          <w:szCs w:val="24"/>
        </w:rPr>
        <w:t>true-up’s</w:t>
      </w:r>
      <w:proofErr w:type="gramEnd"/>
      <w:r w:rsidR="007B44BF">
        <w:rPr>
          <w:rFonts w:ascii="Arial" w:hAnsi="Arial" w:cs="Arial"/>
          <w:color w:val="FF0000"/>
          <w:sz w:val="24"/>
          <w:szCs w:val="24"/>
        </w:rPr>
        <w:t xml:space="preserve"> related to both long term and short term load transfers</w:t>
      </w:r>
      <w:r>
        <w:rPr>
          <w:rFonts w:ascii="Arial" w:hAnsi="Arial" w:cs="Arial"/>
          <w:color w:val="FF0000"/>
          <w:sz w:val="24"/>
          <w:szCs w:val="24"/>
        </w:rPr>
        <w:t>.</w:t>
      </w:r>
      <w:r w:rsidR="00B85643">
        <w:rPr>
          <w:rFonts w:ascii="Arial" w:hAnsi="Arial" w:cs="Arial"/>
          <w:color w:val="FF0000"/>
          <w:sz w:val="24"/>
          <w:szCs w:val="24"/>
        </w:rPr>
        <w:t xml:space="preserve">  Westario had multiple years of accruals for these load transfers that were finalized in 2017 resulting in all of differences going through in that year.</w:t>
      </w:r>
    </w:p>
    <w:p w:rsidR="005568F8" w:rsidRPr="005568F8" w:rsidRDefault="005568F8" w:rsidP="005568F8">
      <w:pPr>
        <w:pStyle w:val="ListParagraph"/>
        <w:spacing w:after="0"/>
        <w:ind w:left="1134"/>
        <w:rPr>
          <w:rFonts w:ascii="Arial" w:hAnsi="Arial" w:cs="Arial"/>
          <w:color w:val="FF0000"/>
          <w:sz w:val="24"/>
          <w:szCs w:val="24"/>
        </w:rPr>
      </w:pPr>
      <w:r>
        <w:rPr>
          <w:rFonts w:ascii="Arial" w:hAnsi="Arial" w:cs="Arial"/>
          <w:color w:val="FF0000"/>
          <w:sz w:val="24"/>
          <w:szCs w:val="24"/>
        </w:rPr>
        <w:t>2013 STLT Adjustment</w:t>
      </w:r>
      <w:r>
        <w:rPr>
          <w:rFonts w:ascii="Arial" w:hAnsi="Arial" w:cs="Arial"/>
          <w:color w:val="FF0000"/>
          <w:sz w:val="24"/>
          <w:szCs w:val="24"/>
        </w:rPr>
        <w:tab/>
      </w:r>
      <w:r>
        <w:rPr>
          <w:rFonts w:ascii="Arial" w:hAnsi="Arial" w:cs="Arial"/>
          <w:color w:val="FF0000"/>
          <w:sz w:val="24"/>
          <w:szCs w:val="24"/>
        </w:rPr>
        <w:tab/>
        <w:t xml:space="preserve">     8,557.21</w:t>
      </w:r>
      <w:r>
        <w:rPr>
          <w:rFonts w:ascii="Arial" w:hAnsi="Arial" w:cs="Arial"/>
          <w:color w:val="FF0000"/>
          <w:sz w:val="24"/>
          <w:szCs w:val="24"/>
        </w:rPr>
        <w:br/>
        <w:t>2014 STLT Adjustment</w:t>
      </w:r>
      <w:r>
        <w:rPr>
          <w:rFonts w:ascii="Arial" w:hAnsi="Arial" w:cs="Arial"/>
          <w:color w:val="FF0000"/>
          <w:sz w:val="24"/>
          <w:szCs w:val="24"/>
        </w:rPr>
        <w:tab/>
      </w:r>
      <w:r>
        <w:rPr>
          <w:rFonts w:ascii="Arial" w:hAnsi="Arial" w:cs="Arial"/>
          <w:color w:val="FF0000"/>
          <w:sz w:val="24"/>
          <w:szCs w:val="24"/>
        </w:rPr>
        <w:tab/>
        <w:t xml:space="preserve">  (40,895.75)</w:t>
      </w:r>
      <w:r>
        <w:rPr>
          <w:rFonts w:ascii="Arial" w:hAnsi="Arial" w:cs="Arial"/>
          <w:color w:val="FF0000"/>
          <w:sz w:val="24"/>
          <w:szCs w:val="24"/>
        </w:rPr>
        <w:br/>
        <w:t>2015 STLT Adjustment</w:t>
      </w:r>
      <w:r>
        <w:rPr>
          <w:rFonts w:ascii="Arial" w:hAnsi="Arial" w:cs="Arial"/>
          <w:color w:val="FF0000"/>
          <w:sz w:val="24"/>
          <w:szCs w:val="24"/>
        </w:rPr>
        <w:tab/>
      </w:r>
      <w:r>
        <w:rPr>
          <w:rFonts w:ascii="Arial" w:hAnsi="Arial" w:cs="Arial"/>
          <w:color w:val="FF0000"/>
          <w:sz w:val="24"/>
          <w:szCs w:val="24"/>
        </w:rPr>
        <w:tab/>
        <w:t xml:space="preserve">     6,608.37</w:t>
      </w:r>
      <w:r>
        <w:rPr>
          <w:rFonts w:ascii="Arial" w:hAnsi="Arial" w:cs="Arial"/>
          <w:color w:val="FF0000"/>
          <w:sz w:val="24"/>
          <w:szCs w:val="24"/>
        </w:rPr>
        <w:br/>
        <w:t>2016 STLT Adjustment</w:t>
      </w:r>
      <w:r>
        <w:rPr>
          <w:rFonts w:ascii="Arial" w:hAnsi="Arial" w:cs="Arial"/>
          <w:color w:val="FF0000"/>
          <w:sz w:val="24"/>
          <w:szCs w:val="24"/>
        </w:rPr>
        <w:tab/>
      </w:r>
      <w:r>
        <w:rPr>
          <w:rFonts w:ascii="Arial" w:hAnsi="Arial" w:cs="Arial"/>
          <w:color w:val="FF0000"/>
          <w:sz w:val="24"/>
          <w:szCs w:val="24"/>
        </w:rPr>
        <w:tab/>
        <w:t xml:space="preserve">  (10,274.99)</w:t>
      </w:r>
      <w:r>
        <w:rPr>
          <w:rFonts w:ascii="Arial" w:hAnsi="Arial" w:cs="Arial"/>
          <w:color w:val="FF0000"/>
          <w:sz w:val="24"/>
          <w:szCs w:val="24"/>
        </w:rPr>
        <w:br/>
        <w:t>2016 LTLT Adjustment</w:t>
      </w:r>
      <w:r>
        <w:rPr>
          <w:rFonts w:ascii="Arial" w:hAnsi="Arial" w:cs="Arial"/>
          <w:color w:val="FF0000"/>
          <w:sz w:val="24"/>
          <w:szCs w:val="24"/>
        </w:rPr>
        <w:tab/>
      </w:r>
      <w:r>
        <w:rPr>
          <w:rFonts w:ascii="Arial" w:hAnsi="Arial" w:cs="Arial"/>
          <w:color w:val="FF0000"/>
          <w:sz w:val="24"/>
          <w:szCs w:val="24"/>
        </w:rPr>
        <w:tab/>
        <w:t xml:space="preserve">   13,267.86</w:t>
      </w:r>
      <w:r>
        <w:rPr>
          <w:rFonts w:ascii="Arial" w:hAnsi="Arial" w:cs="Arial"/>
          <w:color w:val="FF0000"/>
          <w:sz w:val="24"/>
          <w:szCs w:val="24"/>
        </w:rPr>
        <w:br/>
        <w:t>2017 LTLT</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(194,804.84)</w:t>
      </w:r>
    </w:p>
    <w:p w:rsidR="00105E87" w:rsidRDefault="00105E87" w:rsidP="00105E87">
      <w:pPr>
        <w:pStyle w:val="ListParagraph"/>
        <w:spacing w:after="0"/>
        <w:ind w:left="1134"/>
        <w:rPr>
          <w:rFonts w:ascii="Arial" w:hAnsi="Arial" w:cs="Arial"/>
          <w:color w:val="FF0000"/>
          <w:sz w:val="24"/>
          <w:szCs w:val="24"/>
        </w:rPr>
      </w:pPr>
    </w:p>
    <w:p w:rsidR="00105E87" w:rsidRDefault="00B85643" w:rsidP="00EA3D9D">
      <w:pPr>
        <w:pStyle w:val="ListParagraph"/>
        <w:numPr>
          <w:ilvl w:val="4"/>
          <w:numId w:val="28"/>
        </w:numPr>
        <w:spacing w:after="0"/>
        <w:ind w:left="1134"/>
        <w:rPr>
          <w:rFonts w:ascii="Arial" w:hAnsi="Arial" w:cs="Arial"/>
          <w:color w:val="FF0000"/>
          <w:sz w:val="24"/>
          <w:szCs w:val="24"/>
        </w:rPr>
      </w:pPr>
      <w:r>
        <w:rPr>
          <w:rFonts w:ascii="Arial" w:hAnsi="Arial" w:cs="Arial"/>
          <w:color w:val="FF0000"/>
          <w:sz w:val="24"/>
          <w:szCs w:val="24"/>
        </w:rPr>
        <w:t>Westario had multiple years of accruals for these load transfers that were finalized in 2017 resulting in all of differences going through in that year.</w:t>
      </w:r>
    </w:p>
    <w:p w:rsidR="00B85643" w:rsidRPr="00B85643" w:rsidRDefault="00B85643" w:rsidP="00B85643">
      <w:pPr>
        <w:spacing w:after="0"/>
        <w:rPr>
          <w:rFonts w:ascii="Arial" w:hAnsi="Arial" w:cs="Arial"/>
          <w:color w:val="FF0000"/>
          <w:sz w:val="24"/>
          <w:szCs w:val="24"/>
        </w:rPr>
      </w:pPr>
    </w:p>
    <w:p w:rsidR="00B85643" w:rsidRPr="00ED2776" w:rsidRDefault="00ED2776" w:rsidP="00B85643">
      <w:pPr>
        <w:pStyle w:val="ListParagraph"/>
        <w:numPr>
          <w:ilvl w:val="4"/>
          <w:numId w:val="28"/>
        </w:numPr>
        <w:spacing w:after="0"/>
        <w:ind w:left="1134"/>
        <w:rPr>
          <w:rFonts w:ascii="Arial" w:hAnsi="Arial" w:cs="Arial"/>
          <w:color w:val="FF0000"/>
          <w:sz w:val="24"/>
          <w:szCs w:val="24"/>
        </w:rPr>
      </w:pPr>
      <w:bookmarkStart w:id="0" w:name="_GoBack"/>
      <w:bookmarkEnd w:id="0"/>
      <w:r w:rsidRPr="00ED2776">
        <w:rPr>
          <w:rFonts w:ascii="Arial" w:hAnsi="Arial" w:cs="Arial"/>
          <w:color w:val="FF0000"/>
          <w:sz w:val="24"/>
          <w:szCs w:val="24"/>
        </w:rPr>
        <w:t xml:space="preserve">See part </w:t>
      </w:r>
      <w:proofErr w:type="spellStart"/>
      <w:r w:rsidRPr="00ED2776">
        <w:rPr>
          <w:rFonts w:ascii="Arial" w:hAnsi="Arial" w:cs="Arial"/>
          <w:color w:val="FF0000"/>
          <w:sz w:val="24"/>
          <w:szCs w:val="24"/>
        </w:rPr>
        <w:t>i</w:t>
      </w:r>
      <w:proofErr w:type="spellEnd"/>
      <w:r w:rsidRPr="00ED2776">
        <w:rPr>
          <w:rFonts w:ascii="Arial" w:hAnsi="Arial" w:cs="Arial"/>
          <w:color w:val="FF0000"/>
          <w:sz w:val="24"/>
          <w:szCs w:val="24"/>
        </w:rPr>
        <w:t>)</w:t>
      </w:r>
    </w:p>
    <w:p w:rsidR="00B85643" w:rsidRPr="00B85643" w:rsidRDefault="00B85643" w:rsidP="00B85643">
      <w:pPr>
        <w:pStyle w:val="ListParagraph"/>
        <w:rPr>
          <w:rFonts w:ascii="Arial" w:hAnsi="Arial" w:cs="Arial"/>
          <w:color w:val="FF0000"/>
          <w:sz w:val="24"/>
          <w:szCs w:val="24"/>
        </w:rPr>
      </w:pPr>
    </w:p>
    <w:p w:rsidR="005F7D08" w:rsidRPr="005568F8" w:rsidRDefault="005568F8" w:rsidP="00AE6DFC">
      <w:pPr>
        <w:pStyle w:val="ListParagraph"/>
        <w:numPr>
          <w:ilvl w:val="4"/>
          <w:numId w:val="28"/>
        </w:numPr>
        <w:spacing w:after="0"/>
        <w:ind w:left="1134"/>
        <w:rPr>
          <w:rFonts w:ascii="Arial" w:hAnsi="Arial" w:cs="Arial"/>
          <w:color w:val="FF0000"/>
          <w:sz w:val="24"/>
          <w:szCs w:val="24"/>
        </w:rPr>
      </w:pPr>
      <w:r w:rsidRPr="005568F8">
        <w:rPr>
          <w:rFonts w:ascii="Arial" w:hAnsi="Arial" w:cs="Arial"/>
          <w:color w:val="FF0000"/>
          <w:sz w:val="24"/>
          <w:szCs w:val="24"/>
        </w:rPr>
        <w:t>This balance relates to activity in the GA account and has been included in the transactions for the year, therefore it does not need to be added to the principal adjustment column.</w:t>
      </w:r>
    </w:p>
    <w:p w:rsidR="00105E87" w:rsidRDefault="00105E87" w:rsidP="00105E87">
      <w:pPr>
        <w:pStyle w:val="ListParagraph"/>
        <w:spacing w:after="0"/>
        <w:ind w:left="1134"/>
        <w:rPr>
          <w:rFonts w:ascii="Arial" w:hAnsi="Arial" w:cs="Arial"/>
          <w:color w:val="FF0000"/>
          <w:sz w:val="24"/>
          <w:szCs w:val="24"/>
        </w:rPr>
      </w:pPr>
    </w:p>
    <w:p w:rsidR="005F7D08" w:rsidRPr="005F7D08" w:rsidRDefault="005568F8" w:rsidP="005F7D08">
      <w:pPr>
        <w:pStyle w:val="ListParagraph"/>
        <w:numPr>
          <w:ilvl w:val="4"/>
          <w:numId w:val="28"/>
        </w:numPr>
        <w:spacing w:after="0"/>
        <w:ind w:left="1134"/>
        <w:rPr>
          <w:rFonts w:ascii="Arial" w:hAnsi="Arial" w:cs="Arial"/>
          <w:color w:val="FF0000"/>
          <w:sz w:val="24"/>
          <w:szCs w:val="24"/>
        </w:rPr>
      </w:pPr>
      <w:r>
        <w:rPr>
          <w:rFonts w:ascii="Arial" w:hAnsi="Arial" w:cs="Arial"/>
          <w:color w:val="FF0000"/>
          <w:sz w:val="24"/>
          <w:szCs w:val="24"/>
        </w:rPr>
        <w:t>Yes this amount has been recorded in Westario Power’s books in 2017.</w:t>
      </w:r>
    </w:p>
    <w:p w:rsidR="005F7D08" w:rsidRDefault="005F7D08" w:rsidP="00FB73D7">
      <w:pPr>
        <w:pStyle w:val="ListParagraph"/>
        <w:spacing w:after="0"/>
        <w:ind w:left="1710"/>
        <w:rPr>
          <w:rFonts w:ascii="Arial" w:hAnsi="Arial" w:cs="Arial"/>
          <w:sz w:val="24"/>
          <w:szCs w:val="24"/>
        </w:rPr>
      </w:pPr>
    </w:p>
    <w:p w:rsidR="005F7D08" w:rsidRDefault="005F7D08" w:rsidP="00FB73D7">
      <w:pPr>
        <w:pStyle w:val="ListParagraph"/>
        <w:spacing w:after="0"/>
        <w:ind w:left="1710"/>
        <w:rPr>
          <w:rFonts w:ascii="Arial" w:hAnsi="Arial" w:cs="Arial"/>
          <w:sz w:val="24"/>
          <w:szCs w:val="24"/>
        </w:rPr>
      </w:pPr>
    </w:p>
    <w:p w:rsidR="00FB73D7" w:rsidRDefault="00FB73D7" w:rsidP="00FB73D7">
      <w:pPr>
        <w:pStyle w:val="ListParagraph"/>
        <w:numPr>
          <w:ilvl w:val="0"/>
          <w:numId w:val="28"/>
        </w:numPr>
        <w:tabs>
          <w:tab w:val="left" w:pos="1710"/>
        </w:tabs>
        <w:spacing w:after="0"/>
        <w:rPr>
          <w:rFonts w:ascii="Arial" w:eastAsia="Times New Roman" w:hAnsi="Arial" w:cs="Arial"/>
          <w:sz w:val="24"/>
          <w:szCs w:val="24"/>
        </w:rPr>
      </w:pPr>
      <w:r>
        <w:rPr>
          <w:rFonts w:ascii="Arial" w:eastAsia="Times New Roman" w:hAnsi="Arial" w:cs="Arial"/>
          <w:sz w:val="24"/>
          <w:szCs w:val="24"/>
        </w:rPr>
        <w:t>The applicant has recorded true-up adjustments for 2a and 2b in Note 5 of the 201</w:t>
      </w:r>
      <w:r w:rsidR="00FF1324">
        <w:rPr>
          <w:rFonts w:ascii="Arial" w:eastAsia="Times New Roman" w:hAnsi="Arial" w:cs="Arial"/>
          <w:sz w:val="24"/>
          <w:szCs w:val="24"/>
        </w:rPr>
        <w:t>7</w:t>
      </w:r>
      <w:r>
        <w:rPr>
          <w:rFonts w:ascii="Arial" w:eastAsia="Times New Roman" w:hAnsi="Arial" w:cs="Arial"/>
          <w:sz w:val="24"/>
          <w:szCs w:val="24"/>
        </w:rPr>
        <w:t xml:space="preserve"> GA Analysis Workform.</w:t>
      </w:r>
    </w:p>
    <w:p w:rsidR="00FB73D7" w:rsidRPr="0078619D" w:rsidRDefault="00FB73D7" w:rsidP="0078619D">
      <w:pPr>
        <w:pStyle w:val="ListParagraph"/>
        <w:numPr>
          <w:ilvl w:val="2"/>
          <w:numId w:val="41"/>
        </w:numPr>
        <w:tabs>
          <w:tab w:val="left" w:pos="1710"/>
        </w:tabs>
        <w:spacing w:after="0"/>
        <w:ind w:left="1701" w:hanging="425"/>
        <w:rPr>
          <w:rFonts w:ascii="Arial" w:eastAsia="Times New Roman" w:hAnsi="Arial" w:cs="Arial"/>
          <w:sz w:val="24"/>
          <w:szCs w:val="24"/>
        </w:rPr>
      </w:pPr>
      <w:r w:rsidRPr="0078619D">
        <w:rPr>
          <w:rFonts w:ascii="Arial" w:eastAsia="Times New Roman" w:hAnsi="Arial" w:cs="Arial"/>
          <w:sz w:val="24"/>
          <w:szCs w:val="24"/>
        </w:rPr>
        <w:t>Please add explanation that supports the direction of each of these adjustments (i.e. why a debit and a credit are appropriate for 2a and 2b respectively</w:t>
      </w:r>
      <w:r w:rsidR="00FF1324" w:rsidRPr="0078619D">
        <w:rPr>
          <w:rFonts w:ascii="Arial" w:eastAsia="Times New Roman" w:hAnsi="Arial" w:cs="Arial"/>
          <w:sz w:val="24"/>
          <w:szCs w:val="24"/>
        </w:rPr>
        <w:t>)</w:t>
      </w:r>
      <w:r w:rsidRPr="0078619D">
        <w:rPr>
          <w:rFonts w:ascii="Arial" w:eastAsia="Times New Roman" w:hAnsi="Arial" w:cs="Arial"/>
          <w:sz w:val="24"/>
          <w:szCs w:val="24"/>
        </w:rPr>
        <w:t>.</w:t>
      </w:r>
    </w:p>
    <w:p w:rsidR="00FB73D7" w:rsidRPr="0078619D" w:rsidRDefault="00FB73D7" w:rsidP="0078619D">
      <w:pPr>
        <w:pStyle w:val="ListParagraph"/>
        <w:numPr>
          <w:ilvl w:val="2"/>
          <w:numId w:val="41"/>
        </w:numPr>
        <w:tabs>
          <w:tab w:val="left" w:pos="1710"/>
        </w:tabs>
        <w:spacing w:after="0"/>
        <w:ind w:left="1701" w:hanging="425"/>
        <w:rPr>
          <w:rFonts w:ascii="Arial" w:eastAsia="Times New Roman" w:hAnsi="Arial" w:cs="Arial"/>
          <w:sz w:val="24"/>
          <w:szCs w:val="24"/>
        </w:rPr>
      </w:pPr>
      <w:r w:rsidRPr="0078619D">
        <w:rPr>
          <w:rFonts w:ascii="Arial" w:eastAsia="Times New Roman" w:hAnsi="Arial" w:cs="Arial"/>
          <w:sz w:val="24"/>
          <w:szCs w:val="24"/>
        </w:rPr>
        <w:t>What months are being accrued for?</w:t>
      </w:r>
    </w:p>
    <w:p w:rsidR="00FB73D7" w:rsidRPr="0078619D" w:rsidRDefault="00FB73D7" w:rsidP="0078619D">
      <w:pPr>
        <w:pStyle w:val="ListParagraph"/>
        <w:numPr>
          <w:ilvl w:val="2"/>
          <w:numId w:val="41"/>
        </w:numPr>
        <w:tabs>
          <w:tab w:val="left" w:pos="1710"/>
        </w:tabs>
        <w:spacing w:after="0"/>
        <w:ind w:left="1701" w:hanging="425"/>
        <w:rPr>
          <w:rFonts w:ascii="Arial" w:eastAsia="Times New Roman" w:hAnsi="Arial" w:cs="Arial"/>
          <w:sz w:val="24"/>
          <w:szCs w:val="24"/>
        </w:rPr>
      </w:pPr>
      <w:r w:rsidRPr="0078619D">
        <w:rPr>
          <w:rFonts w:ascii="Arial" w:eastAsia="Times New Roman" w:hAnsi="Arial" w:cs="Arial"/>
          <w:sz w:val="24"/>
          <w:szCs w:val="24"/>
        </w:rPr>
        <w:t>Please explain how the Applicant has quantified the</w:t>
      </w:r>
      <w:r w:rsidR="00FF1324" w:rsidRPr="0078619D">
        <w:rPr>
          <w:rFonts w:ascii="Arial" w:eastAsia="Times New Roman" w:hAnsi="Arial" w:cs="Arial"/>
          <w:sz w:val="24"/>
          <w:szCs w:val="24"/>
        </w:rPr>
        <w:t xml:space="preserve"> adjustment </w:t>
      </w:r>
      <w:r w:rsidRPr="0078619D">
        <w:rPr>
          <w:rFonts w:ascii="Arial" w:eastAsia="Times New Roman" w:hAnsi="Arial" w:cs="Arial"/>
          <w:sz w:val="24"/>
          <w:szCs w:val="24"/>
        </w:rPr>
        <w:t>amount</w:t>
      </w:r>
      <w:r w:rsidR="00FF1324" w:rsidRPr="0078619D">
        <w:rPr>
          <w:rFonts w:ascii="Arial" w:eastAsia="Times New Roman" w:hAnsi="Arial" w:cs="Arial"/>
          <w:sz w:val="24"/>
          <w:szCs w:val="24"/>
        </w:rPr>
        <w:t xml:space="preserve"> in 2b</w:t>
      </w:r>
      <w:r w:rsidRPr="0078619D">
        <w:rPr>
          <w:rFonts w:ascii="Arial" w:eastAsia="Times New Roman" w:hAnsi="Arial" w:cs="Arial"/>
          <w:sz w:val="24"/>
          <w:szCs w:val="24"/>
        </w:rPr>
        <w:t xml:space="preserve"> and provide the supporting calculations.</w:t>
      </w:r>
    </w:p>
    <w:p w:rsidR="00FB73D7" w:rsidRPr="0078619D" w:rsidRDefault="00FB73D7" w:rsidP="0078619D">
      <w:pPr>
        <w:pStyle w:val="ListParagraph"/>
        <w:numPr>
          <w:ilvl w:val="2"/>
          <w:numId w:val="41"/>
        </w:numPr>
        <w:tabs>
          <w:tab w:val="left" w:pos="1710"/>
        </w:tabs>
        <w:spacing w:after="0"/>
        <w:ind w:left="1701" w:hanging="425"/>
        <w:rPr>
          <w:rFonts w:ascii="Arial" w:eastAsia="Times New Roman" w:hAnsi="Arial" w:cs="Arial"/>
          <w:sz w:val="24"/>
          <w:szCs w:val="24"/>
        </w:rPr>
      </w:pPr>
      <w:r w:rsidRPr="0078619D">
        <w:rPr>
          <w:rFonts w:ascii="Arial" w:eastAsia="Times New Roman" w:hAnsi="Arial" w:cs="Arial"/>
          <w:sz w:val="24"/>
          <w:szCs w:val="24"/>
        </w:rPr>
        <w:t>Was the amount shown in 2b actually recorded in 201</w:t>
      </w:r>
      <w:r w:rsidR="00FF1324" w:rsidRPr="0078619D">
        <w:rPr>
          <w:rFonts w:ascii="Arial" w:eastAsia="Times New Roman" w:hAnsi="Arial" w:cs="Arial"/>
          <w:sz w:val="24"/>
          <w:szCs w:val="24"/>
        </w:rPr>
        <w:t>8</w:t>
      </w:r>
      <w:r w:rsidRPr="0078619D">
        <w:rPr>
          <w:rFonts w:ascii="Arial" w:eastAsia="Times New Roman" w:hAnsi="Arial" w:cs="Arial"/>
          <w:sz w:val="24"/>
          <w:szCs w:val="24"/>
        </w:rPr>
        <w:t>?</w:t>
      </w:r>
    </w:p>
    <w:p w:rsidR="00FB73D7" w:rsidRPr="0078619D" w:rsidRDefault="00FB73D7" w:rsidP="0078619D">
      <w:pPr>
        <w:pStyle w:val="ListParagraph"/>
        <w:numPr>
          <w:ilvl w:val="2"/>
          <w:numId w:val="41"/>
        </w:numPr>
        <w:tabs>
          <w:tab w:val="left" w:pos="1710"/>
        </w:tabs>
        <w:spacing w:after="0"/>
        <w:ind w:left="1701" w:hanging="425"/>
        <w:rPr>
          <w:rFonts w:ascii="Arial" w:eastAsia="Times New Roman" w:hAnsi="Arial" w:cs="Arial"/>
          <w:sz w:val="24"/>
          <w:szCs w:val="24"/>
        </w:rPr>
      </w:pPr>
      <w:r w:rsidRPr="0078619D">
        <w:rPr>
          <w:rFonts w:ascii="Arial" w:eastAsia="Times New Roman" w:hAnsi="Arial" w:cs="Arial"/>
          <w:sz w:val="24"/>
          <w:szCs w:val="24"/>
        </w:rPr>
        <w:t xml:space="preserve">Why has the Applicant not </w:t>
      </w:r>
      <w:r w:rsidR="00FF1324" w:rsidRPr="0078619D">
        <w:rPr>
          <w:rFonts w:ascii="Arial" w:eastAsia="Times New Roman" w:hAnsi="Arial" w:cs="Arial"/>
          <w:sz w:val="24"/>
          <w:szCs w:val="24"/>
        </w:rPr>
        <w:t xml:space="preserve">recorded these true-up adjustments </w:t>
      </w:r>
      <w:r w:rsidRPr="0078619D">
        <w:rPr>
          <w:rFonts w:ascii="Arial" w:eastAsia="Times New Roman" w:hAnsi="Arial" w:cs="Arial"/>
          <w:sz w:val="24"/>
          <w:szCs w:val="24"/>
        </w:rPr>
        <w:t xml:space="preserve">as </w:t>
      </w:r>
      <w:r w:rsidR="00FF1324" w:rsidRPr="0078619D">
        <w:rPr>
          <w:rFonts w:ascii="Arial" w:eastAsia="Times New Roman" w:hAnsi="Arial" w:cs="Arial"/>
          <w:sz w:val="24"/>
          <w:szCs w:val="24"/>
        </w:rPr>
        <w:t>p</w:t>
      </w:r>
      <w:r w:rsidRPr="0078619D">
        <w:rPr>
          <w:rFonts w:ascii="Arial" w:eastAsia="Times New Roman" w:hAnsi="Arial" w:cs="Arial"/>
          <w:sz w:val="24"/>
          <w:szCs w:val="24"/>
        </w:rPr>
        <w:t>a</w:t>
      </w:r>
      <w:r w:rsidR="00FF1324" w:rsidRPr="0078619D">
        <w:rPr>
          <w:rFonts w:ascii="Arial" w:eastAsia="Times New Roman" w:hAnsi="Arial" w:cs="Arial"/>
          <w:sz w:val="24"/>
          <w:szCs w:val="24"/>
        </w:rPr>
        <w:t>rt of its</w:t>
      </w:r>
      <w:r w:rsidRPr="0078619D">
        <w:rPr>
          <w:rFonts w:ascii="Arial" w:eastAsia="Times New Roman" w:hAnsi="Arial" w:cs="Arial"/>
          <w:sz w:val="24"/>
          <w:szCs w:val="24"/>
        </w:rPr>
        <w:t xml:space="preserve"> principal adjustment</w:t>
      </w:r>
      <w:r w:rsidR="00FF1324" w:rsidRPr="0078619D">
        <w:rPr>
          <w:rFonts w:ascii="Arial" w:eastAsia="Times New Roman" w:hAnsi="Arial" w:cs="Arial"/>
          <w:sz w:val="24"/>
          <w:szCs w:val="24"/>
        </w:rPr>
        <w:t>s</w:t>
      </w:r>
      <w:r w:rsidRPr="0078619D">
        <w:rPr>
          <w:rFonts w:ascii="Arial" w:eastAsia="Times New Roman" w:hAnsi="Arial" w:cs="Arial"/>
          <w:sz w:val="24"/>
          <w:szCs w:val="24"/>
        </w:rPr>
        <w:t xml:space="preserve"> for 201</w:t>
      </w:r>
      <w:r w:rsidR="00FF1324" w:rsidRPr="0078619D">
        <w:rPr>
          <w:rFonts w:ascii="Arial" w:eastAsia="Times New Roman" w:hAnsi="Arial" w:cs="Arial"/>
          <w:sz w:val="24"/>
          <w:szCs w:val="24"/>
        </w:rPr>
        <w:t>7</w:t>
      </w:r>
      <w:r w:rsidRPr="0078619D">
        <w:rPr>
          <w:rFonts w:ascii="Arial" w:eastAsia="Times New Roman" w:hAnsi="Arial" w:cs="Arial"/>
          <w:sz w:val="24"/>
          <w:szCs w:val="24"/>
        </w:rPr>
        <w:t xml:space="preserve"> in the DVA continuity schedule?</w:t>
      </w:r>
    </w:p>
    <w:p w:rsidR="00FB73D7" w:rsidRPr="00FB73D7" w:rsidRDefault="00FB73D7" w:rsidP="00065F14">
      <w:pPr>
        <w:spacing w:after="0"/>
        <w:ind w:left="567" w:hanging="567"/>
        <w:rPr>
          <w:rFonts w:ascii="Arial" w:hAnsi="Arial" w:cs="Arial"/>
          <w:sz w:val="24"/>
          <w:szCs w:val="24"/>
        </w:rPr>
      </w:pPr>
    </w:p>
    <w:p w:rsidR="000D1297" w:rsidRPr="00065F14" w:rsidRDefault="000D1297" w:rsidP="00065F14">
      <w:pPr>
        <w:pStyle w:val="ListParagraph"/>
        <w:numPr>
          <w:ilvl w:val="0"/>
          <w:numId w:val="43"/>
        </w:numPr>
        <w:tabs>
          <w:tab w:val="left" w:pos="1276"/>
        </w:tabs>
        <w:spacing w:after="0"/>
        <w:ind w:left="709" w:hanging="709"/>
        <w:rPr>
          <w:rFonts w:ascii="Arial" w:eastAsia="Times New Roman" w:hAnsi="Arial" w:cs="Arial"/>
          <w:color w:val="FF0000"/>
          <w:sz w:val="24"/>
          <w:szCs w:val="24"/>
        </w:rPr>
      </w:pPr>
      <w:r w:rsidRPr="00065F14">
        <w:rPr>
          <w:rFonts w:ascii="Arial" w:eastAsia="Times New Roman" w:hAnsi="Arial" w:cs="Arial"/>
          <w:color w:val="FF0000"/>
          <w:sz w:val="24"/>
          <w:szCs w:val="24"/>
        </w:rPr>
        <w:lastRenderedPageBreak/>
        <w:t>These adjustment are reconciliations for the unbilled revenue. Westario Power accruals on a monthly basis for unbilled revenue. The accruals which these adjustments relate to are do to a fis</w:t>
      </w:r>
      <w:r w:rsidR="003404DA" w:rsidRPr="00065F14">
        <w:rPr>
          <w:rFonts w:ascii="Arial" w:eastAsia="Times New Roman" w:hAnsi="Arial" w:cs="Arial"/>
          <w:color w:val="FF0000"/>
          <w:sz w:val="24"/>
          <w:szCs w:val="24"/>
        </w:rPr>
        <w:t>cal year change so December 2016’s accrual is reversed in 2017</w:t>
      </w:r>
      <w:r w:rsidRPr="00065F14">
        <w:rPr>
          <w:rFonts w:ascii="Arial" w:eastAsia="Times New Roman" w:hAnsi="Arial" w:cs="Arial"/>
          <w:color w:val="FF0000"/>
          <w:sz w:val="24"/>
          <w:szCs w:val="24"/>
        </w:rPr>
        <w:t xml:space="preserve"> and offset the bills produced in the current for prior consumption period.  The difference in this case was $</w:t>
      </w:r>
      <w:r w:rsidR="003404DA" w:rsidRPr="00065F14">
        <w:rPr>
          <w:rFonts w:ascii="Arial" w:eastAsia="Times New Roman" w:hAnsi="Arial" w:cs="Arial"/>
          <w:color w:val="FF0000"/>
          <w:sz w:val="24"/>
          <w:szCs w:val="24"/>
        </w:rPr>
        <w:t>231,348.00 debit between December 2016</w:t>
      </w:r>
      <w:r w:rsidRPr="00065F14">
        <w:rPr>
          <w:rFonts w:ascii="Arial" w:eastAsia="Times New Roman" w:hAnsi="Arial" w:cs="Arial"/>
          <w:color w:val="FF0000"/>
          <w:sz w:val="24"/>
          <w:szCs w:val="24"/>
        </w:rPr>
        <w:t>’s accrual and actual billed for this period in 201</w:t>
      </w:r>
      <w:r w:rsidR="003404DA" w:rsidRPr="00065F14">
        <w:rPr>
          <w:rFonts w:ascii="Arial" w:eastAsia="Times New Roman" w:hAnsi="Arial" w:cs="Arial"/>
          <w:color w:val="FF0000"/>
          <w:sz w:val="24"/>
          <w:szCs w:val="24"/>
        </w:rPr>
        <w:t>7</w:t>
      </w:r>
      <w:r w:rsidRPr="00065F14">
        <w:rPr>
          <w:rFonts w:ascii="Arial" w:eastAsia="Times New Roman" w:hAnsi="Arial" w:cs="Arial"/>
          <w:color w:val="FF0000"/>
          <w:sz w:val="24"/>
          <w:szCs w:val="24"/>
        </w:rPr>
        <w:t xml:space="preserve">.  There is </w:t>
      </w:r>
      <w:r w:rsidR="00CE639B" w:rsidRPr="00065F14">
        <w:rPr>
          <w:rFonts w:ascii="Arial" w:eastAsia="Times New Roman" w:hAnsi="Arial" w:cs="Arial"/>
          <w:color w:val="FF0000"/>
          <w:sz w:val="24"/>
          <w:szCs w:val="24"/>
        </w:rPr>
        <w:t>a $</w:t>
      </w:r>
      <w:r w:rsidR="003404DA" w:rsidRPr="00065F14">
        <w:rPr>
          <w:rFonts w:ascii="Arial" w:eastAsia="Times New Roman" w:hAnsi="Arial" w:cs="Arial"/>
          <w:color w:val="FF0000"/>
          <w:sz w:val="24"/>
          <w:szCs w:val="24"/>
        </w:rPr>
        <w:t>946,915.82</w:t>
      </w:r>
      <w:r w:rsidRPr="00065F14">
        <w:rPr>
          <w:rFonts w:ascii="Arial" w:eastAsia="Times New Roman" w:hAnsi="Arial" w:cs="Arial"/>
          <w:color w:val="FF0000"/>
          <w:sz w:val="24"/>
          <w:szCs w:val="24"/>
        </w:rPr>
        <w:t xml:space="preserve"> credit between December 201</w:t>
      </w:r>
      <w:r w:rsidR="00C114B4" w:rsidRPr="00065F14">
        <w:rPr>
          <w:rFonts w:ascii="Arial" w:eastAsia="Times New Roman" w:hAnsi="Arial" w:cs="Arial"/>
          <w:color w:val="FF0000"/>
          <w:sz w:val="24"/>
          <w:szCs w:val="24"/>
        </w:rPr>
        <w:t>7</w:t>
      </w:r>
      <w:r w:rsidRPr="00065F14">
        <w:rPr>
          <w:rFonts w:ascii="Arial" w:eastAsia="Times New Roman" w:hAnsi="Arial" w:cs="Arial"/>
          <w:color w:val="FF0000"/>
          <w:sz w:val="24"/>
          <w:szCs w:val="24"/>
        </w:rPr>
        <w:t>’s accrual and actual billed for this period in 201</w:t>
      </w:r>
      <w:r w:rsidR="00C114B4" w:rsidRPr="00065F14">
        <w:rPr>
          <w:rFonts w:ascii="Arial" w:eastAsia="Times New Roman" w:hAnsi="Arial" w:cs="Arial"/>
          <w:color w:val="FF0000"/>
          <w:sz w:val="24"/>
          <w:szCs w:val="24"/>
        </w:rPr>
        <w:t>8</w:t>
      </w:r>
      <w:r w:rsidR="00065F14" w:rsidRPr="00065F14">
        <w:rPr>
          <w:rFonts w:ascii="Arial" w:eastAsia="Times New Roman" w:hAnsi="Arial" w:cs="Arial"/>
          <w:color w:val="FF0000"/>
          <w:sz w:val="24"/>
          <w:szCs w:val="24"/>
        </w:rPr>
        <w:t xml:space="preserve"> since Westario overstated their unbilled for GA for 2017.</w:t>
      </w:r>
    </w:p>
    <w:p w:rsidR="00105E87" w:rsidRPr="00105E87" w:rsidRDefault="00105E87" w:rsidP="00065F14">
      <w:pPr>
        <w:pStyle w:val="ListParagraph"/>
        <w:tabs>
          <w:tab w:val="left" w:pos="1276"/>
        </w:tabs>
        <w:spacing w:after="0"/>
        <w:ind w:left="709" w:hanging="709"/>
        <w:rPr>
          <w:rFonts w:ascii="Arial" w:eastAsia="Times New Roman" w:hAnsi="Arial" w:cs="Arial"/>
          <w:color w:val="FF0000"/>
          <w:sz w:val="24"/>
          <w:szCs w:val="24"/>
        </w:rPr>
      </w:pPr>
    </w:p>
    <w:p w:rsidR="000D1297" w:rsidRDefault="000D1297" w:rsidP="00065F14">
      <w:pPr>
        <w:pStyle w:val="ListParagraph"/>
        <w:numPr>
          <w:ilvl w:val="0"/>
          <w:numId w:val="43"/>
        </w:numPr>
        <w:tabs>
          <w:tab w:val="left" w:pos="1276"/>
        </w:tabs>
        <w:spacing w:after="0"/>
        <w:ind w:left="709" w:hanging="709"/>
        <w:rPr>
          <w:rFonts w:ascii="Arial" w:eastAsia="Times New Roman" w:hAnsi="Arial" w:cs="Arial"/>
          <w:color w:val="FF0000"/>
          <w:sz w:val="24"/>
          <w:szCs w:val="24"/>
        </w:rPr>
      </w:pPr>
      <w:r w:rsidRPr="00065F14">
        <w:rPr>
          <w:rFonts w:ascii="Arial" w:eastAsia="Times New Roman" w:hAnsi="Arial" w:cs="Arial"/>
          <w:color w:val="FF0000"/>
          <w:sz w:val="24"/>
          <w:szCs w:val="24"/>
        </w:rPr>
        <w:t>Westario Power accruals on a monthly basis for unbilled revenue. These adjustments are relate to fiscal year changes and represent December’s accrual being reversed in the following year in January.</w:t>
      </w:r>
    </w:p>
    <w:p w:rsidR="00065F14" w:rsidRPr="00065F14" w:rsidRDefault="00065F14" w:rsidP="00065F14">
      <w:pPr>
        <w:pStyle w:val="ListParagraph"/>
        <w:ind w:left="709" w:hanging="709"/>
        <w:rPr>
          <w:rFonts w:ascii="Arial" w:eastAsia="Times New Roman" w:hAnsi="Arial" w:cs="Arial"/>
          <w:color w:val="FF0000"/>
          <w:sz w:val="24"/>
          <w:szCs w:val="24"/>
        </w:rPr>
      </w:pPr>
    </w:p>
    <w:p w:rsidR="00065F14" w:rsidRPr="00065F14" w:rsidRDefault="00065F14" w:rsidP="00065F14">
      <w:pPr>
        <w:pStyle w:val="ListParagraph"/>
        <w:numPr>
          <w:ilvl w:val="0"/>
          <w:numId w:val="43"/>
        </w:numPr>
        <w:tabs>
          <w:tab w:val="left" w:pos="1276"/>
        </w:tabs>
        <w:spacing w:after="0"/>
        <w:ind w:left="709" w:hanging="709"/>
        <w:rPr>
          <w:rFonts w:ascii="Arial" w:eastAsia="Times New Roman" w:hAnsi="Arial" w:cs="Arial"/>
          <w:color w:val="FF0000"/>
          <w:sz w:val="24"/>
          <w:szCs w:val="24"/>
        </w:rPr>
      </w:pPr>
    </w:p>
    <w:p w:rsidR="00065F14" w:rsidRDefault="00065F14" w:rsidP="00065F14">
      <w:pPr>
        <w:tabs>
          <w:tab w:val="left" w:pos="1276"/>
        </w:tabs>
        <w:spacing w:after="0"/>
        <w:ind w:left="709" w:hanging="709"/>
        <w:rPr>
          <w:noProof/>
          <w:lang w:eastAsia="en-CA"/>
        </w:rPr>
      </w:pPr>
      <w:r>
        <w:rPr>
          <w:noProof/>
          <w:lang w:eastAsia="en-CA"/>
        </w:rPr>
        <w:drawing>
          <wp:inline distT="0" distB="0" distL="0" distR="0" wp14:anchorId="008F29FA" wp14:editId="1D015B1A">
            <wp:extent cx="5943600" cy="2152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152650"/>
                    </a:xfrm>
                    <a:prstGeom prst="rect">
                      <a:avLst/>
                    </a:prstGeom>
                  </pic:spPr>
                </pic:pic>
              </a:graphicData>
            </a:graphic>
          </wp:inline>
        </w:drawing>
      </w:r>
    </w:p>
    <w:p w:rsidR="00065F14" w:rsidRDefault="00065F14" w:rsidP="00065F14">
      <w:pPr>
        <w:pStyle w:val="ListParagraph"/>
        <w:tabs>
          <w:tab w:val="left" w:pos="1276"/>
        </w:tabs>
        <w:spacing w:after="0"/>
        <w:ind w:left="709" w:hanging="709"/>
        <w:rPr>
          <w:noProof/>
          <w:lang w:eastAsia="en-CA"/>
        </w:rPr>
      </w:pPr>
    </w:p>
    <w:p w:rsidR="000D1297" w:rsidRPr="00065F14" w:rsidRDefault="00105E87" w:rsidP="00065F14">
      <w:pPr>
        <w:tabs>
          <w:tab w:val="left" w:pos="1276"/>
        </w:tabs>
        <w:spacing w:after="0"/>
        <w:ind w:left="709" w:hanging="709"/>
        <w:rPr>
          <w:rFonts w:ascii="Arial" w:eastAsia="Times New Roman" w:hAnsi="Arial" w:cs="Arial"/>
          <w:color w:val="FF0000"/>
          <w:sz w:val="24"/>
          <w:szCs w:val="24"/>
        </w:rPr>
      </w:pPr>
      <w:r>
        <w:rPr>
          <w:noProof/>
          <w:lang w:eastAsia="en-CA"/>
        </w:rPr>
        <w:drawing>
          <wp:inline distT="0" distB="0" distL="0" distR="0" wp14:anchorId="471524CC" wp14:editId="38C7A453">
            <wp:extent cx="5943600" cy="2186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86940"/>
                    </a:xfrm>
                    <a:prstGeom prst="rect">
                      <a:avLst/>
                    </a:prstGeom>
                  </pic:spPr>
                </pic:pic>
              </a:graphicData>
            </a:graphic>
          </wp:inline>
        </w:drawing>
      </w:r>
    </w:p>
    <w:p w:rsidR="000D1297" w:rsidRDefault="000D1297" w:rsidP="00065F14">
      <w:pPr>
        <w:pStyle w:val="ListParagraph"/>
        <w:tabs>
          <w:tab w:val="left" w:pos="1276"/>
        </w:tabs>
        <w:spacing w:after="0"/>
        <w:ind w:left="709" w:hanging="709"/>
        <w:rPr>
          <w:rFonts w:ascii="Arial" w:eastAsia="Times New Roman" w:hAnsi="Arial" w:cs="Arial"/>
          <w:color w:val="FF0000"/>
          <w:sz w:val="24"/>
          <w:szCs w:val="24"/>
        </w:rPr>
      </w:pPr>
    </w:p>
    <w:p w:rsidR="000D1297" w:rsidRDefault="000D1297" w:rsidP="00065F14">
      <w:pPr>
        <w:pStyle w:val="ListParagraph"/>
        <w:tabs>
          <w:tab w:val="left" w:pos="1276"/>
        </w:tabs>
        <w:spacing w:after="0"/>
        <w:ind w:left="709" w:hanging="709"/>
        <w:rPr>
          <w:rFonts w:ascii="Arial" w:eastAsia="Times New Roman" w:hAnsi="Arial" w:cs="Arial"/>
          <w:color w:val="FF0000"/>
          <w:sz w:val="24"/>
          <w:szCs w:val="24"/>
        </w:rPr>
      </w:pPr>
    </w:p>
    <w:p w:rsidR="00065F14" w:rsidRPr="00065F14" w:rsidRDefault="00065F14" w:rsidP="00065F14">
      <w:pPr>
        <w:pStyle w:val="ListParagraph"/>
        <w:numPr>
          <w:ilvl w:val="0"/>
          <w:numId w:val="43"/>
        </w:numPr>
        <w:tabs>
          <w:tab w:val="left" w:pos="1276"/>
        </w:tabs>
        <w:spacing w:after="0"/>
        <w:ind w:left="709" w:hanging="709"/>
        <w:rPr>
          <w:rFonts w:ascii="Arial" w:eastAsia="Times New Roman" w:hAnsi="Arial" w:cs="Arial"/>
          <w:color w:val="FF0000"/>
          <w:sz w:val="24"/>
          <w:szCs w:val="24"/>
        </w:rPr>
      </w:pPr>
      <w:r w:rsidRPr="00065F14">
        <w:rPr>
          <w:rFonts w:ascii="Arial" w:eastAsia="Times New Roman" w:hAnsi="Arial" w:cs="Arial"/>
          <w:color w:val="FF0000"/>
          <w:sz w:val="24"/>
          <w:szCs w:val="24"/>
        </w:rPr>
        <w:lastRenderedPageBreak/>
        <w:t xml:space="preserve">Yes this amount would have been recorded in 2018 as part of the billed amount in January 2018.  </w:t>
      </w:r>
    </w:p>
    <w:p w:rsidR="00065F14" w:rsidRDefault="00065F14" w:rsidP="00065F14">
      <w:pPr>
        <w:pStyle w:val="ListParagraph"/>
        <w:tabs>
          <w:tab w:val="left" w:pos="1276"/>
        </w:tabs>
        <w:spacing w:after="0"/>
        <w:ind w:left="709" w:hanging="709"/>
        <w:rPr>
          <w:rFonts w:ascii="Arial" w:eastAsia="Times New Roman" w:hAnsi="Arial" w:cs="Arial"/>
          <w:color w:val="FF0000"/>
          <w:sz w:val="24"/>
          <w:szCs w:val="24"/>
        </w:rPr>
      </w:pPr>
    </w:p>
    <w:p w:rsidR="00065F14" w:rsidRPr="00065F14" w:rsidRDefault="00065F14" w:rsidP="00065F14">
      <w:pPr>
        <w:pStyle w:val="ListParagraph"/>
        <w:numPr>
          <w:ilvl w:val="0"/>
          <w:numId w:val="43"/>
        </w:numPr>
        <w:tabs>
          <w:tab w:val="left" w:pos="1276"/>
        </w:tabs>
        <w:spacing w:after="0"/>
        <w:ind w:left="709" w:hanging="709"/>
        <w:rPr>
          <w:rFonts w:ascii="Arial" w:eastAsia="Times New Roman" w:hAnsi="Arial" w:cs="Arial"/>
          <w:color w:val="FF0000"/>
          <w:sz w:val="24"/>
          <w:szCs w:val="24"/>
        </w:rPr>
      </w:pPr>
      <w:r w:rsidRPr="00065F14">
        <w:rPr>
          <w:rFonts w:ascii="Arial" w:eastAsia="Times New Roman" w:hAnsi="Arial" w:cs="Arial"/>
          <w:color w:val="FF0000"/>
          <w:sz w:val="24"/>
          <w:szCs w:val="24"/>
        </w:rPr>
        <w:t>Since the true-ups was actually recorded in the year that the consumption was billed Westario Power recorded them as part of DVA schedule in the transaction column for that year. In other</w:t>
      </w:r>
      <w:r>
        <w:rPr>
          <w:rFonts w:ascii="Arial" w:eastAsia="Times New Roman" w:hAnsi="Arial" w:cs="Arial"/>
          <w:color w:val="FF0000"/>
          <w:sz w:val="24"/>
          <w:szCs w:val="24"/>
        </w:rPr>
        <w:t xml:space="preserve"> words if we recorded it in 2017</w:t>
      </w:r>
      <w:r w:rsidRPr="00065F14">
        <w:rPr>
          <w:rFonts w:ascii="Arial" w:eastAsia="Times New Roman" w:hAnsi="Arial" w:cs="Arial"/>
          <w:color w:val="FF0000"/>
          <w:sz w:val="24"/>
          <w:szCs w:val="24"/>
        </w:rPr>
        <w:t xml:space="preserve"> as a principle adjustment it would have shown as a reversal of the principal adjustment in 201</w:t>
      </w:r>
      <w:r>
        <w:rPr>
          <w:rFonts w:ascii="Arial" w:eastAsia="Times New Roman" w:hAnsi="Arial" w:cs="Arial"/>
          <w:color w:val="FF0000"/>
          <w:sz w:val="24"/>
          <w:szCs w:val="24"/>
        </w:rPr>
        <w:t>8</w:t>
      </w:r>
      <w:r w:rsidRPr="00065F14">
        <w:rPr>
          <w:rFonts w:ascii="Arial" w:eastAsia="Times New Roman" w:hAnsi="Arial" w:cs="Arial"/>
          <w:color w:val="FF0000"/>
          <w:sz w:val="24"/>
          <w:szCs w:val="24"/>
        </w:rPr>
        <w:t xml:space="preserve"> so the impact is NIL.</w:t>
      </w:r>
    </w:p>
    <w:p w:rsidR="0036722F" w:rsidRPr="0036722F" w:rsidRDefault="0036722F" w:rsidP="00065F14">
      <w:pPr>
        <w:spacing w:after="0"/>
        <w:rPr>
          <w:rFonts w:ascii="Arial" w:eastAsia="Times New Roman" w:hAnsi="Arial" w:cs="Arial"/>
          <w:sz w:val="24"/>
          <w:szCs w:val="24"/>
        </w:rPr>
      </w:pPr>
    </w:p>
    <w:p w:rsidR="006B27C1" w:rsidRPr="00BD2BCF" w:rsidRDefault="006B27C1" w:rsidP="00065F14">
      <w:pPr>
        <w:spacing w:after="0"/>
        <w:rPr>
          <w:rFonts w:ascii="Arial" w:hAnsi="Arial" w:cs="Arial"/>
          <w:sz w:val="24"/>
          <w:szCs w:val="24"/>
        </w:rPr>
      </w:pPr>
    </w:p>
    <w:p w:rsidR="001815ED" w:rsidRDefault="001815ED" w:rsidP="00065F14">
      <w:pPr>
        <w:spacing w:after="0"/>
        <w:rPr>
          <w:rFonts w:ascii="Arial" w:hAnsi="Arial" w:cs="Arial"/>
          <w:b/>
          <w:sz w:val="24"/>
          <w:szCs w:val="24"/>
        </w:rPr>
      </w:pPr>
    </w:p>
    <w:p w:rsidR="001815ED" w:rsidRDefault="001815ED" w:rsidP="00065F14">
      <w:pPr>
        <w:spacing w:after="0"/>
        <w:ind w:left="567" w:hanging="567"/>
        <w:rPr>
          <w:rFonts w:ascii="Arial" w:hAnsi="Arial" w:cs="Arial"/>
          <w:b/>
          <w:sz w:val="24"/>
          <w:szCs w:val="24"/>
        </w:rPr>
      </w:pPr>
    </w:p>
    <w:p w:rsidR="001815ED" w:rsidRDefault="001815ED" w:rsidP="00065F14">
      <w:pPr>
        <w:spacing w:after="0"/>
        <w:ind w:left="567" w:hanging="567"/>
        <w:rPr>
          <w:rFonts w:ascii="Arial" w:hAnsi="Arial" w:cs="Arial"/>
          <w:b/>
          <w:sz w:val="24"/>
          <w:szCs w:val="24"/>
        </w:rPr>
      </w:pPr>
    </w:p>
    <w:p w:rsidR="001815ED" w:rsidRDefault="001815ED" w:rsidP="00065F14">
      <w:pPr>
        <w:spacing w:after="0"/>
        <w:ind w:left="567" w:hanging="567"/>
        <w:rPr>
          <w:rFonts w:ascii="Arial" w:hAnsi="Arial" w:cs="Arial"/>
          <w:b/>
          <w:sz w:val="24"/>
          <w:szCs w:val="24"/>
        </w:rPr>
      </w:pPr>
    </w:p>
    <w:p w:rsidR="001815ED" w:rsidRDefault="001815ED" w:rsidP="00065F14">
      <w:pPr>
        <w:spacing w:after="0"/>
        <w:ind w:left="567" w:hanging="567"/>
        <w:rPr>
          <w:rFonts w:ascii="Arial" w:hAnsi="Arial" w:cs="Arial"/>
          <w:b/>
          <w:sz w:val="24"/>
          <w:szCs w:val="24"/>
        </w:rPr>
      </w:pPr>
    </w:p>
    <w:p w:rsidR="001815ED" w:rsidRDefault="001815ED" w:rsidP="00065F14">
      <w:pPr>
        <w:spacing w:after="0"/>
        <w:ind w:left="567" w:hanging="567"/>
        <w:rPr>
          <w:rFonts w:ascii="Arial" w:hAnsi="Arial" w:cs="Arial"/>
          <w:b/>
          <w:sz w:val="24"/>
          <w:szCs w:val="24"/>
        </w:rPr>
      </w:pPr>
    </w:p>
    <w:p w:rsidR="001815ED" w:rsidRDefault="001815ED" w:rsidP="00ED3CE0">
      <w:pPr>
        <w:spacing w:after="0"/>
        <w:rPr>
          <w:rFonts w:ascii="Arial" w:hAnsi="Arial" w:cs="Arial"/>
          <w:b/>
          <w:sz w:val="24"/>
          <w:szCs w:val="24"/>
        </w:rPr>
      </w:pPr>
    </w:p>
    <w:p w:rsidR="001815ED" w:rsidRDefault="001815ED" w:rsidP="00ED3CE0">
      <w:pPr>
        <w:spacing w:after="0"/>
        <w:rPr>
          <w:rFonts w:ascii="Arial" w:hAnsi="Arial" w:cs="Arial"/>
          <w:b/>
          <w:sz w:val="24"/>
          <w:szCs w:val="24"/>
        </w:rPr>
      </w:pPr>
    </w:p>
    <w:p w:rsidR="001815ED" w:rsidRDefault="001815ED" w:rsidP="00ED3CE0">
      <w:pPr>
        <w:spacing w:after="0"/>
        <w:rPr>
          <w:rFonts w:ascii="Arial" w:hAnsi="Arial" w:cs="Arial"/>
          <w:b/>
          <w:sz w:val="24"/>
          <w:szCs w:val="24"/>
        </w:rPr>
      </w:pPr>
    </w:p>
    <w:p w:rsidR="001815ED" w:rsidRDefault="001815ED" w:rsidP="00ED3CE0">
      <w:pPr>
        <w:spacing w:after="0"/>
        <w:rPr>
          <w:rFonts w:ascii="Arial" w:hAnsi="Arial" w:cs="Arial"/>
          <w:b/>
          <w:sz w:val="24"/>
          <w:szCs w:val="24"/>
        </w:rPr>
      </w:pPr>
    </w:p>
    <w:p w:rsidR="001815ED" w:rsidRDefault="001815ED" w:rsidP="00ED3CE0">
      <w:pPr>
        <w:spacing w:after="0"/>
        <w:rPr>
          <w:rFonts w:ascii="Arial" w:hAnsi="Arial" w:cs="Arial"/>
          <w:b/>
          <w:sz w:val="24"/>
          <w:szCs w:val="24"/>
        </w:rPr>
      </w:pPr>
    </w:p>
    <w:p w:rsidR="001815ED" w:rsidRDefault="001815ED" w:rsidP="00ED3CE0">
      <w:pPr>
        <w:spacing w:after="0"/>
        <w:rPr>
          <w:rFonts w:ascii="Arial" w:hAnsi="Arial" w:cs="Arial"/>
          <w:b/>
          <w:sz w:val="24"/>
          <w:szCs w:val="24"/>
        </w:rPr>
      </w:pPr>
    </w:p>
    <w:p w:rsidR="004B3C1F" w:rsidRDefault="004B3C1F" w:rsidP="00ED3CE0">
      <w:pPr>
        <w:spacing w:after="0"/>
        <w:rPr>
          <w:rFonts w:ascii="Arial" w:hAnsi="Arial" w:cs="Arial"/>
          <w:b/>
          <w:sz w:val="24"/>
          <w:szCs w:val="24"/>
        </w:rPr>
      </w:pPr>
    </w:p>
    <w:sectPr w:rsidR="004B3C1F" w:rsidSect="00EA0919">
      <w:headerReference w:type="default" r:id="rId2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C6" w:rsidRDefault="00FF23C6" w:rsidP="00851418">
      <w:pPr>
        <w:spacing w:after="0" w:line="240" w:lineRule="auto"/>
      </w:pPr>
      <w:r>
        <w:separator/>
      </w:r>
    </w:p>
  </w:endnote>
  <w:endnote w:type="continuationSeparator" w:id="0">
    <w:p w:rsidR="00FF23C6" w:rsidRDefault="00FF23C6"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C6" w:rsidRDefault="00FF23C6" w:rsidP="00851418">
      <w:pPr>
        <w:spacing w:after="0" w:line="240" w:lineRule="auto"/>
      </w:pPr>
      <w:r>
        <w:separator/>
      </w:r>
    </w:p>
  </w:footnote>
  <w:footnote w:type="continuationSeparator" w:id="0">
    <w:p w:rsidR="00FF23C6" w:rsidRDefault="00FF23C6"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1D" w:rsidRPr="00DA5F69" w:rsidRDefault="00F9321D">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Pr>
        <w:rFonts w:ascii="Arial" w:hAnsi="Arial" w:cs="Arial"/>
        <w:sz w:val="20"/>
        <w:szCs w:val="20"/>
      </w:rPr>
      <w:t>Westario Power Inc.</w:t>
    </w:r>
  </w:p>
  <w:p w:rsidR="00F9321D" w:rsidRDefault="00F9321D">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EB-2018-0078</w:t>
    </w:r>
  </w:p>
  <w:p w:rsidR="00F9321D" w:rsidRPr="00DA5F69" w:rsidRDefault="00F9321D">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ED2776">
      <w:rPr>
        <w:rFonts w:ascii="Arial" w:hAnsi="Arial" w:cs="Arial"/>
        <w:b/>
        <w:noProof/>
        <w:sz w:val="20"/>
        <w:szCs w:val="20"/>
      </w:rPr>
      <w:t>20</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ED2776">
      <w:rPr>
        <w:rFonts w:ascii="Arial" w:hAnsi="Arial" w:cs="Arial"/>
        <w:b/>
        <w:noProof/>
        <w:sz w:val="20"/>
        <w:szCs w:val="20"/>
      </w:rPr>
      <w:t>20</w:t>
    </w:r>
    <w:r w:rsidRPr="00DA5F69">
      <w:rPr>
        <w:rFonts w:ascii="Arial" w:hAnsi="Arial" w:cs="Arial"/>
        <w:b/>
        <w:sz w:val="20"/>
        <w:szCs w:val="20"/>
      </w:rPr>
      <w:fldChar w:fldCharType="end"/>
    </w:r>
  </w:p>
  <w:p w:rsidR="00F9321D" w:rsidRDefault="00F9321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24F"/>
    <w:multiLevelType w:val="hybridMultilevel"/>
    <w:tmpl w:val="A5368242"/>
    <w:lvl w:ilvl="0" w:tplc="75C2358A">
      <w:start w:val="1"/>
      <w:numFmt w:val="lowerRoman"/>
      <w:lvlText w:val="%1.)"/>
      <w:lvlJc w:val="left"/>
      <w:pPr>
        <w:ind w:left="709" w:hanging="360"/>
      </w:pPr>
      <w:rPr>
        <w:rFonts w:hint="default"/>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 w15:restartNumberingAfterBreak="0">
    <w:nsid w:val="069F3F97"/>
    <w:multiLevelType w:val="hybridMultilevel"/>
    <w:tmpl w:val="713432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552" w:hanging="180"/>
      </w:pPr>
    </w:lvl>
    <w:lvl w:ilvl="3" w:tplc="0409000F">
      <w:start w:val="1"/>
      <w:numFmt w:val="decimal"/>
      <w:lvlText w:val="%4."/>
      <w:lvlJc w:val="left"/>
      <w:pPr>
        <w:ind w:left="2880" w:hanging="360"/>
      </w:pPr>
    </w:lvl>
    <w:lvl w:ilvl="4" w:tplc="75C2358A">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83813"/>
    <w:multiLevelType w:val="hybridMultilevel"/>
    <w:tmpl w:val="98B26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93"/>
    <w:multiLevelType w:val="hybridMultilevel"/>
    <w:tmpl w:val="E51C1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D04D7"/>
    <w:multiLevelType w:val="hybridMultilevel"/>
    <w:tmpl w:val="31226B12"/>
    <w:lvl w:ilvl="0" w:tplc="FDE6F8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27C05"/>
    <w:multiLevelType w:val="hybridMultilevel"/>
    <w:tmpl w:val="3AC61D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49D"/>
    <w:multiLevelType w:val="hybridMultilevel"/>
    <w:tmpl w:val="662C0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7100521"/>
    <w:multiLevelType w:val="hybridMultilevel"/>
    <w:tmpl w:val="065A12DA"/>
    <w:lvl w:ilvl="0" w:tplc="75C2358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790A4E"/>
    <w:multiLevelType w:val="hybridMultilevel"/>
    <w:tmpl w:val="26C25D54"/>
    <w:lvl w:ilvl="0" w:tplc="75C2358A">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563EC4"/>
    <w:multiLevelType w:val="hybridMultilevel"/>
    <w:tmpl w:val="C3C616B6"/>
    <w:lvl w:ilvl="0" w:tplc="E326E8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F84EDD"/>
    <w:multiLevelType w:val="hybridMultilevel"/>
    <w:tmpl w:val="6EECAE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2E30"/>
    <w:multiLevelType w:val="hybridMultilevel"/>
    <w:tmpl w:val="A55685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EE29BA"/>
    <w:multiLevelType w:val="hybridMultilevel"/>
    <w:tmpl w:val="FC6445CA"/>
    <w:lvl w:ilvl="0" w:tplc="75C2358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75B20"/>
    <w:multiLevelType w:val="hybridMultilevel"/>
    <w:tmpl w:val="700E360A"/>
    <w:lvl w:ilvl="0" w:tplc="CD9A3FE4">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72E40"/>
    <w:multiLevelType w:val="hybridMultilevel"/>
    <w:tmpl w:val="EF8ED446"/>
    <w:lvl w:ilvl="0" w:tplc="75C2358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F7D0D"/>
    <w:multiLevelType w:val="hybridMultilevel"/>
    <w:tmpl w:val="2ADA6E12"/>
    <w:lvl w:ilvl="0" w:tplc="2D3241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82008"/>
    <w:multiLevelType w:val="hybridMultilevel"/>
    <w:tmpl w:val="C84E1486"/>
    <w:lvl w:ilvl="0" w:tplc="F2B491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D0FCB"/>
    <w:multiLevelType w:val="hybridMultilevel"/>
    <w:tmpl w:val="CE5ADD86"/>
    <w:lvl w:ilvl="0" w:tplc="75C2358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2A4AAF"/>
    <w:multiLevelType w:val="hybridMultilevel"/>
    <w:tmpl w:val="0080A294"/>
    <w:lvl w:ilvl="0" w:tplc="431AA2F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41524C"/>
    <w:multiLevelType w:val="hybridMultilevel"/>
    <w:tmpl w:val="4F10AC36"/>
    <w:lvl w:ilvl="0" w:tplc="75C2358A">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EC45DA"/>
    <w:multiLevelType w:val="hybridMultilevel"/>
    <w:tmpl w:val="5E3A4776"/>
    <w:lvl w:ilvl="0" w:tplc="565C5F6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1270E6"/>
    <w:multiLevelType w:val="hybridMultilevel"/>
    <w:tmpl w:val="DD5A4296"/>
    <w:lvl w:ilvl="0" w:tplc="75C2358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906614D"/>
    <w:multiLevelType w:val="hybridMultilevel"/>
    <w:tmpl w:val="A9D61DE8"/>
    <w:lvl w:ilvl="0" w:tplc="BA7252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F142A"/>
    <w:multiLevelType w:val="hybridMultilevel"/>
    <w:tmpl w:val="2640D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846AB"/>
    <w:multiLevelType w:val="hybridMultilevel"/>
    <w:tmpl w:val="FD567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602D8"/>
    <w:multiLevelType w:val="hybridMultilevel"/>
    <w:tmpl w:val="D5FCD5D2"/>
    <w:lvl w:ilvl="0" w:tplc="75C2358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F21466"/>
    <w:multiLevelType w:val="hybridMultilevel"/>
    <w:tmpl w:val="9EF6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F7897"/>
    <w:multiLevelType w:val="hybridMultilevel"/>
    <w:tmpl w:val="C3EE3B22"/>
    <w:lvl w:ilvl="0" w:tplc="C24A163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A630D52"/>
    <w:multiLevelType w:val="hybridMultilevel"/>
    <w:tmpl w:val="8558FAAC"/>
    <w:lvl w:ilvl="0" w:tplc="04090017">
      <w:start w:val="1"/>
      <w:numFmt w:val="lowerLetter"/>
      <w:lvlText w:val="%1)"/>
      <w:lvlJc w:val="left"/>
      <w:pPr>
        <w:ind w:left="5310" w:hanging="36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9" w15:restartNumberingAfterBreak="0">
    <w:nsid w:val="7A876033"/>
    <w:multiLevelType w:val="hybridMultilevel"/>
    <w:tmpl w:val="FFE6A040"/>
    <w:lvl w:ilvl="0" w:tplc="E37825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F82205"/>
    <w:multiLevelType w:val="hybridMultilevel"/>
    <w:tmpl w:val="7444EDD6"/>
    <w:lvl w:ilvl="0" w:tplc="71FAFA7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14"/>
  </w:num>
  <w:num w:numId="4">
    <w:abstractNumId w:val="21"/>
  </w:num>
  <w:num w:numId="5">
    <w:abstractNumId w:val="13"/>
  </w:num>
  <w:num w:numId="6">
    <w:abstractNumId w:val="30"/>
  </w:num>
  <w:num w:numId="7">
    <w:abstractNumId w:val="32"/>
  </w:num>
  <w:num w:numId="8">
    <w:abstractNumId w:val="41"/>
  </w:num>
  <w:num w:numId="9">
    <w:abstractNumId w:val="15"/>
  </w:num>
  <w:num w:numId="10">
    <w:abstractNumId w:val="17"/>
  </w:num>
  <w:num w:numId="11">
    <w:abstractNumId w:val="34"/>
  </w:num>
  <w:num w:numId="12">
    <w:abstractNumId w:val="22"/>
  </w:num>
  <w:num w:numId="13">
    <w:abstractNumId w:val="38"/>
  </w:num>
  <w:num w:numId="14">
    <w:abstractNumId w:val="40"/>
  </w:num>
  <w:num w:numId="15">
    <w:abstractNumId w:val="33"/>
  </w:num>
  <w:num w:numId="16">
    <w:abstractNumId w:val="4"/>
  </w:num>
  <w:num w:numId="17">
    <w:abstractNumId w:val="12"/>
  </w:num>
  <w:num w:numId="18">
    <w:abstractNumId w:val="31"/>
  </w:num>
  <w:num w:numId="19">
    <w:abstractNumId w:val="36"/>
  </w:num>
  <w:num w:numId="20">
    <w:abstractNumId w:val="23"/>
  </w:num>
  <w:num w:numId="21">
    <w:abstractNumId w:val="24"/>
  </w:num>
  <w:num w:numId="22">
    <w:abstractNumId w:val="7"/>
  </w:num>
  <w:num w:numId="23">
    <w:abstractNumId w:val="5"/>
  </w:num>
  <w:num w:numId="24">
    <w:abstractNumId w:val="20"/>
  </w:num>
  <w:num w:numId="25">
    <w:abstractNumId w:val="3"/>
  </w:num>
  <w:num w:numId="26">
    <w:abstractNumId w:val="6"/>
  </w:num>
  <w:num w:numId="27">
    <w:abstractNumId w:val="18"/>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7"/>
  </w:num>
  <w:num w:numId="32">
    <w:abstractNumId w:val="25"/>
  </w:num>
  <w:num w:numId="33">
    <w:abstractNumId w:val="39"/>
  </w:num>
  <w:num w:numId="34">
    <w:abstractNumId w:val="26"/>
  </w:num>
  <w:num w:numId="35">
    <w:abstractNumId w:val="28"/>
  </w:num>
  <w:num w:numId="36">
    <w:abstractNumId w:val="27"/>
  </w:num>
  <w:num w:numId="37">
    <w:abstractNumId w:val="16"/>
  </w:num>
  <w:num w:numId="38">
    <w:abstractNumId w:val="0"/>
  </w:num>
  <w:num w:numId="39">
    <w:abstractNumId w:val="35"/>
  </w:num>
  <w:num w:numId="40">
    <w:abstractNumId w:val="10"/>
  </w:num>
  <w:num w:numId="41">
    <w:abstractNumId w:val="9"/>
  </w:num>
  <w:num w:numId="42">
    <w:abstractNumId w:val="29"/>
  </w:num>
  <w:num w:numId="4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079EF"/>
    <w:rsid w:val="00011987"/>
    <w:rsid w:val="00012E51"/>
    <w:rsid w:val="0001319D"/>
    <w:rsid w:val="0001354E"/>
    <w:rsid w:val="0001531F"/>
    <w:rsid w:val="000222B1"/>
    <w:rsid w:val="00030D12"/>
    <w:rsid w:val="000414BC"/>
    <w:rsid w:val="00041BBD"/>
    <w:rsid w:val="000437D6"/>
    <w:rsid w:val="000465ED"/>
    <w:rsid w:val="00046E03"/>
    <w:rsid w:val="0005541D"/>
    <w:rsid w:val="00060625"/>
    <w:rsid w:val="00060976"/>
    <w:rsid w:val="00065F14"/>
    <w:rsid w:val="00066C75"/>
    <w:rsid w:val="000843ED"/>
    <w:rsid w:val="00096D51"/>
    <w:rsid w:val="000A1997"/>
    <w:rsid w:val="000A34F1"/>
    <w:rsid w:val="000A6E32"/>
    <w:rsid w:val="000B4B1A"/>
    <w:rsid w:val="000B51CC"/>
    <w:rsid w:val="000C035C"/>
    <w:rsid w:val="000D1297"/>
    <w:rsid w:val="000D2EAF"/>
    <w:rsid w:val="000D488B"/>
    <w:rsid w:val="000E09DB"/>
    <w:rsid w:val="000E1DAE"/>
    <w:rsid w:val="000E4C7B"/>
    <w:rsid w:val="000E61D0"/>
    <w:rsid w:val="000F0FBB"/>
    <w:rsid w:val="000F10D0"/>
    <w:rsid w:val="00100A35"/>
    <w:rsid w:val="001027DF"/>
    <w:rsid w:val="0010454C"/>
    <w:rsid w:val="001047EA"/>
    <w:rsid w:val="00105E87"/>
    <w:rsid w:val="00112D88"/>
    <w:rsid w:val="00114C9C"/>
    <w:rsid w:val="001174EB"/>
    <w:rsid w:val="00120843"/>
    <w:rsid w:val="00120D60"/>
    <w:rsid w:val="0013313E"/>
    <w:rsid w:val="00144F19"/>
    <w:rsid w:val="00145A2B"/>
    <w:rsid w:val="00146770"/>
    <w:rsid w:val="00150BE5"/>
    <w:rsid w:val="001563E4"/>
    <w:rsid w:val="00156B65"/>
    <w:rsid w:val="0016144F"/>
    <w:rsid w:val="00161960"/>
    <w:rsid w:val="0016286E"/>
    <w:rsid w:val="00162E62"/>
    <w:rsid w:val="0016330B"/>
    <w:rsid w:val="00163BCB"/>
    <w:rsid w:val="0016770E"/>
    <w:rsid w:val="00171C5D"/>
    <w:rsid w:val="00175E69"/>
    <w:rsid w:val="001770D0"/>
    <w:rsid w:val="001815ED"/>
    <w:rsid w:val="0018179E"/>
    <w:rsid w:val="001965B3"/>
    <w:rsid w:val="001A184E"/>
    <w:rsid w:val="001B1072"/>
    <w:rsid w:val="001B2AD3"/>
    <w:rsid w:val="001C7CA4"/>
    <w:rsid w:val="001D2863"/>
    <w:rsid w:val="001D2BB6"/>
    <w:rsid w:val="001D7086"/>
    <w:rsid w:val="001D7A71"/>
    <w:rsid w:val="001E069B"/>
    <w:rsid w:val="001E54C6"/>
    <w:rsid w:val="001E6EA6"/>
    <w:rsid w:val="001F384F"/>
    <w:rsid w:val="00201B69"/>
    <w:rsid w:val="00204A40"/>
    <w:rsid w:val="00204CE7"/>
    <w:rsid w:val="00210CC4"/>
    <w:rsid w:val="0021184B"/>
    <w:rsid w:val="00213D30"/>
    <w:rsid w:val="002152C0"/>
    <w:rsid w:val="0023076C"/>
    <w:rsid w:val="00232708"/>
    <w:rsid w:val="00233B92"/>
    <w:rsid w:val="002363C3"/>
    <w:rsid w:val="00241483"/>
    <w:rsid w:val="002448EB"/>
    <w:rsid w:val="002510CD"/>
    <w:rsid w:val="0025457A"/>
    <w:rsid w:val="002579E0"/>
    <w:rsid w:val="00261348"/>
    <w:rsid w:val="00265C42"/>
    <w:rsid w:val="00271FBD"/>
    <w:rsid w:val="00272B65"/>
    <w:rsid w:val="00284B69"/>
    <w:rsid w:val="00286DC4"/>
    <w:rsid w:val="00293086"/>
    <w:rsid w:val="002966E4"/>
    <w:rsid w:val="00296F6C"/>
    <w:rsid w:val="0029762E"/>
    <w:rsid w:val="002A72E9"/>
    <w:rsid w:val="002A7E14"/>
    <w:rsid w:val="002B561E"/>
    <w:rsid w:val="002B7C64"/>
    <w:rsid w:val="002C75F8"/>
    <w:rsid w:val="002C7956"/>
    <w:rsid w:val="002C7E9D"/>
    <w:rsid w:val="002D2F55"/>
    <w:rsid w:val="002E735A"/>
    <w:rsid w:val="002F02C2"/>
    <w:rsid w:val="002F218C"/>
    <w:rsid w:val="00303671"/>
    <w:rsid w:val="00304228"/>
    <w:rsid w:val="00321FBB"/>
    <w:rsid w:val="00323A89"/>
    <w:rsid w:val="00323BCB"/>
    <w:rsid w:val="0032442F"/>
    <w:rsid w:val="0032693C"/>
    <w:rsid w:val="003345CE"/>
    <w:rsid w:val="003404DA"/>
    <w:rsid w:val="00342C94"/>
    <w:rsid w:val="00351FEF"/>
    <w:rsid w:val="0035397C"/>
    <w:rsid w:val="00354A5F"/>
    <w:rsid w:val="00360806"/>
    <w:rsid w:val="003624ED"/>
    <w:rsid w:val="0036722F"/>
    <w:rsid w:val="00370D5B"/>
    <w:rsid w:val="0037285F"/>
    <w:rsid w:val="003807A2"/>
    <w:rsid w:val="003834CA"/>
    <w:rsid w:val="003856F8"/>
    <w:rsid w:val="00385745"/>
    <w:rsid w:val="00391758"/>
    <w:rsid w:val="00393FCD"/>
    <w:rsid w:val="00394351"/>
    <w:rsid w:val="0039687D"/>
    <w:rsid w:val="003A7960"/>
    <w:rsid w:val="003B07DD"/>
    <w:rsid w:val="003C216A"/>
    <w:rsid w:val="003D4AFC"/>
    <w:rsid w:val="003E076C"/>
    <w:rsid w:val="003E7D1C"/>
    <w:rsid w:val="003F1B00"/>
    <w:rsid w:val="003F1B82"/>
    <w:rsid w:val="003F2B3B"/>
    <w:rsid w:val="003F609A"/>
    <w:rsid w:val="003F7D01"/>
    <w:rsid w:val="0040380B"/>
    <w:rsid w:val="00405EBE"/>
    <w:rsid w:val="00412DC6"/>
    <w:rsid w:val="0043160E"/>
    <w:rsid w:val="004420B3"/>
    <w:rsid w:val="00450CB6"/>
    <w:rsid w:val="00464D00"/>
    <w:rsid w:val="00471B90"/>
    <w:rsid w:val="00472EFF"/>
    <w:rsid w:val="004734FA"/>
    <w:rsid w:val="0047404F"/>
    <w:rsid w:val="00475BCE"/>
    <w:rsid w:val="004908CA"/>
    <w:rsid w:val="004934A8"/>
    <w:rsid w:val="004935C5"/>
    <w:rsid w:val="004939A5"/>
    <w:rsid w:val="004A5F89"/>
    <w:rsid w:val="004A7EDB"/>
    <w:rsid w:val="004B3C1F"/>
    <w:rsid w:val="004C01D2"/>
    <w:rsid w:val="004C0341"/>
    <w:rsid w:val="004C1F32"/>
    <w:rsid w:val="004D46E0"/>
    <w:rsid w:val="004E5A95"/>
    <w:rsid w:val="004F04C5"/>
    <w:rsid w:val="004F4145"/>
    <w:rsid w:val="004F5038"/>
    <w:rsid w:val="00504439"/>
    <w:rsid w:val="00511282"/>
    <w:rsid w:val="005117CF"/>
    <w:rsid w:val="005164A2"/>
    <w:rsid w:val="005216D6"/>
    <w:rsid w:val="005275C0"/>
    <w:rsid w:val="005349C8"/>
    <w:rsid w:val="00541BDB"/>
    <w:rsid w:val="00545B8E"/>
    <w:rsid w:val="00552AED"/>
    <w:rsid w:val="00553935"/>
    <w:rsid w:val="00555A6C"/>
    <w:rsid w:val="005568F8"/>
    <w:rsid w:val="00561350"/>
    <w:rsid w:val="0056158D"/>
    <w:rsid w:val="005615CE"/>
    <w:rsid w:val="00561FCA"/>
    <w:rsid w:val="00581848"/>
    <w:rsid w:val="005879AC"/>
    <w:rsid w:val="005979B0"/>
    <w:rsid w:val="005A69AC"/>
    <w:rsid w:val="005B0103"/>
    <w:rsid w:val="005B0481"/>
    <w:rsid w:val="005B304D"/>
    <w:rsid w:val="005B4C39"/>
    <w:rsid w:val="005B6E11"/>
    <w:rsid w:val="005C1BF3"/>
    <w:rsid w:val="005C4D50"/>
    <w:rsid w:val="005C5C6B"/>
    <w:rsid w:val="005D1C94"/>
    <w:rsid w:val="005D204B"/>
    <w:rsid w:val="005D352B"/>
    <w:rsid w:val="005D772D"/>
    <w:rsid w:val="005E0591"/>
    <w:rsid w:val="005E77DD"/>
    <w:rsid w:val="005F38E0"/>
    <w:rsid w:val="005F7D08"/>
    <w:rsid w:val="00601C3B"/>
    <w:rsid w:val="0060662D"/>
    <w:rsid w:val="00607733"/>
    <w:rsid w:val="00611998"/>
    <w:rsid w:val="006125B7"/>
    <w:rsid w:val="006225E9"/>
    <w:rsid w:val="00634992"/>
    <w:rsid w:val="0063554D"/>
    <w:rsid w:val="00642D9E"/>
    <w:rsid w:val="00646425"/>
    <w:rsid w:val="00646EB9"/>
    <w:rsid w:val="00650A0E"/>
    <w:rsid w:val="006546FF"/>
    <w:rsid w:val="006550FD"/>
    <w:rsid w:val="006561C4"/>
    <w:rsid w:val="006604B5"/>
    <w:rsid w:val="00661BFF"/>
    <w:rsid w:val="006639AE"/>
    <w:rsid w:val="006659F5"/>
    <w:rsid w:val="0067542C"/>
    <w:rsid w:val="0069057C"/>
    <w:rsid w:val="00690FCD"/>
    <w:rsid w:val="00691A52"/>
    <w:rsid w:val="00691C29"/>
    <w:rsid w:val="00692FC5"/>
    <w:rsid w:val="006A6276"/>
    <w:rsid w:val="006A6B6B"/>
    <w:rsid w:val="006A72DB"/>
    <w:rsid w:val="006B27C1"/>
    <w:rsid w:val="006B4DAB"/>
    <w:rsid w:val="006B7A95"/>
    <w:rsid w:val="006C28D2"/>
    <w:rsid w:val="006C68C5"/>
    <w:rsid w:val="006E1551"/>
    <w:rsid w:val="006E2D45"/>
    <w:rsid w:val="006E5CD3"/>
    <w:rsid w:val="006F3EFE"/>
    <w:rsid w:val="006F7318"/>
    <w:rsid w:val="00704C35"/>
    <w:rsid w:val="00706907"/>
    <w:rsid w:val="00715F8E"/>
    <w:rsid w:val="007175F9"/>
    <w:rsid w:val="00741833"/>
    <w:rsid w:val="007419C6"/>
    <w:rsid w:val="0074223E"/>
    <w:rsid w:val="007448DB"/>
    <w:rsid w:val="00746080"/>
    <w:rsid w:val="00756F74"/>
    <w:rsid w:val="00757DA0"/>
    <w:rsid w:val="00765D2E"/>
    <w:rsid w:val="007704AE"/>
    <w:rsid w:val="00771AED"/>
    <w:rsid w:val="00772E59"/>
    <w:rsid w:val="00776FED"/>
    <w:rsid w:val="007829E5"/>
    <w:rsid w:val="0078619D"/>
    <w:rsid w:val="00790A32"/>
    <w:rsid w:val="00794B4A"/>
    <w:rsid w:val="00794E86"/>
    <w:rsid w:val="007A06FC"/>
    <w:rsid w:val="007A3B5B"/>
    <w:rsid w:val="007A64A9"/>
    <w:rsid w:val="007B44BF"/>
    <w:rsid w:val="007C0BAD"/>
    <w:rsid w:val="007C5A54"/>
    <w:rsid w:val="007C79EB"/>
    <w:rsid w:val="007D3C19"/>
    <w:rsid w:val="007D51C9"/>
    <w:rsid w:val="007E1214"/>
    <w:rsid w:val="007F40FF"/>
    <w:rsid w:val="00801BB6"/>
    <w:rsid w:val="0080696F"/>
    <w:rsid w:val="00806D93"/>
    <w:rsid w:val="008146F6"/>
    <w:rsid w:val="00825552"/>
    <w:rsid w:val="00831DBE"/>
    <w:rsid w:val="008325D7"/>
    <w:rsid w:val="00832A00"/>
    <w:rsid w:val="00834E7C"/>
    <w:rsid w:val="008415A7"/>
    <w:rsid w:val="00846C3E"/>
    <w:rsid w:val="00850053"/>
    <w:rsid w:val="008506A4"/>
    <w:rsid w:val="00851418"/>
    <w:rsid w:val="008539D9"/>
    <w:rsid w:val="0086291D"/>
    <w:rsid w:val="00866E79"/>
    <w:rsid w:val="00871008"/>
    <w:rsid w:val="0087639C"/>
    <w:rsid w:val="008A0688"/>
    <w:rsid w:val="008A07DA"/>
    <w:rsid w:val="008A108C"/>
    <w:rsid w:val="008A57B0"/>
    <w:rsid w:val="008A5D3A"/>
    <w:rsid w:val="008B64DE"/>
    <w:rsid w:val="008B6D75"/>
    <w:rsid w:val="008C5FAC"/>
    <w:rsid w:val="008C74E3"/>
    <w:rsid w:val="008E60A8"/>
    <w:rsid w:val="008F4082"/>
    <w:rsid w:val="008F688C"/>
    <w:rsid w:val="008F73E8"/>
    <w:rsid w:val="00900330"/>
    <w:rsid w:val="00906622"/>
    <w:rsid w:val="009071CF"/>
    <w:rsid w:val="009138FC"/>
    <w:rsid w:val="0091452A"/>
    <w:rsid w:val="00914840"/>
    <w:rsid w:val="00923824"/>
    <w:rsid w:val="00937121"/>
    <w:rsid w:val="00951E3A"/>
    <w:rsid w:val="00953C66"/>
    <w:rsid w:val="009546CE"/>
    <w:rsid w:val="00957468"/>
    <w:rsid w:val="00957B7E"/>
    <w:rsid w:val="009643D1"/>
    <w:rsid w:val="009677A0"/>
    <w:rsid w:val="009807D8"/>
    <w:rsid w:val="00983A06"/>
    <w:rsid w:val="00985D4D"/>
    <w:rsid w:val="00993F61"/>
    <w:rsid w:val="009B02A8"/>
    <w:rsid w:val="009C17CC"/>
    <w:rsid w:val="009C79A3"/>
    <w:rsid w:val="009D0AEB"/>
    <w:rsid w:val="009D30CF"/>
    <w:rsid w:val="009E0910"/>
    <w:rsid w:val="009E1E72"/>
    <w:rsid w:val="009E4F0A"/>
    <w:rsid w:val="009F09B9"/>
    <w:rsid w:val="009F729D"/>
    <w:rsid w:val="00A102CC"/>
    <w:rsid w:val="00A14832"/>
    <w:rsid w:val="00A16652"/>
    <w:rsid w:val="00A207D8"/>
    <w:rsid w:val="00A30E40"/>
    <w:rsid w:val="00A34C75"/>
    <w:rsid w:val="00A36FB3"/>
    <w:rsid w:val="00A52E2A"/>
    <w:rsid w:val="00A56010"/>
    <w:rsid w:val="00A56508"/>
    <w:rsid w:val="00A64B9F"/>
    <w:rsid w:val="00A658AA"/>
    <w:rsid w:val="00A668A7"/>
    <w:rsid w:val="00A704BA"/>
    <w:rsid w:val="00A71C61"/>
    <w:rsid w:val="00A71F2C"/>
    <w:rsid w:val="00A81A28"/>
    <w:rsid w:val="00A92BB5"/>
    <w:rsid w:val="00A9717E"/>
    <w:rsid w:val="00AA0438"/>
    <w:rsid w:val="00AA06D9"/>
    <w:rsid w:val="00AB0017"/>
    <w:rsid w:val="00AB0B9E"/>
    <w:rsid w:val="00AB214E"/>
    <w:rsid w:val="00AB3328"/>
    <w:rsid w:val="00AB33A4"/>
    <w:rsid w:val="00AB3957"/>
    <w:rsid w:val="00AD340F"/>
    <w:rsid w:val="00AE01B7"/>
    <w:rsid w:val="00AF12C9"/>
    <w:rsid w:val="00AF288A"/>
    <w:rsid w:val="00AF2B0D"/>
    <w:rsid w:val="00B076A5"/>
    <w:rsid w:val="00B20109"/>
    <w:rsid w:val="00B247C1"/>
    <w:rsid w:val="00B25576"/>
    <w:rsid w:val="00B314F3"/>
    <w:rsid w:val="00B34F02"/>
    <w:rsid w:val="00B41852"/>
    <w:rsid w:val="00B436D3"/>
    <w:rsid w:val="00B5030B"/>
    <w:rsid w:val="00B56997"/>
    <w:rsid w:val="00B611D3"/>
    <w:rsid w:val="00B66ED1"/>
    <w:rsid w:val="00B71CD4"/>
    <w:rsid w:val="00B76EA7"/>
    <w:rsid w:val="00B77870"/>
    <w:rsid w:val="00B825BD"/>
    <w:rsid w:val="00B85643"/>
    <w:rsid w:val="00B97F5F"/>
    <w:rsid w:val="00B97FB4"/>
    <w:rsid w:val="00BA12EA"/>
    <w:rsid w:val="00BB4C8A"/>
    <w:rsid w:val="00BC134E"/>
    <w:rsid w:val="00BC1A68"/>
    <w:rsid w:val="00BD2BCF"/>
    <w:rsid w:val="00BD4512"/>
    <w:rsid w:val="00BD52F2"/>
    <w:rsid w:val="00BD754D"/>
    <w:rsid w:val="00BE1A92"/>
    <w:rsid w:val="00BF2B62"/>
    <w:rsid w:val="00BF7CFF"/>
    <w:rsid w:val="00C007D5"/>
    <w:rsid w:val="00C114B4"/>
    <w:rsid w:val="00C23F96"/>
    <w:rsid w:val="00C27332"/>
    <w:rsid w:val="00C34EA3"/>
    <w:rsid w:val="00C44499"/>
    <w:rsid w:val="00C54B6F"/>
    <w:rsid w:val="00C62395"/>
    <w:rsid w:val="00C6280A"/>
    <w:rsid w:val="00C63C8D"/>
    <w:rsid w:val="00C7140B"/>
    <w:rsid w:val="00C72ACF"/>
    <w:rsid w:val="00C744C2"/>
    <w:rsid w:val="00C76B61"/>
    <w:rsid w:val="00C818E2"/>
    <w:rsid w:val="00C85B56"/>
    <w:rsid w:val="00C96FD2"/>
    <w:rsid w:val="00CA0B82"/>
    <w:rsid w:val="00CA22DB"/>
    <w:rsid w:val="00CA234C"/>
    <w:rsid w:val="00CA344E"/>
    <w:rsid w:val="00CA6CFD"/>
    <w:rsid w:val="00CB168B"/>
    <w:rsid w:val="00CC447E"/>
    <w:rsid w:val="00CC6D11"/>
    <w:rsid w:val="00CD0D72"/>
    <w:rsid w:val="00CE44EE"/>
    <w:rsid w:val="00CE639B"/>
    <w:rsid w:val="00CF0F7C"/>
    <w:rsid w:val="00CF5DF6"/>
    <w:rsid w:val="00CF7A40"/>
    <w:rsid w:val="00D02D7F"/>
    <w:rsid w:val="00D04A3C"/>
    <w:rsid w:val="00D055C4"/>
    <w:rsid w:val="00D0773D"/>
    <w:rsid w:val="00D216E8"/>
    <w:rsid w:val="00D21A42"/>
    <w:rsid w:val="00D2658F"/>
    <w:rsid w:val="00D26D19"/>
    <w:rsid w:val="00D32D54"/>
    <w:rsid w:val="00D348BB"/>
    <w:rsid w:val="00D353C8"/>
    <w:rsid w:val="00D367D1"/>
    <w:rsid w:val="00D36BBE"/>
    <w:rsid w:val="00D41581"/>
    <w:rsid w:val="00D47CBB"/>
    <w:rsid w:val="00D5062F"/>
    <w:rsid w:val="00D5227A"/>
    <w:rsid w:val="00D56A27"/>
    <w:rsid w:val="00D621FC"/>
    <w:rsid w:val="00D646E4"/>
    <w:rsid w:val="00D677B8"/>
    <w:rsid w:val="00D72628"/>
    <w:rsid w:val="00D80EDE"/>
    <w:rsid w:val="00D87B36"/>
    <w:rsid w:val="00D91B73"/>
    <w:rsid w:val="00D948D9"/>
    <w:rsid w:val="00D958A6"/>
    <w:rsid w:val="00D95CAA"/>
    <w:rsid w:val="00D95F3E"/>
    <w:rsid w:val="00D974D5"/>
    <w:rsid w:val="00D975C5"/>
    <w:rsid w:val="00DA09D0"/>
    <w:rsid w:val="00DA2484"/>
    <w:rsid w:val="00DA4B99"/>
    <w:rsid w:val="00DA5F69"/>
    <w:rsid w:val="00DA7C66"/>
    <w:rsid w:val="00DB30CD"/>
    <w:rsid w:val="00DC2E85"/>
    <w:rsid w:val="00DC3F8F"/>
    <w:rsid w:val="00DD09DC"/>
    <w:rsid w:val="00DD3B82"/>
    <w:rsid w:val="00DD7D54"/>
    <w:rsid w:val="00DE1A3A"/>
    <w:rsid w:val="00DF5050"/>
    <w:rsid w:val="00DF5593"/>
    <w:rsid w:val="00DF6932"/>
    <w:rsid w:val="00E02478"/>
    <w:rsid w:val="00E04677"/>
    <w:rsid w:val="00E06F38"/>
    <w:rsid w:val="00E11952"/>
    <w:rsid w:val="00E2026C"/>
    <w:rsid w:val="00E23ECF"/>
    <w:rsid w:val="00E261A1"/>
    <w:rsid w:val="00E26699"/>
    <w:rsid w:val="00E2683A"/>
    <w:rsid w:val="00E31459"/>
    <w:rsid w:val="00E452BA"/>
    <w:rsid w:val="00E45775"/>
    <w:rsid w:val="00E57C98"/>
    <w:rsid w:val="00E6089B"/>
    <w:rsid w:val="00E63408"/>
    <w:rsid w:val="00E63642"/>
    <w:rsid w:val="00E6651E"/>
    <w:rsid w:val="00E7523D"/>
    <w:rsid w:val="00E9387D"/>
    <w:rsid w:val="00EA0919"/>
    <w:rsid w:val="00EA2CF7"/>
    <w:rsid w:val="00EB68C4"/>
    <w:rsid w:val="00EB72FC"/>
    <w:rsid w:val="00EC0C97"/>
    <w:rsid w:val="00EC26AE"/>
    <w:rsid w:val="00EC47D8"/>
    <w:rsid w:val="00ED2776"/>
    <w:rsid w:val="00ED2E37"/>
    <w:rsid w:val="00ED3CE0"/>
    <w:rsid w:val="00ED3F0B"/>
    <w:rsid w:val="00EE450C"/>
    <w:rsid w:val="00EF08B4"/>
    <w:rsid w:val="00EF616E"/>
    <w:rsid w:val="00F03108"/>
    <w:rsid w:val="00F06AC5"/>
    <w:rsid w:val="00F116E4"/>
    <w:rsid w:val="00F11CFD"/>
    <w:rsid w:val="00F16934"/>
    <w:rsid w:val="00F213C1"/>
    <w:rsid w:val="00F21DDD"/>
    <w:rsid w:val="00F27A5F"/>
    <w:rsid w:val="00F34EDA"/>
    <w:rsid w:val="00F4428A"/>
    <w:rsid w:val="00F63BEA"/>
    <w:rsid w:val="00F66E08"/>
    <w:rsid w:val="00F72F89"/>
    <w:rsid w:val="00F7398F"/>
    <w:rsid w:val="00F77582"/>
    <w:rsid w:val="00F86479"/>
    <w:rsid w:val="00F912AB"/>
    <w:rsid w:val="00F91432"/>
    <w:rsid w:val="00F92F12"/>
    <w:rsid w:val="00F9321D"/>
    <w:rsid w:val="00F9667C"/>
    <w:rsid w:val="00F96ACE"/>
    <w:rsid w:val="00FB3A11"/>
    <w:rsid w:val="00FB73D7"/>
    <w:rsid w:val="00FC194E"/>
    <w:rsid w:val="00FC4D41"/>
    <w:rsid w:val="00FC57EA"/>
    <w:rsid w:val="00FC76AA"/>
    <w:rsid w:val="00FD3557"/>
    <w:rsid w:val="00FD5EDC"/>
    <w:rsid w:val="00FE794E"/>
    <w:rsid w:val="00FF1324"/>
    <w:rsid w:val="00FF23C6"/>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892154"/>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781">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64481766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A4F0-8977-4D09-B5FF-6C1384C5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20</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Kittel, Ethan</cp:lastModifiedBy>
  <cp:revision>4</cp:revision>
  <cp:lastPrinted>2018-09-27T14:08:00Z</cp:lastPrinted>
  <dcterms:created xsi:type="dcterms:W3CDTF">2018-10-02T17:15:00Z</dcterms:created>
  <dcterms:modified xsi:type="dcterms:W3CDTF">2018-10-03T18:17:00Z</dcterms:modified>
</cp:coreProperties>
</file>