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C792" w14:textId="77777777" w:rsidR="00CE2E0F" w:rsidRDefault="000C4A7B" w:rsidP="00CE2E0F">
      <w:pPr>
        <w:rPr>
          <w:rFonts w:ascii="Arial" w:hAnsi="Arial" w:cs="Arial"/>
          <w:b/>
          <w:sz w:val="24"/>
          <w:szCs w:val="24"/>
        </w:rPr>
      </w:pPr>
      <w:r>
        <w:rPr>
          <w:rFonts w:ascii="Arial" w:hAnsi="Arial" w:cs="Arial"/>
          <w:b/>
          <w:sz w:val="24"/>
          <w:szCs w:val="24"/>
        </w:rPr>
        <w:t>Veridian</w:t>
      </w:r>
      <w:r w:rsidR="00CE2E0F">
        <w:rPr>
          <w:rFonts w:ascii="Arial" w:hAnsi="Arial" w:cs="Arial"/>
          <w:b/>
          <w:sz w:val="24"/>
          <w:szCs w:val="24"/>
        </w:rPr>
        <w:t xml:space="preserve"> - </w:t>
      </w:r>
      <w:r w:rsidR="00037A0E">
        <w:rPr>
          <w:rFonts w:ascii="Arial" w:hAnsi="Arial" w:cs="Arial"/>
          <w:b/>
          <w:sz w:val="24"/>
          <w:szCs w:val="24"/>
        </w:rPr>
        <w:t>EB-2018</w:t>
      </w:r>
      <w:r w:rsidR="00021967">
        <w:rPr>
          <w:rFonts w:ascii="Arial" w:hAnsi="Arial" w:cs="Arial"/>
          <w:b/>
          <w:sz w:val="24"/>
          <w:szCs w:val="24"/>
        </w:rPr>
        <w:t>-0</w:t>
      </w:r>
      <w:r>
        <w:rPr>
          <w:rFonts w:ascii="Arial" w:hAnsi="Arial" w:cs="Arial"/>
          <w:b/>
          <w:sz w:val="24"/>
          <w:szCs w:val="24"/>
        </w:rPr>
        <w:t>072</w:t>
      </w:r>
    </w:p>
    <w:p w14:paraId="6CFCF684" w14:textId="77777777" w:rsidR="00037A0E" w:rsidRDefault="00037A0E" w:rsidP="00037A0E">
      <w:pPr>
        <w:spacing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Pr>
          <w:rStyle w:val="FootnoteReference"/>
          <w:rFonts w:ascii="Arial" w:eastAsia="Times New Roman" w:hAnsi="Arial" w:cs="Arial"/>
          <w:b/>
          <w:sz w:val="24"/>
          <w:szCs w:val="24"/>
        </w:rPr>
        <w:footnoteReference w:id="1"/>
      </w:r>
    </w:p>
    <w:p w14:paraId="3F8A14EC" w14:textId="77777777" w:rsidR="00037A0E" w:rsidRPr="00CF0A8B" w:rsidRDefault="00037A0E" w:rsidP="00037A0E">
      <w:pPr>
        <w:spacing w:line="276" w:lineRule="auto"/>
        <w:rPr>
          <w:rFonts w:ascii="Arial" w:eastAsia="Times New Roman" w:hAnsi="Arial" w:cs="Arial"/>
          <w:i/>
          <w:sz w:val="24"/>
          <w:szCs w:val="24"/>
        </w:rPr>
      </w:pPr>
    </w:p>
    <w:p w14:paraId="2F517C06" w14:textId="77777777" w:rsidR="00037A0E" w:rsidRDefault="00037A0E" w:rsidP="00037A0E">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14:paraId="640FC74C" w14:textId="77777777" w:rsidR="00037A0E" w:rsidRDefault="00037A0E" w:rsidP="00037A0E">
      <w:pPr>
        <w:pStyle w:val="ListParagraph"/>
        <w:numPr>
          <w:ilvl w:val="0"/>
          <w:numId w:val="6"/>
        </w:numPr>
        <w:spacing w:after="0"/>
      </w:pPr>
      <w:r>
        <w:rPr>
          <w:rFonts w:ascii="Arial" w:eastAsia="Times New Roman" w:hAnsi="Arial" w:cs="Arial"/>
          <w:sz w:val="24"/>
          <w:szCs w:val="24"/>
        </w:rPr>
        <w:t>CT 1142 is booked into Account 1588. CT 148 is pro-rated based on RPP/non-RPP consumption and then booked into Account 1588 and 1589 respectively.</w:t>
      </w:r>
    </w:p>
    <w:p w14:paraId="4C5D95A3" w14:textId="77777777" w:rsidR="00037A0E" w:rsidRDefault="00037A0E" w:rsidP="00037A0E">
      <w:pPr>
        <w:pStyle w:val="ListParagraph"/>
        <w:numPr>
          <w:ilvl w:val="0"/>
          <w:numId w:val="6"/>
        </w:numPr>
        <w:spacing w:after="0"/>
        <w:rPr>
          <w:rFonts w:ascii="Arial" w:eastAsia="Times New Roman" w:hAnsi="Arial" w:cs="Arial"/>
          <w:sz w:val="24"/>
          <w:szCs w:val="24"/>
        </w:rPr>
      </w:pPr>
      <w:r w:rsidRPr="005930BC">
        <w:rPr>
          <w:rFonts w:ascii="Arial" w:eastAsia="Times New Roman" w:hAnsi="Arial" w:cs="Arial"/>
          <w:sz w:val="24"/>
          <w:szCs w:val="24"/>
        </w:rPr>
        <w:t xml:space="preserve">CT </w:t>
      </w:r>
      <w:r>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14:paraId="3D425EB0" w14:textId="77777777" w:rsidR="00037A0E" w:rsidRDefault="00037A0E" w:rsidP="00037A0E">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If another approach is used, please explain in detail.</w:t>
      </w:r>
    </w:p>
    <w:p w14:paraId="363762ED" w14:textId="77777777" w:rsidR="00B84896" w:rsidRDefault="00B84896" w:rsidP="00B84896">
      <w:pPr>
        <w:rPr>
          <w:rFonts w:ascii="Arial" w:eastAsia="Times New Roman" w:hAnsi="Arial" w:cs="Arial"/>
          <w:sz w:val="24"/>
          <w:szCs w:val="24"/>
        </w:rPr>
      </w:pPr>
    </w:p>
    <w:p w14:paraId="05DAE189" w14:textId="77777777" w:rsidR="00B84896" w:rsidRPr="008D0254" w:rsidRDefault="00B84896" w:rsidP="00B84896">
      <w:pPr>
        <w:rPr>
          <w:rFonts w:ascii="Arial" w:eastAsia="Times New Roman" w:hAnsi="Arial" w:cs="Arial"/>
          <w:b/>
          <w:sz w:val="24"/>
          <w:szCs w:val="24"/>
          <w:u w:val="single"/>
        </w:rPr>
      </w:pPr>
      <w:r w:rsidRPr="008D0254">
        <w:rPr>
          <w:rFonts w:ascii="Arial" w:eastAsia="Times New Roman" w:hAnsi="Arial" w:cs="Arial"/>
          <w:b/>
          <w:sz w:val="24"/>
          <w:szCs w:val="24"/>
          <w:u w:val="single"/>
        </w:rPr>
        <w:t>Veridian Response</w:t>
      </w:r>
    </w:p>
    <w:p w14:paraId="390B0A87" w14:textId="70189132" w:rsidR="0081318B" w:rsidRDefault="0081318B" w:rsidP="0081318B">
      <w:pPr>
        <w:pStyle w:val="ListParagraph"/>
        <w:spacing w:after="0"/>
        <w:ind w:left="1080"/>
        <w:rPr>
          <w:rFonts w:ascii="Arial" w:eastAsia="Times New Roman" w:hAnsi="Arial" w:cs="Arial"/>
          <w:sz w:val="24"/>
          <w:szCs w:val="24"/>
        </w:rPr>
      </w:pPr>
      <w:r w:rsidRPr="008D0254">
        <w:rPr>
          <w:rFonts w:ascii="Arial" w:eastAsia="Times New Roman" w:hAnsi="Arial" w:cs="Arial"/>
          <w:sz w:val="24"/>
          <w:szCs w:val="24"/>
        </w:rPr>
        <w:t>1</w:t>
      </w:r>
      <w:r w:rsidR="00025AFE" w:rsidRPr="008D0254">
        <w:rPr>
          <w:rFonts w:ascii="Arial" w:eastAsia="Times New Roman" w:hAnsi="Arial" w:cs="Arial"/>
          <w:sz w:val="24"/>
          <w:szCs w:val="24"/>
        </w:rPr>
        <w:t>b)</w:t>
      </w:r>
      <w:r w:rsidRPr="008D0254">
        <w:rPr>
          <w:rFonts w:ascii="Arial" w:eastAsia="Times New Roman" w:hAnsi="Arial" w:cs="Arial"/>
          <w:sz w:val="24"/>
          <w:szCs w:val="24"/>
        </w:rPr>
        <w:t xml:space="preserve"> CT 148 is booked into Account 1589. The portion of CT 1142 equaling RPP minus HOEP for RPP consumption is booked into Account 1588. The portion of CT 1142 equaling GA RPP is credited into Account 1589.</w:t>
      </w:r>
    </w:p>
    <w:p w14:paraId="779FBB00" w14:textId="77777777" w:rsidR="0081318B" w:rsidRDefault="0081318B" w:rsidP="0081318B">
      <w:pPr>
        <w:pStyle w:val="ListParagraph"/>
        <w:spacing w:after="0"/>
        <w:ind w:left="1080"/>
      </w:pPr>
    </w:p>
    <w:p w14:paraId="45D5E6A9" w14:textId="77777777" w:rsidR="00037A0E" w:rsidRDefault="00037A0E" w:rsidP="0081318B">
      <w:pPr>
        <w:spacing w:line="276" w:lineRule="auto"/>
        <w:rPr>
          <w:rFonts w:ascii="Arial" w:eastAsia="Times New Roman" w:hAnsi="Arial" w:cs="Arial"/>
          <w:sz w:val="24"/>
          <w:szCs w:val="24"/>
          <w:u w:val="single"/>
        </w:rPr>
      </w:pPr>
    </w:p>
    <w:p w14:paraId="39FEBE62" w14:textId="77777777" w:rsidR="00037A0E" w:rsidRPr="00BE05F6" w:rsidRDefault="00037A0E" w:rsidP="00037A0E">
      <w:pPr>
        <w:pStyle w:val="ListParagraph"/>
        <w:numPr>
          <w:ilvl w:val="0"/>
          <w:numId w:val="5"/>
        </w:numPr>
        <w:spacing w:after="0"/>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14:paraId="7CDA7909"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14:paraId="64623A64"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14:paraId="2766EC5D"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14:paraId="3286840D" w14:textId="77777777" w:rsidR="00037A0E" w:rsidRPr="001A2777"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Which months from 2017 were trued up in 2018?</w:t>
      </w:r>
    </w:p>
    <w:p w14:paraId="6D84BF83"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Have all of the 2017 related true-up been reflected in the applicant’s DVA Continuity Schedule in this proceeding?</w:t>
      </w:r>
    </w:p>
    <w:p w14:paraId="18B3E7CC"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14:paraId="07081407" w14:textId="77777777" w:rsidR="008D0254" w:rsidRPr="008D0254" w:rsidRDefault="008D0254" w:rsidP="008D0254">
      <w:pPr>
        <w:ind w:left="1080"/>
        <w:rPr>
          <w:rFonts w:ascii="Arial" w:eastAsia="Times New Roman" w:hAnsi="Arial" w:cs="Arial"/>
          <w:sz w:val="24"/>
          <w:szCs w:val="24"/>
        </w:rPr>
      </w:pPr>
    </w:p>
    <w:p w14:paraId="48D04378" w14:textId="77777777" w:rsidR="00B84896" w:rsidRPr="008D0254" w:rsidRDefault="00B84896" w:rsidP="00B84896">
      <w:pPr>
        <w:rPr>
          <w:rFonts w:ascii="Arial" w:eastAsia="Times New Roman" w:hAnsi="Arial" w:cs="Arial"/>
          <w:b/>
          <w:sz w:val="24"/>
          <w:szCs w:val="24"/>
          <w:u w:val="single"/>
        </w:rPr>
      </w:pPr>
      <w:r w:rsidRPr="008D0254">
        <w:rPr>
          <w:rFonts w:ascii="Arial" w:eastAsia="Times New Roman" w:hAnsi="Arial" w:cs="Arial"/>
          <w:b/>
          <w:sz w:val="24"/>
          <w:szCs w:val="24"/>
          <w:u w:val="single"/>
        </w:rPr>
        <w:t>Veridian Response</w:t>
      </w:r>
    </w:p>
    <w:p w14:paraId="78B91B92" w14:textId="77777777" w:rsidR="00B84896" w:rsidRPr="008D0254" w:rsidRDefault="002B43E2" w:rsidP="00047967">
      <w:pPr>
        <w:ind w:left="720"/>
        <w:rPr>
          <w:rFonts w:ascii="Arial" w:eastAsia="Times New Roman" w:hAnsi="Arial" w:cs="Arial"/>
          <w:sz w:val="24"/>
          <w:szCs w:val="24"/>
        </w:rPr>
      </w:pPr>
      <w:r w:rsidRPr="008D0254">
        <w:rPr>
          <w:rFonts w:ascii="Arial" w:eastAsia="Times New Roman" w:hAnsi="Arial" w:cs="Arial"/>
          <w:sz w:val="24"/>
          <w:szCs w:val="24"/>
        </w:rPr>
        <w:t xml:space="preserve">2a) </w:t>
      </w:r>
      <w:r w:rsidR="00047967" w:rsidRPr="008D0254">
        <w:rPr>
          <w:rFonts w:ascii="Arial" w:eastAsia="Times New Roman" w:hAnsi="Arial" w:cs="Arial"/>
          <w:sz w:val="24"/>
          <w:szCs w:val="24"/>
        </w:rPr>
        <w:t>Actual metered data and 2</w:t>
      </w:r>
      <w:r w:rsidR="00047967" w:rsidRPr="008D0254">
        <w:rPr>
          <w:rFonts w:ascii="Arial" w:eastAsia="Times New Roman" w:hAnsi="Arial" w:cs="Arial"/>
          <w:sz w:val="24"/>
          <w:szCs w:val="24"/>
          <w:vertAlign w:val="superscript"/>
        </w:rPr>
        <w:t>nd</w:t>
      </w:r>
      <w:r w:rsidR="00047967" w:rsidRPr="008D0254">
        <w:rPr>
          <w:rFonts w:ascii="Arial" w:eastAsia="Times New Roman" w:hAnsi="Arial" w:cs="Arial"/>
          <w:sz w:val="24"/>
          <w:szCs w:val="24"/>
        </w:rPr>
        <w:t xml:space="preserve"> estimate Class B Global Adjustment rate are </w:t>
      </w:r>
      <w:proofErr w:type="gramStart"/>
      <w:r w:rsidR="00047967" w:rsidRPr="008D0254">
        <w:rPr>
          <w:rFonts w:ascii="Arial" w:eastAsia="Times New Roman" w:hAnsi="Arial" w:cs="Arial"/>
          <w:sz w:val="24"/>
          <w:szCs w:val="24"/>
        </w:rPr>
        <w:t>used</w:t>
      </w:r>
      <w:proofErr w:type="gramEnd"/>
      <w:r w:rsidR="00047967" w:rsidRPr="008D0254">
        <w:rPr>
          <w:rFonts w:ascii="Arial" w:eastAsia="Times New Roman" w:hAnsi="Arial" w:cs="Arial"/>
          <w:sz w:val="24"/>
          <w:szCs w:val="24"/>
        </w:rPr>
        <w:t xml:space="preserve"> when calculating CT 1142.</w:t>
      </w:r>
    </w:p>
    <w:p w14:paraId="7063AD17" w14:textId="77777777" w:rsidR="00047967" w:rsidRPr="008D0254" w:rsidRDefault="00047967" w:rsidP="00047967">
      <w:pPr>
        <w:ind w:left="720"/>
        <w:rPr>
          <w:rFonts w:ascii="Arial" w:eastAsia="Times New Roman" w:hAnsi="Arial" w:cs="Arial"/>
          <w:sz w:val="24"/>
          <w:szCs w:val="24"/>
        </w:rPr>
      </w:pPr>
    </w:p>
    <w:p w14:paraId="3AF451B4" w14:textId="77777777" w:rsidR="002B43E2" w:rsidRPr="008D0254" w:rsidRDefault="002B43E2" w:rsidP="00047967">
      <w:pPr>
        <w:ind w:left="720"/>
        <w:rPr>
          <w:rFonts w:ascii="Arial" w:eastAsia="Times New Roman" w:hAnsi="Arial" w:cs="Arial"/>
          <w:sz w:val="24"/>
          <w:szCs w:val="24"/>
        </w:rPr>
      </w:pPr>
      <w:r w:rsidRPr="008D0254">
        <w:rPr>
          <w:rFonts w:ascii="Arial" w:eastAsia="Times New Roman" w:hAnsi="Arial" w:cs="Arial"/>
          <w:sz w:val="24"/>
          <w:szCs w:val="24"/>
        </w:rPr>
        <w:lastRenderedPageBreak/>
        <w:t>b)</w:t>
      </w:r>
      <w:r w:rsidR="00047967" w:rsidRPr="008D0254">
        <w:rPr>
          <w:rFonts w:ascii="Arial" w:eastAsia="Times New Roman" w:hAnsi="Arial" w:cs="Arial"/>
          <w:sz w:val="24"/>
          <w:szCs w:val="24"/>
        </w:rPr>
        <w:t xml:space="preserve"> The process to true-up CT 1142 is based on actual metered data for RPP kWh.  The true up for TOU/Tier 1&amp;2 pricing is based on actual Class B Global Adjustment rate and IESO final settlement statement HOEP.  The settlement month is trued-up two calendar months post-settlement month.</w:t>
      </w:r>
    </w:p>
    <w:p w14:paraId="49EF3417" w14:textId="77777777" w:rsidR="00047967" w:rsidRPr="008D0254" w:rsidRDefault="00047967" w:rsidP="00047967">
      <w:pPr>
        <w:ind w:left="720"/>
        <w:rPr>
          <w:rFonts w:ascii="Arial" w:eastAsia="Times New Roman" w:hAnsi="Arial" w:cs="Arial"/>
          <w:sz w:val="24"/>
          <w:szCs w:val="24"/>
        </w:rPr>
      </w:pPr>
    </w:p>
    <w:p w14:paraId="78AE3E0E" w14:textId="77777777" w:rsidR="002B43E2" w:rsidRPr="008D0254" w:rsidRDefault="002B43E2" w:rsidP="00B84896">
      <w:pPr>
        <w:rPr>
          <w:rFonts w:ascii="Arial" w:eastAsia="Times New Roman" w:hAnsi="Arial" w:cs="Arial"/>
          <w:sz w:val="24"/>
          <w:szCs w:val="24"/>
        </w:rPr>
      </w:pPr>
      <w:r w:rsidRPr="008D0254">
        <w:rPr>
          <w:rFonts w:ascii="Arial" w:eastAsia="Times New Roman" w:hAnsi="Arial" w:cs="Arial"/>
          <w:sz w:val="24"/>
          <w:szCs w:val="24"/>
        </w:rPr>
        <w:tab/>
        <w:t>c)  Yes CT 1142 has been trued up with the IESO for all of 2017.</w:t>
      </w:r>
    </w:p>
    <w:p w14:paraId="4F8F87E9" w14:textId="77777777" w:rsidR="00047967" w:rsidRPr="008D0254" w:rsidRDefault="00047967" w:rsidP="00B84896">
      <w:pPr>
        <w:rPr>
          <w:rFonts w:ascii="Arial" w:eastAsia="Times New Roman" w:hAnsi="Arial" w:cs="Arial"/>
          <w:sz w:val="24"/>
          <w:szCs w:val="24"/>
        </w:rPr>
      </w:pPr>
    </w:p>
    <w:p w14:paraId="505DD3FB" w14:textId="4305FE43" w:rsidR="002B43E2" w:rsidRPr="008D0254" w:rsidRDefault="002B43E2" w:rsidP="002B43E2">
      <w:pPr>
        <w:ind w:left="720"/>
        <w:rPr>
          <w:rFonts w:ascii="Arial" w:eastAsia="Times New Roman" w:hAnsi="Arial" w:cs="Arial"/>
          <w:sz w:val="24"/>
          <w:szCs w:val="24"/>
        </w:rPr>
      </w:pPr>
      <w:r w:rsidRPr="008D0254">
        <w:rPr>
          <w:rFonts w:ascii="Arial" w:eastAsia="Times New Roman" w:hAnsi="Arial" w:cs="Arial"/>
          <w:sz w:val="24"/>
          <w:szCs w:val="24"/>
        </w:rPr>
        <w:t xml:space="preserve">d)  All months are included in 2017.  November and December 2017 are recorded as accruals </w:t>
      </w:r>
      <w:r w:rsidR="00DC3BE2">
        <w:rPr>
          <w:rFonts w:ascii="Arial" w:eastAsia="Times New Roman" w:hAnsi="Arial" w:cs="Arial"/>
          <w:sz w:val="24"/>
          <w:szCs w:val="24"/>
        </w:rPr>
        <w:t xml:space="preserve">in 2017 </w:t>
      </w:r>
      <w:r w:rsidRPr="008D0254">
        <w:rPr>
          <w:rFonts w:ascii="Arial" w:eastAsia="Times New Roman" w:hAnsi="Arial" w:cs="Arial"/>
          <w:sz w:val="24"/>
          <w:szCs w:val="24"/>
        </w:rPr>
        <w:t>and reversed in 2018.</w:t>
      </w:r>
      <w:r w:rsidR="00DC3BE2">
        <w:rPr>
          <w:rFonts w:ascii="Arial" w:eastAsia="Times New Roman" w:hAnsi="Arial" w:cs="Arial"/>
          <w:sz w:val="24"/>
          <w:szCs w:val="24"/>
        </w:rPr>
        <w:t xml:space="preserve">  November and December 2017 true-ups are included in January and February 2018 CT1142.</w:t>
      </w:r>
    </w:p>
    <w:p w14:paraId="3A9A11F6" w14:textId="77777777" w:rsidR="00047967" w:rsidRPr="008D0254" w:rsidRDefault="00047967" w:rsidP="002B43E2">
      <w:pPr>
        <w:ind w:left="720"/>
        <w:rPr>
          <w:rFonts w:ascii="Arial" w:eastAsia="Times New Roman" w:hAnsi="Arial" w:cs="Arial"/>
          <w:sz w:val="24"/>
          <w:szCs w:val="24"/>
        </w:rPr>
      </w:pPr>
    </w:p>
    <w:p w14:paraId="43AFD2AC" w14:textId="77777777" w:rsidR="002B43E2" w:rsidRPr="008D0254" w:rsidRDefault="002B43E2" w:rsidP="002B43E2">
      <w:pPr>
        <w:ind w:left="720"/>
        <w:rPr>
          <w:rFonts w:ascii="Arial" w:eastAsia="Times New Roman" w:hAnsi="Arial" w:cs="Arial"/>
          <w:sz w:val="24"/>
          <w:szCs w:val="24"/>
        </w:rPr>
      </w:pPr>
      <w:r w:rsidRPr="008D0254">
        <w:rPr>
          <w:rFonts w:ascii="Arial" w:eastAsia="Times New Roman" w:hAnsi="Arial" w:cs="Arial"/>
          <w:sz w:val="24"/>
          <w:szCs w:val="24"/>
        </w:rPr>
        <w:t>e)  Yes all the 2017 related true-ups have been reflected in Veridian’s DVA Continuity Schedule.</w:t>
      </w:r>
    </w:p>
    <w:p w14:paraId="4B31F530" w14:textId="77777777" w:rsidR="00047967" w:rsidRPr="008D0254" w:rsidRDefault="00047967" w:rsidP="002B43E2">
      <w:pPr>
        <w:ind w:left="720"/>
        <w:rPr>
          <w:rFonts w:ascii="Arial" w:eastAsia="Times New Roman" w:hAnsi="Arial" w:cs="Arial"/>
          <w:sz w:val="24"/>
          <w:szCs w:val="24"/>
        </w:rPr>
      </w:pPr>
    </w:p>
    <w:p w14:paraId="56981112" w14:textId="0103D010" w:rsidR="002B43E2" w:rsidRPr="00B84896" w:rsidRDefault="002B43E2" w:rsidP="002B43E2">
      <w:pPr>
        <w:ind w:left="720"/>
        <w:rPr>
          <w:rFonts w:ascii="Arial" w:eastAsia="Times New Roman" w:hAnsi="Arial" w:cs="Arial"/>
          <w:sz w:val="24"/>
          <w:szCs w:val="24"/>
        </w:rPr>
      </w:pPr>
      <w:r w:rsidRPr="008D0254">
        <w:rPr>
          <w:rFonts w:ascii="Arial" w:eastAsia="Times New Roman" w:hAnsi="Arial" w:cs="Arial"/>
          <w:sz w:val="24"/>
          <w:szCs w:val="24"/>
        </w:rPr>
        <w:t>f)  The November and December true up has been included in column BD</w:t>
      </w:r>
      <w:r w:rsidR="00AE0E03" w:rsidRPr="008D0254">
        <w:rPr>
          <w:rFonts w:ascii="Arial" w:eastAsia="Times New Roman" w:hAnsi="Arial" w:cs="Arial"/>
          <w:sz w:val="24"/>
          <w:szCs w:val="24"/>
        </w:rPr>
        <w:t>-Transactions Debit</w:t>
      </w:r>
      <w:proofErr w:type="gramStart"/>
      <w:r w:rsidR="00AE0E03" w:rsidRPr="008D0254">
        <w:rPr>
          <w:rFonts w:ascii="Arial" w:eastAsia="Times New Roman" w:hAnsi="Arial" w:cs="Arial"/>
          <w:sz w:val="24"/>
          <w:szCs w:val="24"/>
        </w:rPr>
        <w:t>/(</w:t>
      </w:r>
      <w:proofErr w:type="gramEnd"/>
      <w:r w:rsidR="00AE0E03" w:rsidRPr="008D0254">
        <w:rPr>
          <w:rFonts w:ascii="Arial" w:eastAsia="Times New Roman" w:hAnsi="Arial" w:cs="Arial"/>
          <w:sz w:val="24"/>
          <w:szCs w:val="24"/>
        </w:rPr>
        <w:t>Credit) during 2017.</w:t>
      </w:r>
      <w:r w:rsidR="00F51552" w:rsidRPr="008D0254">
        <w:rPr>
          <w:rFonts w:ascii="Arial" w:eastAsia="Times New Roman" w:hAnsi="Arial" w:cs="Arial"/>
          <w:sz w:val="24"/>
          <w:szCs w:val="24"/>
        </w:rPr>
        <w:t xml:space="preserve">  The amount recorded for the accrual </w:t>
      </w:r>
      <w:r w:rsidR="00E31205">
        <w:rPr>
          <w:rFonts w:ascii="Arial" w:eastAsia="Times New Roman" w:hAnsi="Arial" w:cs="Arial"/>
          <w:sz w:val="24"/>
          <w:szCs w:val="24"/>
        </w:rPr>
        <w:t xml:space="preserve">in 1588 </w:t>
      </w:r>
      <w:r w:rsidR="00F51552" w:rsidRPr="008D0254">
        <w:rPr>
          <w:rFonts w:ascii="Arial" w:eastAsia="Times New Roman" w:hAnsi="Arial" w:cs="Arial"/>
          <w:sz w:val="24"/>
          <w:szCs w:val="24"/>
        </w:rPr>
        <w:t>is $</w:t>
      </w:r>
      <w:r w:rsidR="00AA1DD7">
        <w:rPr>
          <w:rFonts w:ascii="Arial" w:eastAsia="Times New Roman" w:hAnsi="Arial" w:cs="Arial"/>
          <w:sz w:val="24"/>
          <w:szCs w:val="24"/>
        </w:rPr>
        <w:t>(109,116.47)</w:t>
      </w:r>
      <w:r w:rsidR="00E31205">
        <w:rPr>
          <w:rFonts w:ascii="Arial" w:eastAsia="Times New Roman" w:hAnsi="Arial" w:cs="Arial"/>
          <w:sz w:val="24"/>
          <w:szCs w:val="24"/>
        </w:rPr>
        <w:t xml:space="preserve"> and the amount recorded for the accrual in 1589 is $</w:t>
      </w:r>
      <w:r w:rsidR="00AA1DD7">
        <w:rPr>
          <w:rFonts w:ascii="Arial" w:eastAsia="Times New Roman" w:hAnsi="Arial" w:cs="Arial"/>
          <w:sz w:val="24"/>
          <w:szCs w:val="24"/>
        </w:rPr>
        <w:t>548,767.12.</w:t>
      </w:r>
    </w:p>
    <w:p w14:paraId="22D3C931" w14:textId="77777777" w:rsidR="00037A0E" w:rsidRDefault="00037A0E" w:rsidP="00037A0E">
      <w:pPr>
        <w:spacing w:line="276" w:lineRule="auto"/>
        <w:rPr>
          <w:rFonts w:ascii="Arial" w:eastAsia="Times New Roman" w:hAnsi="Arial" w:cs="Arial"/>
          <w:sz w:val="24"/>
          <w:szCs w:val="24"/>
        </w:rPr>
      </w:pPr>
    </w:p>
    <w:p w14:paraId="31DA14A0" w14:textId="77777777" w:rsidR="00037A0E" w:rsidRPr="00BE05F6" w:rsidRDefault="00037A0E" w:rsidP="00037A0E">
      <w:pPr>
        <w:pStyle w:val="ListParagraph"/>
        <w:numPr>
          <w:ilvl w:val="0"/>
          <w:numId w:val="5"/>
        </w:numPr>
        <w:spacing w:after="0"/>
        <w:rPr>
          <w:rFonts w:ascii="Arial" w:eastAsia="Times New Roman" w:hAnsi="Arial" w:cs="Arial"/>
          <w:sz w:val="24"/>
          <w:szCs w:val="24"/>
        </w:rPr>
      </w:pPr>
      <w:r w:rsidRPr="00BE05F6">
        <w:rPr>
          <w:rFonts w:ascii="Arial" w:eastAsia="Times New Roman" w:hAnsi="Arial" w:cs="Arial"/>
          <w:sz w:val="24"/>
          <w:szCs w:val="24"/>
          <w:u w:val="single"/>
        </w:rPr>
        <w:t>Questions on CT 148</w:t>
      </w:r>
    </w:p>
    <w:p w14:paraId="1655FDF7" w14:textId="77777777" w:rsidR="00037A0E" w:rsidRDefault="00037A0E" w:rsidP="00037A0E">
      <w:pPr>
        <w:pStyle w:val="ListParagraph"/>
        <w:numPr>
          <w:ilvl w:val="0"/>
          <w:numId w:val="8"/>
        </w:numPr>
        <w:spacing w:after="0"/>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p>
    <w:p w14:paraId="7BFCBD46" w14:textId="77777777" w:rsidR="00037A0E" w:rsidRPr="005A539A" w:rsidRDefault="00037A0E" w:rsidP="00037A0E">
      <w:pPr>
        <w:pStyle w:val="ListParagraph"/>
        <w:numPr>
          <w:ilvl w:val="0"/>
          <w:numId w:val="8"/>
        </w:numPr>
        <w:spacing w:after="0"/>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14:paraId="29F630C0" w14:textId="77777777" w:rsidR="00037A0E" w:rsidRPr="00BE05F6"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14:paraId="64B8F536" w14:textId="77777777"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14:paraId="26A4130D" w14:textId="77777777"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Please indicate which months from 2017 were trued up in 2018 for CT 148 proportions between RPP and non-RPP.</w:t>
      </w:r>
    </w:p>
    <w:p w14:paraId="7F7BABEA" w14:textId="77777777"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 xml:space="preserve">Are all true-ups for 2017 consumption reflected in the DVA Continuity Schedule under </w:t>
      </w:r>
      <w:proofErr w:type="gramStart"/>
      <w:r>
        <w:rPr>
          <w:rFonts w:ascii="Arial" w:eastAsia="Times New Roman" w:hAnsi="Arial" w:cs="Arial"/>
          <w:sz w:val="24"/>
          <w:szCs w:val="24"/>
        </w:rPr>
        <w:t>2017.</w:t>
      </w:r>
      <w:proofErr w:type="gramEnd"/>
    </w:p>
    <w:p w14:paraId="467F3A2D" w14:textId="77777777" w:rsidR="00037A0E" w:rsidRDefault="00037A0E" w:rsidP="00037A0E">
      <w:pPr>
        <w:pStyle w:val="ListParagraph"/>
        <w:numPr>
          <w:ilvl w:val="0"/>
          <w:numId w:val="8"/>
        </w:numPr>
        <w:spacing w:after="0"/>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14:paraId="19E7A817" w14:textId="77777777" w:rsidR="00B84896" w:rsidRPr="008D0254" w:rsidRDefault="00B84896" w:rsidP="00B84896">
      <w:pPr>
        <w:rPr>
          <w:rFonts w:ascii="Arial" w:eastAsia="Times New Roman" w:hAnsi="Arial" w:cs="Arial"/>
          <w:b/>
          <w:sz w:val="24"/>
          <w:szCs w:val="24"/>
          <w:u w:val="single"/>
        </w:rPr>
      </w:pPr>
      <w:r w:rsidRPr="008D0254">
        <w:rPr>
          <w:rFonts w:ascii="Arial" w:eastAsia="Times New Roman" w:hAnsi="Arial" w:cs="Arial"/>
          <w:b/>
          <w:sz w:val="24"/>
          <w:szCs w:val="24"/>
          <w:u w:val="single"/>
        </w:rPr>
        <w:t>Veridian Response</w:t>
      </w:r>
    </w:p>
    <w:p w14:paraId="672848BA" w14:textId="77777777" w:rsidR="00F51552" w:rsidRPr="008D0254" w:rsidRDefault="00F51552" w:rsidP="00B84896">
      <w:pPr>
        <w:rPr>
          <w:rFonts w:ascii="Arial" w:eastAsia="Times New Roman" w:hAnsi="Arial" w:cs="Arial"/>
          <w:sz w:val="24"/>
          <w:szCs w:val="24"/>
        </w:rPr>
      </w:pPr>
      <w:r w:rsidRPr="008D0254">
        <w:rPr>
          <w:rFonts w:ascii="Arial" w:eastAsia="Times New Roman" w:hAnsi="Arial" w:cs="Arial"/>
          <w:sz w:val="24"/>
          <w:szCs w:val="24"/>
        </w:rPr>
        <w:tab/>
        <w:t>3a)  CT 148 is recorded in account 1589.</w:t>
      </w:r>
    </w:p>
    <w:p w14:paraId="0F7B07A0" w14:textId="77777777" w:rsidR="00C95C1B" w:rsidRPr="008D0254" w:rsidRDefault="00C95C1B" w:rsidP="00B84896">
      <w:pPr>
        <w:rPr>
          <w:rFonts w:ascii="Arial" w:eastAsia="Times New Roman" w:hAnsi="Arial" w:cs="Arial"/>
          <w:sz w:val="24"/>
          <w:szCs w:val="24"/>
        </w:rPr>
      </w:pPr>
    </w:p>
    <w:p w14:paraId="7DE048DB" w14:textId="4EDA2673" w:rsidR="006861AC" w:rsidRPr="008D0254" w:rsidRDefault="00F51552" w:rsidP="006861AC">
      <w:pPr>
        <w:ind w:left="720"/>
        <w:rPr>
          <w:rFonts w:ascii="Arial" w:eastAsia="Times New Roman" w:hAnsi="Arial" w:cs="Arial"/>
          <w:sz w:val="24"/>
          <w:szCs w:val="24"/>
        </w:rPr>
      </w:pPr>
      <w:r w:rsidRPr="008D0254">
        <w:rPr>
          <w:rFonts w:ascii="Arial" w:eastAsia="Times New Roman" w:hAnsi="Arial" w:cs="Arial"/>
          <w:sz w:val="24"/>
          <w:szCs w:val="24"/>
        </w:rPr>
        <w:t xml:space="preserve">b)  </w:t>
      </w:r>
      <w:r w:rsidR="006861AC" w:rsidRPr="008D0254">
        <w:rPr>
          <w:rFonts w:ascii="Arial" w:eastAsia="Times New Roman" w:hAnsi="Arial" w:cs="Arial"/>
          <w:sz w:val="24"/>
          <w:szCs w:val="24"/>
        </w:rPr>
        <w:t xml:space="preserve">CT 1142 includes the amount credited to 1589 for the RPP portion of GA based </w:t>
      </w:r>
      <w:proofErr w:type="gramStart"/>
      <w:r w:rsidR="006861AC" w:rsidRPr="008D0254">
        <w:rPr>
          <w:rFonts w:ascii="Arial" w:eastAsia="Times New Roman" w:hAnsi="Arial" w:cs="Arial"/>
          <w:sz w:val="24"/>
          <w:szCs w:val="24"/>
        </w:rPr>
        <w:t xml:space="preserve">on </w:t>
      </w:r>
      <w:r w:rsidR="006F0BAD" w:rsidRPr="008D0254">
        <w:rPr>
          <w:rFonts w:ascii="Arial" w:eastAsia="Times New Roman" w:hAnsi="Arial" w:cs="Arial"/>
          <w:sz w:val="24"/>
          <w:szCs w:val="24"/>
        </w:rPr>
        <w:t xml:space="preserve"> 2nd</w:t>
      </w:r>
      <w:proofErr w:type="gramEnd"/>
      <w:r w:rsidR="006F0BAD" w:rsidRPr="008D0254">
        <w:rPr>
          <w:rFonts w:ascii="Arial" w:eastAsia="Times New Roman" w:hAnsi="Arial" w:cs="Arial"/>
          <w:sz w:val="24"/>
          <w:szCs w:val="24"/>
        </w:rPr>
        <w:t xml:space="preserve"> </w:t>
      </w:r>
      <w:r w:rsidR="006861AC" w:rsidRPr="008D0254">
        <w:rPr>
          <w:rFonts w:ascii="Arial" w:eastAsia="Times New Roman" w:hAnsi="Arial" w:cs="Arial"/>
          <w:sz w:val="24"/>
          <w:szCs w:val="24"/>
        </w:rPr>
        <w:t>estimate</w:t>
      </w:r>
      <w:r w:rsidR="006F0BAD" w:rsidRPr="008D0254">
        <w:rPr>
          <w:rFonts w:ascii="Arial" w:eastAsia="Times New Roman" w:hAnsi="Arial" w:cs="Arial"/>
          <w:sz w:val="24"/>
          <w:szCs w:val="24"/>
        </w:rPr>
        <w:t xml:space="preserve"> GA rate</w:t>
      </w:r>
      <w:r w:rsidR="006861AC" w:rsidRPr="008D0254">
        <w:rPr>
          <w:rFonts w:ascii="Arial" w:eastAsia="Times New Roman" w:hAnsi="Arial" w:cs="Arial"/>
          <w:sz w:val="24"/>
          <w:szCs w:val="24"/>
        </w:rPr>
        <w:t xml:space="preserve">.   At year end, a true-up accrual is recorded </w:t>
      </w:r>
      <w:r w:rsidR="006861AC" w:rsidRPr="008D0254">
        <w:rPr>
          <w:rFonts w:ascii="Arial" w:eastAsia="Times New Roman" w:hAnsi="Arial" w:cs="Arial"/>
          <w:sz w:val="24"/>
          <w:szCs w:val="24"/>
        </w:rPr>
        <w:lastRenderedPageBreak/>
        <w:t xml:space="preserve">where settlement was originally based on </w:t>
      </w:r>
      <w:r w:rsidR="006F0BAD" w:rsidRPr="008D0254">
        <w:rPr>
          <w:rFonts w:ascii="Arial" w:eastAsia="Times New Roman" w:hAnsi="Arial" w:cs="Arial"/>
          <w:sz w:val="24"/>
          <w:szCs w:val="24"/>
        </w:rPr>
        <w:t>2</w:t>
      </w:r>
      <w:r w:rsidR="006F0BAD" w:rsidRPr="008D0254">
        <w:rPr>
          <w:rFonts w:ascii="Arial" w:eastAsia="Times New Roman" w:hAnsi="Arial" w:cs="Arial"/>
          <w:sz w:val="24"/>
          <w:szCs w:val="24"/>
          <w:vertAlign w:val="superscript"/>
        </w:rPr>
        <w:t>nd</w:t>
      </w:r>
      <w:r w:rsidR="006F0BAD" w:rsidRPr="008D0254">
        <w:rPr>
          <w:rFonts w:ascii="Arial" w:eastAsia="Times New Roman" w:hAnsi="Arial" w:cs="Arial"/>
          <w:sz w:val="24"/>
          <w:szCs w:val="24"/>
        </w:rPr>
        <w:t xml:space="preserve"> </w:t>
      </w:r>
      <w:r w:rsidR="006861AC" w:rsidRPr="008D0254">
        <w:rPr>
          <w:rFonts w:ascii="Arial" w:eastAsia="Times New Roman" w:hAnsi="Arial" w:cs="Arial"/>
          <w:sz w:val="24"/>
          <w:szCs w:val="24"/>
        </w:rPr>
        <w:t>estimate</w:t>
      </w:r>
      <w:r w:rsidR="006F0BAD" w:rsidRPr="008D0254">
        <w:rPr>
          <w:rFonts w:ascii="Arial" w:eastAsia="Times New Roman" w:hAnsi="Arial" w:cs="Arial"/>
          <w:sz w:val="24"/>
          <w:szCs w:val="24"/>
        </w:rPr>
        <w:t xml:space="preserve"> once the actual GA rate is available</w:t>
      </w:r>
      <w:r w:rsidR="006861AC" w:rsidRPr="008D0254">
        <w:rPr>
          <w:rFonts w:ascii="Arial" w:eastAsia="Times New Roman" w:hAnsi="Arial" w:cs="Arial"/>
          <w:sz w:val="24"/>
          <w:szCs w:val="24"/>
        </w:rPr>
        <w:t>.</w:t>
      </w:r>
    </w:p>
    <w:p w14:paraId="2058018E" w14:textId="7916CB46" w:rsidR="006861AC" w:rsidRPr="008D0254" w:rsidRDefault="006861AC" w:rsidP="006861AC">
      <w:pPr>
        <w:ind w:left="720"/>
        <w:rPr>
          <w:rFonts w:ascii="Arial" w:eastAsia="Times New Roman" w:hAnsi="Arial" w:cs="Arial"/>
          <w:sz w:val="24"/>
          <w:szCs w:val="24"/>
        </w:rPr>
      </w:pPr>
      <w:r w:rsidRPr="008D0254">
        <w:rPr>
          <w:rFonts w:ascii="Arial" w:eastAsia="Times New Roman" w:hAnsi="Arial" w:cs="Arial"/>
          <w:sz w:val="24"/>
          <w:szCs w:val="24"/>
        </w:rPr>
        <w:t>c)</w:t>
      </w:r>
      <w:r w:rsidR="00690165" w:rsidRPr="008D0254">
        <w:rPr>
          <w:rFonts w:ascii="Arial" w:eastAsia="Times New Roman" w:hAnsi="Arial" w:cs="Arial"/>
          <w:sz w:val="24"/>
          <w:szCs w:val="24"/>
        </w:rPr>
        <w:t xml:space="preserve"> The</w:t>
      </w:r>
      <w:r w:rsidR="00233330" w:rsidRPr="008D0254">
        <w:rPr>
          <w:rFonts w:ascii="Arial" w:eastAsia="Times New Roman" w:hAnsi="Arial" w:cs="Arial"/>
          <w:sz w:val="24"/>
          <w:szCs w:val="24"/>
        </w:rPr>
        <w:t xml:space="preserve"> initial</w:t>
      </w:r>
      <w:r w:rsidR="00690165" w:rsidRPr="008D0254">
        <w:rPr>
          <w:rFonts w:ascii="Arial" w:eastAsia="Times New Roman" w:hAnsi="Arial" w:cs="Arial"/>
          <w:sz w:val="24"/>
          <w:szCs w:val="24"/>
        </w:rPr>
        <w:t xml:space="preserve"> amount recorded in 1589 for GA is based on the IESO invoice</w:t>
      </w:r>
      <w:r w:rsidR="00233330" w:rsidRPr="008D0254">
        <w:rPr>
          <w:rFonts w:ascii="Arial" w:eastAsia="Times New Roman" w:hAnsi="Arial" w:cs="Arial"/>
          <w:sz w:val="24"/>
          <w:szCs w:val="24"/>
        </w:rPr>
        <w:t xml:space="preserve"> CT 148</w:t>
      </w:r>
      <w:r w:rsidR="00690165" w:rsidRPr="008D0254">
        <w:rPr>
          <w:rFonts w:ascii="Arial" w:eastAsia="Times New Roman" w:hAnsi="Arial" w:cs="Arial"/>
          <w:sz w:val="24"/>
          <w:szCs w:val="24"/>
        </w:rPr>
        <w:t>.  The RPP portion is adjusted through CT 1142</w:t>
      </w:r>
      <w:r w:rsidR="00233330" w:rsidRPr="008D0254">
        <w:rPr>
          <w:rFonts w:ascii="Arial" w:eastAsia="Times New Roman" w:hAnsi="Arial" w:cs="Arial"/>
          <w:sz w:val="24"/>
          <w:szCs w:val="24"/>
        </w:rPr>
        <w:t xml:space="preserve"> and the remainder in account 1589 is actual non-RPP volumes</w:t>
      </w:r>
      <w:r w:rsidR="00690165" w:rsidRPr="008D0254">
        <w:rPr>
          <w:rFonts w:ascii="Arial" w:eastAsia="Times New Roman" w:hAnsi="Arial" w:cs="Arial"/>
          <w:sz w:val="24"/>
          <w:szCs w:val="24"/>
        </w:rPr>
        <w:t>.</w:t>
      </w:r>
    </w:p>
    <w:p w14:paraId="6B407222" w14:textId="77777777" w:rsidR="00400950" w:rsidRPr="008D0254" w:rsidRDefault="00400950" w:rsidP="006861AC">
      <w:pPr>
        <w:ind w:left="720"/>
        <w:rPr>
          <w:rFonts w:ascii="Arial" w:eastAsia="Times New Roman" w:hAnsi="Arial" w:cs="Arial"/>
          <w:sz w:val="24"/>
          <w:szCs w:val="24"/>
        </w:rPr>
      </w:pPr>
    </w:p>
    <w:p w14:paraId="2267827B" w14:textId="7DF2EFF0" w:rsidR="00F51552" w:rsidRPr="008D0254" w:rsidRDefault="006861AC" w:rsidP="006861AC">
      <w:pPr>
        <w:ind w:left="720"/>
        <w:rPr>
          <w:rFonts w:ascii="Arial" w:eastAsia="Times New Roman" w:hAnsi="Arial" w:cs="Arial"/>
          <w:sz w:val="24"/>
          <w:szCs w:val="24"/>
        </w:rPr>
      </w:pPr>
      <w:r w:rsidRPr="008D0254">
        <w:rPr>
          <w:rFonts w:ascii="Arial" w:eastAsia="Times New Roman" w:hAnsi="Arial" w:cs="Arial"/>
          <w:sz w:val="24"/>
          <w:szCs w:val="24"/>
        </w:rPr>
        <w:t xml:space="preserve">d) </w:t>
      </w:r>
      <w:r w:rsidR="00690165" w:rsidRPr="008D0254">
        <w:rPr>
          <w:rFonts w:ascii="Arial" w:eastAsia="Times New Roman" w:hAnsi="Arial" w:cs="Arial"/>
          <w:sz w:val="24"/>
          <w:szCs w:val="24"/>
        </w:rPr>
        <w:t xml:space="preserve">The initial recording of CT 148 is allocated to 1589.  CT 1142 records the true up of RPP portion and this is based on </w:t>
      </w:r>
      <w:r w:rsidR="0009243A" w:rsidRPr="008D0254">
        <w:rPr>
          <w:rFonts w:ascii="Arial" w:eastAsia="Times New Roman" w:hAnsi="Arial" w:cs="Arial"/>
          <w:sz w:val="24"/>
          <w:szCs w:val="24"/>
        </w:rPr>
        <w:t>actual volumes.</w:t>
      </w:r>
    </w:p>
    <w:p w14:paraId="78057389" w14:textId="77777777" w:rsidR="00400950" w:rsidRPr="008D0254" w:rsidRDefault="00400950" w:rsidP="006861AC">
      <w:pPr>
        <w:ind w:left="720"/>
        <w:rPr>
          <w:rFonts w:ascii="Arial" w:eastAsia="Times New Roman" w:hAnsi="Arial" w:cs="Arial"/>
          <w:sz w:val="24"/>
          <w:szCs w:val="24"/>
        </w:rPr>
      </w:pPr>
    </w:p>
    <w:p w14:paraId="0BAE3BB4" w14:textId="5F10634A" w:rsidR="00DC3BE2" w:rsidRPr="008D0254" w:rsidRDefault="006A1833" w:rsidP="00DC3BE2">
      <w:pPr>
        <w:ind w:left="720"/>
        <w:rPr>
          <w:rFonts w:ascii="Arial" w:eastAsia="Times New Roman" w:hAnsi="Arial" w:cs="Arial"/>
          <w:sz w:val="24"/>
          <w:szCs w:val="24"/>
        </w:rPr>
      </w:pPr>
      <w:proofErr w:type="gramStart"/>
      <w:r w:rsidRPr="008D0254">
        <w:rPr>
          <w:rFonts w:ascii="Arial" w:eastAsia="Times New Roman" w:hAnsi="Arial" w:cs="Arial"/>
          <w:sz w:val="24"/>
          <w:szCs w:val="24"/>
        </w:rPr>
        <w:t>e</w:t>
      </w:r>
      <w:proofErr w:type="gramEnd"/>
      <w:r w:rsidRPr="008D0254">
        <w:rPr>
          <w:rFonts w:ascii="Arial" w:eastAsia="Times New Roman" w:hAnsi="Arial" w:cs="Arial"/>
          <w:sz w:val="24"/>
          <w:szCs w:val="24"/>
        </w:rPr>
        <w:t xml:space="preserve">)  </w:t>
      </w:r>
      <w:r w:rsidR="00BD3257" w:rsidRPr="008D0254">
        <w:rPr>
          <w:rFonts w:ascii="Arial" w:eastAsia="Times New Roman" w:hAnsi="Arial" w:cs="Arial"/>
          <w:sz w:val="24"/>
          <w:szCs w:val="24"/>
        </w:rPr>
        <w:t>Accruals for November and December true ups were recorded in Dec 2017</w:t>
      </w:r>
      <w:r w:rsidR="00DC3BE2" w:rsidRPr="00DC3BE2">
        <w:rPr>
          <w:rFonts w:ascii="Arial" w:eastAsia="Times New Roman" w:hAnsi="Arial" w:cs="Arial"/>
          <w:sz w:val="24"/>
          <w:szCs w:val="24"/>
        </w:rPr>
        <w:t xml:space="preserve"> </w:t>
      </w:r>
      <w:r w:rsidR="00DC3BE2" w:rsidRPr="008D0254">
        <w:rPr>
          <w:rFonts w:ascii="Arial" w:eastAsia="Times New Roman" w:hAnsi="Arial" w:cs="Arial"/>
          <w:sz w:val="24"/>
          <w:szCs w:val="24"/>
        </w:rPr>
        <w:t>and reversed in 2018.</w:t>
      </w:r>
      <w:r w:rsidR="00DC3BE2">
        <w:rPr>
          <w:rFonts w:ascii="Arial" w:eastAsia="Times New Roman" w:hAnsi="Arial" w:cs="Arial"/>
          <w:sz w:val="24"/>
          <w:szCs w:val="24"/>
        </w:rPr>
        <w:t xml:space="preserve">  November and December 2017 true-ups are included in January and February 2018 CT1142.</w:t>
      </w:r>
    </w:p>
    <w:p w14:paraId="042E3A38" w14:textId="74098AED" w:rsidR="006A1833" w:rsidRPr="008D0254" w:rsidRDefault="006A1833" w:rsidP="006861AC">
      <w:pPr>
        <w:ind w:left="720"/>
        <w:rPr>
          <w:rFonts w:ascii="Arial" w:eastAsia="Times New Roman" w:hAnsi="Arial" w:cs="Arial"/>
          <w:sz w:val="24"/>
          <w:szCs w:val="24"/>
        </w:rPr>
      </w:pPr>
    </w:p>
    <w:p w14:paraId="7C7C3C19" w14:textId="77777777" w:rsidR="00400950" w:rsidRPr="008D0254" w:rsidRDefault="00400950" w:rsidP="006861AC">
      <w:pPr>
        <w:ind w:left="720"/>
        <w:rPr>
          <w:rFonts w:ascii="Arial" w:eastAsia="Times New Roman" w:hAnsi="Arial" w:cs="Arial"/>
          <w:sz w:val="24"/>
          <w:szCs w:val="24"/>
        </w:rPr>
      </w:pPr>
    </w:p>
    <w:p w14:paraId="451A8F68" w14:textId="2D239478" w:rsidR="00BD3257" w:rsidRPr="008D0254" w:rsidRDefault="00BD3257" w:rsidP="006861AC">
      <w:pPr>
        <w:ind w:left="720"/>
        <w:rPr>
          <w:rFonts w:ascii="Arial" w:eastAsia="Times New Roman" w:hAnsi="Arial" w:cs="Arial"/>
          <w:sz w:val="24"/>
          <w:szCs w:val="24"/>
        </w:rPr>
      </w:pPr>
      <w:r w:rsidRPr="008D0254">
        <w:rPr>
          <w:rFonts w:ascii="Arial" w:eastAsia="Times New Roman" w:hAnsi="Arial" w:cs="Arial"/>
          <w:sz w:val="24"/>
          <w:szCs w:val="24"/>
        </w:rPr>
        <w:t>f)  Yes</w:t>
      </w:r>
      <w:r w:rsidR="00E31205">
        <w:rPr>
          <w:rFonts w:ascii="Arial" w:eastAsia="Times New Roman" w:hAnsi="Arial" w:cs="Arial"/>
          <w:sz w:val="24"/>
          <w:szCs w:val="24"/>
        </w:rPr>
        <w:t xml:space="preserve"> all true-ups for 2017 are reflected in </w:t>
      </w:r>
      <w:proofErr w:type="spellStart"/>
      <w:r w:rsidR="00E31205">
        <w:rPr>
          <w:rFonts w:ascii="Arial" w:eastAsia="Times New Roman" w:hAnsi="Arial" w:cs="Arial"/>
          <w:sz w:val="24"/>
          <w:szCs w:val="24"/>
        </w:rPr>
        <w:t>theDVA</w:t>
      </w:r>
      <w:proofErr w:type="spellEnd"/>
      <w:r w:rsidR="00E31205">
        <w:rPr>
          <w:rFonts w:ascii="Arial" w:eastAsia="Times New Roman" w:hAnsi="Arial" w:cs="Arial"/>
          <w:sz w:val="24"/>
          <w:szCs w:val="24"/>
        </w:rPr>
        <w:t xml:space="preserve"> Continuity Schedule under 2017.</w:t>
      </w:r>
    </w:p>
    <w:p w14:paraId="26FC5A3B" w14:textId="77777777" w:rsidR="00400950" w:rsidRPr="0052190C" w:rsidRDefault="00400950" w:rsidP="006861AC">
      <w:pPr>
        <w:ind w:left="720"/>
        <w:rPr>
          <w:rFonts w:ascii="Arial" w:eastAsia="Times New Roman" w:hAnsi="Arial" w:cs="Arial"/>
          <w:sz w:val="24"/>
          <w:szCs w:val="24"/>
          <w:highlight w:val="yellow"/>
        </w:rPr>
      </w:pPr>
    </w:p>
    <w:p w14:paraId="3A1E4DEB" w14:textId="65FF284D" w:rsidR="00BD3257" w:rsidRPr="00E31205" w:rsidRDefault="00BD3257" w:rsidP="006861AC">
      <w:pPr>
        <w:ind w:left="720"/>
        <w:rPr>
          <w:rFonts w:ascii="Arial" w:eastAsia="Times New Roman" w:hAnsi="Arial" w:cs="Arial"/>
          <w:sz w:val="24"/>
          <w:szCs w:val="24"/>
        </w:rPr>
      </w:pPr>
      <w:r w:rsidRPr="00E31205">
        <w:rPr>
          <w:rFonts w:ascii="Arial" w:eastAsia="Times New Roman" w:hAnsi="Arial" w:cs="Arial"/>
          <w:sz w:val="24"/>
          <w:szCs w:val="24"/>
        </w:rPr>
        <w:t xml:space="preserve">g) </w:t>
      </w:r>
      <w:r w:rsidR="00E31205" w:rsidRPr="00E31205">
        <w:rPr>
          <w:rFonts w:ascii="Arial" w:eastAsia="Times New Roman" w:hAnsi="Arial" w:cs="Arial"/>
          <w:sz w:val="24"/>
          <w:szCs w:val="24"/>
        </w:rPr>
        <w:t>The accrual true up booked to account 1588 for November and December is $</w:t>
      </w:r>
      <w:r w:rsidR="00AA1DD7">
        <w:rPr>
          <w:rFonts w:ascii="Arial" w:eastAsia="Times New Roman" w:hAnsi="Arial" w:cs="Arial"/>
          <w:sz w:val="24"/>
          <w:szCs w:val="24"/>
        </w:rPr>
        <w:t>(109,116.47)</w:t>
      </w:r>
      <w:r w:rsidR="00E31205" w:rsidRPr="00E31205">
        <w:rPr>
          <w:rFonts w:ascii="Arial" w:eastAsia="Times New Roman" w:hAnsi="Arial" w:cs="Arial"/>
          <w:sz w:val="24"/>
          <w:szCs w:val="24"/>
        </w:rPr>
        <w:t>.  The accrual true up booked to account 1589</w:t>
      </w:r>
      <w:r w:rsidR="00AA1DD7">
        <w:rPr>
          <w:rFonts w:ascii="Arial" w:eastAsia="Times New Roman" w:hAnsi="Arial" w:cs="Arial"/>
          <w:sz w:val="24"/>
          <w:szCs w:val="24"/>
        </w:rPr>
        <w:t xml:space="preserve"> for November and December is $548,767.12.</w:t>
      </w:r>
      <w:r w:rsidR="00DC3BE2">
        <w:rPr>
          <w:rFonts w:ascii="Arial" w:eastAsia="Times New Roman" w:hAnsi="Arial" w:cs="Arial"/>
          <w:sz w:val="24"/>
          <w:szCs w:val="24"/>
        </w:rPr>
        <w:t xml:space="preserve"> Both true up accruals have</w:t>
      </w:r>
      <w:r w:rsidR="00DC3BE2" w:rsidRPr="008D0254">
        <w:rPr>
          <w:rFonts w:ascii="Arial" w:eastAsia="Times New Roman" w:hAnsi="Arial" w:cs="Arial"/>
          <w:sz w:val="24"/>
          <w:szCs w:val="24"/>
        </w:rPr>
        <w:t xml:space="preserve"> been included in column BD-Transactions Debit</w:t>
      </w:r>
      <w:proofErr w:type="gramStart"/>
      <w:r w:rsidR="00DC3BE2" w:rsidRPr="008D0254">
        <w:rPr>
          <w:rFonts w:ascii="Arial" w:eastAsia="Times New Roman" w:hAnsi="Arial" w:cs="Arial"/>
          <w:sz w:val="24"/>
          <w:szCs w:val="24"/>
        </w:rPr>
        <w:t>/(</w:t>
      </w:r>
      <w:proofErr w:type="gramEnd"/>
      <w:r w:rsidR="00DC3BE2" w:rsidRPr="008D0254">
        <w:rPr>
          <w:rFonts w:ascii="Arial" w:eastAsia="Times New Roman" w:hAnsi="Arial" w:cs="Arial"/>
          <w:sz w:val="24"/>
          <w:szCs w:val="24"/>
        </w:rPr>
        <w:t>Credit) during 2017.</w:t>
      </w:r>
    </w:p>
    <w:p w14:paraId="37A00AF6" w14:textId="77777777" w:rsidR="00037A0E" w:rsidRPr="00E31205" w:rsidRDefault="00037A0E" w:rsidP="00037A0E">
      <w:pPr>
        <w:pStyle w:val="ListParagraph"/>
        <w:spacing w:after="0"/>
        <w:ind w:left="1440"/>
        <w:rPr>
          <w:rFonts w:ascii="Arial" w:eastAsia="Times New Roman" w:hAnsi="Arial" w:cs="Arial"/>
          <w:sz w:val="24"/>
          <w:szCs w:val="24"/>
        </w:rPr>
      </w:pPr>
    </w:p>
    <w:p w14:paraId="11D14A00" w14:textId="77777777" w:rsidR="00037A0E" w:rsidRDefault="00037A0E" w:rsidP="00037A0E">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14:paraId="2510922E" w14:textId="77777777" w:rsidR="00037A0E" w:rsidRDefault="00037A0E" w:rsidP="00037A0E">
      <w:pPr>
        <w:spacing w:line="276" w:lineRule="auto"/>
        <w:ind w:left="720"/>
        <w:rPr>
          <w:rFonts w:ascii="Arial" w:eastAsia="Times New Roman" w:hAnsi="Arial" w:cs="Arial"/>
          <w:sz w:val="24"/>
          <w:szCs w:val="24"/>
        </w:rPr>
      </w:pPr>
    </w:p>
    <w:p w14:paraId="07C4C0B0" w14:textId="77777777" w:rsidR="00037A0E" w:rsidRPr="00550838" w:rsidRDefault="00037A0E" w:rsidP="00037A0E">
      <w:pPr>
        <w:spacing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Accounts 1588 and 1589</w:t>
      </w:r>
    </w:p>
    <w:p w14:paraId="2220C87A"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Did the applicant have principal adjustments in its 2018 rate proceeding which were approved for disposition?</w:t>
      </w:r>
    </w:p>
    <w:p w14:paraId="5EB7AE0F"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Please provide a break-down of the total amount of principal adjustments that were approved (e.g. true-up of unbilled (for 1589 only), true up of CT 1142, true up of CT 148 etc.).</w:t>
      </w:r>
    </w:p>
    <w:p w14:paraId="479D6910"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Has the applicant reversed the adjustment approved in 2018 in its current proposed amount for disposition?</w:t>
      </w:r>
    </w:p>
    <w:p w14:paraId="7CD46F10"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14:paraId="7CB5BA5C"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14:paraId="62BB5DDF" w14:textId="77777777" w:rsidR="00037A0E" w:rsidRDefault="00037A0E" w:rsidP="00037A0E">
      <w:pPr>
        <w:pStyle w:val="ListParagraph"/>
        <w:numPr>
          <w:ilvl w:val="0"/>
          <w:numId w:val="7"/>
        </w:numPr>
        <w:spacing w:after="0"/>
        <w:rPr>
          <w:rFonts w:ascii="Arial" w:eastAsia="Times New Roman" w:hAnsi="Arial" w:cs="Arial"/>
          <w:sz w:val="24"/>
          <w:szCs w:val="24"/>
        </w:rPr>
      </w:pPr>
      <w:r w:rsidRPr="00037A0E">
        <w:rPr>
          <w:rFonts w:ascii="Arial" w:eastAsia="Times New Roman" w:hAnsi="Arial" w:cs="Arial"/>
          <w:sz w:val="24"/>
          <w:szCs w:val="24"/>
        </w:rPr>
        <w:t xml:space="preserve">Please confirm that the principal adjustments shown on the DVA Continuity Schedule are reflected in the GL transactions. As an example, the unbilled to actual true-up for 1589 would already be reflected in the </w:t>
      </w:r>
      <w:r w:rsidRPr="00037A0E">
        <w:rPr>
          <w:rFonts w:ascii="Arial" w:eastAsia="Times New Roman" w:hAnsi="Arial" w:cs="Arial"/>
          <w:sz w:val="24"/>
          <w:szCs w:val="24"/>
        </w:rPr>
        <w:lastRenderedPageBreak/>
        <w:t>applicant’s GL in the normal course of business. However, if a principal adjustment related to proportions between 1588 and 1589 was made, applicant must ensure that the GL reflects the movement between the two accounts.</w:t>
      </w:r>
    </w:p>
    <w:p w14:paraId="490D16FE" w14:textId="77777777" w:rsidR="00B84896" w:rsidRDefault="00B84896" w:rsidP="00B84896">
      <w:pPr>
        <w:pStyle w:val="ListParagraph"/>
        <w:spacing w:after="0"/>
        <w:ind w:left="1440"/>
        <w:rPr>
          <w:rFonts w:ascii="Arial" w:eastAsia="Times New Roman" w:hAnsi="Arial" w:cs="Arial"/>
          <w:sz w:val="24"/>
          <w:szCs w:val="24"/>
        </w:rPr>
      </w:pPr>
    </w:p>
    <w:p w14:paraId="7982D5B2" w14:textId="71870C48" w:rsidR="00D903B5" w:rsidRDefault="00B84896" w:rsidP="00B84896">
      <w:pPr>
        <w:rPr>
          <w:rFonts w:ascii="Arial" w:eastAsia="Times New Roman" w:hAnsi="Arial" w:cs="Arial"/>
          <w:b/>
          <w:sz w:val="24"/>
          <w:szCs w:val="24"/>
          <w:u w:val="single"/>
        </w:rPr>
      </w:pPr>
      <w:r w:rsidRPr="008D0254">
        <w:rPr>
          <w:rFonts w:ascii="Arial" w:eastAsia="Times New Roman" w:hAnsi="Arial" w:cs="Arial"/>
          <w:b/>
          <w:sz w:val="24"/>
          <w:szCs w:val="24"/>
          <w:u w:val="single"/>
        </w:rPr>
        <w:t>Veridian Response</w:t>
      </w:r>
    </w:p>
    <w:p w14:paraId="44A888A2" w14:textId="77777777" w:rsidR="00E31205" w:rsidRDefault="00E31205" w:rsidP="00E31205">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Yes Veridian had differences between accrued unbilled revenue in Dec 2015 and actual revenue billed in 2016.</w:t>
      </w:r>
    </w:p>
    <w:p w14:paraId="561B11C4" w14:textId="603F1A4C" w:rsidR="00735659" w:rsidRDefault="005D7080" w:rsidP="00E31205">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Veridian has not quantified the principal difference in the 2018 rate proceeding</w:t>
      </w:r>
      <w:r w:rsidR="00EB686D">
        <w:rPr>
          <w:rFonts w:ascii="Arial" w:eastAsia="Times New Roman" w:hAnsi="Arial" w:cs="Arial"/>
          <w:sz w:val="24"/>
          <w:szCs w:val="24"/>
        </w:rPr>
        <w:t xml:space="preserve"> for unbilled differences</w:t>
      </w:r>
      <w:r>
        <w:rPr>
          <w:rFonts w:ascii="Arial" w:eastAsia="Times New Roman" w:hAnsi="Arial" w:cs="Arial"/>
          <w:sz w:val="24"/>
          <w:szCs w:val="24"/>
        </w:rPr>
        <w:t>.  This will require significant work to do so.</w:t>
      </w:r>
    </w:p>
    <w:p w14:paraId="75092417" w14:textId="4BECB343" w:rsidR="00735659" w:rsidRDefault="00735659" w:rsidP="00E31205">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Veridian has not reversed the adjustment approved in 20</w:t>
      </w:r>
      <w:r w:rsidR="005D7080">
        <w:rPr>
          <w:rFonts w:ascii="Arial" w:eastAsia="Times New Roman" w:hAnsi="Arial" w:cs="Arial"/>
          <w:sz w:val="24"/>
          <w:szCs w:val="24"/>
        </w:rPr>
        <w:t xml:space="preserve">18 in </w:t>
      </w:r>
      <w:proofErr w:type="spellStart"/>
      <w:proofErr w:type="gramStart"/>
      <w:r w:rsidR="005D7080">
        <w:rPr>
          <w:rFonts w:ascii="Arial" w:eastAsia="Times New Roman" w:hAnsi="Arial" w:cs="Arial"/>
          <w:sz w:val="24"/>
          <w:szCs w:val="24"/>
        </w:rPr>
        <w:t>it’s</w:t>
      </w:r>
      <w:proofErr w:type="spellEnd"/>
      <w:proofErr w:type="gramEnd"/>
      <w:r w:rsidR="005D7080">
        <w:rPr>
          <w:rFonts w:ascii="Arial" w:eastAsia="Times New Roman" w:hAnsi="Arial" w:cs="Arial"/>
          <w:sz w:val="24"/>
          <w:szCs w:val="24"/>
        </w:rPr>
        <w:t xml:space="preserve"> current application</w:t>
      </w:r>
      <w:r w:rsidR="00580A13">
        <w:rPr>
          <w:rFonts w:ascii="Arial" w:eastAsia="Times New Roman" w:hAnsi="Arial" w:cs="Arial"/>
          <w:sz w:val="24"/>
          <w:szCs w:val="24"/>
        </w:rPr>
        <w:t xml:space="preserve"> as it has not been included in the previous rate proceeding</w:t>
      </w:r>
      <w:r w:rsidR="005D7080">
        <w:rPr>
          <w:rFonts w:ascii="Arial" w:eastAsia="Times New Roman" w:hAnsi="Arial" w:cs="Arial"/>
          <w:sz w:val="24"/>
          <w:szCs w:val="24"/>
        </w:rPr>
        <w:t>.  Veridian is not proposing disposition of Group 1 variances in this application.</w:t>
      </w:r>
    </w:p>
    <w:p w14:paraId="64EF08AF" w14:textId="5197B9BD" w:rsidR="008D0254" w:rsidRDefault="00E31205" w:rsidP="00E31205">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 </w:t>
      </w:r>
      <w:r w:rsidR="00580A13">
        <w:rPr>
          <w:rFonts w:ascii="Arial" w:eastAsia="Times New Roman" w:hAnsi="Arial" w:cs="Arial"/>
          <w:sz w:val="24"/>
          <w:szCs w:val="24"/>
        </w:rPr>
        <w:t>Veridian does not have any principal adjustment</w:t>
      </w:r>
      <w:r w:rsidR="002954C5">
        <w:rPr>
          <w:rFonts w:ascii="Arial" w:eastAsia="Times New Roman" w:hAnsi="Arial" w:cs="Arial"/>
          <w:sz w:val="24"/>
          <w:szCs w:val="24"/>
        </w:rPr>
        <w:t>s for unbilled revenue</w:t>
      </w:r>
      <w:r w:rsidR="00580A13">
        <w:rPr>
          <w:rFonts w:ascii="Arial" w:eastAsia="Times New Roman" w:hAnsi="Arial" w:cs="Arial"/>
          <w:sz w:val="24"/>
          <w:szCs w:val="24"/>
        </w:rPr>
        <w:t xml:space="preserve"> included in the DVA Continuity Schedule for the current rate proceeding.</w:t>
      </w:r>
    </w:p>
    <w:p w14:paraId="1A0241C1" w14:textId="0FC19ACA" w:rsidR="006708B9" w:rsidRDefault="00580A13" w:rsidP="00E31205">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n/a</w:t>
      </w:r>
      <w:bookmarkStart w:id="0" w:name="_GoBack"/>
      <w:bookmarkEnd w:id="0"/>
    </w:p>
    <w:p w14:paraId="0CAD7CD5" w14:textId="2E8FEA89" w:rsidR="006708B9" w:rsidRPr="00E31205" w:rsidRDefault="00580A13" w:rsidP="00E31205">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n/a</w:t>
      </w:r>
    </w:p>
    <w:sectPr w:rsidR="006708B9" w:rsidRPr="00E312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74B6" w14:textId="77777777" w:rsidR="00037A0E" w:rsidRDefault="00037A0E" w:rsidP="00037A0E">
      <w:r>
        <w:separator/>
      </w:r>
    </w:p>
  </w:endnote>
  <w:endnote w:type="continuationSeparator" w:id="0">
    <w:p w14:paraId="33078A9D" w14:textId="77777777" w:rsidR="00037A0E" w:rsidRDefault="00037A0E" w:rsidP="0003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00521"/>
      <w:docPartObj>
        <w:docPartGallery w:val="Page Numbers (Bottom of Page)"/>
        <w:docPartUnique/>
      </w:docPartObj>
    </w:sdtPr>
    <w:sdtEndPr>
      <w:rPr>
        <w:noProof/>
      </w:rPr>
    </w:sdtEndPr>
    <w:sdtContent>
      <w:p w14:paraId="7378B3CE" w14:textId="77777777" w:rsidR="00037A0E" w:rsidRDefault="00037A0E">
        <w:pPr>
          <w:pStyle w:val="Footer"/>
          <w:jc w:val="center"/>
        </w:pPr>
        <w:r>
          <w:fldChar w:fldCharType="begin"/>
        </w:r>
        <w:r>
          <w:instrText xml:space="preserve"> PAGE   \* MERGEFORMAT </w:instrText>
        </w:r>
        <w:r>
          <w:fldChar w:fldCharType="separate"/>
        </w:r>
        <w:r w:rsidR="002954C5">
          <w:rPr>
            <w:noProof/>
          </w:rPr>
          <w:t>3</w:t>
        </w:r>
        <w:r>
          <w:rPr>
            <w:noProof/>
          </w:rPr>
          <w:fldChar w:fldCharType="end"/>
        </w:r>
      </w:p>
    </w:sdtContent>
  </w:sdt>
  <w:p w14:paraId="7896E1FD" w14:textId="77777777" w:rsidR="00037A0E" w:rsidRDefault="00037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99F51" w14:textId="77777777" w:rsidR="00037A0E" w:rsidRDefault="00037A0E" w:rsidP="00037A0E">
      <w:r>
        <w:separator/>
      </w:r>
    </w:p>
  </w:footnote>
  <w:footnote w:type="continuationSeparator" w:id="0">
    <w:p w14:paraId="47217FF0" w14:textId="77777777" w:rsidR="00037A0E" w:rsidRDefault="00037A0E" w:rsidP="00037A0E">
      <w:r>
        <w:continuationSeparator/>
      </w:r>
    </w:p>
  </w:footnote>
  <w:footnote w:id="1">
    <w:p w14:paraId="6345E89B" w14:textId="77777777" w:rsidR="00037A0E" w:rsidRPr="00CF0A8B" w:rsidRDefault="00037A0E" w:rsidP="00037A0E">
      <w:pPr>
        <w:spacing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 xml:space="preserve">In all references in the questions relating to amounts booked to accounts 1588 and 1589, amounts are not booked directly to accounts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1588 and 1589 relating to power purchase transactions, but are rather booked to the cost of power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4705 Power Purchased, and 4707, Charges – Global Adjustment, respectively. However, accounts 1588 and 1589 are impacted the same way as account 4705 and 4707 are for cost of power transactions.</w:t>
      </w:r>
    </w:p>
    <w:p w14:paraId="0BF96F08" w14:textId="77777777" w:rsidR="00037A0E" w:rsidRDefault="00037A0E" w:rsidP="00037A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6FF2"/>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21AF2"/>
    <w:multiLevelType w:val="hybridMultilevel"/>
    <w:tmpl w:val="EECA7FC8"/>
    <w:lvl w:ilvl="0" w:tplc="BA84DF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893C30"/>
    <w:multiLevelType w:val="hybridMultilevel"/>
    <w:tmpl w:val="0ABE9EF2"/>
    <w:lvl w:ilvl="0" w:tplc="63E82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363B7"/>
    <w:multiLevelType w:val="hybridMultilevel"/>
    <w:tmpl w:val="6792A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2ABE"/>
    <w:multiLevelType w:val="hybridMultilevel"/>
    <w:tmpl w:val="DC90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47161"/>
    <w:multiLevelType w:val="hybridMultilevel"/>
    <w:tmpl w:val="DF266660"/>
    <w:lvl w:ilvl="0" w:tplc="EDFA0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5B0166"/>
    <w:multiLevelType w:val="hybridMultilevel"/>
    <w:tmpl w:val="58448A56"/>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22084A"/>
    <w:multiLevelType w:val="hybridMultilevel"/>
    <w:tmpl w:val="E34A5094"/>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5"/>
  </w:num>
  <w:num w:numId="3">
    <w:abstractNumId w:val="4"/>
  </w:num>
  <w:num w:numId="4">
    <w:abstractNumId w:val="1"/>
  </w:num>
  <w:num w:numId="5">
    <w:abstractNumId w:val="3"/>
  </w:num>
  <w:num w:numId="6">
    <w:abstractNumId w:val="6"/>
  </w:num>
  <w:num w:numId="7">
    <w:abstractNumId w:val="9"/>
  </w:num>
  <w:num w:numId="8">
    <w:abstractNumId w:val="7"/>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15"/>
    <w:rsid w:val="00002AC9"/>
    <w:rsid w:val="00004C23"/>
    <w:rsid w:val="00021967"/>
    <w:rsid w:val="00025AFE"/>
    <w:rsid w:val="00037A0E"/>
    <w:rsid w:val="00047967"/>
    <w:rsid w:val="0009243A"/>
    <w:rsid w:val="000C2283"/>
    <w:rsid w:val="000C4A7B"/>
    <w:rsid w:val="000F5A6B"/>
    <w:rsid w:val="001D1ED6"/>
    <w:rsid w:val="00233330"/>
    <w:rsid w:val="002954C5"/>
    <w:rsid w:val="002B43E2"/>
    <w:rsid w:val="002D7125"/>
    <w:rsid w:val="00395A64"/>
    <w:rsid w:val="00400950"/>
    <w:rsid w:val="004E0B41"/>
    <w:rsid w:val="0052190C"/>
    <w:rsid w:val="00580A13"/>
    <w:rsid w:val="005A6CE2"/>
    <w:rsid w:val="005D7080"/>
    <w:rsid w:val="006708B9"/>
    <w:rsid w:val="006861AC"/>
    <w:rsid w:val="00690165"/>
    <w:rsid w:val="006A1833"/>
    <w:rsid w:val="006F0BAD"/>
    <w:rsid w:val="00732C8B"/>
    <w:rsid w:val="00735659"/>
    <w:rsid w:val="007B6C98"/>
    <w:rsid w:val="0081318B"/>
    <w:rsid w:val="008D0254"/>
    <w:rsid w:val="00A1158A"/>
    <w:rsid w:val="00AA1DD7"/>
    <w:rsid w:val="00AC342E"/>
    <w:rsid w:val="00AE0E03"/>
    <w:rsid w:val="00AE44A8"/>
    <w:rsid w:val="00B25A8E"/>
    <w:rsid w:val="00B84896"/>
    <w:rsid w:val="00BD3257"/>
    <w:rsid w:val="00BF3060"/>
    <w:rsid w:val="00C95C1B"/>
    <w:rsid w:val="00CE2E0F"/>
    <w:rsid w:val="00CF57B0"/>
    <w:rsid w:val="00D903B5"/>
    <w:rsid w:val="00DC3BE2"/>
    <w:rsid w:val="00E12D6C"/>
    <w:rsid w:val="00E31205"/>
    <w:rsid w:val="00E52CD0"/>
    <w:rsid w:val="00E73FF4"/>
    <w:rsid w:val="00EB686D"/>
    <w:rsid w:val="00EE5E6C"/>
    <w:rsid w:val="00F51552"/>
    <w:rsid w:val="00F73B15"/>
    <w:rsid w:val="00F80AA4"/>
    <w:rsid w:val="00F8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AB83"/>
  <w15:chartTrackingRefBased/>
  <w15:docId w15:val="{DC78A5F8-A5D3-4F8B-9E8C-82A8342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15"/>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73B1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A0E"/>
    <w:pPr>
      <w:tabs>
        <w:tab w:val="center" w:pos="4680"/>
        <w:tab w:val="right" w:pos="9360"/>
      </w:tabs>
    </w:pPr>
  </w:style>
  <w:style w:type="character" w:customStyle="1" w:styleId="HeaderChar">
    <w:name w:val="Header Char"/>
    <w:basedOn w:val="DefaultParagraphFont"/>
    <w:link w:val="Header"/>
    <w:uiPriority w:val="99"/>
    <w:rsid w:val="00037A0E"/>
    <w:rPr>
      <w:rFonts w:ascii="Calibri" w:hAnsi="Calibri" w:cs="Calibri"/>
    </w:rPr>
  </w:style>
  <w:style w:type="paragraph" w:styleId="Footer">
    <w:name w:val="footer"/>
    <w:basedOn w:val="Normal"/>
    <w:link w:val="FooterChar"/>
    <w:uiPriority w:val="99"/>
    <w:unhideWhenUsed/>
    <w:rsid w:val="00037A0E"/>
    <w:pPr>
      <w:tabs>
        <w:tab w:val="center" w:pos="4680"/>
        <w:tab w:val="right" w:pos="9360"/>
      </w:tabs>
    </w:pPr>
  </w:style>
  <w:style w:type="character" w:customStyle="1" w:styleId="FooterChar">
    <w:name w:val="Footer Char"/>
    <w:basedOn w:val="DefaultParagraphFont"/>
    <w:link w:val="Footer"/>
    <w:uiPriority w:val="99"/>
    <w:rsid w:val="00037A0E"/>
    <w:rPr>
      <w:rFonts w:ascii="Calibri" w:hAnsi="Calibri" w:cs="Calibri"/>
    </w:rPr>
  </w:style>
  <w:style w:type="paragraph" w:styleId="FootnoteText">
    <w:name w:val="footnote text"/>
    <w:basedOn w:val="Normal"/>
    <w:link w:val="FootnoteTextChar"/>
    <w:uiPriority w:val="99"/>
    <w:semiHidden/>
    <w:unhideWhenUsed/>
    <w:rsid w:val="00037A0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37A0E"/>
    <w:rPr>
      <w:sz w:val="20"/>
      <w:szCs w:val="20"/>
    </w:rPr>
  </w:style>
  <w:style w:type="character" w:styleId="FootnoteReference">
    <w:name w:val="footnote reference"/>
    <w:basedOn w:val="DefaultParagraphFont"/>
    <w:uiPriority w:val="99"/>
    <w:semiHidden/>
    <w:unhideWhenUsed/>
    <w:rsid w:val="00037A0E"/>
    <w:rPr>
      <w:vertAlign w:val="superscript"/>
    </w:rPr>
  </w:style>
  <w:style w:type="character" w:styleId="CommentReference">
    <w:name w:val="annotation reference"/>
    <w:basedOn w:val="DefaultParagraphFont"/>
    <w:uiPriority w:val="99"/>
    <w:semiHidden/>
    <w:unhideWhenUsed/>
    <w:rsid w:val="00025AFE"/>
    <w:rPr>
      <w:sz w:val="16"/>
      <w:szCs w:val="16"/>
    </w:rPr>
  </w:style>
  <w:style w:type="paragraph" w:styleId="CommentText">
    <w:name w:val="annotation text"/>
    <w:basedOn w:val="Normal"/>
    <w:link w:val="CommentTextChar"/>
    <w:uiPriority w:val="99"/>
    <w:semiHidden/>
    <w:unhideWhenUsed/>
    <w:rsid w:val="00025AFE"/>
    <w:rPr>
      <w:sz w:val="20"/>
      <w:szCs w:val="20"/>
    </w:rPr>
  </w:style>
  <w:style w:type="character" w:customStyle="1" w:styleId="CommentTextChar">
    <w:name w:val="Comment Text Char"/>
    <w:basedOn w:val="DefaultParagraphFont"/>
    <w:link w:val="CommentText"/>
    <w:uiPriority w:val="99"/>
    <w:semiHidden/>
    <w:rsid w:val="00025A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5AFE"/>
    <w:rPr>
      <w:b/>
      <w:bCs/>
    </w:rPr>
  </w:style>
  <w:style w:type="character" w:customStyle="1" w:styleId="CommentSubjectChar">
    <w:name w:val="Comment Subject Char"/>
    <w:basedOn w:val="CommentTextChar"/>
    <w:link w:val="CommentSubject"/>
    <w:uiPriority w:val="99"/>
    <w:semiHidden/>
    <w:rsid w:val="00025AFE"/>
    <w:rPr>
      <w:rFonts w:ascii="Calibri" w:hAnsi="Calibri" w:cs="Calibri"/>
      <w:b/>
      <w:bCs/>
      <w:sz w:val="20"/>
      <w:szCs w:val="20"/>
    </w:rPr>
  </w:style>
  <w:style w:type="paragraph" w:styleId="Revision">
    <w:name w:val="Revision"/>
    <w:hidden/>
    <w:uiPriority w:val="99"/>
    <w:semiHidden/>
    <w:rsid w:val="00025AF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025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Tracey German</cp:lastModifiedBy>
  <cp:revision>11</cp:revision>
  <dcterms:created xsi:type="dcterms:W3CDTF">2018-10-09T19:51:00Z</dcterms:created>
  <dcterms:modified xsi:type="dcterms:W3CDTF">2018-10-10T19:31:00Z</dcterms:modified>
</cp:coreProperties>
</file>