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4D33" w:rsidRPr="00C3793C" w:rsidRDefault="00BB4D33" w:rsidP="00C3793C">
      <w:pPr>
        <w:spacing w:line="240" w:lineRule="auto"/>
        <w:rPr>
          <w:rFonts w:ascii="Arial" w:hAnsi="Arial" w:cs="Arial"/>
          <w:b/>
          <w:sz w:val="24"/>
          <w:szCs w:val="24"/>
        </w:rPr>
      </w:pPr>
      <w:r w:rsidRPr="00C3793C">
        <w:rPr>
          <w:rFonts w:ascii="Arial" w:hAnsi="Arial" w:cs="Arial"/>
          <w:b/>
          <w:sz w:val="24"/>
          <w:szCs w:val="24"/>
        </w:rPr>
        <w:t>Veridian – EB-2018-0072</w:t>
      </w:r>
    </w:p>
    <w:p w:rsidR="00A2440C" w:rsidRPr="00C3793C" w:rsidRDefault="00BB4D33" w:rsidP="00C3793C">
      <w:pPr>
        <w:spacing w:line="240" w:lineRule="auto"/>
        <w:rPr>
          <w:rFonts w:ascii="Arial" w:hAnsi="Arial" w:cs="Arial"/>
          <w:b/>
          <w:sz w:val="24"/>
          <w:szCs w:val="24"/>
        </w:rPr>
      </w:pPr>
      <w:r w:rsidRPr="00C3793C">
        <w:rPr>
          <w:rFonts w:ascii="Arial" w:hAnsi="Arial" w:cs="Arial"/>
          <w:b/>
          <w:sz w:val="24"/>
          <w:szCs w:val="24"/>
        </w:rPr>
        <w:t>Response to OEB Request for 1595 Workform Inclusion</w:t>
      </w:r>
    </w:p>
    <w:p w:rsidR="00BB4D33" w:rsidRDefault="00BB4D33"/>
    <w:p w:rsidR="00BB4D33" w:rsidRDefault="00172F05">
      <w:pPr>
        <w:rPr>
          <w:rFonts w:ascii="Arial" w:hAnsi="Arial" w:cs="Arial"/>
        </w:rPr>
      </w:pPr>
      <w:r>
        <w:rPr>
          <w:rFonts w:ascii="Arial" w:hAnsi="Arial" w:cs="Arial"/>
        </w:rPr>
        <w:t>Veridian has</w:t>
      </w:r>
      <w:r w:rsidR="00FB758A">
        <w:rPr>
          <w:rFonts w:ascii="Arial" w:hAnsi="Arial" w:cs="Arial"/>
        </w:rPr>
        <w:t xml:space="preserve"> the following balances for 2017 in 1595 sub-accounts included in the 2019 IRM Rate Generator Model, tab 3 Continuity Schedule.</w:t>
      </w:r>
    </w:p>
    <w:p w:rsidR="00FB758A" w:rsidRDefault="00FB758A">
      <w:pPr>
        <w:rPr>
          <w:rFonts w:ascii="Arial" w:hAnsi="Arial" w:cs="Arial"/>
        </w:rPr>
      </w:pPr>
      <w:r>
        <w:rPr>
          <w:rFonts w:ascii="Arial" w:hAnsi="Arial" w:cs="Arial"/>
        </w:rPr>
        <w:t>Disposition and Recovery/Refund of Regulatory Balances (2015)</w:t>
      </w:r>
      <w:r>
        <w:rPr>
          <w:rFonts w:ascii="Arial" w:hAnsi="Arial" w:cs="Arial"/>
        </w:rPr>
        <w:tab/>
        <w:t>$(30,972)</w:t>
      </w:r>
    </w:p>
    <w:p w:rsidR="00FB758A" w:rsidRDefault="00FB758A">
      <w:pPr>
        <w:rPr>
          <w:rFonts w:ascii="Arial" w:hAnsi="Arial" w:cs="Arial"/>
        </w:rPr>
      </w:pPr>
      <w:r>
        <w:rPr>
          <w:rFonts w:ascii="Arial" w:hAnsi="Arial" w:cs="Arial"/>
        </w:rPr>
        <w:t>Disposition and Recovery/Refund of Regulatory Balances (2016)</w:t>
      </w:r>
      <w:r>
        <w:rPr>
          <w:rFonts w:ascii="Arial" w:hAnsi="Arial" w:cs="Arial"/>
        </w:rPr>
        <w:tab/>
        <w:t>$2,899</w:t>
      </w:r>
    </w:p>
    <w:p w:rsidR="00FB758A" w:rsidRDefault="00FB758A">
      <w:pPr>
        <w:rPr>
          <w:rFonts w:ascii="Arial" w:hAnsi="Arial" w:cs="Arial"/>
        </w:rPr>
      </w:pPr>
      <w:r>
        <w:rPr>
          <w:rFonts w:ascii="Arial" w:hAnsi="Arial" w:cs="Arial"/>
        </w:rPr>
        <w:t>Disposition and Recovery/Refund of Regulatory Balances (2017)</w:t>
      </w:r>
      <w:r>
        <w:rPr>
          <w:rFonts w:ascii="Arial" w:hAnsi="Arial" w:cs="Arial"/>
        </w:rPr>
        <w:tab/>
        <w:t>$(340,977)</w:t>
      </w:r>
    </w:p>
    <w:p w:rsidR="00FB758A" w:rsidRDefault="00172F05">
      <w:pPr>
        <w:rPr>
          <w:rFonts w:ascii="Arial" w:hAnsi="Arial" w:cs="Arial"/>
        </w:rPr>
      </w:pPr>
      <w:r>
        <w:rPr>
          <w:rFonts w:ascii="Arial" w:hAnsi="Arial" w:cs="Arial"/>
        </w:rPr>
        <w:t>The 2015 and 2016 balances were disposed in Veridian’s 2018 IRM Application and were recorded in the 1595 Sub Account Disposition and Recovery/Ref</w:t>
      </w:r>
      <w:r w:rsidR="00E44B24">
        <w:rPr>
          <w:rFonts w:ascii="Arial" w:hAnsi="Arial" w:cs="Arial"/>
        </w:rPr>
        <w:t>und of Regulatory Balances (2018</w:t>
      </w:r>
      <w:r>
        <w:rPr>
          <w:rFonts w:ascii="Arial" w:hAnsi="Arial" w:cs="Arial"/>
        </w:rPr>
        <w:t>) as of May 1, 2018.</w:t>
      </w:r>
    </w:p>
    <w:p w:rsidR="00172F05" w:rsidRDefault="00172F05">
      <w:pPr>
        <w:rPr>
          <w:rFonts w:ascii="Arial" w:hAnsi="Arial" w:cs="Arial"/>
        </w:rPr>
      </w:pPr>
      <w:r>
        <w:rPr>
          <w:rFonts w:ascii="Arial" w:hAnsi="Arial" w:cs="Arial"/>
        </w:rPr>
        <w:t xml:space="preserve">The 1595 Sub Account Disposition and Recovery/Refund of Regulatory Balances (2017) rate rider </w:t>
      </w:r>
      <w:r w:rsidR="00BB63B3">
        <w:rPr>
          <w:rFonts w:ascii="Arial" w:hAnsi="Arial" w:cs="Arial"/>
        </w:rPr>
        <w:t>expires April 30</w:t>
      </w:r>
      <w:r w:rsidR="00BB63B3" w:rsidRPr="00BB63B3">
        <w:rPr>
          <w:rFonts w:ascii="Arial" w:hAnsi="Arial" w:cs="Arial"/>
          <w:vertAlign w:val="superscript"/>
        </w:rPr>
        <w:t>th</w:t>
      </w:r>
      <w:r w:rsidR="00E44B24">
        <w:rPr>
          <w:rFonts w:ascii="Arial" w:hAnsi="Arial" w:cs="Arial"/>
        </w:rPr>
        <w:t>, 2018</w:t>
      </w:r>
      <w:bookmarkStart w:id="0" w:name="_GoBack"/>
      <w:bookmarkEnd w:id="0"/>
      <w:r w:rsidR="00BB63B3">
        <w:rPr>
          <w:rFonts w:ascii="Arial" w:hAnsi="Arial" w:cs="Arial"/>
        </w:rPr>
        <w:t>.</w:t>
      </w:r>
    </w:p>
    <w:p w:rsidR="00BB63B3" w:rsidRDefault="00BB63B3">
      <w:pPr>
        <w:rPr>
          <w:rFonts w:ascii="Arial" w:hAnsi="Arial" w:cs="Arial"/>
        </w:rPr>
      </w:pPr>
      <w:r>
        <w:rPr>
          <w:rFonts w:ascii="Arial" w:hAnsi="Arial" w:cs="Arial"/>
        </w:rPr>
        <w:t>Veridian has not completed the 1595 Workform for the 2019 IRM filing.  Veridian does not meet the requirements to include the 1595 Workform as stated in Q1 of the FAQ’s from the 2019 IRM webinar.</w:t>
      </w:r>
    </w:p>
    <w:p w:rsidR="00BB63B3" w:rsidRDefault="00BB63B3">
      <w:pPr>
        <w:rPr>
          <w:rFonts w:ascii="Arial" w:hAnsi="Arial" w:cs="Arial"/>
        </w:rPr>
      </w:pPr>
    </w:p>
    <w:p w:rsidR="00FB758A" w:rsidRPr="00C3793C" w:rsidRDefault="00FB758A">
      <w:pPr>
        <w:rPr>
          <w:rFonts w:ascii="Arial" w:hAnsi="Arial" w:cs="Arial"/>
        </w:rPr>
      </w:pPr>
    </w:p>
    <w:sectPr w:rsidR="00FB758A" w:rsidRPr="00C379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4D33"/>
    <w:rsid w:val="00172F05"/>
    <w:rsid w:val="00AC597A"/>
    <w:rsid w:val="00BB4D33"/>
    <w:rsid w:val="00BB63B3"/>
    <w:rsid w:val="00C3793C"/>
    <w:rsid w:val="00E44B24"/>
    <w:rsid w:val="00F31543"/>
    <w:rsid w:val="00FB75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516EBC-47CA-4ED0-95A7-41FD5F909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44B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4B2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141</Words>
  <Characters>807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German</dc:creator>
  <cp:keywords/>
  <dc:description/>
  <cp:lastModifiedBy>Tracey German</cp:lastModifiedBy>
  <cp:revision>6</cp:revision>
  <cp:lastPrinted>2018-10-10T18:33:00Z</cp:lastPrinted>
  <dcterms:created xsi:type="dcterms:W3CDTF">2018-10-05T13:27:00Z</dcterms:created>
  <dcterms:modified xsi:type="dcterms:W3CDTF">2018-10-10T18:54:00Z</dcterms:modified>
</cp:coreProperties>
</file>