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97B" w:rsidRDefault="00DD297B">
      <w:pPr>
        <w:rPr>
          <w:rFonts w:ascii="Arial" w:hAnsi="Arial" w:cs="Arial"/>
          <w:b/>
          <w:sz w:val="24"/>
          <w:szCs w:val="24"/>
        </w:rPr>
      </w:pPr>
      <w:r>
        <w:rPr>
          <w:rFonts w:ascii="Arial" w:hAnsi="Arial" w:cs="Arial"/>
          <w:b/>
          <w:sz w:val="24"/>
          <w:szCs w:val="24"/>
        </w:rPr>
        <w:t>CNPI – Questions to Applicant</w:t>
      </w:r>
    </w:p>
    <w:p w:rsidR="00CB366A" w:rsidRPr="009F3B70" w:rsidRDefault="00CB366A">
      <w:pPr>
        <w:rPr>
          <w:rFonts w:ascii="Arial" w:hAnsi="Arial" w:cs="Arial"/>
          <w:b/>
          <w:sz w:val="24"/>
          <w:szCs w:val="24"/>
        </w:rPr>
      </w:pPr>
      <w:r w:rsidRPr="009F3B70">
        <w:rPr>
          <w:rFonts w:ascii="Arial" w:hAnsi="Arial" w:cs="Arial"/>
          <w:b/>
          <w:sz w:val="24"/>
          <w:szCs w:val="24"/>
        </w:rPr>
        <w:t>Question 1</w:t>
      </w:r>
    </w:p>
    <w:p w:rsidR="0002696F" w:rsidRPr="009F3B70" w:rsidRDefault="00CB366A">
      <w:pPr>
        <w:rPr>
          <w:rFonts w:ascii="Arial" w:hAnsi="Arial" w:cs="Arial"/>
          <w:b/>
          <w:sz w:val="24"/>
          <w:szCs w:val="24"/>
        </w:rPr>
      </w:pPr>
      <w:r w:rsidRPr="009F3B70">
        <w:rPr>
          <w:rFonts w:ascii="Arial" w:hAnsi="Arial" w:cs="Arial"/>
          <w:b/>
          <w:sz w:val="24"/>
          <w:szCs w:val="24"/>
        </w:rPr>
        <w:t>Ref. DVA Continuity Schedule</w:t>
      </w:r>
      <w:r w:rsidR="00992159" w:rsidRPr="009F3B70">
        <w:rPr>
          <w:rFonts w:ascii="Arial" w:hAnsi="Arial" w:cs="Arial"/>
          <w:b/>
          <w:sz w:val="24"/>
          <w:szCs w:val="24"/>
        </w:rPr>
        <w:t xml:space="preserve"> and GA Analysis </w:t>
      </w:r>
      <w:proofErr w:type="spellStart"/>
      <w:r w:rsidR="00992159" w:rsidRPr="009F3B70">
        <w:rPr>
          <w:rFonts w:ascii="Arial" w:hAnsi="Arial" w:cs="Arial"/>
          <w:b/>
          <w:sz w:val="24"/>
          <w:szCs w:val="24"/>
        </w:rPr>
        <w:t>Workform</w:t>
      </w:r>
      <w:proofErr w:type="spellEnd"/>
    </w:p>
    <w:p w:rsidR="00CB366A" w:rsidRPr="009F3B70" w:rsidRDefault="00CB366A">
      <w:pPr>
        <w:rPr>
          <w:rFonts w:ascii="Arial" w:hAnsi="Arial" w:cs="Arial"/>
          <w:sz w:val="24"/>
          <w:szCs w:val="24"/>
        </w:rPr>
      </w:pPr>
      <w:r w:rsidRPr="009F3B70">
        <w:rPr>
          <w:rFonts w:ascii="Arial" w:hAnsi="Arial" w:cs="Arial"/>
          <w:sz w:val="24"/>
          <w:szCs w:val="24"/>
        </w:rPr>
        <w:t>The applicant has indicated that it has reversed the principal adjustments that it recorded as part of its 2016 DVA disposition balance within the “Transactions Debit</w:t>
      </w:r>
      <w:proofErr w:type="gramStart"/>
      <w:r w:rsidRPr="009F3B70">
        <w:rPr>
          <w:rFonts w:ascii="Arial" w:hAnsi="Arial" w:cs="Arial"/>
          <w:sz w:val="24"/>
          <w:szCs w:val="24"/>
        </w:rPr>
        <w:t>/</w:t>
      </w:r>
      <w:r w:rsidR="00992159" w:rsidRPr="009F3B70">
        <w:rPr>
          <w:rFonts w:ascii="Arial" w:hAnsi="Arial" w:cs="Arial"/>
          <w:sz w:val="24"/>
          <w:szCs w:val="24"/>
        </w:rPr>
        <w:t>(</w:t>
      </w:r>
      <w:proofErr w:type="gramEnd"/>
      <w:r w:rsidRPr="009F3B70">
        <w:rPr>
          <w:rFonts w:ascii="Arial" w:hAnsi="Arial" w:cs="Arial"/>
          <w:sz w:val="24"/>
          <w:szCs w:val="24"/>
        </w:rPr>
        <w:t>Credit) during 2017” column of the DVA continuity schedule submitted as part of its current application.</w:t>
      </w:r>
    </w:p>
    <w:p w:rsidR="00CB366A" w:rsidRPr="009F3B70" w:rsidRDefault="00CB366A" w:rsidP="00CB366A">
      <w:pPr>
        <w:pStyle w:val="ListParagraph"/>
        <w:numPr>
          <w:ilvl w:val="0"/>
          <w:numId w:val="1"/>
        </w:numPr>
        <w:rPr>
          <w:rFonts w:ascii="Arial" w:hAnsi="Arial" w:cs="Arial"/>
          <w:sz w:val="24"/>
          <w:szCs w:val="24"/>
        </w:rPr>
      </w:pPr>
      <w:r w:rsidRPr="009F3B70">
        <w:rPr>
          <w:rFonts w:ascii="Arial" w:hAnsi="Arial" w:cs="Arial"/>
          <w:sz w:val="24"/>
          <w:szCs w:val="24"/>
        </w:rPr>
        <w:t>The “Transactions Debit</w:t>
      </w:r>
      <w:proofErr w:type="gramStart"/>
      <w:r w:rsidRPr="009F3B70">
        <w:rPr>
          <w:rFonts w:ascii="Arial" w:hAnsi="Arial" w:cs="Arial"/>
          <w:sz w:val="24"/>
          <w:szCs w:val="24"/>
        </w:rPr>
        <w:t>/(</w:t>
      </w:r>
      <w:proofErr w:type="gramEnd"/>
      <w:r w:rsidRPr="009F3B70">
        <w:rPr>
          <w:rFonts w:ascii="Arial" w:hAnsi="Arial" w:cs="Arial"/>
          <w:sz w:val="24"/>
          <w:szCs w:val="24"/>
        </w:rPr>
        <w:t>Credit) During 2017” column of the DVA continuity schedule must represent the actual transactions</w:t>
      </w:r>
      <w:r w:rsidR="00992159" w:rsidRPr="009F3B70">
        <w:rPr>
          <w:rFonts w:ascii="Arial" w:hAnsi="Arial" w:cs="Arial"/>
          <w:sz w:val="24"/>
          <w:szCs w:val="24"/>
        </w:rPr>
        <w:t xml:space="preserve"> recorded within the Applicant’s G/L.  For transparency purposes all principal adjustments, including the Reversal of prior year principal adjustment amounts, must be recorded within the “Principal Adjustments during 2017” column of DVA schedule.  Accordingly, please update the DVA continuity to reflect this.</w:t>
      </w:r>
    </w:p>
    <w:p w:rsidR="007E4BFF" w:rsidRPr="009F3B70" w:rsidRDefault="007E4BFF" w:rsidP="007E4BFF">
      <w:pPr>
        <w:pStyle w:val="ListParagraph"/>
        <w:rPr>
          <w:rFonts w:ascii="Arial" w:hAnsi="Arial" w:cs="Arial"/>
          <w:sz w:val="24"/>
          <w:szCs w:val="24"/>
        </w:rPr>
      </w:pPr>
    </w:p>
    <w:p w:rsidR="000541EF" w:rsidRPr="00F949DF" w:rsidRDefault="00992159" w:rsidP="00F949DF">
      <w:pPr>
        <w:pStyle w:val="ListParagraph"/>
        <w:numPr>
          <w:ilvl w:val="0"/>
          <w:numId w:val="1"/>
        </w:numPr>
        <w:rPr>
          <w:rFonts w:ascii="Arial" w:hAnsi="Arial" w:cs="Arial"/>
          <w:sz w:val="24"/>
          <w:szCs w:val="24"/>
        </w:rPr>
      </w:pPr>
      <w:r w:rsidRPr="009F3B70">
        <w:rPr>
          <w:rFonts w:ascii="Arial" w:hAnsi="Arial" w:cs="Arial"/>
          <w:sz w:val="24"/>
          <w:szCs w:val="24"/>
        </w:rPr>
        <w:t xml:space="preserve">The reversal of the prior year principal adjustments must also be itemized within the analysis performed within Note 5 of the GA Analysis </w:t>
      </w:r>
      <w:proofErr w:type="spellStart"/>
      <w:r w:rsidRPr="009F3B70">
        <w:rPr>
          <w:rFonts w:ascii="Arial" w:hAnsi="Arial" w:cs="Arial"/>
          <w:sz w:val="24"/>
          <w:szCs w:val="24"/>
        </w:rPr>
        <w:t>Workform</w:t>
      </w:r>
      <w:proofErr w:type="spellEnd"/>
      <w:r w:rsidRPr="009F3B70">
        <w:rPr>
          <w:rFonts w:ascii="Arial" w:hAnsi="Arial" w:cs="Arial"/>
          <w:sz w:val="24"/>
          <w:szCs w:val="24"/>
        </w:rPr>
        <w:t>.</w:t>
      </w:r>
      <w:r w:rsidR="007E4BFF" w:rsidRPr="009F3B70">
        <w:rPr>
          <w:rFonts w:ascii="Arial" w:hAnsi="Arial" w:cs="Arial"/>
          <w:sz w:val="24"/>
          <w:szCs w:val="24"/>
        </w:rPr>
        <w:t xml:space="preserve"> Please update the GA Analysis </w:t>
      </w:r>
      <w:proofErr w:type="spellStart"/>
      <w:r w:rsidR="007E4BFF" w:rsidRPr="009F3B70">
        <w:rPr>
          <w:rFonts w:ascii="Arial" w:hAnsi="Arial" w:cs="Arial"/>
          <w:sz w:val="24"/>
          <w:szCs w:val="24"/>
        </w:rPr>
        <w:t>Workform</w:t>
      </w:r>
      <w:proofErr w:type="spellEnd"/>
      <w:r w:rsidR="007E4BFF" w:rsidRPr="009F3B70">
        <w:rPr>
          <w:rFonts w:ascii="Arial" w:hAnsi="Arial" w:cs="Arial"/>
          <w:sz w:val="24"/>
          <w:szCs w:val="24"/>
        </w:rPr>
        <w:t xml:space="preserve"> to reflect this.</w:t>
      </w:r>
    </w:p>
    <w:p w:rsidR="00133B8F" w:rsidRDefault="00133B8F" w:rsidP="000541EF">
      <w:pPr>
        <w:rPr>
          <w:rFonts w:ascii="Arial" w:hAnsi="Arial" w:cs="Arial"/>
          <w:b/>
          <w:sz w:val="24"/>
          <w:szCs w:val="24"/>
        </w:rPr>
      </w:pPr>
      <w:r>
        <w:rPr>
          <w:rFonts w:ascii="Arial" w:hAnsi="Arial" w:cs="Arial"/>
          <w:b/>
          <w:sz w:val="24"/>
          <w:szCs w:val="24"/>
        </w:rPr>
        <w:t>Question 2</w:t>
      </w:r>
    </w:p>
    <w:p w:rsidR="00133B8F" w:rsidRDefault="00133B8F" w:rsidP="000541EF">
      <w:pPr>
        <w:rPr>
          <w:rFonts w:ascii="Arial" w:hAnsi="Arial" w:cs="Arial"/>
          <w:b/>
          <w:sz w:val="24"/>
          <w:szCs w:val="24"/>
        </w:rPr>
      </w:pPr>
      <w:r>
        <w:rPr>
          <w:rFonts w:ascii="Arial" w:hAnsi="Arial" w:cs="Arial"/>
          <w:b/>
          <w:sz w:val="24"/>
          <w:szCs w:val="24"/>
        </w:rPr>
        <w:t xml:space="preserve">Ref. GA Analysis </w:t>
      </w:r>
      <w:proofErr w:type="spellStart"/>
      <w:r>
        <w:rPr>
          <w:rFonts w:ascii="Arial" w:hAnsi="Arial" w:cs="Arial"/>
          <w:b/>
          <w:sz w:val="24"/>
          <w:szCs w:val="24"/>
        </w:rPr>
        <w:t>Workform</w:t>
      </w:r>
      <w:proofErr w:type="spellEnd"/>
    </w:p>
    <w:p w:rsidR="00133B8F" w:rsidRDefault="00133B8F" w:rsidP="000541EF">
      <w:pPr>
        <w:rPr>
          <w:rFonts w:ascii="Arial" w:hAnsi="Arial" w:cs="Arial"/>
          <w:sz w:val="24"/>
          <w:szCs w:val="24"/>
        </w:rPr>
      </w:pPr>
      <w:r>
        <w:rPr>
          <w:rFonts w:ascii="Arial" w:hAnsi="Arial" w:cs="Arial"/>
          <w:sz w:val="24"/>
          <w:szCs w:val="24"/>
        </w:rPr>
        <w:t xml:space="preserve">With respect to the various adjustments recorded in Note 5 of the DVA continuity schedule (i.e. </w:t>
      </w:r>
      <w:proofErr w:type="spellStart"/>
      <w:r>
        <w:rPr>
          <w:rFonts w:ascii="Arial" w:hAnsi="Arial" w:cs="Arial"/>
          <w:sz w:val="24"/>
          <w:szCs w:val="24"/>
        </w:rPr>
        <w:t>Adj</w:t>
      </w:r>
      <w:proofErr w:type="spellEnd"/>
      <w:r>
        <w:rPr>
          <w:rFonts w:ascii="Arial" w:hAnsi="Arial" w:cs="Arial"/>
          <w:sz w:val="24"/>
          <w:szCs w:val="24"/>
        </w:rPr>
        <w:t xml:space="preserve"> 1 -10), the applicant provides an explanation for each of the adjustments proposed.</w:t>
      </w:r>
    </w:p>
    <w:p w:rsidR="00133B8F" w:rsidRPr="00F949DF" w:rsidRDefault="00133B8F" w:rsidP="000541EF">
      <w:pPr>
        <w:pStyle w:val="ListParagraph"/>
        <w:numPr>
          <w:ilvl w:val="0"/>
          <w:numId w:val="7"/>
        </w:numPr>
        <w:rPr>
          <w:rFonts w:ascii="Arial" w:hAnsi="Arial" w:cs="Arial"/>
          <w:sz w:val="24"/>
          <w:szCs w:val="24"/>
        </w:rPr>
      </w:pPr>
      <w:r>
        <w:rPr>
          <w:rFonts w:ascii="Arial" w:hAnsi="Arial" w:cs="Arial"/>
          <w:sz w:val="24"/>
          <w:szCs w:val="24"/>
        </w:rPr>
        <w:t xml:space="preserve">The explanation for each adjustment does not contain </w:t>
      </w:r>
      <w:r w:rsidR="00FC36F1">
        <w:rPr>
          <w:rFonts w:ascii="Arial" w:hAnsi="Arial" w:cs="Arial"/>
          <w:sz w:val="24"/>
          <w:szCs w:val="24"/>
        </w:rPr>
        <w:t>enough information to substantiate the direction, i.e. a debit versus a credit and vice versa.  Please update of the explanations to include the sufficient detail so support the direction of each</w:t>
      </w:r>
      <w:r w:rsidR="008254DE">
        <w:rPr>
          <w:rFonts w:ascii="Arial" w:hAnsi="Arial" w:cs="Arial"/>
          <w:sz w:val="24"/>
          <w:szCs w:val="24"/>
        </w:rPr>
        <w:t xml:space="preserve"> of the</w:t>
      </w:r>
      <w:r w:rsidR="00FC36F1">
        <w:rPr>
          <w:rFonts w:ascii="Arial" w:hAnsi="Arial" w:cs="Arial"/>
          <w:sz w:val="24"/>
          <w:szCs w:val="24"/>
        </w:rPr>
        <w:t xml:space="preserve"> adjustment</w:t>
      </w:r>
      <w:r w:rsidR="008254DE">
        <w:rPr>
          <w:rFonts w:ascii="Arial" w:hAnsi="Arial" w:cs="Arial"/>
          <w:sz w:val="24"/>
          <w:szCs w:val="24"/>
        </w:rPr>
        <w:t>s proposed</w:t>
      </w:r>
      <w:r w:rsidR="00FC36F1">
        <w:rPr>
          <w:rFonts w:ascii="Arial" w:hAnsi="Arial" w:cs="Arial"/>
          <w:sz w:val="24"/>
          <w:szCs w:val="24"/>
        </w:rPr>
        <w:t>.</w:t>
      </w:r>
    </w:p>
    <w:p w:rsidR="000541EF" w:rsidRPr="009F3B70" w:rsidRDefault="00F949DF" w:rsidP="000541EF">
      <w:pPr>
        <w:rPr>
          <w:rFonts w:ascii="Arial" w:hAnsi="Arial" w:cs="Arial"/>
          <w:b/>
          <w:sz w:val="24"/>
          <w:szCs w:val="24"/>
        </w:rPr>
      </w:pPr>
      <w:r>
        <w:rPr>
          <w:rFonts w:ascii="Arial" w:hAnsi="Arial" w:cs="Arial"/>
          <w:b/>
          <w:sz w:val="24"/>
          <w:szCs w:val="24"/>
        </w:rPr>
        <w:t>Question 3</w:t>
      </w:r>
    </w:p>
    <w:p w:rsidR="000541EF" w:rsidRPr="009F3B70" w:rsidRDefault="000541EF" w:rsidP="000541EF">
      <w:pPr>
        <w:rPr>
          <w:rFonts w:ascii="Arial" w:hAnsi="Arial" w:cs="Arial"/>
          <w:b/>
          <w:sz w:val="24"/>
          <w:szCs w:val="24"/>
        </w:rPr>
      </w:pPr>
      <w:r w:rsidRPr="009F3B70">
        <w:rPr>
          <w:rFonts w:ascii="Arial" w:hAnsi="Arial" w:cs="Arial"/>
          <w:b/>
          <w:sz w:val="24"/>
          <w:szCs w:val="24"/>
        </w:rPr>
        <w:t xml:space="preserve">Ref. Adj. 2b in Note 5 of the GA Analysis </w:t>
      </w:r>
      <w:proofErr w:type="spellStart"/>
      <w:r w:rsidRPr="009F3B70">
        <w:rPr>
          <w:rFonts w:ascii="Arial" w:hAnsi="Arial" w:cs="Arial"/>
          <w:b/>
          <w:sz w:val="24"/>
          <w:szCs w:val="24"/>
        </w:rPr>
        <w:t>Workform</w:t>
      </w:r>
      <w:proofErr w:type="spellEnd"/>
    </w:p>
    <w:p w:rsidR="000541EF" w:rsidRPr="009F3B70" w:rsidRDefault="000541EF" w:rsidP="000541EF">
      <w:pPr>
        <w:rPr>
          <w:rFonts w:ascii="Arial" w:hAnsi="Arial" w:cs="Arial"/>
          <w:sz w:val="24"/>
          <w:szCs w:val="24"/>
        </w:rPr>
      </w:pPr>
      <w:r w:rsidRPr="009F3B70">
        <w:rPr>
          <w:rFonts w:ascii="Arial" w:hAnsi="Arial" w:cs="Arial"/>
          <w:sz w:val="24"/>
          <w:szCs w:val="24"/>
        </w:rPr>
        <w:t>The Applicant has a revenue accrual true-up for the difference between the 1</w:t>
      </w:r>
      <w:r w:rsidRPr="009F3B70">
        <w:rPr>
          <w:rFonts w:ascii="Arial" w:hAnsi="Arial" w:cs="Arial"/>
          <w:sz w:val="24"/>
          <w:szCs w:val="24"/>
          <w:vertAlign w:val="superscript"/>
        </w:rPr>
        <w:t>st</w:t>
      </w:r>
      <w:r w:rsidRPr="009F3B70">
        <w:rPr>
          <w:rFonts w:ascii="Arial" w:hAnsi="Arial" w:cs="Arial"/>
          <w:sz w:val="24"/>
          <w:szCs w:val="24"/>
        </w:rPr>
        <w:t xml:space="preserve"> and 2</w:t>
      </w:r>
      <w:r w:rsidRPr="009F3B70">
        <w:rPr>
          <w:rFonts w:ascii="Arial" w:hAnsi="Arial" w:cs="Arial"/>
          <w:sz w:val="24"/>
          <w:szCs w:val="24"/>
          <w:vertAlign w:val="superscript"/>
        </w:rPr>
        <w:t>nd</w:t>
      </w:r>
      <w:r w:rsidRPr="009F3B70">
        <w:rPr>
          <w:rFonts w:ascii="Arial" w:hAnsi="Arial" w:cs="Arial"/>
          <w:sz w:val="24"/>
          <w:szCs w:val="24"/>
        </w:rPr>
        <w:t xml:space="preserve"> GA rate estimates.</w:t>
      </w:r>
    </w:p>
    <w:p w:rsidR="000541EF" w:rsidRPr="009F3B70" w:rsidRDefault="000541EF" w:rsidP="000541EF">
      <w:pPr>
        <w:pStyle w:val="ListParagraph"/>
        <w:numPr>
          <w:ilvl w:val="0"/>
          <w:numId w:val="2"/>
        </w:numPr>
        <w:rPr>
          <w:rFonts w:ascii="Arial" w:hAnsi="Arial" w:cs="Arial"/>
          <w:sz w:val="24"/>
          <w:szCs w:val="24"/>
        </w:rPr>
      </w:pPr>
      <w:r w:rsidRPr="009F3B70">
        <w:rPr>
          <w:rFonts w:ascii="Arial" w:hAnsi="Arial" w:cs="Arial"/>
          <w:sz w:val="24"/>
          <w:szCs w:val="24"/>
        </w:rPr>
        <w:t>Please confirm that there is not consumption variance that needs to be accounted for as well between the when the initial accrual that is made at the first GA rate estimate and the 2</w:t>
      </w:r>
      <w:r w:rsidRPr="009F3B70">
        <w:rPr>
          <w:rFonts w:ascii="Arial" w:hAnsi="Arial" w:cs="Arial"/>
          <w:sz w:val="24"/>
          <w:szCs w:val="24"/>
          <w:vertAlign w:val="superscript"/>
        </w:rPr>
        <w:t>nd</w:t>
      </w:r>
      <w:r w:rsidRPr="009F3B70">
        <w:rPr>
          <w:rFonts w:ascii="Arial" w:hAnsi="Arial" w:cs="Arial"/>
          <w:sz w:val="24"/>
          <w:szCs w:val="24"/>
        </w:rPr>
        <w:t xml:space="preserve"> estimate that is used for actual billings made. If so, please quantify the quantity variance impact as </w:t>
      </w:r>
      <w:proofErr w:type="spellStart"/>
      <w:r w:rsidRPr="009F3B70">
        <w:rPr>
          <w:rFonts w:ascii="Arial" w:hAnsi="Arial" w:cs="Arial"/>
          <w:sz w:val="24"/>
          <w:szCs w:val="24"/>
        </w:rPr>
        <w:t>well.v</w:t>
      </w:r>
      <w:proofErr w:type="spellEnd"/>
    </w:p>
    <w:p w:rsidR="000541EF" w:rsidRDefault="000541EF" w:rsidP="000541EF">
      <w:pPr>
        <w:rPr>
          <w:rFonts w:ascii="Arial" w:hAnsi="Arial" w:cs="Arial"/>
          <w:sz w:val="24"/>
          <w:szCs w:val="24"/>
        </w:rPr>
      </w:pPr>
    </w:p>
    <w:p w:rsidR="00DD297B" w:rsidRDefault="00DD297B" w:rsidP="000541EF">
      <w:pPr>
        <w:rPr>
          <w:rFonts w:ascii="Arial" w:hAnsi="Arial" w:cs="Arial"/>
          <w:sz w:val="24"/>
          <w:szCs w:val="24"/>
        </w:rPr>
      </w:pPr>
    </w:p>
    <w:p w:rsidR="00DD297B" w:rsidRPr="009F3B70" w:rsidRDefault="00DD297B" w:rsidP="000541EF">
      <w:pPr>
        <w:rPr>
          <w:rFonts w:ascii="Arial" w:hAnsi="Arial" w:cs="Arial"/>
          <w:sz w:val="24"/>
          <w:szCs w:val="24"/>
        </w:rPr>
      </w:pPr>
    </w:p>
    <w:p w:rsidR="000541EF" w:rsidRPr="009F3B70" w:rsidRDefault="00F949DF" w:rsidP="000541EF">
      <w:pPr>
        <w:rPr>
          <w:rFonts w:ascii="Arial" w:hAnsi="Arial" w:cs="Arial"/>
          <w:b/>
          <w:sz w:val="24"/>
          <w:szCs w:val="24"/>
        </w:rPr>
      </w:pPr>
      <w:r>
        <w:rPr>
          <w:rFonts w:ascii="Arial" w:hAnsi="Arial" w:cs="Arial"/>
          <w:b/>
          <w:sz w:val="24"/>
          <w:szCs w:val="24"/>
        </w:rPr>
        <w:t>Question 4</w:t>
      </w:r>
    </w:p>
    <w:p w:rsidR="000541EF" w:rsidRPr="009F3B70" w:rsidRDefault="000541EF" w:rsidP="000541EF">
      <w:pPr>
        <w:rPr>
          <w:rFonts w:ascii="Arial" w:hAnsi="Arial" w:cs="Arial"/>
          <w:b/>
          <w:sz w:val="24"/>
          <w:szCs w:val="24"/>
        </w:rPr>
      </w:pPr>
      <w:r w:rsidRPr="009F3B70">
        <w:rPr>
          <w:rFonts w:ascii="Arial" w:hAnsi="Arial" w:cs="Arial"/>
          <w:b/>
          <w:sz w:val="24"/>
          <w:szCs w:val="24"/>
        </w:rPr>
        <w:t xml:space="preserve">Ref. Adj. 8 in Note 5 of the GA Analysis </w:t>
      </w:r>
      <w:proofErr w:type="spellStart"/>
      <w:r w:rsidRPr="009F3B70">
        <w:rPr>
          <w:rFonts w:ascii="Arial" w:hAnsi="Arial" w:cs="Arial"/>
          <w:b/>
          <w:sz w:val="24"/>
          <w:szCs w:val="24"/>
        </w:rPr>
        <w:t>Workform</w:t>
      </w:r>
      <w:proofErr w:type="spellEnd"/>
    </w:p>
    <w:p w:rsidR="000541EF" w:rsidRDefault="000541EF" w:rsidP="004A0717">
      <w:pPr>
        <w:pStyle w:val="ListParagraph"/>
        <w:numPr>
          <w:ilvl w:val="0"/>
          <w:numId w:val="6"/>
        </w:numPr>
        <w:rPr>
          <w:rFonts w:ascii="Arial" w:hAnsi="Arial" w:cs="Arial"/>
          <w:sz w:val="24"/>
          <w:szCs w:val="24"/>
        </w:rPr>
      </w:pPr>
      <w:r w:rsidRPr="004A0717">
        <w:rPr>
          <w:rFonts w:ascii="Arial" w:hAnsi="Arial" w:cs="Arial"/>
          <w:sz w:val="24"/>
          <w:szCs w:val="24"/>
        </w:rPr>
        <w:t>Please explain in detail what this adjustment pertains to, and how it was calculated. Has this amount been received in full from the IESO?</w:t>
      </w:r>
    </w:p>
    <w:p w:rsidR="004A0717" w:rsidRDefault="004A0717" w:rsidP="004A0717">
      <w:pPr>
        <w:pStyle w:val="ListParagraph"/>
        <w:rPr>
          <w:rFonts w:ascii="Arial" w:hAnsi="Arial" w:cs="Arial"/>
          <w:sz w:val="24"/>
          <w:szCs w:val="24"/>
        </w:rPr>
      </w:pPr>
    </w:p>
    <w:p w:rsidR="008254DE" w:rsidRPr="00F949DF" w:rsidRDefault="004A0717" w:rsidP="00F949DF">
      <w:pPr>
        <w:pStyle w:val="ListParagraph"/>
        <w:numPr>
          <w:ilvl w:val="0"/>
          <w:numId w:val="6"/>
        </w:numPr>
        <w:rPr>
          <w:rFonts w:ascii="Arial" w:hAnsi="Arial" w:cs="Arial"/>
          <w:sz w:val="24"/>
          <w:szCs w:val="24"/>
        </w:rPr>
      </w:pPr>
      <w:r>
        <w:rPr>
          <w:rFonts w:ascii="Arial" w:hAnsi="Arial" w:cs="Arial"/>
          <w:sz w:val="24"/>
          <w:szCs w:val="24"/>
        </w:rPr>
        <w:t>Please confirm that this amount is included as part of the “Transactions Debit</w:t>
      </w:r>
      <w:proofErr w:type="gramStart"/>
      <w:r>
        <w:rPr>
          <w:rFonts w:ascii="Arial" w:hAnsi="Arial" w:cs="Arial"/>
          <w:sz w:val="24"/>
          <w:szCs w:val="24"/>
        </w:rPr>
        <w:t>/(</w:t>
      </w:r>
      <w:proofErr w:type="gramEnd"/>
      <w:r>
        <w:rPr>
          <w:rFonts w:ascii="Arial" w:hAnsi="Arial" w:cs="Arial"/>
          <w:sz w:val="24"/>
          <w:szCs w:val="24"/>
        </w:rPr>
        <w:t>Credit During 2017” column in the DVA continuity schedule for account 1589.</w:t>
      </w:r>
    </w:p>
    <w:p w:rsidR="00DD297B" w:rsidRPr="00DD297B" w:rsidRDefault="00DD297B" w:rsidP="00DD297B">
      <w:pPr>
        <w:rPr>
          <w:rFonts w:ascii="Arial" w:hAnsi="Arial" w:cs="Arial"/>
          <w:b/>
          <w:sz w:val="24"/>
          <w:szCs w:val="24"/>
        </w:rPr>
      </w:pPr>
      <w:r w:rsidRPr="00DD297B">
        <w:rPr>
          <w:rFonts w:ascii="Arial" w:hAnsi="Arial" w:cs="Arial"/>
          <w:b/>
          <w:sz w:val="24"/>
          <w:szCs w:val="24"/>
        </w:rPr>
        <w:t>Question 5</w:t>
      </w:r>
    </w:p>
    <w:p w:rsidR="00DD297B" w:rsidRPr="00DD297B" w:rsidRDefault="00DD297B" w:rsidP="00DD297B">
      <w:pPr>
        <w:rPr>
          <w:rFonts w:ascii="Arial" w:hAnsi="Arial" w:cs="Arial"/>
          <w:b/>
          <w:sz w:val="24"/>
          <w:szCs w:val="24"/>
        </w:rPr>
      </w:pPr>
      <w:r w:rsidRPr="00DD297B">
        <w:rPr>
          <w:rFonts w:ascii="Arial" w:hAnsi="Arial" w:cs="Arial"/>
          <w:b/>
          <w:sz w:val="24"/>
          <w:szCs w:val="24"/>
        </w:rPr>
        <w:t xml:space="preserve">Ref. Adj. </w:t>
      </w:r>
      <w:r>
        <w:rPr>
          <w:rFonts w:ascii="Arial" w:hAnsi="Arial" w:cs="Arial"/>
          <w:b/>
          <w:sz w:val="24"/>
          <w:szCs w:val="24"/>
        </w:rPr>
        <w:t>4</w:t>
      </w:r>
      <w:r w:rsidRPr="00DD297B">
        <w:rPr>
          <w:rFonts w:ascii="Arial" w:hAnsi="Arial" w:cs="Arial"/>
          <w:b/>
          <w:sz w:val="24"/>
          <w:szCs w:val="24"/>
        </w:rPr>
        <w:t xml:space="preserve"> in Note 5 of the GA Analysis </w:t>
      </w:r>
      <w:proofErr w:type="spellStart"/>
      <w:r w:rsidRPr="00DD297B">
        <w:rPr>
          <w:rFonts w:ascii="Arial" w:hAnsi="Arial" w:cs="Arial"/>
          <w:b/>
          <w:sz w:val="24"/>
          <w:szCs w:val="24"/>
        </w:rPr>
        <w:t>Workform</w:t>
      </w:r>
      <w:proofErr w:type="spellEnd"/>
    </w:p>
    <w:p w:rsidR="00DD297B" w:rsidRDefault="00DD297B" w:rsidP="00DD297B">
      <w:pPr>
        <w:pStyle w:val="ListParagraph"/>
        <w:numPr>
          <w:ilvl w:val="0"/>
          <w:numId w:val="8"/>
        </w:numPr>
        <w:rPr>
          <w:rFonts w:ascii="Arial" w:hAnsi="Arial" w:cs="Arial"/>
          <w:sz w:val="24"/>
          <w:szCs w:val="24"/>
        </w:rPr>
      </w:pPr>
      <w:r>
        <w:rPr>
          <w:rFonts w:ascii="Arial" w:hAnsi="Arial" w:cs="Arial"/>
          <w:sz w:val="24"/>
          <w:szCs w:val="24"/>
        </w:rPr>
        <w:t>Please provide a description as to how this initial year-end accrual was calculated and what is used to make the true-up to actual?</w:t>
      </w:r>
    </w:p>
    <w:p w:rsidR="00DD297B" w:rsidRDefault="00DD297B" w:rsidP="00DD297B">
      <w:pPr>
        <w:pStyle w:val="ListParagraph"/>
        <w:rPr>
          <w:rFonts w:ascii="Arial" w:hAnsi="Arial" w:cs="Arial"/>
          <w:sz w:val="24"/>
          <w:szCs w:val="24"/>
        </w:rPr>
      </w:pPr>
    </w:p>
    <w:p w:rsidR="00DD297B" w:rsidRPr="00DD297B" w:rsidRDefault="00DD297B" w:rsidP="00DD297B">
      <w:pPr>
        <w:pStyle w:val="ListParagraph"/>
        <w:numPr>
          <w:ilvl w:val="0"/>
          <w:numId w:val="8"/>
        </w:numPr>
        <w:rPr>
          <w:rFonts w:ascii="Arial" w:hAnsi="Arial" w:cs="Arial"/>
          <w:sz w:val="24"/>
          <w:szCs w:val="24"/>
        </w:rPr>
      </w:pPr>
      <w:r>
        <w:rPr>
          <w:rFonts w:ascii="Arial" w:hAnsi="Arial" w:cs="Arial"/>
          <w:sz w:val="24"/>
          <w:szCs w:val="24"/>
        </w:rPr>
        <w:t>Does this accrual relate only to the month of December?</w:t>
      </w:r>
    </w:p>
    <w:p w:rsidR="00DD297B" w:rsidRPr="00DD297B" w:rsidRDefault="00DD297B" w:rsidP="00DD297B">
      <w:pPr>
        <w:pStyle w:val="ListParagraph"/>
        <w:rPr>
          <w:rFonts w:ascii="Arial" w:hAnsi="Arial" w:cs="Arial"/>
          <w:sz w:val="24"/>
          <w:szCs w:val="24"/>
        </w:rPr>
      </w:pPr>
    </w:p>
    <w:p w:rsidR="00DD297B" w:rsidRDefault="00DD297B" w:rsidP="00DD297B">
      <w:pPr>
        <w:pStyle w:val="ListParagraph"/>
        <w:numPr>
          <w:ilvl w:val="0"/>
          <w:numId w:val="8"/>
        </w:numPr>
        <w:rPr>
          <w:rFonts w:ascii="Arial" w:hAnsi="Arial" w:cs="Arial"/>
          <w:sz w:val="24"/>
          <w:szCs w:val="24"/>
        </w:rPr>
      </w:pPr>
      <w:r>
        <w:rPr>
          <w:rFonts w:ascii="Arial" w:hAnsi="Arial" w:cs="Arial"/>
          <w:sz w:val="24"/>
          <w:szCs w:val="24"/>
        </w:rPr>
        <w:t>Please complete the following table to support the quantum of this adjustment (the expectation is that the overall difference should equal the amount of the adjustment, if not, please explain why).</w:t>
      </w:r>
    </w:p>
    <w:p w:rsidR="00DD297B" w:rsidRDefault="00DD297B" w:rsidP="00DD297B">
      <w:pPr>
        <w:pStyle w:val="ListParagraph"/>
        <w:rPr>
          <w:rFonts w:ascii="Arial" w:hAnsi="Arial" w:cs="Arial"/>
          <w:sz w:val="24"/>
          <w:szCs w:val="24"/>
        </w:rPr>
      </w:pPr>
    </w:p>
    <w:p w:rsidR="00DD297B" w:rsidRDefault="00DD297B" w:rsidP="00DD297B">
      <w:pPr>
        <w:ind w:left="360"/>
        <w:rPr>
          <w:rFonts w:ascii="Arial" w:hAnsi="Arial" w:cs="Arial"/>
          <w:sz w:val="24"/>
          <w:szCs w:val="24"/>
        </w:rPr>
      </w:pPr>
      <w:r w:rsidRPr="00687C29">
        <w:rPr>
          <w:rFonts w:ascii="Arial" w:hAnsi="Arial" w:cs="Arial"/>
          <w:sz w:val="24"/>
          <w:szCs w:val="24"/>
        </w:rPr>
        <w:t>.</w:t>
      </w:r>
      <w:r>
        <w:rPr>
          <w:rFonts w:ascii="Arial" w:hAnsi="Arial" w:cs="Arial"/>
          <w:sz w:val="24"/>
          <w:szCs w:val="24"/>
        </w:rPr>
        <w:tab/>
      </w:r>
      <w:r>
        <w:rPr>
          <w:rFonts w:ascii="Arial" w:hAnsi="Arial" w:cs="Arial"/>
          <w:sz w:val="24"/>
          <w:szCs w:val="24"/>
        </w:rPr>
        <w:tab/>
      </w:r>
      <w:bookmarkStart w:id="0" w:name="_MON_1598450813"/>
      <w:bookmarkEnd w:id="0"/>
      <w:r>
        <w:rPr>
          <w:rFonts w:ascii="Arial" w:hAnsi="Arial" w:cs="Arial"/>
          <w:sz w:val="24"/>
          <w:szCs w:val="24"/>
        </w:rPr>
        <w:object w:dxaOrig="5800" w:dyaOrig="1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0.65pt;height:89.65pt" o:ole="">
            <v:imagedata r:id="rId5" o:title=""/>
          </v:shape>
          <o:OLEObject Type="Embed" ProgID="Excel.Sheet.8" ShapeID="_x0000_i1025" DrawAspect="Content" ObjectID="_1600853148" r:id="rId6"/>
        </w:object>
      </w:r>
    </w:p>
    <w:p w:rsidR="00DD297B" w:rsidRPr="00687C29" w:rsidRDefault="00DD297B" w:rsidP="00DD297B">
      <w:pPr>
        <w:ind w:left="360"/>
        <w:rPr>
          <w:rFonts w:ascii="Arial" w:hAnsi="Arial" w:cs="Arial"/>
          <w:sz w:val="24"/>
          <w:szCs w:val="24"/>
        </w:rPr>
      </w:pPr>
    </w:p>
    <w:p w:rsidR="00DD297B" w:rsidRPr="00DD297B" w:rsidRDefault="00DD297B" w:rsidP="00B8566D">
      <w:pPr>
        <w:pStyle w:val="ListParagraph"/>
        <w:numPr>
          <w:ilvl w:val="0"/>
          <w:numId w:val="8"/>
        </w:numPr>
        <w:rPr>
          <w:rFonts w:ascii="Arial" w:hAnsi="Arial" w:cs="Arial"/>
          <w:sz w:val="24"/>
          <w:szCs w:val="24"/>
        </w:rPr>
      </w:pPr>
      <w:r>
        <w:rPr>
          <w:rFonts w:ascii="Arial" w:hAnsi="Arial" w:cs="Arial"/>
          <w:sz w:val="24"/>
          <w:szCs w:val="24"/>
        </w:rPr>
        <w:t xml:space="preserve">How does the unbilled revenue component of this entry differ from the adjustment recorded in 2b of Note 5 of the GA Analysis </w:t>
      </w:r>
      <w:proofErr w:type="spellStart"/>
      <w:r>
        <w:rPr>
          <w:rFonts w:ascii="Arial" w:hAnsi="Arial" w:cs="Arial"/>
          <w:sz w:val="24"/>
          <w:szCs w:val="24"/>
        </w:rPr>
        <w:t>workform</w:t>
      </w:r>
      <w:proofErr w:type="spellEnd"/>
      <w:r>
        <w:rPr>
          <w:rFonts w:ascii="Arial" w:hAnsi="Arial" w:cs="Arial"/>
          <w:sz w:val="24"/>
          <w:szCs w:val="24"/>
        </w:rPr>
        <w:t>?</w:t>
      </w:r>
    </w:p>
    <w:p w:rsidR="00B8566D" w:rsidRPr="009F3B70" w:rsidRDefault="00B8566D" w:rsidP="00B8566D">
      <w:pPr>
        <w:rPr>
          <w:rFonts w:ascii="Arial" w:hAnsi="Arial" w:cs="Arial"/>
          <w:b/>
          <w:sz w:val="24"/>
          <w:szCs w:val="24"/>
        </w:rPr>
      </w:pPr>
      <w:r w:rsidRPr="009F3B70">
        <w:rPr>
          <w:rFonts w:ascii="Arial" w:hAnsi="Arial" w:cs="Arial"/>
          <w:b/>
          <w:sz w:val="24"/>
          <w:szCs w:val="24"/>
        </w:rPr>
        <w:t>Q</w:t>
      </w:r>
      <w:r w:rsidR="00F949DF">
        <w:rPr>
          <w:rFonts w:ascii="Arial" w:hAnsi="Arial" w:cs="Arial"/>
          <w:b/>
          <w:sz w:val="24"/>
          <w:szCs w:val="24"/>
        </w:rPr>
        <w:t xml:space="preserve">uestion </w:t>
      </w:r>
      <w:r w:rsidR="00DD297B">
        <w:rPr>
          <w:rFonts w:ascii="Arial" w:hAnsi="Arial" w:cs="Arial"/>
          <w:b/>
          <w:sz w:val="24"/>
          <w:szCs w:val="24"/>
        </w:rPr>
        <w:t>6</w:t>
      </w:r>
    </w:p>
    <w:p w:rsidR="00B8566D" w:rsidRPr="009F3B70" w:rsidRDefault="00B8566D" w:rsidP="00B8566D">
      <w:pPr>
        <w:rPr>
          <w:rFonts w:ascii="Arial" w:hAnsi="Arial" w:cs="Arial"/>
          <w:b/>
          <w:sz w:val="24"/>
          <w:szCs w:val="24"/>
        </w:rPr>
      </w:pPr>
      <w:r w:rsidRPr="009F3B70">
        <w:rPr>
          <w:rFonts w:ascii="Arial" w:hAnsi="Arial" w:cs="Arial"/>
          <w:b/>
          <w:sz w:val="24"/>
          <w:szCs w:val="24"/>
        </w:rPr>
        <w:t xml:space="preserve">Ref. Adj. 9 in Note 5 of the GA Analysis </w:t>
      </w:r>
      <w:proofErr w:type="spellStart"/>
      <w:r w:rsidRPr="009F3B70">
        <w:rPr>
          <w:rFonts w:ascii="Arial" w:hAnsi="Arial" w:cs="Arial"/>
          <w:b/>
          <w:sz w:val="24"/>
          <w:szCs w:val="24"/>
        </w:rPr>
        <w:t>Workform</w:t>
      </w:r>
      <w:proofErr w:type="spellEnd"/>
    </w:p>
    <w:p w:rsidR="00B8566D" w:rsidRDefault="00B8566D" w:rsidP="00D27E78">
      <w:pPr>
        <w:pStyle w:val="ListParagraph"/>
        <w:numPr>
          <w:ilvl w:val="0"/>
          <w:numId w:val="3"/>
        </w:numPr>
        <w:rPr>
          <w:rFonts w:ascii="Arial" w:hAnsi="Arial" w:cs="Arial"/>
          <w:sz w:val="24"/>
          <w:szCs w:val="24"/>
        </w:rPr>
      </w:pPr>
      <w:r w:rsidRPr="009F3B70">
        <w:rPr>
          <w:rFonts w:ascii="Arial" w:hAnsi="Arial" w:cs="Arial"/>
          <w:sz w:val="24"/>
          <w:szCs w:val="24"/>
        </w:rPr>
        <w:t>Please confirm that this adjustment includes both the January 4</w:t>
      </w:r>
      <w:r w:rsidRPr="009F3B70">
        <w:rPr>
          <w:rFonts w:ascii="Arial" w:hAnsi="Arial" w:cs="Arial"/>
          <w:sz w:val="24"/>
          <w:szCs w:val="24"/>
          <w:vertAlign w:val="superscript"/>
        </w:rPr>
        <w:t>th</w:t>
      </w:r>
      <w:r w:rsidRPr="009F3B70">
        <w:rPr>
          <w:rFonts w:ascii="Arial" w:hAnsi="Arial" w:cs="Arial"/>
          <w:sz w:val="24"/>
          <w:szCs w:val="24"/>
        </w:rPr>
        <w:t>, 2018 settlement with the IESO for November 2017 consumption, and the February 4</w:t>
      </w:r>
      <w:r w:rsidRPr="009F3B70">
        <w:rPr>
          <w:rFonts w:ascii="Arial" w:hAnsi="Arial" w:cs="Arial"/>
          <w:sz w:val="24"/>
          <w:szCs w:val="24"/>
          <w:vertAlign w:val="superscript"/>
        </w:rPr>
        <w:t>th</w:t>
      </w:r>
      <w:r w:rsidRPr="009F3B70">
        <w:rPr>
          <w:rFonts w:ascii="Arial" w:hAnsi="Arial" w:cs="Arial"/>
          <w:sz w:val="24"/>
          <w:szCs w:val="24"/>
        </w:rPr>
        <w:t>, 2018 settlement with the IESO for December 2017 consumption.</w:t>
      </w:r>
    </w:p>
    <w:p w:rsidR="004A0717" w:rsidRPr="009F3B70" w:rsidRDefault="004A0717" w:rsidP="00B22C8F">
      <w:pPr>
        <w:pStyle w:val="ListParagraph"/>
        <w:rPr>
          <w:rFonts w:ascii="Arial" w:hAnsi="Arial" w:cs="Arial"/>
          <w:sz w:val="24"/>
          <w:szCs w:val="24"/>
        </w:rPr>
      </w:pPr>
    </w:p>
    <w:p w:rsidR="00B8566D" w:rsidRDefault="00B8566D" w:rsidP="00D27E78">
      <w:pPr>
        <w:pStyle w:val="ListParagraph"/>
        <w:numPr>
          <w:ilvl w:val="0"/>
          <w:numId w:val="3"/>
        </w:numPr>
        <w:rPr>
          <w:rFonts w:ascii="Arial" w:hAnsi="Arial" w:cs="Arial"/>
          <w:sz w:val="24"/>
          <w:szCs w:val="24"/>
        </w:rPr>
      </w:pPr>
      <w:r w:rsidRPr="009F3B70">
        <w:rPr>
          <w:rFonts w:ascii="Arial" w:hAnsi="Arial" w:cs="Arial"/>
          <w:sz w:val="24"/>
          <w:szCs w:val="24"/>
        </w:rPr>
        <w:lastRenderedPageBreak/>
        <w:t>Please also confirm that both settlements noted above were complet</w:t>
      </w:r>
      <w:r w:rsidR="00133B8F">
        <w:rPr>
          <w:rFonts w:ascii="Arial" w:hAnsi="Arial" w:cs="Arial"/>
          <w:sz w:val="24"/>
          <w:szCs w:val="24"/>
        </w:rPr>
        <w:t>ed using actual consumption data</w:t>
      </w:r>
      <w:r w:rsidRPr="009F3B70">
        <w:rPr>
          <w:rFonts w:ascii="Arial" w:hAnsi="Arial" w:cs="Arial"/>
          <w:sz w:val="24"/>
          <w:szCs w:val="24"/>
        </w:rPr>
        <w:t xml:space="preserve"> and the actual GA rate for each of the respective months.  Please also confirm that bec</w:t>
      </w:r>
      <w:r w:rsidR="008254DE">
        <w:rPr>
          <w:rFonts w:ascii="Arial" w:hAnsi="Arial" w:cs="Arial"/>
          <w:sz w:val="24"/>
          <w:szCs w:val="24"/>
        </w:rPr>
        <w:t>ause this is the case, there is typically</w:t>
      </w:r>
      <w:r w:rsidRPr="009F3B70">
        <w:rPr>
          <w:rFonts w:ascii="Arial" w:hAnsi="Arial" w:cs="Arial"/>
          <w:sz w:val="24"/>
          <w:szCs w:val="24"/>
        </w:rPr>
        <w:t xml:space="preserve"> no subsequent true-up required to the CT 1142 that was calculated and recorded for each of these months</w:t>
      </w:r>
      <w:r w:rsidR="00F949DF">
        <w:rPr>
          <w:rFonts w:ascii="Arial" w:hAnsi="Arial" w:cs="Arial"/>
          <w:sz w:val="24"/>
          <w:szCs w:val="24"/>
        </w:rPr>
        <w:t xml:space="preserve"> i.e. due to 1-month time lag in settlements, it is already based on actual data, not estimates)</w:t>
      </w:r>
      <w:r w:rsidRPr="009F3B70">
        <w:rPr>
          <w:rFonts w:ascii="Arial" w:hAnsi="Arial" w:cs="Arial"/>
          <w:sz w:val="24"/>
          <w:szCs w:val="24"/>
        </w:rPr>
        <w:t>.</w:t>
      </w:r>
    </w:p>
    <w:p w:rsidR="009F3B70" w:rsidRPr="009F3B70" w:rsidRDefault="009F3B70" w:rsidP="009F3B70">
      <w:pPr>
        <w:rPr>
          <w:rFonts w:ascii="Arial" w:hAnsi="Arial" w:cs="Arial"/>
          <w:b/>
          <w:sz w:val="24"/>
          <w:szCs w:val="24"/>
        </w:rPr>
      </w:pPr>
      <w:r w:rsidRPr="009F3B70">
        <w:rPr>
          <w:rFonts w:ascii="Arial" w:hAnsi="Arial" w:cs="Arial"/>
          <w:b/>
          <w:sz w:val="24"/>
          <w:szCs w:val="24"/>
        </w:rPr>
        <w:t xml:space="preserve">Question </w:t>
      </w:r>
      <w:r w:rsidR="00DD297B">
        <w:rPr>
          <w:rFonts w:ascii="Arial" w:hAnsi="Arial" w:cs="Arial"/>
          <w:b/>
          <w:sz w:val="24"/>
          <w:szCs w:val="24"/>
        </w:rPr>
        <w:t>7</w:t>
      </w:r>
    </w:p>
    <w:p w:rsidR="007765D4" w:rsidRDefault="009F3B70" w:rsidP="009F3B70">
      <w:pPr>
        <w:rPr>
          <w:rFonts w:ascii="Arial" w:hAnsi="Arial" w:cs="Arial"/>
          <w:b/>
          <w:sz w:val="24"/>
          <w:szCs w:val="24"/>
        </w:rPr>
      </w:pPr>
      <w:r w:rsidRPr="009F3B70">
        <w:rPr>
          <w:rFonts w:ascii="Arial" w:hAnsi="Arial" w:cs="Arial"/>
          <w:b/>
          <w:sz w:val="24"/>
          <w:szCs w:val="24"/>
        </w:rPr>
        <w:t xml:space="preserve">Ref. </w:t>
      </w:r>
      <w:r w:rsidR="00114AED">
        <w:rPr>
          <w:rFonts w:ascii="Arial" w:hAnsi="Arial" w:cs="Arial"/>
          <w:b/>
          <w:sz w:val="24"/>
          <w:szCs w:val="24"/>
        </w:rPr>
        <w:t xml:space="preserve">Note 5 of the GA Analysis </w:t>
      </w:r>
      <w:proofErr w:type="spellStart"/>
      <w:r w:rsidR="00114AED">
        <w:rPr>
          <w:rFonts w:ascii="Arial" w:hAnsi="Arial" w:cs="Arial"/>
          <w:b/>
          <w:sz w:val="24"/>
          <w:szCs w:val="24"/>
        </w:rPr>
        <w:t>Workform</w:t>
      </w:r>
      <w:proofErr w:type="spellEnd"/>
      <w:r w:rsidR="00114AED">
        <w:rPr>
          <w:rFonts w:ascii="Arial" w:hAnsi="Arial" w:cs="Arial"/>
          <w:b/>
          <w:sz w:val="24"/>
          <w:szCs w:val="24"/>
        </w:rPr>
        <w:t xml:space="preserve"> and </w:t>
      </w:r>
      <w:r w:rsidR="00F949DF">
        <w:rPr>
          <w:rFonts w:ascii="Arial" w:hAnsi="Arial" w:cs="Arial"/>
          <w:b/>
          <w:sz w:val="24"/>
          <w:szCs w:val="24"/>
        </w:rPr>
        <w:t xml:space="preserve">Appendix A, </w:t>
      </w:r>
      <w:r>
        <w:rPr>
          <w:rFonts w:ascii="Arial" w:hAnsi="Arial" w:cs="Arial"/>
          <w:b/>
          <w:sz w:val="24"/>
          <w:szCs w:val="24"/>
        </w:rPr>
        <w:t>Response 2f</w:t>
      </w:r>
    </w:p>
    <w:p w:rsidR="004A0717" w:rsidRPr="004A0717" w:rsidRDefault="009F3B70" w:rsidP="004A0717">
      <w:pPr>
        <w:pStyle w:val="ListParagraph"/>
        <w:numPr>
          <w:ilvl w:val="0"/>
          <w:numId w:val="5"/>
        </w:numPr>
        <w:rPr>
          <w:rFonts w:ascii="Arial" w:hAnsi="Arial" w:cs="Arial"/>
          <w:sz w:val="24"/>
          <w:szCs w:val="24"/>
        </w:rPr>
      </w:pPr>
      <w:r w:rsidRPr="00114AED">
        <w:rPr>
          <w:rFonts w:ascii="Arial" w:hAnsi="Arial" w:cs="Arial"/>
          <w:sz w:val="24"/>
          <w:szCs w:val="24"/>
        </w:rPr>
        <w:t>As part of this response</w:t>
      </w:r>
      <w:r w:rsidR="00114AED" w:rsidRPr="00114AED">
        <w:rPr>
          <w:rFonts w:ascii="Arial" w:hAnsi="Arial" w:cs="Arial"/>
          <w:sz w:val="24"/>
          <w:szCs w:val="24"/>
        </w:rPr>
        <w:t xml:space="preserve"> the Applicant has quantified a true-up</w:t>
      </w:r>
      <w:r w:rsidRPr="00114AED">
        <w:rPr>
          <w:rFonts w:ascii="Arial" w:hAnsi="Arial" w:cs="Arial"/>
          <w:sz w:val="24"/>
          <w:szCs w:val="24"/>
        </w:rPr>
        <w:t xml:space="preserve"> amount of ($2,55</w:t>
      </w:r>
      <w:r w:rsidR="00114AED">
        <w:rPr>
          <w:rFonts w:ascii="Arial" w:hAnsi="Arial" w:cs="Arial"/>
          <w:sz w:val="24"/>
          <w:szCs w:val="24"/>
        </w:rPr>
        <w:t>8</w:t>
      </w:r>
      <w:r w:rsidRPr="00114AED">
        <w:rPr>
          <w:rFonts w:ascii="Arial" w:hAnsi="Arial" w:cs="Arial"/>
          <w:sz w:val="24"/>
          <w:szCs w:val="24"/>
        </w:rPr>
        <w:t>,968)</w:t>
      </w:r>
      <w:r w:rsidR="00114AED" w:rsidRPr="00114AED">
        <w:rPr>
          <w:rFonts w:ascii="Arial" w:hAnsi="Arial" w:cs="Arial"/>
          <w:sz w:val="24"/>
          <w:szCs w:val="24"/>
        </w:rPr>
        <w:t xml:space="preserve"> related to CT 1142.  Please reconcile this to the true-up </w:t>
      </w:r>
      <w:r w:rsidR="004A0717">
        <w:rPr>
          <w:rFonts w:ascii="Arial" w:hAnsi="Arial" w:cs="Arial"/>
          <w:sz w:val="24"/>
          <w:szCs w:val="24"/>
        </w:rPr>
        <w:t xml:space="preserve">adjustments </w:t>
      </w:r>
      <w:r w:rsidR="00114AED" w:rsidRPr="00114AED">
        <w:rPr>
          <w:rFonts w:ascii="Arial" w:hAnsi="Arial" w:cs="Arial"/>
          <w:sz w:val="24"/>
          <w:szCs w:val="24"/>
        </w:rPr>
        <w:t xml:space="preserve">presented in Note 5 of the GA Analysis </w:t>
      </w:r>
      <w:proofErr w:type="spellStart"/>
      <w:r w:rsidR="00114AED" w:rsidRPr="00114AED">
        <w:rPr>
          <w:rFonts w:ascii="Arial" w:hAnsi="Arial" w:cs="Arial"/>
          <w:sz w:val="24"/>
          <w:szCs w:val="24"/>
        </w:rPr>
        <w:t>Workf</w:t>
      </w:r>
      <w:r w:rsidR="004A0717">
        <w:rPr>
          <w:rFonts w:ascii="Arial" w:hAnsi="Arial" w:cs="Arial"/>
          <w:sz w:val="24"/>
          <w:szCs w:val="24"/>
        </w:rPr>
        <w:t>orm</w:t>
      </w:r>
      <w:proofErr w:type="spellEnd"/>
      <w:r w:rsidR="004A0717">
        <w:rPr>
          <w:rFonts w:ascii="Arial" w:hAnsi="Arial" w:cs="Arial"/>
          <w:sz w:val="24"/>
          <w:szCs w:val="24"/>
        </w:rPr>
        <w:t>.</w:t>
      </w:r>
    </w:p>
    <w:p w:rsidR="004A0717" w:rsidRPr="004A0717" w:rsidRDefault="004A0717" w:rsidP="004A0717">
      <w:pPr>
        <w:pStyle w:val="ListParagraph"/>
        <w:rPr>
          <w:rFonts w:ascii="Arial" w:hAnsi="Arial" w:cs="Arial"/>
          <w:sz w:val="24"/>
          <w:szCs w:val="24"/>
        </w:rPr>
      </w:pPr>
    </w:p>
    <w:p w:rsidR="004A0717" w:rsidRPr="00114AED" w:rsidRDefault="004A0717" w:rsidP="00114AED">
      <w:pPr>
        <w:pStyle w:val="ListParagraph"/>
        <w:numPr>
          <w:ilvl w:val="0"/>
          <w:numId w:val="5"/>
        </w:numPr>
        <w:rPr>
          <w:rFonts w:ascii="Arial" w:hAnsi="Arial" w:cs="Arial"/>
          <w:sz w:val="24"/>
          <w:szCs w:val="24"/>
        </w:rPr>
      </w:pPr>
      <w:r>
        <w:rPr>
          <w:rFonts w:ascii="Arial" w:hAnsi="Arial" w:cs="Arial"/>
          <w:sz w:val="24"/>
          <w:szCs w:val="24"/>
        </w:rPr>
        <w:t>Please explain why the Applicant is not proposing to record adjustments 3a and 3b from Note 5 of the DVA continuity schedule as part of principal adjustments for account 1589?</w:t>
      </w:r>
    </w:p>
    <w:p w:rsidR="007765D4" w:rsidRPr="009F3B70" w:rsidRDefault="007765D4" w:rsidP="007765D4">
      <w:pPr>
        <w:spacing w:after="0"/>
        <w:ind w:left="360"/>
        <w:rPr>
          <w:rFonts w:ascii="Arial" w:hAnsi="Arial" w:cs="Arial"/>
          <w:sz w:val="24"/>
          <w:szCs w:val="24"/>
        </w:rPr>
      </w:pPr>
    </w:p>
    <w:p w:rsidR="002017D4" w:rsidRPr="009F3B70" w:rsidRDefault="002017D4" w:rsidP="002017D4">
      <w:pPr>
        <w:rPr>
          <w:rFonts w:ascii="Arial" w:hAnsi="Arial" w:cs="Arial"/>
          <w:b/>
          <w:sz w:val="24"/>
          <w:szCs w:val="24"/>
        </w:rPr>
      </w:pPr>
      <w:r w:rsidRPr="009F3B70">
        <w:rPr>
          <w:rFonts w:ascii="Arial" w:hAnsi="Arial" w:cs="Arial"/>
          <w:b/>
          <w:sz w:val="24"/>
          <w:szCs w:val="24"/>
        </w:rPr>
        <w:t xml:space="preserve">Question </w:t>
      </w:r>
      <w:r>
        <w:rPr>
          <w:rFonts w:ascii="Arial" w:hAnsi="Arial" w:cs="Arial"/>
          <w:b/>
          <w:sz w:val="24"/>
          <w:szCs w:val="24"/>
        </w:rPr>
        <w:t>8</w:t>
      </w:r>
    </w:p>
    <w:p w:rsidR="002017D4" w:rsidRDefault="002017D4" w:rsidP="002017D4">
      <w:pPr>
        <w:rPr>
          <w:rFonts w:ascii="Arial" w:hAnsi="Arial" w:cs="Arial"/>
          <w:b/>
          <w:sz w:val="24"/>
          <w:szCs w:val="24"/>
        </w:rPr>
      </w:pPr>
      <w:r w:rsidRPr="009F3B70">
        <w:rPr>
          <w:rFonts w:ascii="Arial" w:hAnsi="Arial" w:cs="Arial"/>
          <w:b/>
          <w:sz w:val="24"/>
          <w:szCs w:val="24"/>
        </w:rPr>
        <w:t xml:space="preserve">Ref. </w:t>
      </w:r>
      <w:r w:rsidR="0055485C">
        <w:rPr>
          <w:rFonts w:ascii="Arial" w:hAnsi="Arial" w:cs="Arial"/>
          <w:b/>
          <w:sz w:val="24"/>
          <w:szCs w:val="24"/>
        </w:rPr>
        <w:t xml:space="preserve">DVA Continuity Schedule, Accounts </w:t>
      </w:r>
      <w:r>
        <w:rPr>
          <w:rFonts w:ascii="Arial" w:hAnsi="Arial" w:cs="Arial"/>
          <w:b/>
          <w:sz w:val="24"/>
          <w:szCs w:val="24"/>
        </w:rPr>
        <w:t>1595</w:t>
      </w:r>
      <w:r w:rsidR="0055485C">
        <w:rPr>
          <w:rFonts w:ascii="Arial" w:hAnsi="Arial" w:cs="Arial"/>
          <w:b/>
          <w:sz w:val="24"/>
          <w:szCs w:val="24"/>
        </w:rPr>
        <w:t xml:space="preserve"> (2013 and 2015)</w:t>
      </w:r>
    </w:p>
    <w:tbl>
      <w:tblPr>
        <w:tblpPr w:leftFromText="180" w:rightFromText="180" w:vertAnchor="text" w:horzAnchor="margin" w:tblpY="-9"/>
        <w:tblW w:w="2720" w:type="dxa"/>
        <w:tblLook w:val="04A0" w:firstRow="1" w:lastRow="0" w:firstColumn="1" w:lastColumn="0" w:noHBand="0" w:noVBand="1"/>
      </w:tblPr>
      <w:tblGrid>
        <w:gridCol w:w="1525"/>
        <w:gridCol w:w="1195"/>
      </w:tblGrid>
      <w:tr w:rsidR="0064139A" w:rsidRPr="0064139A" w:rsidTr="0064139A">
        <w:trPr>
          <w:trHeight w:val="290"/>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139A" w:rsidRPr="0064139A" w:rsidRDefault="0064139A" w:rsidP="0064139A">
            <w:pPr>
              <w:spacing w:after="0" w:line="240" w:lineRule="auto"/>
              <w:rPr>
                <w:rFonts w:ascii="Arial" w:eastAsia="Times New Roman" w:hAnsi="Arial" w:cs="Arial"/>
                <w:color w:val="000000"/>
              </w:rPr>
            </w:pPr>
            <w:r w:rsidRPr="0064139A">
              <w:rPr>
                <w:rFonts w:ascii="Arial" w:eastAsia="Times New Roman" w:hAnsi="Arial" w:cs="Arial"/>
                <w:color w:val="000000"/>
              </w:rPr>
              <w:t>Account</w:t>
            </w:r>
          </w:p>
        </w:tc>
        <w:tc>
          <w:tcPr>
            <w:tcW w:w="1195" w:type="dxa"/>
            <w:tcBorders>
              <w:top w:val="single" w:sz="4" w:space="0" w:color="auto"/>
              <w:left w:val="nil"/>
              <w:bottom w:val="single" w:sz="4" w:space="0" w:color="auto"/>
              <w:right w:val="single" w:sz="4" w:space="0" w:color="auto"/>
            </w:tcBorders>
            <w:shd w:val="clear" w:color="auto" w:fill="auto"/>
            <w:noWrap/>
            <w:vAlign w:val="bottom"/>
            <w:hideMark/>
          </w:tcPr>
          <w:p w:rsidR="0064139A" w:rsidRPr="0064139A" w:rsidRDefault="0064139A" w:rsidP="0064139A">
            <w:pPr>
              <w:spacing w:after="0" w:line="240" w:lineRule="auto"/>
              <w:rPr>
                <w:rFonts w:ascii="Arial" w:eastAsia="Times New Roman" w:hAnsi="Arial" w:cs="Arial"/>
                <w:color w:val="000000"/>
              </w:rPr>
            </w:pPr>
            <w:r w:rsidRPr="0064139A">
              <w:rPr>
                <w:rFonts w:ascii="Arial" w:eastAsia="Times New Roman" w:hAnsi="Arial" w:cs="Arial"/>
                <w:color w:val="000000"/>
              </w:rPr>
              <w:t>Claim Amount</w:t>
            </w:r>
          </w:p>
        </w:tc>
      </w:tr>
      <w:tr w:rsidR="0064139A" w:rsidRPr="0064139A" w:rsidTr="0064139A">
        <w:trPr>
          <w:trHeight w:val="290"/>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64139A" w:rsidRPr="0064139A" w:rsidRDefault="0064139A" w:rsidP="0064139A">
            <w:pPr>
              <w:spacing w:after="0" w:line="240" w:lineRule="auto"/>
              <w:rPr>
                <w:rFonts w:ascii="Arial" w:eastAsia="Times New Roman" w:hAnsi="Arial" w:cs="Arial"/>
                <w:color w:val="000000"/>
              </w:rPr>
            </w:pPr>
            <w:r w:rsidRPr="0064139A">
              <w:rPr>
                <w:rFonts w:ascii="Arial" w:eastAsia="Times New Roman" w:hAnsi="Arial" w:cs="Arial"/>
                <w:color w:val="000000"/>
              </w:rPr>
              <w:t>1595 (2013)</w:t>
            </w:r>
          </w:p>
        </w:tc>
        <w:tc>
          <w:tcPr>
            <w:tcW w:w="1195" w:type="dxa"/>
            <w:tcBorders>
              <w:top w:val="nil"/>
              <w:left w:val="nil"/>
              <w:bottom w:val="single" w:sz="4" w:space="0" w:color="auto"/>
              <w:right w:val="single" w:sz="4" w:space="0" w:color="auto"/>
            </w:tcBorders>
            <w:shd w:val="clear" w:color="auto" w:fill="auto"/>
            <w:noWrap/>
            <w:vAlign w:val="bottom"/>
            <w:hideMark/>
          </w:tcPr>
          <w:p w:rsidR="0064139A" w:rsidRPr="0064139A" w:rsidRDefault="0064139A" w:rsidP="0064139A">
            <w:pPr>
              <w:spacing w:after="0" w:line="240" w:lineRule="auto"/>
              <w:jc w:val="right"/>
              <w:rPr>
                <w:rFonts w:ascii="Arial" w:eastAsia="Times New Roman" w:hAnsi="Arial" w:cs="Arial"/>
                <w:color w:val="000000"/>
              </w:rPr>
            </w:pPr>
            <w:r w:rsidRPr="0064139A">
              <w:rPr>
                <w:rFonts w:ascii="Arial" w:eastAsia="Times New Roman" w:hAnsi="Arial" w:cs="Arial"/>
                <w:color w:val="FF0000"/>
              </w:rPr>
              <w:t>(16,059)</w:t>
            </w:r>
          </w:p>
        </w:tc>
      </w:tr>
      <w:tr w:rsidR="0064139A" w:rsidRPr="0064139A" w:rsidTr="0064139A">
        <w:trPr>
          <w:trHeight w:val="290"/>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64139A" w:rsidRPr="0064139A" w:rsidRDefault="0064139A" w:rsidP="0064139A">
            <w:pPr>
              <w:spacing w:after="0" w:line="240" w:lineRule="auto"/>
              <w:rPr>
                <w:rFonts w:ascii="Arial" w:eastAsia="Times New Roman" w:hAnsi="Arial" w:cs="Arial"/>
                <w:color w:val="000000"/>
              </w:rPr>
            </w:pPr>
            <w:r w:rsidRPr="0064139A">
              <w:rPr>
                <w:rFonts w:ascii="Arial" w:eastAsia="Times New Roman" w:hAnsi="Arial" w:cs="Arial"/>
                <w:color w:val="000000"/>
              </w:rPr>
              <w:t>1595 (2015)</w:t>
            </w:r>
          </w:p>
        </w:tc>
        <w:tc>
          <w:tcPr>
            <w:tcW w:w="1195" w:type="dxa"/>
            <w:tcBorders>
              <w:top w:val="nil"/>
              <w:left w:val="nil"/>
              <w:bottom w:val="single" w:sz="4" w:space="0" w:color="auto"/>
              <w:right w:val="single" w:sz="4" w:space="0" w:color="auto"/>
            </w:tcBorders>
            <w:shd w:val="clear" w:color="auto" w:fill="auto"/>
            <w:noWrap/>
            <w:vAlign w:val="bottom"/>
            <w:hideMark/>
          </w:tcPr>
          <w:p w:rsidR="0064139A" w:rsidRPr="0064139A" w:rsidRDefault="0064139A" w:rsidP="0064139A">
            <w:pPr>
              <w:spacing w:after="0" w:line="240" w:lineRule="auto"/>
              <w:jc w:val="right"/>
              <w:rPr>
                <w:rFonts w:ascii="Arial" w:eastAsia="Times New Roman" w:hAnsi="Arial" w:cs="Arial"/>
                <w:color w:val="000000"/>
              </w:rPr>
            </w:pPr>
            <w:r w:rsidRPr="0064139A">
              <w:rPr>
                <w:rFonts w:ascii="Arial" w:eastAsia="Times New Roman" w:hAnsi="Arial" w:cs="Arial"/>
                <w:color w:val="FF0000"/>
              </w:rPr>
              <w:t>(145,808)</w:t>
            </w:r>
          </w:p>
        </w:tc>
      </w:tr>
    </w:tbl>
    <w:p w:rsidR="0064139A" w:rsidRDefault="0064139A" w:rsidP="002017D4">
      <w:pPr>
        <w:rPr>
          <w:rFonts w:ascii="Arial" w:hAnsi="Arial" w:cs="Arial"/>
          <w:b/>
          <w:sz w:val="24"/>
          <w:szCs w:val="24"/>
        </w:rPr>
      </w:pPr>
    </w:p>
    <w:p w:rsidR="0064139A" w:rsidRDefault="0064139A" w:rsidP="002017D4">
      <w:pPr>
        <w:rPr>
          <w:rFonts w:ascii="Arial" w:hAnsi="Arial" w:cs="Arial"/>
          <w:b/>
          <w:sz w:val="24"/>
          <w:szCs w:val="24"/>
        </w:rPr>
      </w:pPr>
      <w:r>
        <w:rPr>
          <w:rFonts w:ascii="Arial" w:hAnsi="Arial" w:cs="Arial"/>
          <w:b/>
          <w:sz w:val="24"/>
          <w:szCs w:val="24"/>
        </w:rPr>
        <w:tab/>
      </w:r>
      <w:r>
        <w:rPr>
          <w:rFonts w:ascii="Arial" w:hAnsi="Arial" w:cs="Arial"/>
          <w:b/>
          <w:sz w:val="24"/>
          <w:szCs w:val="24"/>
        </w:rPr>
        <w:tab/>
      </w:r>
    </w:p>
    <w:p w:rsidR="0064139A" w:rsidRDefault="0064139A" w:rsidP="002017D4">
      <w:pPr>
        <w:rPr>
          <w:rFonts w:ascii="Arial" w:hAnsi="Arial" w:cs="Arial"/>
          <w:b/>
          <w:sz w:val="24"/>
          <w:szCs w:val="24"/>
        </w:rPr>
      </w:pPr>
    </w:p>
    <w:p w:rsidR="0064139A" w:rsidRPr="0064139A" w:rsidRDefault="0055485C" w:rsidP="0064139A">
      <w:pPr>
        <w:pStyle w:val="ListParagraph"/>
        <w:numPr>
          <w:ilvl w:val="0"/>
          <w:numId w:val="9"/>
        </w:numPr>
        <w:rPr>
          <w:rFonts w:ascii="Arial" w:hAnsi="Arial" w:cs="Arial"/>
          <w:sz w:val="24"/>
          <w:szCs w:val="24"/>
        </w:rPr>
      </w:pPr>
      <w:r>
        <w:rPr>
          <w:rFonts w:ascii="Arial" w:hAnsi="Arial" w:cs="Arial"/>
          <w:sz w:val="24"/>
          <w:szCs w:val="24"/>
        </w:rPr>
        <w:t xml:space="preserve">CNPI harmonized its rates for Fort Erie, Port Colborne and </w:t>
      </w:r>
      <w:proofErr w:type="spellStart"/>
      <w:r>
        <w:rPr>
          <w:rFonts w:ascii="Arial" w:hAnsi="Arial" w:cs="Arial"/>
          <w:sz w:val="24"/>
          <w:szCs w:val="24"/>
        </w:rPr>
        <w:t>Gananoque</w:t>
      </w:r>
      <w:proofErr w:type="spellEnd"/>
      <w:r>
        <w:rPr>
          <w:rFonts w:ascii="Arial" w:hAnsi="Arial" w:cs="Arial"/>
          <w:sz w:val="24"/>
          <w:szCs w:val="24"/>
        </w:rPr>
        <w:t xml:space="preserve"> as of January 1, 2017.  </w:t>
      </w:r>
      <w:r w:rsidR="0064139A">
        <w:rPr>
          <w:rFonts w:ascii="Arial" w:hAnsi="Arial" w:cs="Arial"/>
          <w:sz w:val="24"/>
          <w:szCs w:val="24"/>
        </w:rPr>
        <w:t>Please explain why the balances are being socialized and not directed to the appropriate service territories.</w:t>
      </w:r>
    </w:p>
    <w:p w:rsidR="002017D4" w:rsidRPr="004A0717" w:rsidRDefault="002017D4" w:rsidP="002017D4">
      <w:pPr>
        <w:pStyle w:val="ListParagraph"/>
        <w:rPr>
          <w:rFonts w:ascii="Arial" w:hAnsi="Arial" w:cs="Arial"/>
          <w:sz w:val="24"/>
          <w:szCs w:val="24"/>
        </w:rPr>
      </w:pPr>
    </w:p>
    <w:p w:rsidR="00270027" w:rsidRPr="009F3B70" w:rsidRDefault="00270027" w:rsidP="00270027">
      <w:pPr>
        <w:rPr>
          <w:rFonts w:ascii="Arial" w:hAnsi="Arial" w:cs="Arial"/>
          <w:b/>
          <w:sz w:val="24"/>
          <w:szCs w:val="24"/>
        </w:rPr>
      </w:pPr>
      <w:r w:rsidRPr="009F3B70">
        <w:rPr>
          <w:rFonts w:ascii="Arial" w:hAnsi="Arial" w:cs="Arial"/>
          <w:b/>
          <w:sz w:val="24"/>
          <w:szCs w:val="24"/>
        </w:rPr>
        <w:t xml:space="preserve">Question </w:t>
      </w:r>
      <w:r>
        <w:rPr>
          <w:rFonts w:ascii="Arial" w:hAnsi="Arial" w:cs="Arial"/>
          <w:b/>
          <w:sz w:val="24"/>
          <w:szCs w:val="24"/>
        </w:rPr>
        <w:t>9</w:t>
      </w:r>
    </w:p>
    <w:p w:rsidR="00270027" w:rsidRDefault="00270027" w:rsidP="00270027">
      <w:pPr>
        <w:rPr>
          <w:rFonts w:ascii="Arial" w:hAnsi="Arial" w:cs="Arial"/>
          <w:b/>
          <w:sz w:val="24"/>
          <w:szCs w:val="24"/>
        </w:rPr>
      </w:pPr>
      <w:r w:rsidRPr="009F3B70">
        <w:rPr>
          <w:rFonts w:ascii="Arial" w:hAnsi="Arial" w:cs="Arial"/>
          <w:b/>
          <w:sz w:val="24"/>
          <w:szCs w:val="24"/>
        </w:rPr>
        <w:t xml:space="preserve">Ref. </w:t>
      </w:r>
      <w:r w:rsidR="00B568A9">
        <w:rPr>
          <w:rFonts w:ascii="Arial" w:hAnsi="Arial" w:cs="Arial"/>
          <w:b/>
          <w:sz w:val="24"/>
          <w:szCs w:val="24"/>
        </w:rPr>
        <w:t>Table 2, page 9 of Manager’s Summary</w:t>
      </w:r>
    </w:p>
    <w:p w:rsidR="000541EF" w:rsidRPr="00E131E5" w:rsidRDefault="00270027" w:rsidP="001F1110">
      <w:pPr>
        <w:pStyle w:val="ListParagraph"/>
        <w:numPr>
          <w:ilvl w:val="0"/>
          <w:numId w:val="10"/>
        </w:numPr>
        <w:rPr>
          <w:rFonts w:ascii="Arial" w:hAnsi="Arial" w:cs="Arial"/>
          <w:sz w:val="24"/>
          <w:szCs w:val="24"/>
        </w:rPr>
      </w:pPr>
      <w:r w:rsidRPr="00E131E5">
        <w:rPr>
          <w:rFonts w:ascii="Arial" w:hAnsi="Arial" w:cs="Arial"/>
          <w:sz w:val="24"/>
          <w:szCs w:val="24"/>
        </w:rPr>
        <w:t>Table 2 di</w:t>
      </w:r>
      <w:r w:rsidR="00E131E5">
        <w:rPr>
          <w:rFonts w:ascii="Arial" w:hAnsi="Arial" w:cs="Arial"/>
          <w:sz w:val="24"/>
          <w:szCs w:val="24"/>
        </w:rPr>
        <w:t>splays the 2019 proposed RTSRs and associated units.  Please confirm that the incorrect units were entered for the GS&lt;50, USL and Sentinel lighting classes.</w:t>
      </w:r>
    </w:p>
    <w:p w:rsidR="000541EF" w:rsidRPr="009F3B70" w:rsidRDefault="000541EF" w:rsidP="000541EF">
      <w:pPr>
        <w:rPr>
          <w:rFonts w:ascii="Arial" w:hAnsi="Arial" w:cs="Arial"/>
          <w:sz w:val="24"/>
          <w:szCs w:val="24"/>
        </w:rPr>
      </w:pPr>
    </w:p>
    <w:p w:rsidR="000541EF" w:rsidRPr="009F3B70" w:rsidRDefault="000541EF" w:rsidP="000541EF">
      <w:pPr>
        <w:rPr>
          <w:rFonts w:ascii="Arial" w:hAnsi="Arial" w:cs="Arial"/>
          <w:sz w:val="24"/>
          <w:szCs w:val="24"/>
        </w:rPr>
      </w:pPr>
    </w:p>
    <w:p w:rsidR="000541EF" w:rsidRDefault="000541EF" w:rsidP="000541EF">
      <w:pPr>
        <w:rPr>
          <w:rFonts w:ascii="Arial" w:hAnsi="Arial" w:cs="Arial"/>
          <w:sz w:val="24"/>
          <w:szCs w:val="24"/>
        </w:rPr>
      </w:pPr>
    </w:p>
    <w:p w:rsidR="003F18BF" w:rsidRDefault="003F18BF" w:rsidP="000541EF">
      <w:pPr>
        <w:rPr>
          <w:rFonts w:ascii="Arial" w:hAnsi="Arial" w:cs="Arial"/>
          <w:sz w:val="24"/>
          <w:szCs w:val="24"/>
        </w:rPr>
      </w:pPr>
    </w:p>
    <w:p w:rsidR="003F18BF" w:rsidRPr="009F3B70" w:rsidRDefault="003F18BF" w:rsidP="003F18BF">
      <w:pPr>
        <w:rPr>
          <w:rFonts w:ascii="Arial" w:hAnsi="Arial" w:cs="Arial"/>
          <w:b/>
          <w:sz w:val="24"/>
          <w:szCs w:val="24"/>
        </w:rPr>
      </w:pPr>
      <w:r w:rsidRPr="009F3B70">
        <w:rPr>
          <w:rFonts w:ascii="Arial" w:hAnsi="Arial" w:cs="Arial"/>
          <w:b/>
          <w:sz w:val="24"/>
          <w:szCs w:val="24"/>
        </w:rPr>
        <w:lastRenderedPageBreak/>
        <w:t xml:space="preserve">Question </w:t>
      </w:r>
      <w:r>
        <w:rPr>
          <w:rFonts w:ascii="Arial" w:hAnsi="Arial" w:cs="Arial"/>
          <w:b/>
          <w:sz w:val="24"/>
          <w:szCs w:val="24"/>
        </w:rPr>
        <w:t>10</w:t>
      </w:r>
    </w:p>
    <w:p w:rsidR="003F18BF" w:rsidRDefault="003F18BF" w:rsidP="003F18BF">
      <w:pPr>
        <w:pStyle w:val="Default"/>
        <w:rPr>
          <w:sz w:val="23"/>
          <w:szCs w:val="23"/>
        </w:rPr>
      </w:pPr>
      <w:r>
        <w:rPr>
          <w:b/>
          <w:bCs/>
          <w:sz w:val="23"/>
          <w:szCs w:val="23"/>
        </w:rPr>
        <w:t xml:space="preserve">Ref: Tab 6.1a GA Allocation – cell D20 Total Non-RPP Class B consumption </w:t>
      </w:r>
    </w:p>
    <w:p w:rsidR="003F18BF" w:rsidRDefault="003F18BF" w:rsidP="003F18BF">
      <w:pPr>
        <w:pStyle w:val="Default"/>
        <w:rPr>
          <w:b/>
          <w:bCs/>
          <w:sz w:val="23"/>
          <w:szCs w:val="23"/>
        </w:rPr>
      </w:pPr>
    </w:p>
    <w:p w:rsidR="003F18BF" w:rsidRDefault="003F18BF" w:rsidP="003F18BF">
      <w:pPr>
        <w:pStyle w:val="Default"/>
        <w:rPr>
          <w:sz w:val="23"/>
          <w:szCs w:val="23"/>
        </w:rPr>
      </w:pPr>
      <w:r>
        <w:rPr>
          <w:b/>
          <w:bCs/>
          <w:sz w:val="23"/>
          <w:szCs w:val="23"/>
        </w:rPr>
        <w:t xml:space="preserve">Ref: Tab 6.2a CBR </w:t>
      </w:r>
      <w:proofErr w:type="spellStart"/>
      <w:r>
        <w:rPr>
          <w:b/>
          <w:bCs/>
          <w:sz w:val="23"/>
          <w:szCs w:val="23"/>
        </w:rPr>
        <w:t>B_Allocation</w:t>
      </w:r>
      <w:proofErr w:type="spellEnd"/>
      <w:r>
        <w:rPr>
          <w:b/>
          <w:bCs/>
          <w:sz w:val="23"/>
          <w:szCs w:val="23"/>
        </w:rPr>
        <w:t xml:space="preserve"> – cell D20 Total Class B consumption less WMP </w:t>
      </w:r>
    </w:p>
    <w:p w:rsidR="003F18BF" w:rsidRDefault="003F18BF" w:rsidP="003F18BF">
      <w:pPr>
        <w:rPr>
          <w:sz w:val="23"/>
          <w:szCs w:val="23"/>
        </w:rPr>
      </w:pPr>
    </w:p>
    <w:p w:rsidR="003F18BF" w:rsidRPr="003C45A1" w:rsidRDefault="003F18BF" w:rsidP="003F18BF">
      <w:pPr>
        <w:rPr>
          <w:rFonts w:ascii="Arial" w:hAnsi="Arial" w:cs="Arial"/>
          <w:sz w:val="23"/>
          <w:szCs w:val="23"/>
        </w:rPr>
      </w:pPr>
      <w:r w:rsidRPr="003C45A1">
        <w:rPr>
          <w:rFonts w:ascii="Arial" w:hAnsi="Arial" w:cs="Arial"/>
          <w:sz w:val="23"/>
          <w:szCs w:val="23"/>
        </w:rPr>
        <w:t>OEB staff is unable to reconcile the data entered in cells D20 in Tab 6.1a and Tab 6.2a. Below is a table that staff prepared showing the “Validation of Data used in class B GA and CBR Allocations”. Staff notes a discrepancy for the 2017 consumption figure that is used in the “GA allocation” and “CBR B Allocation” of 2019 IRM rate model as below.</w:t>
      </w:r>
    </w:p>
    <w:p w:rsidR="003F18BF" w:rsidRDefault="003F18BF" w:rsidP="000541EF">
      <w:pPr>
        <w:rPr>
          <w:rFonts w:ascii="Arial" w:hAnsi="Arial" w:cs="Arial"/>
          <w:sz w:val="24"/>
          <w:szCs w:val="24"/>
        </w:rPr>
      </w:pPr>
      <w:r>
        <w:rPr>
          <w:noProof/>
        </w:rPr>
        <mc:AlternateContent>
          <mc:Choice Requires="wps">
            <w:drawing>
              <wp:anchor distT="0" distB="0" distL="114300" distR="114300" simplePos="0" relativeHeight="251659264" behindDoc="0" locked="0" layoutInCell="1" allowOverlap="1" wp14:anchorId="5434F051" wp14:editId="0DF441F3">
                <wp:simplePos x="0" y="0"/>
                <wp:positionH relativeFrom="column">
                  <wp:posOffset>5148262</wp:posOffset>
                </wp:positionH>
                <wp:positionV relativeFrom="paragraph">
                  <wp:posOffset>1747203</wp:posOffset>
                </wp:positionV>
                <wp:extent cx="814387" cy="214312"/>
                <wp:effectExtent l="0" t="0" r="24130" b="14605"/>
                <wp:wrapNone/>
                <wp:docPr id="6" name="Oval 6"/>
                <wp:cNvGraphicFramePr/>
                <a:graphic xmlns:a="http://schemas.openxmlformats.org/drawingml/2006/main">
                  <a:graphicData uri="http://schemas.microsoft.com/office/word/2010/wordprocessingShape">
                    <wps:wsp>
                      <wps:cNvSpPr/>
                      <wps:spPr>
                        <a:xfrm>
                          <a:off x="0" y="0"/>
                          <a:ext cx="814387" cy="214312"/>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48760A7" id="Oval 6" o:spid="_x0000_s1026" style="position:absolute;margin-left:405.35pt;margin-top:137.6pt;width:64.1pt;height:16.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" filled="f" strokecolor="red" strokeweight="1pt">
                <v:stroke joinstyle="miter"/>
              </v:oval>
            </w:pict>
          </mc:Fallback>
        </mc:AlternateContent>
      </w:r>
      <w:r>
        <w:rPr>
          <w:noProof/>
        </w:rPr>
        <w:drawing>
          <wp:inline distT="0" distB="0" distL="0" distR="0" wp14:anchorId="33B70073" wp14:editId="58513E8B">
            <wp:extent cx="5943600" cy="2296160"/>
            <wp:effectExtent l="19050" t="19050" r="19050" b="279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296160"/>
                    </a:xfrm>
                    <a:prstGeom prst="rect">
                      <a:avLst/>
                    </a:prstGeom>
                    <a:ln>
                      <a:solidFill>
                        <a:schemeClr val="tx1"/>
                      </a:solidFill>
                    </a:ln>
                  </pic:spPr>
                </pic:pic>
              </a:graphicData>
            </a:graphic>
          </wp:inline>
        </w:drawing>
      </w:r>
    </w:p>
    <w:p w:rsidR="003F18BF" w:rsidRDefault="003F18BF" w:rsidP="000541EF">
      <w:pPr>
        <w:rPr>
          <w:rFonts w:ascii="Arial" w:hAnsi="Arial" w:cs="Arial"/>
          <w:sz w:val="24"/>
          <w:szCs w:val="24"/>
        </w:rPr>
      </w:pPr>
      <w:r>
        <w:rPr>
          <w:noProof/>
        </w:rPr>
        <mc:AlternateContent>
          <mc:Choice Requires="wps">
            <w:drawing>
              <wp:anchor distT="0" distB="0" distL="114300" distR="114300" simplePos="0" relativeHeight="251661312" behindDoc="0" locked="0" layoutInCell="1" allowOverlap="1" wp14:anchorId="20E64B98" wp14:editId="3DEED02C">
                <wp:simplePos x="0" y="0"/>
                <wp:positionH relativeFrom="column">
                  <wp:posOffset>4519295</wp:posOffset>
                </wp:positionH>
                <wp:positionV relativeFrom="paragraph">
                  <wp:posOffset>1512888</wp:posOffset>
                </wp:positionV>
                <wp:extent cx="814387" cy="214312"/>
                <wp:effectExtent l="0" t="0" r="24130" b="14605"/>
                <wp:wrapNone/>
                <wp:docPr id="3" name="Oval 3"/>
                <wp:cNvGraphicFramePr/>
                <a:graphic xmlns:a="http://schemas.openxmlformats.org/drawingml/2006/main">
                  <a:graphicData uri="http://schemas.microsoft.com/office/word/2010/wordprocessingShape">
                    <wps:wsp>
                      <wps:cNvSpPr/>
                      <wps:spPr>
                        <a:xfrm>
                          <a:off x="0" y="0"/>
                          <a:ext cx="814387" cy="214312"/>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D054221" id="Oval 3" o:spid="_x0000_s1026" style="position:absolute;margin-left:355.85pt;margin-top:119.15pt;width:64.1pt;height:16.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" filled="f" strokecolor="red" strokeweight="1pt">
                <v:stroke joinstyle="miter"/>
              </v:oval>
            </w:pict>
          </mc:Fallback>
        </mc:AlternateContent>
      </w:r>
      <w:r>
        <w:rPr>
          <w:noProof/>
        </w:rPr>
        <w:drawing>
          <wp:inline distT="0" distB="0" distL="0" distR="0" wp14:anchorId="1F7D5DDD" wp14:editId="389A6CE5">
            <wp:extent cx="5943600" cy="1991995"/>
            <wp:effectExtent l="19050" t="19050" r="19050" b="273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991995"/>
                    </a:xfrm>
                    <a:prstGeom prst="rect">
                      <a:avLst/>
                    </a:prstGeom>
                    <a:ln>
                      <a:solidFill>
                        <a:schemeClr val="tx1"/>
                      </a:solidFill>
                    </a:ln>
                  </pic:spPr>
                </pic:pic>
              </a:graphicData>
            </a:graphic>
          </wp:inline>
        </w:drawing>
      </w:r>
    </w:p>
    <w:p w:rsidR="003F18BF" w:rsidRDefault="003F18BF" w:rsidP="000541EF">
      <w:pPr>
        <w:rPr>
          <w:rFonts w:ascii="Arial" w:hAnsi="Arial" w:cs="Arial"/>
          <w:sz w:val="24"/>
          <w:szCs w:val="24"/>
        </w:rPr>
      </w:pPr>
    </w:p>
    <w:p w:rsidR="003F18BF" w:rsidRDefault="003F18BF" w:rsidP="000541EF">
      <w:pPr>
        <w:rPr>
          <w:rFonts w:ascii="Arial" w:hAnsi="Arial" w:cs="Arial"/>
          <w:sz w:val="24"/>
          <w:szCs w:val="24"/>
        </w:rPr>
      </w:pPr>
    </w:p>
    <w:p w:rsidR="003F18BF" w:rsidRDefault="003F18BF" w:rsidP="000541EF">
      <w:pPr>
        <w:rPr>
          <w:rFonts w:ascii="Arial" w:hAnsi="Arial" w:cs="Arial"/>
          <w:sz w:val="24"/>
          <w:szCs w:val="24"/>
        </w:rPr>
      </w:pPr>
    </w:p>
    <w:p w:rsidR="003F18BF" w:rsidRDefault="003F18BF" w:rsidP="000541EF">
      <w:pPr>
        <w:rPr>
          <w:rFonts w:ascii="Arial" w:hAnsi="Arial" w:cs="Arial"/>
          <w:sz w:val="24"/>
          <w:szCs w:val="24"/>
        </w:rPr>
      </w:pPr>
    </w:p>
    <w:p w:rsidR="003F18BF" w:rsidRDefault="003F18BF" w:rsidP="000541EF">
      <w:pPr>
        <w:rPr>
          <w:rFonts w:ascii="Arial" w:hAnsi="Arial" w:cs="Arial"/>
          <w:sz w:val="24"/>
          <w:szCs w:val="24"/>
        </w:rPr>
      </w:pPr>
    </w:p>
    <w:p w:rsidR="003F18BF" w:rsidRDefault="003F18BF" w:rsidP="000541EF">
      <w:pPr>
        <w:rPr>
          <w:rFonts w:ascii="Arial" w:hAnsi="Arial" w:cs="Arial"/>
          <w:sz w:val="24"/>
          <w:szCs w:val="24"/>
        </w:rPr>
      </w:pPr>
    </w:p>
    <w:p w:rsidR="003F18BF" w:rsidRDefault="003F18BF" w:rsidP="000541EF">
      <w:pPr>
        <w:rPr>
          <w:rFonts w:ascii="Arial" w:hAnsi="Arial" w:cs="Arial"/>
          <w:sz w:val="24"/>
          <w:szCs w:val="24"/>
        </w:rPr>
      </w:pPr>
      <w:r>
        <w:rPr>
          <w:rFonts w:ascii="Arial" w:hAnsi="Arial" w:cs="Arial"/>
          <w:sz w:val="24"/>
          <w:szCs w:val="24"/>
        </w:rPr>
        <w:lastRenderedPageBreak/>
        <w:t>Table 1:</w:t>
      </w:r>
    </w:p>
    <w:p w:rsidR="003F18BF" w:rsidRDefault="003F18BF" w:rsidP="000541EF">
      <w:pPr>
        <w:rPr>
          <w:rFonts w:ascii="Arial" w:hAnsi="Arial" w:cs="Arial"/>
          <w:sz w:val="24"/>
          <w:szCs w:val="24"/>
        </w:rPr>
      </w:pPr>
      <w:r>
        <w:rPr>
          <w:noProof/>
        </w:rPr>
        <w:drawing>
          <wp:inline distT="0" distB="0" distL="0" distR="0" wp14:anchorId="4DB098A2" wp14:editId="0FE59835">
            <wp:extent cx="5943600" cy="2974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974340"/>
                    </a:xfrm>
                    <a:prstGeom prst="rect">
                      <a:avLst/>
                    </a:prstGeom>
                  </pic:spPr>
                </pic:pic>
              </a:graphicData>
            </a:graphic>
          </wp:inline>
        </w:drawing>
      </w:r>
    </w:p>
    <w:p w:rsidR="003F18BF" w:rsidRDefault="003F18BF" w:rsidP="003F18BF">
      <w:pPr>
        <w:pStyle w:val="Default"/>
        <w:numPr>
          <w:ilvl w:val="0"/>
          <w:numId w:val="12"/>
        </w:numPr>
        <w:spacing w:after="61"/>
        <w:ind w:left="270" w:hanging="270"/>
        <w:rPr>
          <w:sz w:val="23"/>
          <w:szCs w:val="23"/>
        </w:rPr>
      </w:pPr>
      <w:bookmarkStart w:id="1" w:name="_GoBack"/>
      <w:r>
        <w:rPr>
          <w:sz w:val="23"/>
          <w:szCs w:val="23"/>
        </w:rPr>
        <w:t>Please provide an explanation for the discrepancies found in table 1 for the 2017 consumptions.</w:t>
      </w:r>
    </w:p>
    <w:p w:rsidR="003F18BF" w:rsidRDefault="003F18BF" w:rsidP="003F18BF">
      <w:pPr>
        <w:pStyle w:val="Default"/>
        <w:numPr>
          <w:ilvl w:val="0"/>
          <w:numId w:val="12"/>
        </w:numPr>
        <w:ind w:left="270" w:hanging="270"/>
        <w:rPr>
          <w:sz w:val="23"/>
          <w:szCs w:val="23"/>
        </w:rPr>
      </w:pPr>
      <w:r>
        <w:rPr>
          <w:sz w:val="23"/>
          <w:szCs w:val="23"/>
        </w:rPr>
        <w:t xml:space="preserve">Please update the model accordingly if applicable. </w:t>
      </w:r>
    </w:p>
    <w:bookmarkEnd w:id="1"/>
    <w:p w:rsidR="003F18BF" w:rsidRPr="009F3B70" w:rsidRDefault="003F18BF" w:rsidP="000541EF">
      <w:pPr>
        <w:rPr>
          <w:rFonts w:ascii="Arial" w:hAnsi="Arial" w:cs="Arial"/>
          <w:sz w:val="24"/>
          <w:szCs w:val="24"/>
        </w:rPr>
      </w:pPr>
    </w:p>
    <w:sectPr w:rsidR="003F18BF" w:rsidRPr="009F3B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7506"/>
    <w:multiLevelType w:val="hybridMultilevel"/>
    <w:tmpl w:val="AEDE04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5D597F"/>
    <w:multiLevelType w:val="hybridMultilevel"/>
    <w:tmpl w:val="944225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3554F0"/>
    <w:multiLevelType w:val="hybridMultilevel"/>
    <w:tmpl w:val="9442258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A0AE8D"/>
    <w:multiLevelType w:val="hybridMultilevel"/>
    <w:tmpl w:val="1DE43DC6"/>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31363B7"/>
    <w:multiLevelType w:val="hybridMultilevel"/>
    <w:tmpl w:val="9C7E3B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F6452C"/>
    <w:multiLevelType w:val="hybridMultilevel"/>
    <w:tmpl w:val="9D6834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502C54"/>
    <w:multiLevelType w:val="hybridMultilevel"/>
    <w:tmpl w:val="F7A4E3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3A6256"/>
    <w:multiLevelType w:val="hybridMultilevel"/>
    <w:tmpl w:val="944225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F11195"/>
    <w:multiLevelType w:val="hybridMultilevel"/>
    <w:tmpl w:val="FAE003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A16353"/>
    <w:multiLevelType w:val="hybridMultilevel"/>
    <w:tmpl w:val="9442258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C26269"/>
    <w:multiLevelType w:val="hybridMultilevel"/>
    <w:tmpl w:val="F89631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2D516D"/>
    <w:multiLevelType w:val="hybridMultilevel"/>
    <w:tmpl w:val="9F9CA5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4"/>
  </w:num>
  <w:num w:numId="5">
    <w:abstractNumId w:val="1"/>
  </w:num>
  <w:num w:numId="6">
    <w:abstractNumId w:val="6"/>
  </w:num>
  <w:num w:numId="7">
    <w:abstractNumId w:val="10"/>
  </w:num>
  <w:num w:numId="8">
    <w:abstractNumId w:val="11"/>
  </w:num>
  <w:num w:numId="9">
    <w:abstractNumId w:val="7"/>
  </w:num>
  <w:num w:numId="10">
    <w:abstractNumId w:val="2"/>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66A"/>
    <w:rsid w:val="00002AC9"/>
    <w:rsid w:val="000541EF"/>
    <w:rsid w:val="00114AED"/>
    <w:rsid w:val="00133B8F"/>
    <w:rsid w:val="002017D4"/>
    <w:rsid w:val="00270027"/>
    <w:rsid w:val="003F18BF"/>
    <w:rsid w:val="004A0717"/>
    <w:rsid w:val="0055485C"/>
    <w:rsid w:val="0064139A"/>
    <w:rsid w:val="007765D4"/>
    <w:rsid w:val="007E4BFF"/>
    <w:rsid w:val="008254DE"/>
    <w:rsid w:val="00992159"/>
    <w:rsid w:val="009F3B70"/>
    <w:rsid w:val="00A10EFD"/>
    <w:rsid w:val="00B22C8F"/>
    <w:rsid w:val="00B568A9"/>
    <w:rsid w:val="00B8566D"/>
    <w:rsid w:val="00CB366A"/>
    <w:rsid w:val="00DD297B"/>
    <w:rsid w:val="00E131E5"/>
    <w:rsid w:val="00F80AA4"/>
    <w:rsid w:val="00F949DF"/>
    <w:rsid w:val="00FC3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FD1885"/>
  <w15:chartTrackingRefBased/>
  <w15:docId w15:val="{91239329-A1DD-4262-B4DE-01E262BB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66A"/>
    <w:pPr>
      <w:ind w:left="720"/>
      <w:contextualSpacing/>
    </w:pPr>
  </w:style>
  <w:style w:type="paragraph" w:customStyle="1" w:styleId="Default">
    <w:name w:val="Default"/>
    <w:rsid w:val="003F18B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68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Excel_97-2003_Worksheet.xls"/><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5</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Rozic</dc:creator>
  <cp:keywords/>
  <dc:description/>
  <cp:lastModifiedBy>Marc Abramovitz</cp:lastModifiedBy>
  <cp:revision>6</cp:revision>
  <dcterms:created xsi:type="dcterms:W3CDTF">2018-10-04T20:53:00Z</dcterms:created>
  <dcterms:modified xsi:type="dcterms:W3CDTF">2018-10-12T16:39:00Z</dcterms:modified>
</cp:coreProperties>
</file>