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7F1" w:rsidRDefault="006C77F1" w:rsidP="006C77F1">
      <w:pPr>
        <w:spacing w:after="0" w:line="276" w:lineRule="auto"/>
        <w:rPr>
          <w:rFonts w:ascii="Arial" w:eastAsia="Times New Roman" w:hAnsi="Arial" w:cs="Arial"/>
          <w:b/>
          <w:sz w:val="24"/>
          <w:szCs w:val="24"/>
        </w:rPr>
      </w:pPr>
      <w:r>
        <w:rPr>
          <w:rFonts w:ascii="Arial" w:eastAsia="Times New Roman" w:hAnsi="Arial" w:cs="Arial"/>
          <w:b/>
          <w:sz w:val="24"/>
          <w:szCs w:val="24"/>
        </w:rPr>
        <w:t xml:space="preserve">Appendix A </w:t>
      </w:r>
    </w:p>
    <w:p w:rsidR="006C77F1" w:rsidRDefault="006C77F1" w:rsidP="006C77F1">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rsidR="006C77F1" w:rsidRDefault="006C77F1" w:rsidP="006C77F1">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Pr>
          <w:rStyle w:val="FootnoteReference"/>
          <w:rFonts w:ascii="Arial" w:eastAsia="Times New Roman" w:hAnsi="Arial" w:cs="Arial"/>
          <w:b/>
          <w:sz w:val="24"/>
          <w:szCs w:val="24"/>
        </w:rPr>
        <w:footnoteReference w:id="1"/>
      </w:r>
    </w:p>
    <w:p w:rsidR="006C77F1" w:rsidRPr="00CF0A8B" w:rsidRDefault="006C77F1" w:rsidP="006C77F1">
      <w:pPr>
        <w:spacing w:after="0" w:line="276" w:lineRule="auto"/>
        <w:rPr>
          <w:rFonts w:ascii="Arial" w:eastAsia="Times New Roman" w:hAnsi="Arial" w:cs="Arial"/>
          <w:i/>
          <w:sz w:val="24"/>
          <w:szCs w:val="24"/>
        </w:rPr>
      </w:pPr>
    </w:p>
    <w:p w:rsidR="006C77F1" w:rsidRDefault="006C77F1" w:rsidP="006C77F1">
      <w:pPr>
        <w:pStyle w:val="ListParagraph"/>
        <w:numPr>
          <w:ilvl w:val="0"/>
          <w:numId w:val="1"/>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6C77F1" w:rsidRPr="00BE4292" w:rsidRDefault="006C77F1" w:rsidP="006C77F1">
      <w:pPr>
        <w:pStyle w:val="ListParagraph"/>
        <w:numPr>
          <w:ilvl w:val="0"/>
          <w:numId w:val="2"/>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rsidR="00BE4292" w:rsidRDefault="00BE4292" w:rsidP="00BE4292">
      <w:pPr>
        <w:spacing w:after="0" w:line="276" w:lineRule="auto"/>
      </w:pPr>
    </w:p>
    <w:p w:rsidR="00BE4292" w:rsidRPr="00D44D07" w:rsidRDefault="00BE4292" w:rsidP="00BE4292">
      <w:pPr>
        <w:spacing w:after="0" w:line="276" w:lineRule="auto"/>
        <w:rPr>
          <w:rFonts w:ascii="Arial" w:hAnsi="Arial" w:cs="Arial"/>
          <w:color w:val="1F3864" w:themeColor="accent5" w:themeShade="80"/>
          <w:sz w:val="24"/>
          <w:szCs w:val="24"/>
        </w:rPr>
      </w:pPr>
      <w:r w:rsidRPr="00D44D07">
        <w:rPr>
          <w:rFonts w:ascii="Arial" w:hAnsi="Arial" w:cs="Arial"/>
          <w:color w:val="1F3864" w:themeColor="accent5" w:themeShade="80"/>
          <w:sz w:val="24"/>
          <w:szCs w:val="24"/>
        </w:rPr>
        <w:t>InnPower utilizes approach A.</w:t>
      </w:r>
    </w:p>
    <w:p w:rsidR="006C77F1" w:rsidRPr="007D3AFA" w:rsidRDefault="006C77F1" w:rsidP="006C77F1">
      <w:pPr>
        <w:spacing w:after="0" w:line="276" w:lineRule="auto"/>
        <w:rPr>
          <w:color w:val="5B9BD5" w:themeColor="accent1"/>
        </w:rPr>
      </w:pPr>
    </w:p>
    <w:p w:rsidR="006C77F1" w:rsidRDefault="006C77F1" w:rsidP="006C77F1">
      <w:pPr>
        <w:pStyle w:val="ListParagraph"/>
        <w:numPr>
          <w:ilvl w:val="0"/>
          <w:numId w:val="2"/>
        </w:numPr>
        <w:spacing w:after="0" w:line="276" w:lineRule="auto"/>
        <w:rPr>
          <w:rFonts w:ascii="Arial" w:eastAsia="Times New Roman" w:hAnsi="Arial" w:cs="Arial"/>
          <w:sz w:val="24"/>
          <w:szCs w:val="24"/>
        </w:rPr>
      </w:pPr>
      <w:r w:rsidRPr="005930BC">
        <w:rPr>
          <w:rFonts w:ascii="Arial" w:eastAsia="Times New Roman" w:hAnsi="Arial" w:cs="Arial"/>
          <w:sz w:val="24"/>
          <w:szCs w:val="24"/>
        </w:rPr>
        <w:t xml:space="preserve">CT </w:t>
      </w:r>
      <w:r>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6C77F1" w:rsidRPr="007D3AFA" w:rsidRDefault="006C77F1" w:rsidP="006C77F1">
      <w:pPr>
        <w:pStyle w:val="ListParagraph"/>
        <w:rPr>
          <w:rFonts w:ascii="Arial" w:eastAsia="Times New Roman" w:hAnsi="Arial" w:cs="Arial"/>
          <w:sz w:val="24"/>
          <w:szCs w:val="24"/>
        </w:rPr>
      </w:pPr>
    </w:p>
    <w:p w:rsidR="006C77F1" w:rsidRPr="007D3AFA"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0"/>
          <w:numId w:val="2"/>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6C77F1" w:rsidRDefault="006C77F1" w:rsidP="006C77F1">
      <w:pPr>
        <w:spacing w:after="0" w:line="276" w:lineRule="auto"/>
        <w:ind w:left="720" w:firstLine="360"/>
        <w:rPr>
          <w:rFonts w:ascii="Arial" w:eastAsia="Times New Roman" w:hAnsi="Arial" w:cs="Arial"/>
          <w:sz w:val="24"/>
          <w:szCs w:val="24"/>
          <w:u w:val="single"/>
        </w:rPr>
      </w:pPr>
    </w:p>
    <w:p w:rsidR="006C77F1" w:rsidRPr="00BE05F6" w:rsidRDefault="006C77F1" w:rsidP="006C77F1">
      <w:pPr>
        <w:pStyle w:val="ListParagraph"/>
        <w:numPr>
          <w:ilvl w:val="0"/>
          <w:numId w:val="1"/>
        </w:numPr>
        <w:spacing w:after="0" w:line="276" w:lineRule="auto"/>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6C77F1" w:rsidRDefault="006C77F1" w:rsidP="006C77F1">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B44C07" w:rsidRDefault="00B44C07" w:rsidP="00B44C07">
      <w:pPr>
        <w:spacing w:after="0" w:line="276" w:lineRule="auto"/>
        <w:rPr>
          <w:rFonts w:ascii="Arial" w:eastAsia="Times New Roman" w:hAnsi="Arial" w:cs="Arial"/>
          <w:sz w:val="24"/>
          <w:szCs w:val="24"/>
        </w:rPr>
      </w:pPr>
    </w:p>
    <w:p w:rsidR="00B44C07" w:rsidRPr="00D44D07" w:rsidRDefault="00B44C07" w:rsidP="00B44C07">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GA is a portion of the total claim resulting in the CT 1142 on the IESO invoice.  InnPower uses a top down method for the initial filing.  Wholesale kWhs are determined and amounts deducted (i.e. interval accounts, known non-RPP LTLT, WAP customers) to determine an estimated RPP kWh value.  InnPower uses the second estimate posted by IESO as the GA rate in its calculation. </w:t>
      </w:r>
    </w:p>
    <w:p w:rsidR="00B44C07" w:rsidRPr="00D44D07" w:rsidRDefault="00B44C07" w:rsidP="00B44C07">
      <w:pPr>
        <w:spacing w:after="0" w:line="276" w:lineRule="auto"/>
        <w:rPr>
          <w:rFonts w:ascii="Arial" w:eastAsia="Times New Roman" w:hAnsi="Arial" w:cs="Arial"/>
          <w:color w:val="1F3864" w:themeColor="accent5" w:themeShade="80"/>
          <w:sz w:val="24"/>
          <w:szCs w:val="24"/>
        </w:rPr>
      </w:pPr>
    </w:p>
    <w:p w:rsidR="006C77F1" w:rsidRPr="007D3AFA"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6C77F1" w:rsidRDefault="006C77F1" w:rsidP="006C77F1">
      <w:pPr>
        <w:pStyle w:val="ListParagraph"/>
        <w:rPr>
          <w:rFonts w:ascii="Arial" w:eastAsia="Times New Roman" w:hAnsi="Arial" w:cs="Arial"/>
          <w:sz w:val="24"/>
          <w:szCs w:val="24"/>
        </w:rPr>
      </w:pPr>
    </w:p>
    <w:p w:rsidR="00B44C07" w:rsidRPr="00D44D07" w:rsidRDefault="00B44C07" w:rsidP="00B44C07">
      <w:pPr>
        <w:pStyle w:val="ListParagraph"/>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InnPower trues up using actual billing data.  True ups are done on a quarterly basis and generally 2 months after the quarter end to ensure all billings are completed and posted in the CIS system.  The pricing used for the RPP and Tiered pricing is what is calculated in the actual bills (i.e. actual rates)</w:t>
      </w:r>
      <w:r w:rsidR="00D44D07" w:rsidRPr="00D44D07">
        <w:rPr>
          <w:rFonts w:ascii="Arial" w:eastAsia="Times New Roman" w:hAnsi="Arial" w:cs="Arial"/>
          <w:color w:val="1F3864" w:themeColor="accent5" w:themeShade="80"/>
          <w:sz w:val="24"/>
          <w:szCs w:val="24"/>
        </w:rPr>
        <w:t xml:space="preserve">. </w:t>
      </w:r>
      <w:r w:rsidRPr="00D44D07">
        <w:rPr>
          <w:rFonts w:ascii="Arial" w:eastAsia="Times New Roman" w:hAnsi="Arial" w:cs="Arial"/>
          <w:color w:val="1F3864" w:themeColor="accent5" w:themeShade="80"/>
          <w:sz w:val="24"/>
          <w:szCs w:val="24"/>
        </w:rPr>
        <w:t>InnPower’s CIS prorates the GA calculation in every billing so the actual kWh are used to calculate the actual GA based on the actiual GA posted by IESO.</w:t>
      </w:r>
    </w:p>
    <w:p w:rsidR="006C77F1" w:rsidRPr="007D3AFA"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B44C07" w:rsidRDefault="00B44C07" w:rsidP="00B44C07">
      <w:pPr>
        <w:spacing w:after="0" w:line="276" w:lineRule="auto"/>
        <w:rPr>
          <w:rFonts w:ascii="Arial" w:eastAsia="Times New Roman" w:hAnsi="Arial" w:cs="Arial"/>
          <w:sz w:val="24"/>
          <w:szCs w:val="24"/>
        </w:rPr>
      </w:pPr>
    </w:p>
    <w:p w:rsidR="00B44C07" w:rsidRPr="00D44D07" w:rsidRDefault="00B44C07" w:rsidP="00B44C07">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Yes</w:t>
      </w:r>
    </w:p>
    <w:p w:rsidR="00B44C07" w:rsidRPr="00B44C07" w:rsidRDefault="00B44C07" w:rsidP="00B44C07">
      <w:pPr>
        <w:spacing w:after="0" w:line="276" w:lineRule="auto"/>
        <w:rPr>
          <w:rFonts w:ascii="Arial" w:eastAsia="Times New Roman" w:hAnsi="Arial" w:cs="Arial"/>
          <w:sz w:val="24"/>
          <w:szCs w:val="24"/>
        </w:rPr>
      </w:pPr>
    </w:p>
    <w:p w:rsidR="006C77F1" w:rsidRPr="007D3AFA"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Which months from 2017 were trued up in 2018?</w:t>
      </w:r>
    </w:p>
    <w:p w:rsidR="00B44C07" w:rsidRDefault="00B44C07" w:rsidP="00B44C07">
      <w:pPr>
        <w:spacing w:after="0" w:line="276" w:lineRule="auto"/>
        <w:rPr>
          <w:rFonts w:ascii="Arial" w:eastAsia="Times New Roman" w:hAnsi="Arial" w:cs="Arial"/>
          <w:sz w:val="24"/>
          <w:szCs w:val="24"/>
        </w:rPr>
      </w:pPr>
    </w:p>
    <w:p w:rsidR="00B44C07" w:rsidRPr="00D44D07" w:rsidRDefault="00B44C07" w:rsidP="00B44C07">
      <w:pPr>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Q4 of 2017 (Oct, Nov &amp; Dec 2017) were trued up on the March 2018 IESO invoice filed on April 6, 2018.</w:t>
      </w:r>
    </w:p>
    <w:p w:rsidR="006C77F1" w:rsidRPr="00083FB7" w:rsidRDefault="006C77F1" w:rsidP="006C77F1">
      <w:pPr>
        <w:spacing w:after="0" w:line="276" w:lineRule="auto"/>
        <w:rPr>
          <w:rFonts w:ascii="Arial" w:eastAsia="Times New Roman" w:hAnsi="Arial" w:cs="Arial"/>
          <w:sz w:val="24"/>
          <w:szCs w:val="24"/>
        </w:rPr>
      </w:pPr>
    </w:p>
    <w:p w:rsidR="006C77F1" w:rsidRPr="00083FB7" w:rsidRDefault="006C77F1" w:rsidP="006C77F1">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Have all of the 2017 related true-up been reflected in the applicant’s DVA Continuity Schedule in this proceeding?</w:t>
      </w:r>
    </w:p>
    <w:p w:rsidR="00B44C07" w:rsidRDefault="00B44C07" w:rsidP="006C77F1">
      <w:pPr>
        <w:spacing w:after="0" w:line="276" w:lineRule="auto"/>
        <w:rPr>
          <w:rFonts w:ascii="Arial" w:eastAsia="Times New Roman" w:hAnsi="Arial" w:cs="Arial"/>
          <w:sz w:val="24"/>
          <w:szCs w:val="24"/>
        </w:rPr>
      </w:pPr>
    </w:p>
    <w:p w:rsidR="006C77F1" w:rsidRPr="00D44D07" w:rsidRDefault="006C77F1" w:rsidP="006C77F1">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No</w:t>
      </w:r>
      <w:r w:rsidR="00557227" w:rsidRPr="00D44D07">
        <w:rPr>
          <w:rFonts w:ascii="Arial" w:eastAsia="Times New Roman" w:hAnsi="Arial" w:cs="Arial"/>
          <w:color w:val="1F3864" w:themeColor="accent5" w:themeShade="80"/>
          <w:sz w:val="24"/>
          <w:szCs w:val="24"/>
        </w:rPr>
        <w:t>,</w:t>
      </w:r>
      <w:r w:rsidRPr="00D44D07">
        <w:rPr>
          <w:rFonts w:ascii="Arial" w:eastAsia="Times New Roman" w:hAnsi="Arial" w:cs="Arial"/>
          <w:color w:val="1F3864" w:themeColor="accent5" w:themeShade="80"/>
          <w:sz w:val="24"/>
          <w:szCs w:val="24"/>
        </w:rPr>
        <w:t xml:space="preserve"> </w:t>
      </w:r>
      <w:r w:rsidR="004135AE" w:rsidRPr="00D44D07">
        <w:rPr>
          <w:rFonts w:ascii="Arial" w:eastAsia="Times New Roman" w:hAnsi="Arial" w:cs="Arial"/>
          <w:color w:val="1F3864" w:themeColor="accent5" w:themeShade="80"/>
          <w:sz w:val="24"/>
          <w:szCs w:val="24"/>
        </w:rPr>
        <w:t xml:space="preserve">not all related true-ups have been </w:t>
      </w:r>
      <w:r w:rsidRPr="00D44D07">
        <w:rPr>
          <w:rFonts w:ascii="Arial" w:eastAsia="Times New Roman" w:hAnsi="Arial" w:cs="Arial"/>
          <w:color w:val="1F3864" w:themeColor="accent5" w:themeShade="80"/>
          <w:sz w:val="24"/>
          <w:szCs w:val="24"/>
        </w:rPr>
        <w:t>reflected in the Continuity Schedule. IPC is waiting on Board’s staff approval of the GA reconciliation.</w:t>
      </w:r>
    </w:p>
    <w:p w:rsidR="006C77F1" w:rsidRPr="00083FB7"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1"/>
          <w:numId w:val="1"/>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6C77F1" w:rsidRDefault="006C77F1" w:rsidP="006C77F1">
      <w:pPr>
        <w:spacing w:after="0" w:line="276" w:lineRule="auto"/>
        <w:rPr>
          <w:rFonts w:ascii="Arial" w:eastAsia="Times New Roman" w:hAnsi="Arial" w:cs="Arial"/>
          <w:sz w:val="24"/>
          <w:szCs w:val="24"/>
        </w:rPr>
      </w:pPr>
    </w:p>
    <w:p w:rsidR="006C77F1" w:rsidRPr="00BE05F6" w:rsidRDefault="006C77F1" w:rsidP="006C77F1">
      <w:pPr>
        <w:pStyle w:val="ListParagraph"/>
        <w:numPr>
          <w:ilvl w:val="0"/>
          <w:numId w:val="1"/>
        </w:numPr>
        <w:spacing w:after="0" w:line="276" w:lineRule="auto"/>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6C77F1" w:rsidRDefault="006C77F1" w:rsidP="006C77F1">
      <w:pPr>
        <w:pStyle w:val="ListParagraph"/>
        <w:numPr>
          <w:ilvl w:val="0"/>
          <w:numId w:val="4"/>
        </w:numPr>
        <w:spacing w:after="0" w:line="276" w:lineRule="auto"/>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p>
    <w:p w:rsidR="004B6813" w:rsidRDefault="004B6813" w:rsidP="00BE4292">
      <w:pPr>
        <w:spacing w:after="0" w:line="276" w:lineRule="auto"/>
        <w:rPr>
          <w:rFonts w:ascii="Arial" w:eastAsia="Times New Roman" w:hAnsi="Arial" w:cs="Arial"/>
          <w:color w:val="FF0000"/>
          <w:sz w:val="24"/>
          <w:szCs w:val="24"/>
        </w:rPr>
      </w:pPr>
    </w:p>
    <w:p w:rsidR="00BE4292" w:rsidRPr="00D44D07" w:rsidRDefault="00794E76" w:rsidP="00BE4292">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From the </w:t>
      </w:r>
      <w:r w:rsidR="00D065DD" w:rsidRPr="00D44D07">
        <w:rPr>
          <w:rFonts w:ascii="Arial" w:eastAsia="Times New Roman" w:hAnsi="Arial" w:cs="Arial"/>
          <w:color w:val="1F3864" w:themeColor="accent5" w:themeShade="80"/>
          <w:sz w:val="24"/>
          <w:szCs w:val="24"/>
        </w:rPr>
        <w:t>IESO invoice,</w:t>
      </w:r>
      <w:r w:rsidRPr="00D44D07">
        <w:rPr>
          <w:rFonts w:ascii="Arial" w:eastAsia="Times New Roman" w:hAnsi="Arial" w:cs="Arial"/>
          <w:color w:val="1F3864" w:themeColor="accent5" w:themeShade="80"/>
          <w:sz w:val="24"/>
          <w:szCs w:val="24"/>
        </w:rPr>
        <w:t xml:space="preserve"> IPC splits the CT 148 into both the 1588 and 1589.  In the past when the monthly RPP filing was completed, the split of the RPP vs Non-RPP for CT 148 was determined based on the estimated RPP kWh x IESO 2</w:t>
      </w:r>
      <w:r w:rsidRPr="00D44D07">
        <w:rPr>
          <w:rFonts w:ascii="Arial" w:eastAsia="Times New Roman" w:hAnsi="Arial" w:cs="Arial"/>
          <w:color w:val="1F3864" w:themeColor="accent5" w:themeShade="80"/>
          <w:sz w:val="24"/>
          <w:szCs w:val="24"/>
          <w:vertAlign w:val="superscript"/>
        </w:rPr>
        <w:t>nd</w:t>
      </w:r>
      <w:r w:rsidRPr="00D44D07">
        <w:rPr>
          <w:rFonts w:ascii="Arial" w:eastAsia="Times New Roman" w:hAnsi="Arial" w:cs="Arial"/>
          <w:color w:val="1F3864" w:themeColor="accent5" w:themeShade="80"/>
          <w:sz w:val="24"/>
          <w:szCs w:val="24"/>
        </w:rPr>
        <w:t xml:space="preserve"> estimate and applied to account 1588.  The balance of CT 148 was posted to account 1589.  IPC analyzed several years of actual non-RPP charges and determined the average is approx. 30% of CT 148.  Moving forward IPC will be recording the IESO CT 148 accordingly (30% to 1589 and the balance to 1588)</w:t>
      </w:r>
      <w:r w:rsidR="00C34D51" w:rsidRPr="00D44D07">
        <w:rPr>
          <w:rFonts w:ascii="Arial" w:eastAsia="Times New Roman" w:hAnsi="Arial" w:cs="Arial"/>
          <w:color w:val="1F3864" w:themeColor="accent5" w:themeShade="80"/>
          <w:sz w:val="24"/>
          <w:szCs w:val="24"/>
        </w:rPr>
        <w:t>.  See calculations below.</w:t>
      </w:r>
    </w:p>
    <w:p w:rsidR="00BE4292" w:rsidRPr="00D44D07" w:rsidRDefault="00BE4292" w:rsidP="00BE4292">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Prior to June 30, 2018, the </w:t>
      </w:r>
      <w:r w:rsidR="00C34D51" w:rsidRPr="00D44D07">
        <w:rPr>
          <w:rFonts w:ascii="Arial" w:eastAsia="Times New Roman" w:hAnsi="Arial" w:cs="Arial"/>
          <w:color w:val="1F3864" w:themeColor="accent5" w:themeShade="80"/>
          <w:sz w:val="24"/>
          <w:szCs w:val="24"/>
        </w:rPr>
        <w:t>IESO CT 148</w:t>
      </w:r>
      <w:r w:rsidR="00D065DD" w:rsidRPr="00D44D07">
        <w:rPr>
          <w:rFonts w:ascii="Arial" w:eastAsia="Times New Roman" w:hAnsi="Arial" w:cs="Arial"/>
          <w:color w:val="1F3864" w:themeColor="accent5" w:themeShade="80"/>
          <w:sz w:val="24"/>
          <w:szCs w:val="24"/>
        </w:rPr>
        <w:t xml:space="preserve"> </w:t>
      </w:r>
      <w:r w:rsidR="00C34D51" w:rsidRPr="00D44D07">
        <w:rPr>
          <w:rFonts w:ascii="Arial" w:eastAsia="Times New Roman" w:hAnsi="Arial" w:cs="Arial"/>
          <w:color w:val="1F3864" w:themeColor="accent5" w:themeShade="80"/>
          <w:sz w:val="24"/>
          <w:szCs w:val="24"/>
        </w:rPr>
        <w:t xml:space="preserve">allocation </w:t>
      </w:r>
      <w:r w:rsidRPr="00D44D07">
        <w:rPr>
          <w:rFonts w:ascii="Arial" w:eastAsia="Times New Roman" w:hAnsi="Arial" w:cs="Arial"/>
          <w:color w:val="1F3864" w:themeColor="accent5" w:themeShade="80"/>
          <w:sz w:val="24"/>
          <w:szCs w:val="24"/>
        </w:rPr>
        <w:t xml:space="preserve">was calculated as follows: </w:t>
      </w:r>
    </w:p>
    <w:p w:rsidR="00BE4292" w:rsidRPr="00D44D07" w:rsidRDefault="00BE4292" w:rsidP="00BE4292">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Total GA – GA RPP (adjusted NSL KwH (NSL less Non-RPP) * 2nd estimate preliminary GA) = GA Non-RPP</w:t>
      </w:r>
      <w:r w:rsidR="00C34D51" w:rsidRPr="00D44D07">
        <w:rPr>
          <w:rFonts w:ascii="Arial" w:eastAsia="Times New Roman" w:hAnsi="Arial" w:cs="Arial"/>
          <w:color w:val="1F3864" w:themeColor="accent5" w:themeShade="80"/>
          <w:sz w:val="24"/>
          <w:szCs w:val="24"/>
        </w:rPr>
        <w:t xml:space="preserve"> (posted to 1588 and balance to 1589)</w:t>
      </w:r>
    </w:p>
    <w:p w:rsidR="00D065DD" w:rsidRDefault="00D065DD" w:rsidP="00BE4292">
      <w:pPr>
        <w:spacing w:after="0" w:line="276" w:lineRule="auto"/>
        <w:rPr>
          <w:rFonts w:ascii="Arial" w:eastAsia="Times New Roman" w:hAnsi="Arial" w:cs="Arial"/>
          <w:color w:val="FF0000"/>
          <w:sz w:val="24"/>
          <w:szCs w:val="24"/>
        </w:rPr>
      </w:pPr>
    </w:p>
    <w:p w:rsidR="00BE4292" w:rsidRPr="00D44D07" w:rsidRDefault="00BE4292" w:rsidP="00BE4292">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Since July 1, 2018, we have used </w:t>
      </w:r>
      <w:r w:rsidR="00C34D51" w:rsidRPr="00D44D07">
        <w:rPr>
          <w:rFonts w:ascii="Arial" w:eastAsia="Times New Roman" w:hAnsi="Arial" w:cs="Arial"/>
          <w:color w:val="1F3864" w:themeColor="accent5" w:themeShade="80"/>
          <w:sz w:val="24"/>
          <w:szCs w:val="24"/>
        </w:rPr>
        <w:t>historical average</w:t>
      </w:r>
      <w:r w:rsidRPr="00D44D07">
        <w:rPr>
          <w:rFonts w:ascii="Arial" w:eastAsia="Times New Roman" w:hAnsi="Arial" w:cs="Arial"/>
          <w:color w:val="1F3864" w:themeColor="accent5" w:themeShade="80"/>
          <w:sz w:val="24"/>
          <w:szCs w:val="24"/>
        </w:rPr>
        <w:t xml:space="preserve"> GA for Non-RPP; therefore:</w:t>
      </w:r>
    </w:p>
    <w:p w:rsidR="00BE4292" w:rsidRPr="00D44D07" w:rsidRDefault="00BE4292" w:rsidP="00BE4292">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Total GA – GA Non-RPP</w:t>
      </w:r>
      <w:r w:rsidR="00D065DD" w:rsidRPr="00D44D07">
        <w:rPr>
          <w:rFonts w:ascii="Arial" w:eastAsia="Times New Roman" w:hAnsi="Arial" w:cs="Arial"/>
          <w:color w:val="1F3864" w:themeColor="accent5" w:themeShade="80"/>
          <w:sz w:val="24"/>
          <w:szCs w:val="24"/>
        </w:rPr>
        <w:t xml:space="preserve"> (1589)</w:t>
      </w:r>
      <w:r w:rsidRPr="00D44D07">
        <w:rPr>
          <w:rFonts w:ascii="Arial" w:eastAsia="Times New Roman" w:hAnsi="Arial" w:cs="Arial"/>
          <w:color w:val="1F3864" w:themeColor="accent5" w:themeShade="80"/>
          <w:sz w:val="24"/>
          <w:szCs w:val="24"/>
        </w:rPr>
        <w:t xml:space="preserve"> = GA RPP</w:t>
      </w:r>
      <w:r w:rsidR="00C34D51" w:rsidRPr="00D44D07">
        <w:rPr>
          <w:rFonts w:ascii="Arial" w:eastAsia="Times New Roman" w:hAnsi="Arial" w:cs="Arial"/>
          <w:color w:val="1F3864" w:themeColor="accent5" w:themeShade="80"/>
          <w:sz w:val="24"/>
          <w:szCs w:val="24"/>
        </w:rPr>
        <w:t xml:space="preserve"> </w:t>
      </w:r>
      <w:r w:rsidR="00D065DD" w:rsidRPr="00D44D07">
        <w:rPr>
          <w:rFonts w:ascii="Arial" w:eastAsia="Times New Roman" w:hAnsi="Arial" w:cs="Arial"/>
          <w:color w:val="1F3864" w:themeColor="accent5" w:themeShade="80"/>
          <w:sz w:val="24"/>
          <w:szCs w:val="24"/>
        </w:rPr>
        <w:t>(1588)</w:t>
      </w:r>
    </w:p>
    <w:p w:rsidR="00622D4E" w:rsidRPr="00D44D07" w:rsidRDefault="00622D4E" w:rsidP="00BE4292">
      <w:pPr>
        <w:spacing w:after="0" w:line="276" w:lineRule="auto"/>
        <w:rPr>
          <w:rFonts w:ascii="Arial" w:eastAsia="Times New Roman" w:hAnsi="Arial" w:cs="Arial"/>
          <w:color w:val="1F3864" w:themeColor="accent5" w:themeShade="80"/>
          <w:sz w:val="24"/>
          <w:szCs w:val="24"/>
        </w:rPr>
      </w:pPr>
    </w:p>
    <w:p w:rsidR="00622D4E" w:rsidRPr="00D44D07" w:rsidRDefault="00622D4E" w:rsidP="00BE4292">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The entry to 1588 is the difference between GA estimate form CT 148 and billed GA from the previous calendar month. (See spreadsheet attached)</w:t>
      </w:r>
    </w:p>
    <w:p w:rsidR="00622D4E" w:rsidRDefault="00622D4E" w:rsidP="00BE4292">
      <w:pPr>
        <w:spacing w:after="0" w:line="276" w:lineRule="auto"/>
        <w:rPr>
          <w:rFonts w:ascii="Arial" w:eastAsia="Times New Roman" w:hAnsi="Arial" w:cs="Arial"/>
          <w:color w:val="FF0000"/>
          <w:sz w:val="24"/>
          <w:szCs w:val="24"/>
        </w:rPr>
      </w:pPr>
    </w:p>
    <w:p w:rsidR="00BE4292" w:rsidRDefault="00BE4292" w:rsidP="00BE4292">
      <w:pPr>
        <w:spacing w:after="0" w:line="276" w:lineRule="auto"/>
        <w:rPr>
          <w:rFonts w:ascii="Arial" w:eastAsia="Times New Roman" w:hAnsi="Arial" w:cs="Arial"/>
          <w:sz w:val="24"/>
          <w:szCs w:val="24"/>
        </w:rPr>
      </w:pPr>
    </w:p>
    <w:p w:rsidR="006C77F1" w:rsidRDefault="006C77F1" w:rsidP="006C77F1">
      <w:pPr>
        <w:pStyle w:val="ListParagraph"/>
        <w:numPr>
          <w:ilvl w:val="0"/>
          <w:numId w:val="4"/>
        </w:numPr>
        <w:spacing w:after="0" w:line="276" w:lineRule="auto"/>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BE4292" w:rsidRPr="00BE4292" w:rsidRDefault="00BE4292" w:rsidP="00BE4292">
      <w:pPr>
        <w:spacing w:after="0" w:line="276" w:lineRule="auto"/>
        <w:rPr>
          <w:rFonts w:ascii="Arial" w:eastAsia="Times New Roman" w:hAnsi="Arial" w:cs="Arial"/>
          <w:sz w:val="24"/>
          <w:szCs w:val="24"/>
        </w:rPr>
      </w:pPr>
    </w:p>
    <w:p w:rsidR="006C77F1" w:rsidRPr="00D44D07" w:rsidRDefault="00D065DD" w:rsidP="00D065DD">
      <w:pPr>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IPC has never trued up GA</w:t>
      </w:r>
      <w:r w:rsidR="00622D4E" w:rsidRPr="00D44D07">
        <w:rPr>
          <w:rFonts w:ascii="Arial" w:eastAsia="Times New Roman" w:hAnsi="Arial" w:cs="Arial"/>
          <w:color w:val="1F3864" w:themeColor="accent5" w:themeShade="80"/>
          <w:sz w:val="24"/>
          <w:szCs w:val="24"/>
        </w:rPr>
        <w:t xml:space="preserve"> to actual GA rates, however IPC was truing up monthly based on the previous months GA revenue billed to customers at the first estimate prices</w:t>
      </w:r>
      <w:r w:rsidRPr="00D44D07">
        <w:rPr>
          <w:rFonts w:ascii="Arial" w:eastAsia="Times New Roman" w:hAnsi="Arial" w:cs="Arial"/>
          <w:color w:val="1F3864" w:themeColor="accent5" w:themeShade="80"/>
          <w:sz w:val="24"/>
          <w:szCs w:val="24"/>
        </w:rPr>
        <w:t xml:space="preserve">.  IPC has always submitted monthly filings to IESO to remain whole for RPP billed customers and reconciled those filings using actual billed data.  This was done annually until 2016 when the self-certification came into effect.  IPC then adopted the quarterly true up for RPP portions and typically files 2 months after the quarter end to ensure all billings are up to date to reflect the reporting period.  CT 1142 would be </w:t>
      </w:r>
      <w:r w:rsidR="00622D4E" w:rsidRPr="00D44D07">
        <w:rPr>
          <w:rFonts w:ascii="Arial" w:eastAsia="Times New Roman" w:hAnsi="Arial" w:cs="Arial"/>
          <w:color w:val="1F3864" w:themeColor="accent5" w:themeShade="80"/>
          <w:sz w:val="24"/>
          <w:szCs w:val="24"/>
        </w:rPr>
        <w:t>apllied</w:t>
      </w:r>
      <w:r w:rsidRPr="00D44D07">
        <w:rPr>
          <w:rFonts w:ascii="Arial" w:eastAsia="Times New Roman" w:hAnsi="Arial" w:cs="Arial"/>
          <w:color w:val="1F3864" w:themeColor="accent5" w:themeShade="80"/>
          <w:sz w:val="24"/>
          <w:szCs w:val="24"/>
        </w:rPr>
        <w:t xml:space="preserve"> to 1588</w:t>
      </w:r>
      <w:r w:rsidR="00622D4E" w:rsidRPr="00D44D07">
        <w:rPr>
          <w:rFonts w:ascii="Arial" w:eastAsia="Times New Roman" w:hAnsi="Arial" w:cs="Arial"/>
          <w:color w:val="1F3864" w:themeColor="accent5" w:themeShade="80"/>
          <w:sz w:val="24"/>
          <w:szCs w:val="24"/>
        </w:rPr>
        <w:t xml:space="preserve"> accordingly</w:t>
      </w:r>
      <w:r w:rsidRPr="00D44D07">
        <w:rPr>
          <w:rFonts w:ascii="Arial" w:eastAsia="Times New Roman" w:hAnsi="Arial" w:cs="Arial"/>
          <w:color w:val="1F3864" w:themeColor="accent5" w:themeShade="80"/>
          <w:sz w:val="24"/>
          <w:szCs w:val="24"/>
        </w:rPr>
        <w:t xml:space="preserve">, however </w:t>
      </w:r>
      <w:r w:rsidR="00F72025" w:rsidRPr="00D44D07">
        <w:rPr>
          <w:rFonts w:ascii="Arial" w:eastAsia="Times New Roman" w:hAnsi="Arial" w:cs="Arial"/>
          <w:color w:val="1F3864" w:themeColor="accent5" w:themeShade="80"/>
          <w:sz w:val="24"/>
          <w:szCs w:val="24"/>
        </w:rPr>
        <w:t xml:space="preserve">IPC </w:t>
      </w:r>
      <w:r w:rsidRPr="00D44D07">
        <w:rPr>
          <w:rFonts w:ascii="Arial" w:eastAsia="Times New Roman" w:hAnsi="Arial" w:cs="Arial"/>
          <w:color w:val="1F3864" w:themeColor="accent5" w:themeShade="80"/>
          <w:sz w:val="24"/>
          <w:szCs w:val="24"/>
        </w:rPr>
        <w:t>did not true up the Non-RPP GA amounts</w:t>
      </w:r>
      <w:r w:rsidR="00F72025" w:rsidRPr="00D44D07">
        <w:rPr>
          <w:rFonts w:ascii="Arial" w:eastAsia="Times New Roman" w:hAnsi="Arial" w:cs="Arial"/>
          <w:color w:val="1F3864" w:themeColor="accent5" w:themeShade="80"/>
          <w:sz w:val="24"/>
          <w:szCs w:val="24"/>
        </w:rPr>
        <w:t xml:space="preserve"> (account 1589)</w:t>
      </w:r>
      <w:r w:rsidR="00622D4E" w:rsidRPr="00D44D07">
        <w:rPr>
          <w:rFonts w:ascii="Arial" w:eastAsia="Times New Roman" w:hAnsi="Arial" w:cs="Arial"/>
          <w:color w:val="1F3864" w:themeColor="accent5" w:themeShade="80"/>
          <w:sz w:val="24"/>
          <w:szCs w:val="24"/>
        </w:rPr>
        <w:t xml:space="preserve"> with actual GA rates</w:t>
      </w:r>
      <w:r w:rsidRPr="00D44D07">
        <w:rPr>
          <w:rFonts w:ascii="Arial" w:eastAsia="Times New Roman" w:hAnsi="Arial" w:cs="Arial"/>
          <w:color w:val="1F3864" w:themeColor="accent5" w:themeShade="80"/>
          <w:sz w:val="24"/>
          <w:szCs w:val="24"/>
        </w:rPr>
        <w:t xml:space="preserve">.  IPC is implementing a process in 2018 to true up the Non-RPP GA quarterly at the same time RPP reconciliations are completed. </w:t>
      </w:r>
    </w:p>
    <w:p w:rsidR="006C77F1" w:rsidRPr="00083FB7"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rsidR="007760DC" w:rsidRDefault="007760DC" w:rsidP="007760DC">
      <w:pPr>
        <w:spacing w:after="0" w:line="276" w:lineRule="auto"/>
        <w:rPr>
          <w:rFonts w:ascii="Arial" w:eastAsia="Times New Roman" w:hAnsi="Arial" w:cs="Arial"/>
          <w:sz w:val="24"/>
          <w:szCs w:val="24"/>
        </w:rPr>
      </w:pPr>
    </w:p>
    <w:p w:rsidR="009D06B6" w:rsidRPr="00D44D07" w:rsidRDefault="009D06B6" w:rsidP="009D06B6">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Prior to June 30, 2018, the IESO CT 148 allocation was calculated as follows: </w:t>
      </w:r>
    </w:p>
    <w:p w:rsidR="009D06B6" w:rsidRPr="00D44D07" w:rsidRDefault="009D06B6" w:rsidP="009D06B6">
      <w:pPr>
        <w:spacing w:after="0" w:line="276" w:lineRule="auto"/>
        <w:rPr>
          <w:rFonts w:ascii="Arial" w:eastAsia="Times New Roman" w:hAnsi="Arial" w:cs="Arial"/>
          <w:color w:val="1F3864" w:themeColor="accent5" w:themeShade="80"/>
          <w:sz w:val="24"/>
          <w:szCs w:val="24"/>
        </w:rPr>
      </w:pPr>
    </w:p>
    <w:p w:rsidR="009D06B6" w:rsidRPr="00D44D07" w:rsidRDefault="009D06B6" w:rsidP="009D06B6">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Total GA (CT 148) – GA RPP (estimated monthly RPP kWh * 2nd estimate preliminary GA) = GA Non-RPP (posted to 1588 and balance to 1589)  This data comes from the monthly IESO RPP filing calculations.</w:t>
      </w:r>
    </w:p>
    <w:p w:rsidR="009D06B6" w:rsidRPr="00D44D07" w:rsidRDefault="009D06B6" w:rsidP="009D06B6">
      <w:pPr>
        <w:spacing w:after="0" w:line="276" w:lineRule="auto"/>
        <w:rPr>
          <w:rFonts w:ascii="Arial" w:eastAsia="Times New Roman" w:hAnsi="Arial" w:cs="Arial"/>
          <w:color w:val="1F3864" w:themeColor="accent5" w:themeShade="80"/>
          <w:sz w:val="24"/>
          <w:szCs w:val="24"/>
        </w:rPr>
      </w:pPr>
    </w:p>
    <w:p w:rsidR="009D06B6" w:rsidRPr="00D44D07" w:rsidRDefault="009D06B6" w:rsidP="009D06B6">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Since July 1, 2018, we have used historical average GA for Non-RPP; therefore:</w:t>
      </w:r>
    </w:p>
    <w:p w:rsidR="009D06B6" w:rsidRPr="00D44D07" w:rsidRDefault="009D06B6" w:rsidP="009D06B6">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Total GA – GA Non-RPP (1589) = GA RPP (1588)</w:t>
      </w:r>
    </w:p>
    <w:p w:rsidR="009D06B6" w:rsidRPr="00D44D07" w:rsidRDefault="009D06B6" w:rsidP="009D06B6">
      <w:pPr>
        <w:spacing w:after="0" w:line="276" w:lineRule="auto"/>
        <w:rPr>
          <w:rFonts w:ascii="Arial" w:eastAsia="Times New Roman" w:hAnsi="Arial" w:cs="Arial"/>
          <w:color w:val="1F3864" w:themeColor="accent5" w:themeShade="80"/>
          <w:sz w:val="24"/>
          <w:szCs w:val="24"/>
        </w:rPr>
      </w:pPr>
    </w:p>
    <w:p w:rsidR="009D06B6" w:rsidRPr="00D44D07" w:rsidRDefault="009D06B6" w:rsidP="009D06B6">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IPC analyzed several years of actual non-RPP charges and determined the average is approx. 30% of CT 148.  Moving forward IPC will be recording the IESO CT 148 accordingly (30% to 1589 and the balance to 1588).  </w:t>
      </w:r>
    </w:p>
    <w:p w:rsidR="006C77F1" w:rsidRPr="000020D2" w:rsidRDefault="006C77F1" w:rsidP="000020D2">
      <w:pPr>
        <w:pStyle w:val="ListParagraph"/>
        <w:numPr>
          <w:ilvl w:val="0"/>
          <w:numId w:val="4"/>
        </w:numPr>
        <w:spacing w:after="0" w:line="276" w:lineRule="auto"/>
        <w:rPr>
          <w:rFonts w:ascii="Arial" w:eastAsia="Times New Roman" w:hAnsi="Arial" w:cs="Arial"/>
          <w:sz w:val="24"/>
          <w:szCs w:val="24"/>
        </w:rPr>
      </w:pPr>
      <w:r w:rsidRPr="000020D2">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6C77F1" w:rsidRDefault="006C77F1" w:rsidP="006C77F1">
      <w:pPr>
        <w:pStyle w:val="ListParagraph"/>
        <w:rPr>
          <w:rFonts w:ascii="Arial" w:eastAsia="Times New Roman" w:hAnsi="Arial" w:cs="Arial"/>
          <w:sz w:val="24"/>
          <w:szCs w:val="24"/>
        </w:rPr>
      </w:pPr>
    </w:p>
    <w:p w:rsidR="007760DC" w:rsidRPr="00D44D07" w:rsidRDefault="009D06B6" w:rsidP="006C77F1">
      <w:pPr>
        <w:pStyle w:val="ListParagraph"/>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IPC has trued up the </w:t>
      </w:r>
      <w:r w:rsidR="00584839" w:rsidRPr="00D44D07">
        <w:rPr>
          <w:rFonts w:ascii="Arial" w:eastAsia="Times New Roman" w:hAnsi="Arial" w:cs="Arial"/>
          <w:color w:val="1F3864" w:themeColor="accent5" w:themeShade="80"/>
          <w:sz w:val="24"/>
          <w:szCs w:val="24"/>
        </w:rPr>
        <w:t xml:space="preserve">initial </w:t>
      </w:r>
      <w:r w:rsidRPr="00D44D07">
        <w:rPr>
          <w:rFonts w:ascii="Arial" w:eastAsia="Times New Roman" w:hAnsi="Arial" w:cs="Arial"/>
          <w:color w:val="1F3864" w:themeColor="accent5" w:themeShade="80"/>
          <w:sz w:val="24"/>
          <w:szCs w:val="24"/>
        </w:rPr>
        <w:t>recording of CT 148 in accounts 15</w:t>
      </w:r>
      <w:r w:rsidR="00584839" w:rsidRPr="00D44D07">
        <w:rPr>
          <w:rFonts w:ascii="Arial" w:eastAsia="Times New Roman" w:hAnsi="Arial" w:cs="Arial"/>
          <w:color w:val="1F3864" w:themeColor="accent5" w:themeShade="80"/>
          <w:sz w:val="24"/>
          <w:szCs w:val="24"/>
        </w:rPr>
        <w:t>89</w:t>
      </w:r>
      <w:r w:rsidR="00024E09" w:rsidRPr="00D44D07">
        <w:rPr>
          <w:rFonts w:ascii="Arial" w:eastAsia="Times New Roman" w:hAnsi="Arial" w:cs="Arial"/>
          <w:color w:val="1F3864" w:themeColor="accent5" w:themeShade="80"/>
          <w:sz w:val="24"/>
          <w:szCs w:val="24"/>
        </w:rPr>
        <w:t>, however only based on fiorst estimates and with previous months revenue at first estimate rates</w:t>
      </w:r>
      <w:r w:rsidRPr="00D44D07">
        <w:rPr>
          <w:rFonts w:ascii="Arial" w:eastAsia="Times New Roman" w:hAnsi="Arial" w:cs="Arial"/>
          <w:color w:val="1F3864" w:themeColor="accent5" w:themeShade="80"/>
          <w:sz w:val="24"/>
          <w:szCs w:val="24"/>
        </w:rPr>
        <w:t>.  In the past the IESO invoice was split into 1588 and 1589 using the methods as already described previously.  Although IPC trues up with IESO for RPP consumption using actual billed data and actual GA rates, a process to true up the non-RPP GA was never implemented.  IPC is correcting this in the disposal requests for 2015</w:t>
      </w:r>
      <w:r w:rsidR="00584839" w:rsidRPr="00D44D07">
        <w:rPr>
          <w:rFonts w:ascii="Arial" w:eastAsia="Times New Roman" w:hAnsi="Arial" w:cs="Arial"/>
          <w:color w:val="1F3864" w:themeColor="accent5" w:themeShade="80"/>
          <w:sz w:val="24"/>
          <w:szCs w:val="24"/>
        </w:rPr>
        <w:t>, 2016</w:t>
      </w:r>
      <w:r w:rsidRPr="00D44D07">
        <w:rPr>
          <w:rFonts w:ascii="Arial" w:eastAsia="Times New Roman" w:hAnsi="Arial" w:cs="Arial"/>
          <w:color w:val="1F3864" w:themeColor="accent5" w:themeShade="80"/>
          <w:sz w:val="24"/>
          <w:szCs w:val="24"/>
        </w:rPr>
        <w:t xml:space="preserve"> and 2017 </w:t>
      </w:r>
      <w:r w:rsidR="00F72025" w:rsidRPr="00D44D07">
        <w:rPr>
          <w:rFonts w:ascii="Arial" w:eastAsia="Times New Roman" w:hAnsi="Arial" w:cs="Arial"/>
          <w:color w:val="1F3864" w:themeColor="accent5" w:themeShade="80"/>
          <w:sz w:val="24"/>
          <w:szCs w:val="24"/>
        </w:rPr>
        <w:t xml:space="preserve">(as identified on the GA Analysis Workform) </w:t>
      </w:r>
      <w:r w:rsidRPr="00D44D07">
        <w:rPr>
          <w:rFonts w:ascii="Arial" w:eastAsia="Times New Roman" w:hAnsi="Arial" w:cs="Arial"/>
          <w:color w:val="1F3864" w:themeColor="accent5" w:themeShade="80"/>
          <w:sz w:val="24"/>
          <w:szCs w:val="24"/>
        </w:rPr>
        <w:t>and moving forward a true up of Non-RPP consumption will be performed on a quarterly basis along with the quarterly RPP true up process.</w:t>
      </w:r>
    </w:p>
    <w:p w:rsidR="00584839" w:rsidRPr="00D44D07" w:rsidRDefault="00584839" w:rsidP="006C77F1">
      <w:pPr>
        <w:pStyle w:val="ListParagraph"/>
        <w:rPr>
          <w:rFonts w:ascii="Arial" w:eastAsia="Times New Roman" w:hAnsi="Arial" w:cs="Arial"/>
          <w:color w:val="1F3864" w:themeColor="accent5" w:themeShade="80"/>
          <w:sz w:val="24"/>
          <w:szCs w:val="24"/>
        </w:rPr>
      </w:pPr>
    </w:p>
    <w:p w:rsidR="00584839" w:rsidRPr="00D44D07" w:rsidRDefault="00584839" w:rsidP="006C77F1">
      <w:pPr>
        <w:pStyle w:val="ListParagraph"/>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Account 1588 is trued up with IESO RPP filing reconcilations.  CT 1142 is always posted to the 1588 accordingly and quarterly reconciliations of RPP consumption is received via CT 1142 along with monthly submissions.</w:t>
      </w:r>
    </w:p>
    <w:p w:rsidR="006C77F1" w:rsidRPr="00083FB7" w:rsidRDefault="006C77F1" w:rsidP="006C77F1">
      <w:pPr>
        <w:spacing w:after="0" w:line="276" w:lineRule="auto"/>
        <w:rPr>
          <w:rFonts w:ascii="Arial" w:eastAsia="Times New Roman" w:hAnsi="Arial" w:cs="Arial"/>
          <w:sz w:val="24"/>
          <w:szCs w:val="24"/>
        </w:rPr>
      </w:pPr>
    </w:p>
    <w:p w:rsidR="006C77F1" w:rsidRDefault="006C77F1" w:rsidP="006C77F1">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Please indicate which months from 2017 were trued up in 2018 for CT 148 proportions between RPP and non-RPP.</w:t>
      </w:r>
    </w:p>
    <w:p w:rsidR="007760DC" w:rsidRDefault="007760DC" w:rsidP="007760DC">
      <w:pPr>
        <w:spacing w:after="0" w:line="276" w:lineRule="auto"/>
        <w:rPr>
          <w:rFonts w:ascii="Arial" w:eastAsia="Times New Roman" w:hAnsi="Arial" w:cs="Arial"/>
          <w:sz w:val="24"/>
          <w:szCs w:val="24"/>
        </w:rPr>
      </w:pPr>
    </w:p>
    <w:p w:rsidR="007760DC" w:rsidRPr="00D44D07" w:rsidRDefault="000020D2" w:rsidP="007760DC">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All months in 2015, 2016 and 2017 are to be trued up in 2018 since the true up of 1589 </w:t>
      </w:r>
      <w:r w:rsidR="00024E09" w:rsidRPr="00D44D07">
        <w:rPr>
          <w:rFonts w:ascii="Arial" w:eastAsia="Times New Roman" w:hAnsi="Arial" w:cs="Arial"/>
          <w:color w:val="1F3864" w:themeColor="accent5" w:themeShade="80"/>
          <w:sz w:val="24"/>
          <w:szCs w:val="24"/>
        </w:rPr>
        <w:t xml:space="preserve"> with actual GA rates </w:t>
      </w:r>
      <w:r w:rsidRPr="00D44D07">
        <w:rPr>
          <w:rFonts w:ascii="Arial" w:eastAsia="Times New Roman" w:hAnsi="Arial" w:cs="Arial"/>
          <w:color w:val="1F3864" w:themeColor="accent5" w:themeShade="80"/>
          <w:sz w:val="24"/>
          <w:szCs w:val="24"/>
        </w:rPr>
        <w:t>was never done in the past.  This true up accounts for a large portion of the allocation form 1589 to 1588.</w:t>
      </w:r>
    </w:p>
    <w:p w:rsidR="006C77F1" w:rsidRPr="007760DC" w:rsidRDefault="006C77F1" w:rsidP="006C77F1">
      <w:pPr>
        <w:spacing w:after="0" w:line="276" w:lineRule="auto"/>
        <w:rPr>
          <w:rFonts w:ascii="Arial" w:eastAsia="Times New Roman" w:hAnsi="Arial" w:cs="Arial"/>
          <w:color w:val="FF0000"/>
          <w:sz w:val="24"/>
          <w:szCs w:val="24"/>
        </w:rPr>
      </w:pPr>
    </w:p>
    <w:p w:rsidR="006C77F1" w:rsidRDefault="006C77F1" w:rsidP="006C77F1">
      <w:pPr>
        <w:pStyle w:val="ListParagraph"/>
        <w:numPr>
          <w:ilvl w:val="0"/>
          <w:numId w:val="4"/>
        </w:numPr>
        <w:spacing w:after="0" w:line="276" w:lineRule="auto"/>
        <w:rPr>
          <w:rFonts w:ascii="Arial" w:eastAsia="Times New Roman" w:hAnsi="Arial" w:cs="Arial"/>
          <w:sz w:val="24"/>
          <w:szCs w:val="24"/>
        </w:rPr>
      </w:pPr>
      <w:r>
        <w:rPr>
          <w:rFonts w:ascii="Arial" w:eastAsia="Times New Roman" w:hAnsi="Arial" w:cs="Arial"/>
          <w:sz w:val="24"/>
          <w:szCs w:val="24"/>
        </w:rPr>
        <w:t>Are all true-ups for 2017 consumption reflected in the DVA Continuity Schedule under 2017.</w:t>
      </w:r>
    </w:p>
    <w:p w:rsidR="004B6813" w:rsidRPr="004B6813" w:rsidRDefault="004B6813" w:rsidP="004B6813">
      <w:pPr>
        <w:spacing w:after="0" w:line="276" w:lineRule="auto"/>
        <w:rPr>
          <w:rFonts w:ascii="Arial" w:eastAsia="Times New Roman" w:hAnsi="Arial" w:cs="Arial"/>
          <w:sz w:val="24"/>
          <w:szCs w:val="24"/>
        </w:rPr>
      </w:pPr>
    </w:p>
    <w:p w:rsidR="006C77F1" w:rsidRPr="00D44D07" w:rsidRDefault="004B6813" w:rsidP="006C77F1">
      <w:pPr>
        <w:pStyle w:val="ListParagraph"/>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 xml:space="preserve">The true ups </w:t>
      </w:r>
      <w:r w:rsidR="00EA529A" w:rsidRPr="00D44D07">
        <w:rPr>
          <w:rFonts w:ascii="Arial" w:eastAsia="Times New Roman" w:hAnsi="Arial" w:cs="Arial"/>
          <w:color w:val="1F3864" w:themeColor="accent5" w:themeShade="80"/>
          <w:sz w:val="24"/>
          <w:szCs w:val="24"/>
        </w:rPr>
        <w:t>for 1589</w:t>
      </w:r>
      <w:r w:rsidR="00024E09" w:rsidRPr="00D44D07">
        <w:rPr>
          <w:rFonts w:ascii="Arial" w:eastAsia="Times New Roman" w:hAnsi="Arial" w:cs="Arial"/>
          <w:color w:val="1F3864" w:themeColor="accent5" w:themeShade="80"/>
          <w:sz w:val="24"/>
          <w:szCs w:val="24"/>
        </w:rPr>
        <w:t xml:space="preserve"> to actual GA rates</w:t>
      </w:r>
      <w:r w:rsidR="00EA529A" w:rsidRPr="00D44D07">
        <w:rPr>
          <w:rFonts w:ascii="Arial" w:eastAsia="Times New Roman" w:hAnsi="Arial" w:cs="Arial"/>
          <w:color w:val="1F3864" w:themeColor="accent5" w:themeShade="80"/>
          <w:sz w:val="24"/>
          <w:szCs w:val="24"/>
        </w:rPr>
        <w:t xml:space="preserve"> </w:t>
      </w:r>
      <w:r w:rsidRPr="00D44D07">
        <w:rPr>
          <w:rFonts w:ascii="Arial" w:eastAsia="Times New Roman" w:hAnsi="Arial" w:cs="Arial"/>
          <w:color w:val="1F3864" w:themeColor="accent5" w:themeShade="80"/>
          <w:sz w:val="24"/>
          <w:szCs w:val="24"/>
        </w:rPr>
        <w:t>have not been recorded to date</w:t>
      </w:r>
      <w:r w:rsidR="00024E09" w:rsidRPr="00D44D07">
        <w:rPr>
          <w:rFonts w:ascii="Arial" w:eastAsia="Times New Roman" w:hAnsi="Arial" w:cs="Arial"/>
          <w:color w:val="1F3864" w:themeColor="accent5" w:themeShade="80"/>
          <w:sz w:val="24"/>
          <w:szCs w:val="24"/>
        </w:rPr>
        <w:t xml:space="preserve"> in the financial records.</w:t>
      </w:r>
    </w:p>
    <w:p w:rsidR="006C77F1" w:rsidRPr="00D44D07" w:rsidRDefault="006C77F1" w:rsidP="006C77F1">
      <w:pPr>
        <w:spacing w:after="0" w:line="276" w:lineRule="auto"/>
        <w:rPr>
          <w:rFonts w:ascii="Arial" w:eastAsia="Times New Roman" w:hAnsi="Arial" w:cs="Arial"/>
          <w:color w:val="1F3864" w:themeColor="accent5" w:themeShade="80"/>
          <w:sz w:val="24"/>
          <w:szCs w:val="24"/>
        </w:rPr>
      </w:pPr>
    </w:p>
    <w:p w:rsidR="006C77F1" w:rsidRDefault="006C77F1" w:rsidP="006C77F1">
      <w:pPr>
        <w:pStyle w:val="ListParagraph"/>
        <w:numPr>
          <w:ilvl w:val="0"/>
          <w:numId w:val="4"/>
        </w:numPr>
        <w:spacing w:after="0" w:line="276" w:lineRule="auto"/>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7760DC" w:rsidRPr="00D44D07" w:rsidRDefault="007760DC" w:rsidP="007760DC">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IPC has presented the reconciliation true-ups in the file named “IPC GA Reconciliation</w:t>
      </w:r>
      <w:r w:rsidR="00572103" w:rsidRPr="00D44D07">
        <w:rPr>
          <w:rFonts w:ascii="Arial" w:eastAsia="Times New Roman" w:hAnsi="Arial" w:cs="Arial"/>
          <w:color w:val="1F3864" w:themeColor="accent5" w:themeShade="80"/>
          <w:sz w:val="24"/>
          <w:szCs w:val="24"/>
        </w:rPr>
        <w:t xml:space="preserve"> Proposed JE”</w:t>
      </w:r>
      <w:r w:rsidR="00760A35" w:rsidRPr="00D44D07">
        <w:rPr>
          <w:rFonts w:ascii="Arial" w:eastAsia="Times New Roman" w:hAnsi="Arial" w:cs="Arial"/>
          <w:color w:val="1F3864" w:themeColor="accent5" w:themeShade="80"/>
          <w:sz w:val="24"/>
          <w:szCs w:val="24"/>
        </w:rPr>
        <w:t xml:space="preserve"> and has provided a “GA 2015 2016 2017” </w:t>
      </w:r>
      <w:r w:rsidR="00024E09" w:rsidRPr="00D44D07">
        <w:rPr>
          <w:rFonts w:ascii="Arial" w:eastAsia="Times New Roman" w:hAnsi="Arial" w:cs="Arial"/>
          <w:color w:val="1F3864" w:themeColor="accent5" w:themeShade="80"/>
          <w:sz w:val="24"/>
          <w:szCs w:val="24"/>
        </w:rPr>
        <w:t>spreadsheet</w:t>
      </w:r>
      <w:r w:rsidRPr="00D44D07">
        <w:rPr>
          <w:rFonts w:ascii="Arial" w:eastAsia="Times New Roman" w:hAnsi="Arial" w:cs="Arial"/>
          <w:color w:val="1F3864" w:themeColor="accent5" w:themeShade="80"/>
          <w:sz w:val="24"/>
          <w:szCs w:val="24"/>
        </w:rPr>
        <w:t xml:space="preserve"> which outlines the proposed entries to correct the balances between Account 1588 and 1589. If approved by Board Staff, IPC will adjust the continuity schedule to reflect the changes. </w:t>
      </w:r>
    </w:p>
    <w:p w:rsidR="006C77F1" w:rsidRPr="00D44D07" w:rsidRDefault="006C77F1" w:rsidP="006C77F1">
      <w:pPr>
        <w:pStyle w:val="ListParagraph"/>
        <w:spacing w:after="0" w:line="276" w:lineRule="auto"/>
        <w:ind w:left="1440"/>
        <w:rPr>
          <w:rFonts w:ascii="Arial" w:eastAsia="Times New Roman" w:hAnsi="Arial" w:cs="Arial"/>
          <w:color w:val="1F3864" w:themeColor="accent5" w:themeShade="80"/>
          <w:sz w:val="24"/>
          <w:szCs w:val="24"/>
        </w:rPr>
      </w:pPr>
    </w:p>
    <w:p w:rsidR="006C77F1" w:rsidRDefault="006C77F1" w:rsidP="006C77F1">
      <w:pPr>
        <w:pStyle w:val="ListParagraph"/>
        <w:numPr>
          <w:ilvl w:val="0"/>
          <w:numId w:val="1"/>
        </w:numPr>
        <w:spacing w:after="0"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6C77F1" w:rsidRDefault="006C77F1" w:rsidP="006C77F1">
      <w:pPr>
        <w:spacing w:after="0" w:line="276" w:lineRule="auto"/>
        <w:ind w:left="720"/>
        <w:rPr>
          <w:rFonts w:ascii="Arial" w:eastAsia="Times New Roman" w:hAnsi="Arial" w:cs="Arial"/>
          <w:sz w:val="24"/>
          <w:szCs w:val="24"/>
        </w:rPr>
      </w:pPr>
    </w:p>
    <w:p w:rsidR="006C77F1" w:rsidRPr="00550838" w:rsidRDefault="006C77F1" w:rsidP="006C77F1">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Accounts 1588 and 1589</w:t>
      </w:r>
    </w:p>
    <w:p w:rsidR="006C77F1" w:rsidRPr="00D44D07" w:rsidRDefault="006C77F1" w:rsidP="006C77F1">
      <w:pPr>
        <w:pStyle w:val="ListParagraph"/>
        <w:numPr>
          <w:ilvl w:val="0"/>
          <w:numId w:val="3"/>
        </w:numPr>
        <w:spacing w:after="0" w:line="276" w:lineRule="auto"/>
        <w:rPr>
          <w:rFonts w:ascii="Arial" w:eastAsia="Times New Roman" w:hAnsi="Arial" w:cs="Arial"/>
          <w:color w:val="1F3864" w:themeColor="accent5" w:themeShade="80"/>
          <w:sz w:val="24"/>
          <w:szCs w:val="24"/>
        </w:rPr>
      </w:pPr>
      <w:r>
        <w:rPr>
          <w:rFonts w:ascii="Arial" w:eastAsia="Times New Roman" w:hAnsi="Arial" w:cs="Arial"/>
          <w:sz w:val="24"/>
          <w:szCs w:val="24"/>
        </w:rPr>
        <w:t xml:space="preserve">Did the applicant have principal adjustments in its 2018 rate proceeding which were approved for </w:t>
      </w:r>
      <w:r w:rsidRPr="00D44D07">
        <w:rPr>
          <w:rFonts w:ascii="Arial" w:eastAsia="Times New Roman" w:hAnsi="Arial" w:cs="Arial"/>
          <w:color w:val="1F3864" w:themeColor="accent5" w:themeShade="80"/>
          <w:sz w:val="24"/>
          <w:szCs w:val="24"/>
        </w:rPr>
        <w:t>disposition?</w:t>
      </w:r>
    </w:p>
    <w:p w:rsidR="006C77F1" w:rsidRPr="00074704" w:rsidRDefault="006C77F1" w:rsidP="006C77F1">
      <w:pPr>
        <w:spacing w:after="0" w:line="276" w:lineRule="auto"/>
        <w:rPr>
          <w:rFonts w:ascii="Arial" w:eastAsia="Times New Roman" w:hAnsi="Arial" w:cs="Arial"/>
          <w:color w:val="FF0000"/>
          <w:sz w:val="24"/>
          <w:szCs w:val="24"/>
        </w:rPr>
      </w:pPr>
      <w:r w:rsidRPr="00D44D07">
        <w:rPr>
          <w:rFonts w:ascii="Arial" w:eastAsia="Times New Roman" w:hAnsi="Arial" w:cs="Arial"/>
          <w:color w:val="1F3864" w:themeColor="accent5" w:themeShade="80"/>
          <w:sz w:val="24"/>
          <w:szCs w:val="24"/>
        </w:rPr>
        <w:t>No</w:t>
      </w:r>
    </w:p>
    <w:p w:rsidR="006C77F1" w:rsidRDefault="006C77F1" w:rsidP="006C77F1">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Please provide a break-down of the total amount of principal adjustments that were approved (e.g. true-up of unbilled (for 1589 only), true up of CT 1142, true up of CT 148 etc.).</w:t>
      </w:r>
    </w:p>
    <w:p w:rsidR="006C77F1" w:rsidRPr="00D44D07" w:rsidRDefault="006C77F1" w:rsidP="006C77F1">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N/A</w:t>
      </w:r>
    </w:p>
    <w:p w:rsidR="006C77F1" w:rsidRDefault="006C77F1" w:rsidP="006C77F1">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Has the applicant reversed the adjustment approved in 2018 in its current proposed amount for disposition?</w:t>
      </w:r>
    </w:p>
    <w:p w:rsidR="006C77F1" w:rsidRPr="00D44D07" w:rsidRDefault="006C77F1" w:rsidP="006C77F1">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N/A</w:t>
      </w:r>
    </w:p>
    <w:p w:rsidR="006C77F1" w:rsidRDefault="006C77F1" w:rsidP="006C77F1">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rsidR="00074704" w:rsidRPr="00074704" w:rsidRDefault="00074704" w:rsidP="00074704">
      <w:pPr>
        <w:spacing w:after="0" w:line="276" w:lineRule="auto"/>
        <w:rPr>
          <w:rFonts w:ascii="Arial" w:eastAsia="Times New Roman" w:hAnsi="Arial" w:cs="Arial"/>
          <w:sz w:val="24"/>
          <w:szCs w:val="24"/>
        </w:rPr>
      </w:pPr>
    </w:p>
    <w:p w:rsidR="00074704" w:rsidRPr="00D44D07" w:rsidRDefault="006C77F1" w:rsidP="006C77F1">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No true ups have been reflected for Account 1589</w:t>
      </w:r>
    </w:p>
    <w:p w:rsidR="006C77F1" w:rsidRDefault="006C77F1" w:rsidP="006C77F1">
      <w:pPr>
        <w:spacing w:after="0" w:line="276" w:lineRule="auto"/>
        <w:rPr>
          <w:rFonts w:ascii="Arial" w:eastAsia="Times New Roman" w:hAnsi="Arial" w:cs="Arial"/>
          <w:sz w:val="24"/>
          <w:szCs w:val="24"/>
        </w:rPr>
      </w:pPr>
      <w:r>
        <w:rPr>
          <w:rFonts w:ascii="Arial" w:eastAsia="Times New Roman" w:hAnsi="Arial" w:cs="Arial"/>
          <w:sz w:val="24"/>
          <w:szCs w:val="24"/>
        </w:rPr>
        <w:t>.</w:t>
      </w:r>
    </w:p>
    <w:p w:rsidR="00F66742" w:rsidRPr="00083FB7" w:rsidRDefault="00F66742" w:rsidP="006C77F1">
      <w:pPr>
        <w:spacing w:after="0" w:line="276" w:lineRule="auto"/>
        <w:rPr>
          <w:rFonts w:ascii="Arial" w:eastAsia="Times New Roman" w:hAnsi="Arial" w:cs="Arial"/>
          <w:sz w:val="24"/>
          <w:szCs w:val="24"/>
        </w:rPr>
      </w:pPr>
      <w:r>
        <w:rPr>
          <w:rFonts w:ascii="Arial" w:eastAsia="Times New Roman" w:hAnsi="Arial" w:cs="Arial"/>
          <w:sz w:val="24"/>
          <w:szCs w:val="24"/>
        </w:rPr>
        <w:t>Never did a true up of 148 until July 2018.</w:t>
      </w:r>
    </w:p>
    <w:p w:rsidR="006C77F1" w:rsidRDefault="006C77F1" w:rsidP="006C77F1">
      <w:pPr>
        <w:pStyle w:val="ListParagraph"/>
        <w:numPr>
          <w:ilvl w:val="0"/>
          <w:numId w:val="3"/>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rsidR="006C77F1" w:rsidRPr="00D44D07" w:rsidRDefault="006C77F1" w:rsidP="006C77F1">
      <w:pPr>
        <w:spacing w:after="0" w:line="276" w:lineRule="auto"/>
        <w:rPr>
          <w:rFonts w:ascii="Arial" w:eastAsia="Times New Roman" w:hAnsi="Arial" w:cs="Arial"/>
          <w:color w:val="1F3864" w:themeColor="accent5" w:themeShade="80"/>
          <w:sz w:val="24"/>
          <w:szCs w:val="24"/>
        </w:rPr>
      </w:pPr>
      <w:r w:rsidRPr="00D44D07">
        <w:rPr>
          <w:rFonts w:ascii="Arial" w:eastAsia="Times New Roman" w:hAnsi="Arial" w:cs="Arial"/>
          <w:color w:val="1F3864" w:themeColor="accent5" w:themeShade="80"/>
          <w:sz w:val="24"/>
          <w:szCs w:val="24"/>
        </w:rPr>
        <w:t>N/A</w:t>
      </w:r>
    </w:p>
    <w:p w:rsidR="006C77F1" w:rsidRDefault="006C77F1" w:rsidP="006C77F1">
      <w:pPr>
        <w:pStyle w:val="ListParagraph"/>
        <w:numPr>
          <w:ilvl w:val="0"/>
          <w:numId w:val="3"/>
        </w:numPr>
        <w:rPr>
          <w:rFonts w:ascii="Arial" w:eastAsia="Times New Roman" w:hAnsi="Arial" w:cs="Arial"/>
          <w:sz w:val="24"/>
          <w:szCs w:val="24"/>
        </w:rPr>
      </w:pPr>
      <w:r w:rsidRPr="000306EA">
        <w:rPr>
          <w:rFonts w:ascii="Arial" w:eastAsia="Times New Roman" w:hAnsi="Arial" w:cs="Arial"/>
          <w:sz w:val="24"/>
          <w:szCs w:val="24"/>
        </w:rPr>
        <w:t xml:space="preserve">Please confirm that the principal adjustments </w:t>
      </w:r>
      <w:r>
        <w:rPr>
          <w:rFonts w:ascii="Arial" w:eastAsia="Times New Roman" w:hAnsi="Arial" w:cs="Arial"/>
          <w:sz w:val="24"/>
          <w:szCs w:val="24"/>
        </w:rPr>
        <w:t>shown on the DVA Continuity Schedule a</w:t>
      </w:r>
      <w:r w:rsidRPr="000306EA">
        <w:rPr>
          <w:rFonts w:ascii="Arial" w:eastAsia="Times New Roman" w:hAnsi="Arial" w:cs="Arial"/>
          <w:sz w:val="24"/>
          <w:szCs w:val="24"/>
        </w:rPr>
        <w:t xml:space="preserve">re </w:t>
      </w:r>
      <w:r>
        <w:rPr>
          <w:rFonts w:ascii="Arial" w:eastAsia="Times New Roman" w:hAnsi="Arial" w:cs="Arial"/>
          <w:sz w:val="24"/>
          <w:szCs w:val="24"/>
        </w:rPr>
        <w:t>reflected</w:t>
      </w:r>
      <w:r w:rsidRPr="000306EA">
        <w:rPr>
          <w:rFonts w:ascii="Arial" w:eastAsia="Times New Roman" w:hAnsi="Arial" w:cs="Arial"/>
          <w:sz w:val="24"/>
          <w:szCs w:val="24"/>
        </w:rPr>
        <w:t xml:space="preserve"> in the GL </w:t>
      </w:r>
      <w:r>
        <w:rPr>
          <w:rFonts w:ascii="Arial" w:eastAsia="Times New Roman" w:hAnsi="Arial" w:cs="Arial"/>
          <w:sz w:val="24"/>
          <w:szCs w:val="24"/>
        </w:rPr>
        <w:t>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p w:rsidR="007760DC" w:rsidRPr="00D44D07" w:rsidRDefault="007760DC" w:rsidP="007760DC">
      <w:pPr>
        <w:rPr>
          <w:rFonts w:ascii="Arial" w:eastAsia="Times New Roman" w:hAnsi="Arial" w:cs="Arial"/>
          <w:color w:val="1F3864" w:themeColor="accent5" w:themeShade="80"/>
          <w:sz w:val="24"/>
          <w:szCs w:val="24"/>
        </w:rPr>
      </w:pPr>
      <w:bookmarkStart w:id="0" w:name="_GoBack"/>
      <w:r w:rsidRPr="00D44D07">
        <w:rPr>
          <w:rFonts w:ascii="Arial" w:eastAsia="Times New Roman" w:hAnsi="Arial" w:cs="Arial"/>
          <w:color w:val="1F3864" w:themeColor="accent5" w:themeShade="80"/>
          <w:sz w:val="24"/>
          <w:szCs w:val="24"/>
        </w:rPr>
        <w:t>As responded to in 3 g) IPC intends to undertake the adjustments in 2018</w:t>
      </w:r>
      <w:r w:rsidR="00430422" w:rsidRPr="00D44D07">
        <w:rPr>
          <w:rFonts w:ascii="Arial" w:eastAsia="Times New Roman" w:hAnsi="Arial" w:cs="Arial"/>
          <w:color w:val="1F3864" w:themeColor="accent5" w:themeShade="80"/>
          <w:sz w:val="24"/>
          <w:szCs w:val="24"/>
        </w:rPr>
        <w:t>.</w:t>
      </w:r>
    </w:p>
    <w:bookmarkEnd w:id="0"/>
    <w:p w:rsidR="006C182A" w:rsidRDefault="006C182A"/>
    <w:sectPr w:rsidR="006C182A" w:rsidSect="00CD3323">
      <w:headerReference w:type="default" r:id="rId7"/>
      <w:footerReference w:type="defaul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A67" w:rsidRDefault="001B2A67" w:rsidP="006C77F1">
      <w:pPr>
        <w:spacing w:after="0" w:line="240" w:lineRule="auto"/>
      </w:pPr>
      <w:r>
        <w:separator/>
      </w:r>
    </w:p>
  </w:endnote>
  <w:endnote w:type="continuationSeparator" w:id="0">
    <w:p w:rsidR="001B2A67" w:rsidRDefault="001B2A67" w:rsidP="006C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545821"/>
      <w:docPartObj>
        <w:docPartGallery w:val="Page Numbers (Bottom of Page)"/>
        <w:docPartUnique/>
      </w:docPartObj>
    </w:sdtPr>
    <w:sdtEndPr>
      <w:rPr>
        <w:noProof/>
      </w:rPr>
    </w:sdtEndPr>
    <w:sdtContent>
      <w:p w:rsidR="00202194" w:rsidRDefault="006C77F1">
        <w:pPr>
          <w:pStyle w:val="Footer"/>
          <w:jc w:val="center"/>
        </w:pPr>
        <w:r>
          <w:fldChar w:fldCharType="begin"/>
        </w:r>
        <w:r>
          <w:instrText xml:space="preserve"> PAGE   \* MERGEFORMAT </w:instrText>
        </w:r>
        <w:r>
          <w:fldChar w:fldCharType="separate"/>
        </w:r>
        <w:r w:rsidR="00024E09">
          <w:rPr>
            <w:noProof/>
          </w:rPr>
          <w:t>- 5 -</w:t>
        </w:r>
        <w:r>
          <w:rPr>
            <w:noProof/>
          </w:rPr>
          <w:fldChar w:fldCharType="end"/>
        </w:r>
      </w:p>
    </w:sdtContent>
  </w:sdt>
  <w:p w:rsidR="00202194" w:rsidRDefault="006C77F1">
    <w:pPr>
      <w:pStyle w:val="Footer"/>
    </w:pPr>
    <w:r>
      <w:t>July 12,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A67" w:rsidRDefault="001B2A67" w:rsidP="006C77F1">
      <w:pPr>
        <w:spacing w:after="0" w:line="240" w:lineRule="auto"/>
      </w:pPr>
      <w:r>
        <w:separator/>
      </w:r>
    </w:p>
  </w:footnote>
  <w:footnote w:type="continuationSeparator" w:id="0">
    <w:p w:rsidR="001B2A67" w:rsidRDefault="001B2A67" w:rsidP="006C77F1">
      <w:pPr>
        <w:spacing w:after="0" w:line="240" w:lineRule="auto"/>
      </w:pPr>
      <w:r>
        <w:continuationSeparator/>
      </w:r>
    </w:p>
  </w:footnote>
  <w:footnote w:id="1">
    <w:p w:rsidR="006C77F1" w:rsidRPr="00CF0A8B" w:rsidRDefault="006C77F1" w:rsidP="006C77F1">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In all references in the questions relating to amounts booked to accounts 1588 and 1589, amounts are not booked directly to accounts USoA 1588 and 1589 relating to power purchase transactions, but are rather booked to the cost of power USoA 4705 Power Purchased, and 4707, Charges – Global Adjustment, respectively. However, accounts 1588 and 1589 are impacted the same way as account 4705 and 4707 are for cost of power transactions.</w:t>
      </w:r>
    </w:p>
    <w:p w:rsidR="006C77F1" w:rsidRDefault="006C77F1" w:rsidP="006C77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194" w:rsidRDefault="006C77F1"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2A15E38F" wp14:editId="24C7ABFC">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rgbClr val="5B9BD5"/>
                      </a:solidFill>
                      <a:ln w="12700" cap="flat" cmpd="sng" algn="ctr">
                        <a:noFill/>
                        <a:prstDash val="solid"/>
                        <a:miter lim="800000"/>
                      </a:ln>
                      <a:effectLst/>
                    </wps:spPr>
                    <wps:txbx>
                      <w:txbxContent>
                        <w:sdt>
                          <w:sdtPr>
                            <w:rPr>
                              <w:b/>
                              <w:caps/>
                              <w:color w:val="FFFFFF" w:themeColor="background1"/>
                              <w:sz w:val="28"/>
                              <w:szCs w:val="28"/>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6C77F1"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15E38F"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oBdQIAANcEAAAOAAAAZHJzL2Uyb0RvYy54bWysVE1PGzEQvVfqf7B8L5uEhJCIDQpEVJVQ&#10;QYWKs+P17lryV20nG/rr++zdAKU9Vc3BmfGMZzzP7+3F5UErshc+SGtKOj4ZUSIMt5U0TUm/P958&#10;OqckRGYqpqwRJX0WgV6uPn646NxSTGxrVSU8QRETlp0raRujWxZF4K3QLJxYJwyCtfWaRbi+KSrP&#10;OlTXqpiMRmdFZ33lvOUiBOxu+iBd5fp1LXi8q+sgIlElxd1iXn1et2ktVhds2XjmWsmHa7B/uIVm&#10;0qDpS6kNi4zsvPyjlJbc22DreMKtLmxdSy7yDJhmPHo3zUPLnMizAJzgXmAK/68s/7q/90RWeLvF&#10;nBLDNB7pG2BjplGCpE1A1LmwROaDu/eDF2CmeQ+11+kfk5BDhvX5BVZxiIRj83RxdnY+nVHCEZtN&#10;56fzjHvxetr5ED8Lq0kySurRP6PJ9rchoiNSjympWbBKVjdSqez4ZnutPNkzPPHsanG1maUr48hv&#10;acqQDkNO5iPQgDNQrVYswtQOwwfTUMJUAw7z6HNvY1MHVOp7b1ho+x65bE8cLSPYq6Qu6fko/YbO&#10;yqRjIvNvmCBB2IOWrHjYHgYkt7Z6xhN423MzOH4jgcItC/GeeZAR94XA4h2WWlkMYQeLktb6n3/b&#10;T/ngCKKUdCA3BvyxY15Qor4YsGcxnk6TGrIznc0ncPzbyPZtxOz0tQW4Y0jZ8Wym/KiOZu2tfoIO&#10;16krQsxw9O6hHJzr2IsOSuZivc5pUIBj8dY8OJ6KH5F+PDwx7wYqRJDoqz0KgS3fMaLPTSeNXe+i&#10;rWWmS4K4xxVESA7UkykxKD3J862fs16/R6tfAAAA//8DAFBLAwQUAAYACAAAACEAWpsCgd0AAAAJ&#10;AQAADwAAAGRycy9kb3ducmV2LnhtbEyPwU7DMBBE70j8g7VI3KidQpIqxKkQCE4IidIDRzd2k6jx&#10;OrK3bfr3LCc4jmb19k29nv0oTi6mIaCGbKFAOGyDHbDTsP16vVuBSGTQmjGg03BxCdbN9VVtKhvO&#10;+OlOG+oEQzBVRkNPNFVSprZ33qRFmBxytw/RG+IYO2mjOTPcj3KpVCG9GZA/9GZyz71rD5uj11CS&#10;ermo+++P97csj/s5O1ARtlrf3sxPjyDIzfR3DL/6rA4NO+3CEW0SI+cVTyFmqRwE98XDsgSx4yIv&#10;SpBNLf8vaH4AAAD//wMAUEsBAi0AFAAGAAgAAAAhALaDOJL+AAAA4QEAABMAAAAAAAAAAAAAAAAA&#10;AAAAAFtDb250ZW50X1R5cGVzXS54bWxQSwECLQAUAAYACAAAACEAOP0h/9YAAACUAQAACwAAAAAA&#10;AAAAAAAAAAAvAQAAX3JlbHMvLnJlbHNQSwECLQAUAAYACAAAACEAAmVaAXUCAADXBAAADgAAAAAA&#10;AAAAAAAAAAAuAgAAZHJzL2Uyb0RvYy54bWxQSwECLQAUAAYACAAAACEAWpsCgd0AAAAJAQAADwAA&#10;AAAAAAAAAAAAAADPBAAAZHJzL2Rvd25yZXYueG1sUEsFBgAAAAAEAAQA8wAAANkFAAAAAA==&#10;" o:allowoverlap="f" fillcolor="#5b9bd5" stroked="f" strokeweight="1pt">
              <v:textbox>
                <w:txbxContent>
                  <w:sdt>
                    <w:sdtPr>
                      <w:rPr>
                        <w:b/>
                        <w:caps/>
                        <w:color w:val="FFFFFF" w:themeColor="background1"/>
                        <w:sz w:val="28"/>
                        <w:szCs w:val="28"/>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6C77F1"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     </w:t>
                        </w:r>
                      </w:p>
                    </w:sdtContent>
                  </w:sdt>
                </w:txbxContent>
              </v:textbox>
              <w10:wrap type="square" anchorx="margin" anchory="page"/>
            </v:rect>
          </w:pict>
        </mc:Fallback>
      </mc:AlternateContent>
    </w:r>
    <w:r>
      <w:rPr>
        <w:noProof/>
      </w:rPr>
      <w:drawing>
        <wp:inline distT="0" distB="0" distL="0" distR="0" wp14:anchorId="1B1D9D85" wp14:editId="5A30A8EB">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rsidR="00202194" w:rsidRDefault="006C77F1" w:rsidP="005456CD">
    <w:pPr>
      <w:pStyle w:val="Header"/>
      <w:tabs>
        <w:tab w:val="clear" w:pos="9360"/>
        <w:tab w:val="right" w:pos="9630"/>
      </w:tabs>
      <w:ind w:right="-308"/>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F1"/>
    <w:rsid w:val="000020D2"/>
    <w:rsid w:val="00024E09"/>
    <w:rsid w:val="00074704"/>
    <w:rsid w:val="001B2A67"/>
    <w:rsid w:val="004135AE"/>
    <w:rsid w:val="00430422"/>
    <w:rsid w:val="004B6813"/>
    <w:rsid w:val="00557227"/>
    <w:rsid w:val="00572103"/>
    <w:rsid w:val="00584839"/>
    <w:rsid w:val="00622D4E"/>
    <w:rsid w:val="006C182A"/>
    <w:rsid w:val="006C1D21"/>
    <w:rsid w:val="006C77F1"/>
    <w:rsid w:val="00760A35"/>
    <w:rsid w:val="007760DC"/>
    <w:rsid w:val="00794E76"/>
    <w:rsid w:val="00983458"/>
    <w:rsid w:val="009D06B6"/>
    <w:rsid w:val="00AC785B"/>
    <w:rsid w:val="00B44C07"/>
    <w:rsid w:val="00BE4292"/>
    <w:rsid w:val="00C34D51"/>
    <w:rsid w:val="00D065DD"/>
    <w:rsid w:val="00D44D07"/>
    <w:rsid w:val="00D57F99"/>
    <w:rsid w:val="00E75989"/>
    <w:rsid w:val="00EA529A"/>
    <w:rsid w:val="00F31646"/>
    <w:rsid w:val="00F66742"/>
    <w:rsid w:val="00F7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7229"/>
  <w15:chartTrackingRefBased/>
  <w15:docId w15:val="{D06F1821-4A22-4404-9C18-8B58536E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F1"/>
  </w:style>
  <w:style w:type="paragraph" w:styleId="Footer">
    <w:name w:val="footer"/>
    <w:basedOn w:val="Normal"/>
    <w:link w:val="FooterChar"/>
    <w:uiPriority w:val="99"/>
    <w:unhideWhenUsed/>
    <w:rsid w:val="006C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F1"/>
  </w:style>
  <w:style w:type="paragraph" w:styleId="ListParagraph">
    <w:name w:val="List Paragraph"/>
    <w:basedOn w:val="Normal"/>
    <w:uiPriority w:val="34"/>
    <w:qFormat/>
    <w:rsid w:val="006C77F1"/>
    <w:pPr>
      <w:ind w:left="720"/>
      <w:contextualSpacing/>
    </w:pPr>
  </w:style>
  <w:style w:type="paragraph" w:styleId="FootnoteText">
    <w:name w:val="footnote text"/>
    <w:basedOn w:val="Normal"/>
    <w:link w:val="FootnoteTextChar"/>
    <w:uiPriority w:val="99"/>
    <w:semiHidden/>
    <w:unhideWhenUsed/>
    <w:rsid w:val="006C7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7F1"/>
    <w:rPr>
      <w:sz w:val="20"/>
      <w:szCs w:val="20"/>
    </w:rPr>
  </w:style>
  <w:style w:type="character" w:styleId="FootnoteReference">
    <w:name w:val="footnote reference"/>
    <w:basedOn w:val="DefaultParagraphFont"/>
    <w:uiPriority w:val="99"/>
    <w:semiHidden/>
    <w:unhideWhenUsed/>
    <w:rsid w:val="006C7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Pinke</dc:creator>
  <cp:keywords/>
  <dc:description/>
  <cp:lastModifiedBy>Brenda Pinke</cp:lastModifiedBy>
  <cp:revision>3</cp:revision>
  <dcterms:created xsi:type="dcterms:W3CDTF">2018-10-18T18:34:00Z</dcterms:created>
  <dcterms:modified xsi:type="dcterms:W3CDTF">2018-10-22T13:03:00Z</dcterms:modified>
</cp:coreProperties>
</file>