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A90624" w14:textId="1EEC689E" w:rsidR="00746080" w:rsidRPr="00394351" w:rsidRDefault="00204CE7" w:rsidP="00D0773D">
      <w:pPr>
        <w:jc w:val="center"/>
        <w:rPr>
          <w:rFonts w:ascii="Arial" w:hAnsi="Arial" w:cs="Arial"/>
          <w:b/>
          <w:sz w:val="28"/>
          <w:szCs w:val="28"/>
        </w:rPr>
      </w:pPr>
      <w:bookmarkStart w:id="0" w:name="_GoBack"/>
      <w:bookmarkEnd w:id="0"/>
      <w:r>
        <w:rPr>
          <w:rFonts w:ascii="Arial" w:hAnsi="Arial" w:cs="Arial"/>
          <w:b/>
          <w:sz w:val="28"/>
          <w:szCs w:val="28"/>
        </w:rPr>
        <w:t>W</w:t>
      </w:r>
      <w:r w:rsidR="00866E79">
        <w:rPr>
          <w:rFonts w:ascii="Arial" w:hAnsi="Arial" w:cs="Arial"/>
          <w:b/>
          <w:sz w:val="28"/>
          <w:szCs w:val="28"/>
        </w:rPr>
        <w:t>aterloo North Hydro</w:t>
      </w:r>
      <w:r w:rsidR="009071CF">
        <w:rPr>
          <w:rFonts w:ascii="Arial" w:hAnsi="Arial" w:cs="Arial"/>
          <w:b/>
          <w:sz w:val="28"/>
          <w:szCs w:val="28"/>
        </w:rPr>
        <w:t xml:space="preserve"> Inc.</w:t>
      </w:r>
      <w:r w:rsidR="00B56997">
        <w:rPr>
          <w:rFonts w:ascii="Arial" w:hAnsi="Arial" w:cs="Arial"/>
          <w:b/>
          <w:sz w:val="28"/>
          <w:szCs w:val="28"/>
        </w:rPr>
        <w:t xml:space="preserve"> </w:t>
      </w:r>
      <w:r w:rsidR="002F218C">
        <w:rPr>
          <w:rFonts w:ascii="Arial" w:hAnsi="Arial" w:cs="Arial"/>
          <w:b/>
          <w:sz w:val="28"/>
          <w:szCs w:val="28"/>
        </w:rPr>
        <w:t>(</w:t>
      </w:r>
      <w:r>
        <w:rPr>
          <w:rFonts w:ascii="Arial" w:hAnsi="Arial" w:cs="Arial"/>
          <w:b/>
          <w:sz w:val="28"/>
          <w:szCs w:val="28"/>
        </w:rPr>
        <w:t>W</w:t>
      </w:r>
      <w:r w:rsidR="00866E79">
        <w:rPr>
          <w:rFonts w:ascii="Arial" w:hAnsi="Arial" w:cs="Arial"/>
          <w:b/>
          <w:sz w:val="28"/>
          <w:szCs w:val="28"/>
        </w:rPr>
        <w:t>aterloo North Hydro</w:t>
      </w:r>
      <w:r w:rsidR="002F218C">
        <w:rPr>
          <w:rFonts w:ascii="Arial" w:hAnsi="Arial" w:cs="Arial"/>
          <w:b/>
          <w:sz w:val="28"/>
          <w:szCs w:val="28"/>
        </w:rPr>
        <w:t>)</w:t>
      </w:r>
    </w:p>
    <w:p w14:paraId="0B5D6667" w14:textId="0DAC5B39" w:rsidR="002F218C" w:rsidRPr="002F218C" w:rsidRDefault="00866E79" w:rsidP="00394351">
      <w:pPr>
        <w:jc w:val="center"/>
        <w:rPr>
          <w:rFonts w:ascii="Arial" w:hAnsi="Arial" w:cs="Arial"/>
          <w:b/>
          <w:sz w:val="24"/>
          <w:szCs w:val="24"/>
        </w:rPr>
      </w:pPr>
      <w:r>
        <w:rPr>
          <w:rFonts w:ascii="Arial" w:hAnsi="Arial" w:cs="Arial"/>
          <w:b/>
          <w:sz w:val="24"/>
          <w:szCs w:val="24"/>
        </w:rPr>
        <w:t>2019</w:t>
      </w:r>
      <w:r w:rsidR="0021184B" w:rsidRPr="002F218C">
        <w:rPr>
          <w:rFonts w:ascii="Arial" w:hAnsi="Arial" w:cs="Arial"/>
          <w:b/>
          <w:sz w:val="24"/>
          <w:szCs w:val="24"/>
        </w:rPr>
        <w:t xml:space="preserve"> </w:t>
      </w:r>
      <w:r w:rsidR="00D80EDE" w:rsidRPr="002F218C">
        <w:rPr>
          <w:rFonts w:ascii="Arial" w:hAnsi="Arial" w:cs="Arial"/>
          <w:b/>
          <w:sz w:val="24"/>
          <w:szCs w:val="24"/>
        </w:rPr>
        <w:t>IRM</w:t>
      </w:r>
      <w:r w:rsidR="002F218C" w:rsidRPr="002F218C">
        <w:rPr>
          <w:rFonts w:ascii="Arial" w:hAnsi="Arial" w:cs="Arial"/>
          <w:b/>
          <w:sz w:val="24"/>
          <w:szCs w:val="24"/>
        </w:rPr>
        <w:t xml:space="preserve"> Application</w:t>
      </w:r>
    </w:p>
    <w:p w14:paraId="192E304C" w14:textId="7548774D" w:rsidR="00394351" w:rsidRPr="002F218C" w:rsidRDefault="00D0773D" w:rsidP="00394351">
      <w:pPr>
        <w:jc w:val="center"/>
        <w:rPr>
          <w:rFonts w:ascii="Arial" w:hAnsi="Arial" w:cs="Arial"/>
          <w:b/>
          <w:sz w:val="24"/>
          <w:szCs w:val="24"/>
        </w:rPr>
      </w:pPr>
      <w:r w:rsidRPr="002F218C">
        <w:rPr>
          <w:rFonts w:ascii="Arial" w:hAnsi="Arial" w:cs="Arial"/>
          <w:b/>
          <w:sz w:val="24"/>
          <w:szCs w:val="24"/>
        </w:rPr>
        <w:t>EB-201</w:t>
      </w:r>
      <w:r w:rsidR="00866E79">
        <w:rPr>
          <w:rFonts w:ascii="Arial" w:hAnsi="Arial" w:cs="Arial"/>
          <w:b/>
          <w:sz w:val="24"/>
          <w:szCs w:val="24"/>
        </w:rPr>
        <w:t>8-0074</w:t>
      </w:r>
      <w:r w:rsidR="00B20109" w:rsidRPr="002F218C">
        <w:rPr>
          <w:rFonts w:ascii="Arial" w:hAnsi="Arial" w:cs="Arial"/>
          <w:b/>
          <w:sz w:val="24"/>
          <w:szCs w:val="24"/>
        </w:rPr>
        <w:t xml:space="preserve">                                                                                                                                                                                                                                                                                                          </w:t>
      </w:r>
      <w:r w:rsidR="002F218C" w:rsidRPr="002F218C">
        <w:rPr>
          <w:rFonts w:ascii="Arial" w:hAnsi="Arial" w:cs="Arial"/>
          <w:b/>
          <w:sz w:val="24"/>
          <w:szCs w:val="24"/>
        </w:rPr>
        <w:t xml:space="preserve">                           </w:t>
      </w:r>
    </w:p>
    <w:p w14:paraId="1BFF93E6" w14:textId="77777777" w:rsidR="00304228" w:rsidRPr="002F218C" w:rsidRDefault="002F218C" w:rsidP="00CC447E">
      <w:pPr>
        <w:jc w:val="center"/>
        <w:rPr>
          <w:rFonts w:ascii="Arial" w:hAnsi="Arial" w:cs="Arial"/>
          <w:b/>
          <w:sz w:val="24"/>
          <w:szCs w:val="24"/>
        </w:rPr>
      </w:pPr>
      <w:r w:rsidRPr="002F218C">
        <w:rPr>
          <w:rFonts w:ascii="Arial" w:hAnsi="Arial" w:cs="Arial"/>
          <w:b/>
          <w:sz w:val="24"/>
          <w:szCs w:val="24"/>
        </w:rPr>
        <w:t>Application Analysis</w:t>
      </w:r>
    </w:p>
    <w:p w14:paraId="36D9B28D" w14:textId="3706E044" w:rsidR="00E6651E" w:rsidRPr="002F218C" w:rsidRDefault="00E909A7" w:rsidP="00304228">
      <w:pPr>
        <w:jc w:val="center"/>
        <w:rPr>
          <w:rFonts w:ascii="Arial" w:hAnsi="Arial" w:cs="Arial"/>
          <w:b/>
          <w:sz w:val="24"/>
          <w:szCs w:val="24"/>
        </w:rPr>
      </w:pPr>
      <w:r>
        <w:rPr>
          <w:rFonts w:ascii="Arial" w:hAnsi="Arial" w:cs="Arial"/>
          <w:b/>
          <w:sz w:val="24"/>
          <w:szCs w:val="24"/>
        </w:rPr>
        <w:t>September 11</w:t>
      </w:r>
      <w:r w:rsidR="00450CB6">
        <w:rPr>
          <w:rFonts w:ascii="Arial" w:hAnsi="Arial" w:cs="Arial"/>
          <w:b/>
          <w:sz w:val="24"/>
          <w:szCs w:val="24"/>
        </w:rPr>
        <w:t>, 2018</w:t>
      </w:r>
    </w:p>
    <w:p w14:paraId="58A39673" w14:textId="77777777" w:rsidR="00450CB6" w:rsidRDefault="00450CB6" w:rsidP="00A668A7">
      <w:pPr>
        <w:spacing w:after="0" w:line="240" w:lineRule="auto"/>
        <w:rPr>
          <w:rFonts w:ascii="Arial" w:hAnsi="Arial" w:cs="Arial"/>
          <w:b/>
          <w:sz w:val="24"/>
          <w:szCs w:val="24"/>
        </w:rPr>
      </w:pPr>
    </w:p>
    <w:p w14:paraId="16CFA1B5" w14:textId="3CA136AD" w:rsidR="000069CF" w:rsidRDefault="001F5CB6" w:rsidP="00A668A7">
      <w:pPr>
        <w:spacing w:after="0" w:line="240" w:lineRule="auto"/>
        <w:rPr>
          <w:rFonts w:ascii="Arial" w:hAnsi="Arial" w:cs="Arial"/>
          <w:b/>
          <w:sz w:val="24"/>
          <w:szCs w:val="24"/>
        </w:rPr>
      </w:pPr>
      <w:r>
        <w:rPr>
          <w:rFonts w:ascii="Arial" w:hAnsi="Arial" w:cs="Arial"/>
          <w:b/>
          <w:sz w:val="24"/>
          <w:szCs w:val="24"/>
        </w:rPr>
        <w:t xml:space="preserve">Staff </w:t>
      </w:r>
      <w:r w:rsidR="00E02478">
        <w:rPr>
          <w:rFonts w:ascii="Arial" w:hAnsi="Arial" w:cs="Arial"/>
          <w:b/>
          <w:sz w:val="24"/>
          <w:szCs w:val="24"/>
        </w:rPr>
        <w:t xml:space="preserve">Question </w:t>
      </w:r>
      <w:r>
        <w:rPr>
          <w:rFonts w:ascii="Arial" w:hAnsi="Arial" w:cs="Arial"/>
          <w:b/>
          <w:sz w:val="24"/>
          <w:szCs w:val="24"/>
        </w:rPr>
        <w:t>#</w:t>
      </w:r>
      <w:r w:rsidR="000069CF">
        <w:rPr>
          <w:rFonts w:ascii="Arial" w:hAnsi="Arial" w:cs="Arial"/>
          <w:b/>
          <w:sz w:val="24"/>
          <w:szCs w:val="24"/>
        </w:rPr>
        <w:t>1</w:t>
      </w:r>
    </w:p>
    <w:p w14:paraId="362416FD" w14:textId="6DE6FCA5" w:rsidR="001B40BE" w:rsidRDefault="001B40BE" w:rsidP="001B40BE">
      <w:pPr>
        <w:autoSpaceDE w:val="0"/>
        <w:autoSpaceDN w:val="0"/>
        <w:rPr>
          <w:rFonts w:ascii="Arial" w:hAnsi="Arial" w:cs="Arial"/>
          <w:b/>
          <w:sz w:val="24"/>
          <w:szCs w:val="24"/>
          <w:lang w:val="en-US"/>
        </w:rPr>
      </w:pPr>
      <w:r>
        <w:rPr>
          <w:rFonts w:ascii="Arial" w:hAnsi="Arial" w:cs="Arial"/>
          <w:b/>
          <w:sz w:val="24"/>
          <w:szCs w:val="24"/>
          <w:lang w:val="en-US"/>
        </w:rPr>
        <w:t>Ref: Tab #3 Continuity Schedule Balances in Account 1580</w:t>
      </w:r>
      <w:r w:rsidR="00D215CA">
        <w:rPr>
          <w:rFonts w:ascii="Arial" w:hAnsi="Arial" w:cs="Arial"/>
          <w:b/>
          <w:sz w:val="24"/>
          <w:szCs w:val="24"/>
          <w:lang w:val="en-US"/>
        </w:rPr>
        <w:t xml:space="preserve"> WMS – Sub-account CBR Class B</w:t>
      </w:r>
      <w:r>
        <w:rPr>
          <w:rFonts w:ascii="Arial" w:hAnsi="Arial" w:cs="Arial"/>
          <w:b/>
          <w:sz w:val="24"/>
          <w:szCs w:val="24"/>
          <w:lang w:val="en-US"/>
        </w:rPr>
        <w:t xml:space="preserve"> and RRR filing 2.1.7</w:t>
      </w:r>
    </w:p>
    <w:p w14:paraId="2EA43EB1" w14:textId="77777777" w:rsidR="00D215CA" w:rsidRPr="006B5FA5" w:rsidRDefault="00D215CA" w:rsidP="00D215CA">
      <w:pPr>
        <w:spacing w:line="240" w:lineRule="auto"/>
        <w:rPr>
          <w:rFonts w:ascii="Arial" w:hAnsi="Arial" w:cs="Arial"/>
          <w:sz w:val="24"/>
          <w:szCs w:val="24"/>
        </w:rPr>
      </w:pPr>
      <w:r w:rsidRPr="006B5FA5">
        <w:rPr>
          <w:rFonts w:ascii="Arial" w:hAnsi="Arial" w:cs="Arial"/>
          <w:sz w:val="24"/>
          <w:szCs w:val="24"/>
        </w:rPr>
        <w:t>On tab 3 of the 2017 IRM model, it states “</w:t>
      </w:r>
      <w:r w:rsidRPr="00E11952">
        <w:rPr>
          <w:rFonts w:ascii="Arial" w:hAnsi="Arial" w:cs="Arial"/>
          <w:sz w:val="24"/>
          <w:szCs w:val="24"/>
        </w:rPr>
        <w:t>Account 1580 RSVA WMS balance inputted into this schedule is to exclude any amounts relating to CBR. CBR amounts are to be inputted into Account 1580, sub-accounts CBR Class A and Class B separately. There is no disposition of Account 1580, sub-account CBR Class A, accounting guidance for this sub-account is to be followed. If a balance exists for Account 1580, sub-account CBR Class A as at Dec. 31, 2017, the balance must be explained.</w:t>
      </w:r>
      <w:r>
        <w:rPr>
          <w:rFonts w:ascii="Arial" w:hAnsi="Arial" w:cs="Arial"/>
          <w:sz w:val="24"/>
          <w:szCs w:val="24"/>
        </w:rPr>
        <w:t>”</w:t>
      </w:r>
    </w:p>
    <w:p w14:paraId="6E05DC52" w14:textId="77777777" w:rsidR="00D215CA" w:rsidRPr="00FF64E8" w:rsidRDefault="00D215CA" w:rsidP="00D215CA">
      <w:pPr>
        <w:autoSpaceDE w:val="0"/>
        <w:autoSpaceDN w:val="0"/>
        <w:adjustRightInd w:val="0"/>
        <w:spacing w:after="0" w:line="240" w:lineRule="auto"/>
        <w:rPr>
          <w:rFonts w:ascii="Arial" w:hAnsi="Arial" w:cs="Arial"/>
          <w:bCs/>
          <w:sz w:val="24"/>
          <w:szCs w:val="24"/>
        </w:rPr>
      </w:pPr>
      <w:r w:rsidRPr="00FF64E8">
        <w:rPr>
          <w:rFonts w:ascii="Arial" w:hAnsi="Arial" w:cs="Arial"/>
          <w:bCs/>
          <w:sz w:val="24"/>
          <w:szCs w:val="24"/>
        </w:rPr>
        <w:t>OEB staff notes that</w:t>
      </w:r>
      <w:r>
        <w:rPr>
          <w:rFonts w:ascii="Arial" w:hAnsi="Arial" w:cs="Arial"/>
          <w:bCs/>
          <w:sz w:val="24"/>
          <w:szCs w:val="24"/>
        </w:rPr>
        <w:t xml:space="preserve"> t</w:t>
      </w:r>
      <w:r w:rsidRPr="00FF64E8">
        <w:rPr>
          <w:rFonts w:ascii="Arial" w:hAnsi="Arial" w:cs="Arial"/>
          <w:bCs/>
          <w:sz w:val="24"/>
          <w:szCs w:val="24"/>
        </w:rPr>
        <w:t>he control account 1580 in the continuity schedule excludes balances in CBR Class A and CBR Class B; the control account in RRR includes t</w:t>
      </w:r>
      <w:r>
        <w:rPr>
          <w:rFonts w:ascii="Arial" w:hAnsi="Arial" w:cs="Arial"/>
          <w:bCs/>
          <w:sz w:val="24"/>
          <w:szCs w:val="24"/>
        </w:rPr>
        <w:t>he two sub-accounts’ balances. T</w:t>
      </w:r>
      <w:r w:rsidRPr="00FF64E8">
        <w:rPr>
          <w:rFonts w:ascii="Arial" w:hAnsi="Arial" w:cs="Arial"/>
          <w:bCs/>
          <w:sz w:val="24"/>
          <w:szCs w:val="24"/>
        </w:rPr>
        <w:t xml:space="preserve">herefore, in the variance column, it is expected to see a variance in cell BV23 only (equals the sum of CBR Class A and CBR Class B).  </w:t>
      </w:r>
    </w:p>
    <w:p w14:paraId="79972436" w14:textId="77777777" w:rsidR="00D215CA" w:rsidRDefault="00D215CA" w:rsidP="00D215CA">
      <w:pPr>
        <w:pStyle w:val="ListParagraph"/>
        <w:autoSpaceDE w:val="0"/>
        <w:autoSpaceDN w:val="0"/>
        <w:ind w:left="540"/>
        <w:rPr>
          <w:rFonts w:ascii="Arial" w:hAnsi="Arial" w:cs="Arial"/>
          <w:sz w:val="24"/>
          <w:szCs w:val="24"/>
        </w:rPr>
      </w:pPr>
    </w:p>
    <w:p w14:paraId="64FD7FD7" w14:textId="1D32CF62" w:rsidR="00D215CA" w:rsidRPr="001010C7" w:rsidRDefault="00E74B81" w:rsidP="001010C7">
      <w:pPr>
        <w:pStyle w:val="ListParagraph"/>
        <w:numPr>
          <w:ilvl w:val="0"/>
          <w:numId w:val="12"/>
        </w:numPr>
        <w:autoSpaceDE w:val="0"/>
        <w:autoSpaceDN w:val="0"/>
        <w:ind w:left="540" w:hanging="540"/>
        <w:rPr>
          <w:rFonts w:ascii="Arial" w:hAnsi="Arial" w:cs="Arial"/>
          <w:sz w:val="24"/>
          <w:szCs w:val="24"/>
        </w:rPr>
      </w:pPr>
      <w:r w:rsidRPr="001010C7">
        <w:rPr>
          <w:rFonts w:ascii="Arial" w:hAnsi="Arial" w:cs="Arial"/>
          <w:sz w:val="24"/>
          <w:szCs w:val="24"/>
        </w:rPr>
        <w:t xml:space="preserve">If the balance is incorrect, </w:t>
      </w:r>
      <w:r w:rsidR="001B40BE" w:rsidRPr="001010C7">
        <w:rPr>
          <w:rFonts w:ascii="Arial" w:hAnsi="Arial" w:cs="Arial"/>
          <w:sz w:val="24"/>
          <w:szCs w:val="24"/>
        </w:rPr>
        <w:t>please update Waterloo North</w:t>
      </w:r>
      <w:r w:rsidR="00722B60">
        <w:rPr>
          <w:rFonts w:ascii="Arial" w:hAnsi="Arial" w:cs="Arial"/>
          <w:sz w:val="24"/>
          <w:szCs w:val="24"/>
        </w:rPr>
        <w:t xml:space="preserve"> Hydro</w:t>
      </w:r>
      <w:r w:rsidR="001B40BE" w:rsidRPr="001010C7">
        <w:rPr>
          <w:rFonts w:ascii="Arial" w:hAnsi="Arial" w:cs="Arial"/>
          <w:sz w:val="24"/>
          <w:szCs w:val="24"/>
        </w:rPr>
        <w:t xml:space="preserve">’s RRR filing 2.1.7 and notify your case manager when this is completed. </w:t>
      </w:r>
    </w:p>
    <w:p w14:paraId="7EFBF7DA" w14:textId="77777777" w:rsidR="00D215CA" w:rsidRDefault="00D215CA" w:rsidP="00D215CA">
      <w:pPr>
        <w:pStyle w:val="ListParagraph"/>
        <w:autoSpaceDE w:val="0"/>
        <w:autoSpaceDN w:val="0"/>
        <w:ind w:left="540"/>
        <w:rPr>
          <w:rFonts w:ascii="Arial" w:hAnsi="Arial" w:cs="Arial"/>
          <w:sz w:val="24"/>
          <w:szCs w:val="24"/>
        </w:rPr>
      </w:pPr>
    </w:p>
    <w:p w14:paraId="03471E44" w14:textId="5550D380" w:rsidR="001010C7" w:rsidRDefault="00D215CA" w:rsidP="001010C7">
      <w:pPr>
        <w:pStyle w:val="ListParagraph"/>
        <w:numPr>
          <w:ilvl w:val="0"/>
          <w:numId w:val="12"/>
        </w:numPr>
        <w:spacing w:after="0"/>
        <w:ind w:left="540" w:hanging="540"/>
        <w:rPr>
          <w:rFonts w:ascii="Arial" w:hAnsi="Arial" w:cs="Arial"/>
          <w:sz w:val="24"/>
          <w:szCs w:val="24"/>
        </w:rPr>
      </w:pPr>
      <w:r>
        <w:rPr>
          <w:rFonts w:ascii="Arial" w:hAnsi="Arial" w:cs="Arial"/>
          <w:sz w:val="24"/>
          <w:szCs w:val="24"/>
        </w:rPr>
        <w:t xml:space="preserve">Please </w:t>
      </w:r>
      <w:r w:rsidR="001010C7" w:rsidRPr="003F2B3B">
        <w:rPr>
          <w:rFonts w:ascii="Arial" w:hAnsi="Arial" w:cs="Arial"/>
          <w:sz w:val="24"/>
          <w:szCs w:val="24"/>
        </w:rPr>
        <w:t>make necessary adjustments to the continuity schedule in the 2019 IRM model.</w:t>
      </w:r>
    </w:p>
    <w:p w14:paraId="5C057506" w14:textId="3E003FAB" w:rsidR="00767C3E" w:rsidRPr="00767C3E" w:rsidRDefault="00767C3E" w:rsidP="00767C3E">
      <w:pPr>
        <w:pStyle w:val="ListParagraph"/>
        <w:rPr>
          <w:rFonts w:ascii="Arial" w:hAnsi="Arial" w:cs="Arial"/>
          <w:sz w:val="24"/>
          <w:szCs w:val="24"/>
        </w:rPr>
      </w:pPr>
      <w:r>
        <w:rPr>
          <w:noProof/>
          <w:lang w:val="en-US"/>
        </w:rPr>
        <w:drawing>
          <wp:inline distT="0" distB="0" distL="0" distR="0" wp14:anchorId="2A976534" wp14:editId="34E66C88">
            <wp:extent cx="5943600" cy="2044148"/>
            <wp:effectExtent l="19050" t="19050" r="19050" b="133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2044148"/>
                    </a:xfrm>
                    <a:prstGeom prst="rect">
                      <a:avLst/>
                    </a:prstGeom>
                    <a:ln>
                      <a:solidFill>
                        <a:schemeClr val="tx1"/>
                      </a:solidFill>
                    </a:ln>
                  </pic:spPr>
                </pic:pic>
              </a:graphicData>
            </a:graphic>
          </wp:inline>
        </w:drawing>
      </w:r>
    </w:p>
    <w:p w14:paraId="18CEBF27" w14:textId="65231B6D" w:rsidR="00767C3E" w:rsidRDefault="00767C3E" w:rsidP="00767C3E">
      <w:pPr>
        <w:pStyle w:val="ListParagraph"/>
        <w:spacing w:after="0"/>
        <w:ind w:left="540"/>
        <w:rPr>
          <w:rFonts w:ascii="Arial" w:hAnsi="Arial" w:cs="Arial"/>
          <w:color w:val="0070C0"/>
          <w:sz w:val="24"/>
          <w:szCs w:val="24"/>
        </w:rPr>
      </w:pPr>
      <w:r>
        <w:rPr>
          <w:rFonts w:ascii="Arial" w:hAnsi="Arial" w:cs="Arial"/>
          <w:color w:val="0070C0"/>
          <w:sz w:val="24"/>
          <w:szCs w:val="24"/>
        </w:rPr>
        <w:lastRenderedPageBreak/>
        <w:t xml:space="preserve">The 2017 RRR filing was correct. The changes have been made in the IRM Model. The net amount in Account 1580 in RRR filing was ($3,309,406). This included ($3,490,940) for WMS alone and $181,534 for WMS – Class B CBR (the balance for WMS – Class A CBR is NIL). Due to this correction in the model there was also a change to the projected interest on the WMS portion. The revised table has been included below. </w:t>
      </w:r>
    </w:p>
    <w:p w14:paraId="75A99A4F" w14:textId="77777777" w:rsidR="00767C3E" w:rsidRPr="00767C3E" w:rsidRDefault="00767C3E" w:rsidP="00767C3E">
      <w:pPr>
        <w:pStyle w:val="ListParagraph"/>
        <w:spacing w:after="0"/>
        <w:ind w:left="540"/>
        <w:rPr>
          <w:rFonts w:ascii="Arial" w:hAnsi="Arial" w:cs="Arial"/>
          <w:color w:val="0070C0"/>
          <w:sz w:val="24"/>
          <w:szCs w:val="24"/>
        </w:rPr>
      </w:pPr>
    </w:p>
    <w:p w14:paraId="5A60BD4A" w14:textId="071D50F5" w:rsidR="001010C7" w:rsidRDefault="008E2ACF" w:rsidP="001010C7">
      <w:pPr>
        <w:spacing w:after="0"/>
        <w:rPr>
          <w:rFonts w:ascii="Arial" w:hAnsi="Arial" w:cs="Arial"/>
          <w:b/>
          <w:sz w:val="24"/>
          <w:szCs w:val="24"/>
        </w:rPr>
      </w:pPr>
      <w:r w:rsidRPr="008E2ACF">
        <w:rPr>
          <w:noProof/>
          <w:lang w:val="en-US"/>
        </w:rPr>
        <w:drawing>
          <wp:inline distT="0" distB="0" distL="0" distR="0" wp14:anchorId="1266AD36" wp14:editId="4CECA2F4">
            <wp:extent cx="5943600" cy="2327822"/>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2327822"/>
                    </a:xfrm>
                    <a:prstGeom prst="rect">
                      <a:avLst/>
                    </a:prstGeom>
                    <a:noFill/>
                    <a:ln>
                      <a:noFill/>
                    </a:ln>
                  </pic:spPr>
                </pic:pic>
              </a:graphicData>
            </a:graphic>
          </wp:inline>
        </w:drawing>
      </w:r>
    </w:p>
    <w:p w14:paraId="52314B85" w14:textId="682500BF" w:rsidR="00993F61" w:rsidRDefault="00993F61" w:rsidP="00993F61">
      <w:pPr>
        <w:spacing w:after="0"/>
        <w:rPr>
          <w:rFonts w:ascii="Arial" w:hAnsi="Arial" w:cs="Arial"/>
          <w:b/>
          <w:sz w:val="24"/>
          <w:szCs w:val="24"/>
        </w:rPr>
      </w:pPr>
    </w:p>
    <w:p w14:paraId="3362DD60" w14:textId="42A269EA" w:rsidR="00096D51" w:rsidRDefault="00096D51" w:rsidP="00F96ACE">
      <w:pPr>
        <w:jc w:val="center"/>
        <w:rPr>
          <w:rFonts w:ascii="Arial" w:hAnsi="Arial" w:cs="Arial"/>
          <w:b/>
          <w:sz w:val="24"/>
          <w:szCs w:val="24"/>
        </w:rPr>
      </w:pPr>
    </w:p>
    <w:p w14:paraId="29743992" w14:textId="4C8F1AAC" w:rsidR="00323A89" w:rsidRDefault="001F5CB6" w:rsidP="00ED3CE0">
      <w:pPr>
        <w:spacing w:after="0"/>
        <w:rPr>
          <w:rFonts w:ascii="Arial" w:hAnsi="Arial" w:cs="Arial"/>
          <w:b/>
          <w:sz w:val="24"/>
          <w:szCs w:val="24"/>
        </w:rPr>
      </w:pPr>
      <w:r>
        <w:rPr>
          <w:rFonts w:ascii="Arial" w:hAnsi="Arial" w:cs="Arial"/>
          <w:b/>
          <w:sz w:val="24"/>
          <w:szCs w:val="24"/>
        </w:rPr>
        <w:t xml:space="preserve">Staff </w:t>
      </w:r>
      <w:r w:rsidR="00E02478">
        <w:rPr>
          <w:rFonts w:ascii="Arial" w:hAnsi="Arial" w:cs="Arial"/>
          <w:b/>
          <w:sz w:val="24"/>
          <w:szCs w:val="24"/>
        </w:rPr>
        <w:t xml:space="preserve">Question </w:t>
      </w:r>
      <w:r>
        <w:rPr>
          <w:rFonts w:ascii="Arial" w:hAnsi="Arial" w:cs="Arial"/>
          <w:b/>
          <w:sz w:val="24"/>
          <w:szCs w:val="24"/>
        </w:rPr>
        <w:t>#</w:t>
      </w:r>
      <w:r w:rsidR="00323A89">
        <w:rPr>
          <w:rFonts w:ascii="Arial" w:hAnsi="Arial" w:cs="Arial"/>
          <w:b/>
          <w:sz w:val="24"/>
          <w:szCs w:val="24"/>
        </w:rPr>
        <w:t>2</w:t>
      </w:r>
    </w:p>
    <w:p w14:paraId="7F9F8B30" w14:textId="542099F6" w:rsidR="005D352B" w:rsidRPr="00725069" w:rsidRDefault="005D352B" w:rsidP="005D352B">
      <w:pPr>
        <w:spacing w:after="0"/>
        <w:rPr>
          <w:rFonts w:ascii="Arial" w:hAnsi="Arial" w:cs="Arial"/>
          <w:b/>
          <w:sz w:val="24"/>
          <w:szCs w:val="24"/>
        </w:rPr>
      </w:pPr>
      <w:r w:rsidRPr="00725069">
        <w:rPr>
          <w:rFonts w:ascii="Arial" w:hAnsi="Arial" w:cs="Arial"/>
          <w:b/>
          <w:sz w:val="24"/>
          <w:szCs w:val="24"/>
        </w:rPr>
        <w:t xml:space="preserve">Ref: Cell </w:t>
      </w:r>
      <w:r w:rsidR="00A14832">
        <w:rPr>
          <w:rFonts w:ascii="Arial" w:hAnsi="Arial" w:cs="Arial"/>
          <w:b/>
          <w:sz w:val="24"/>
          <w:szCs w:val="24"/>
        </w:rPr>
        <w:t>BT34</w:t>
      </w:r>
      <w:r w:rsidRPr="00725069">
        <w:rPr>
          <w:rFonts w:ascii="Arial" w:hAnsi="Arial" w:cs="Arial"/>
          <w:b/>
          <w:sz w:val="24"/>
          <w:szCs w:val="24"/>
        </w:rPr>
        <w:t xml:space="preserve"> from Tab 3. Continuity Schedule has been reproduced below.</w:t>
      </w:r>
    </w:p>
    <w:p w14:paraId="26ABA7E0" w14:textId="77777777" w:rsidR="005D352B" w:rsidRPr="00725069" w:rsidRDefault="005D352B" w:rsidP="005D352B">
      <w:pPr>
        <w:spacing w:after="0" w:line="240" w:lineRule="auto"/>
        <w:rPr>
          <w:rFonts w:ascii="Arial" w:eastAsia="Times New Roman" w:hAnsi="Arial" w:cs="Arial"/>
          <w:sz w:val="18"/>
          <w:szCs w:val="18"/>
          <w:lang w:val="en-US"/>
        </w:rPr>
      </w:pPr>
    </w:p>
    <w:p w14:paraId="22540488" w14:textId="77777777" w:rsidR="005D352B" w:rsidRPr="00725069" w:rsidRDefault="005D352B" w:rsidP="005D352B">
      <w:pPr>
        <w:autoSpaceDE w:val="0"/>
        <w:autoSpaceDN w:val="0"/>
        <w:adjustRightInd w:val="0"/>
        <w:spacing w:after="0" w:line="240" w:lineRule="auto"/>
        <w:rPr>
          <w:rFonts w:ascii="Arial" w:hAnsi="Arial" w:cs="Arial"/>
          <w:color w:val="000000"/>
          <w:sz w:val="24"/>
          <w:szCs w:val="24"/>
        </w:rPr>
      </w:pPr>
      <w:r w:rsidRPr="00725069">
        <w:rPr>
          <w:rFonts w:ascii="Arial" w:hAnsi="Arial" w:cs="Arial"/>
          <w:color w:val="000000"/>
          <w:sz w:val="24"/>
          <w:szCs w:val="24"/>
        </w:rPr>
        <w:t xml:space="preserve">Per Appendix A of the </w:t>
      </w:r>
      <w:r w:rsidRPr="00725069">
        <w:rPr>
          <w:rFonts w:ascii="Arial" w:hAnsi="Arial" w:cs="Arial"/>
          <w:i/>
          <w:color w:val="000000"/>
          <w:sz w:val="24"/>
          <w:szCs w:val="24"/>
        </w:rPr>
        <w:t>Chapter 3 Filing Requirements for Electricity Distribution Rate Applications for 2018 Rate Applications,</w:t>
      </w:r>
      <w:r w:rsidRPr="00725069">
        <w:rPr>
          <w:rFonts w:ascii="Arial" w:hAnsi="Arial" w:cs="Arial"/>
          <w:color w:val="000000"/>
          <w:sz w:val="24"/>
          <w:szCs w:val="24"/>
        </w:rPr>
        <w:t xml:space="preserve"> “Any vintage Account 1595 Sub-Account is to be disposed only once, on a final basis. No further dispositions of these accounts are expected thereafter unless justified by the distributor”. </w:t>
      </w:r>
    </w:p>
    <w:p w14:paraId="0C3EAC2D" w14:textId="77777777" w:rsidR="005D352B" w:rsidRPr="00725069" w:rsidRDefault="005D352B" w:rsidP="005D352B">
      <w:pPr>
        <w:autoSpaceDE w:val="0"/>
        <w:autoSpaceDN w:val="0"/>
        <w:adjustRightInd w:val="0"/>
        <w:spacing w:after="0" w:line="240" w:lineRule="auto"/>
        <w:rPr>
          <w:rFonts w:ascii="Arial" w:hAnsi="Arial" w:cs="Arial"/>
          <w:color w:val="000000"/>
          <w:sz w:val="24"/>
          <w:szCs w:val="24"/>
        </w:rPr>
      </w:pPr>
    </w:p>
    <w:p w14:paraId="364C6627" w14:textId="71DDC868" w:rsidR="00CA6CFD" w:rsidRDefault="005D352B" w:rsidP="005D352B">
      <w:pPr>
        <w:rPr>
          <w:rFonts w:ascii="Arial" w:hAnsi="Arial" w:cs="Arial"/>
          <w:sz w:val="24"/>
          <w:szCs w:val="24"/>
        </w:rPr>
      </w:pPr>
      <w:r w:rsidRPr="00725069">
        <w:rPr>
          <w:rFonts w:ascii="Arial" w:hAnsi="Arial" w:cs="Arial"/>
          <w:sz w:val="24"/>
          <w:szCs w:val="24"/>
        </w:rPr>
        <w:lastRenderedPageBreak/>
        <w:t>Ref: A Portion of the Tab 3 Continuity Schedule has been reproduced below.</w:t>
      </w:r>
      <w:r w:rsidR="00CA6CFD">
        <w:rPr>
          <w:noProof/>
          <w:lang w:val="en-US"/>
        </w:rPr>
        <w:drawing>
          <wp:inline distT="0" distB="0" distL="0" distR="0" wp14:anchorId="0CCE3B1E" wp14:editId="486E12CA">
            <wp:extent cx="5229988" cy="2447925"/>
            <wp:effectExtent l="19050" t="19050" r="2794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249150" cy="2456894"/>
                    </a:xfrm>
                    <a:prstGeom prst="rect">
                      <a:avLst/>
                    </a:prstGeom>
                    <a:ln>
                      <a:solidFill>
                        <a:schemeClr val="tx1"/>
                      </a:solidFill>
                    </a:ln>
                  </pic:spPr>
                </pic:pic>
              </a:graphicData>
            </a:graphic>
          </wp:inline>
        </w:drawing>
      </w:r>
    </w:p>
    <w:p w14:paraId="0C27B2D3" w14:textId="2861C2BB" w:rsidR="005D352B" w:rsidRPr="00725069" w:rsidRDefault="005D352B" w:rsidP="005D352B">
      <w:pPr>
        <w:rPr>
          <w:rFonts w:ascii="Arial" w:hAnsi="Arial" w:cs="Arial"/>
          <w:sz w:val="24"/>
          <w:szCs w:val="24"/>
        </w:rPr>
      </w:pPr>
      <w:r>
        <w:rPr>
          <w:rFonts w:ascii="Arial" w:hAnsi="Arial" w:cs="Arial"/>
          <w:sz w:val="24"/>
          <w:szCs w:val="24"/>
        </w:rPr>
        <w:t xml:space="preserve">Waterloo North </w:t>
      </w:r>
      <w:r w:rsidR="00722B60">
        <w:rPr>
          <w:rFonts w:ascii="Arial" w:hAnsi="Arial" w:cs="Arial"/>
          <w:sz w:val="24"/>
          <w:szCs w:val="24"/>
        </w:rPr>
        <w:t xml:space="preserve">Hydro </w:t>
      </w:r>
      <w:r w:rsidRPr="00725069">
        <w:rPr>
          <w:rFonts w:ascii="Arial" w:hAnsi="Arial" w:cs="Arial"/>
          <w:sz w:val="24"/>
          <w:szCs w:val="24"/>
        </w:rPr>
        <w:t>is requesting disposition of account 1595-201</w:t>
      </w:r>
      <w:r>
        <w:rPr>
          <w:rFonts w:ascii="Arial" w:hAnsi="Arial" w:cs="Arial"/>
          <w:sz w:val="24"/>
          <w:szCs w:val="24"/>
        </w:rPr>
        <w:t>5</w:t>
      </w:r>
      <w:r w:rsidRPr="00725069">
        <w:rPr>
          <w:rFonts w:ascii="Arial" w:hAnsi="Arial" w:cs="Arial"/>
          <w:sz w:val="24"/>
          <w:szCs w:val="24"/>
        </w:rPr>
        <w:t xml:space="preserve"> </w:t>
      </w:r>
      <w:r>
        <w:rPr>
          <w:rFonts w:ascii="Arial" w:hAnsi="Arial" w:cs="Arial"/>
          <w:sz w:val="24"/>
          <w:szCs w:val="24"/>
        </w:rPr>
        <w:t>debit balance of $82.</w:t>
      </w:r>
    </w:p>
    <w:p w14:paraId="6A040784" w14:textId="63FC57B0" w:rsidR="005D352B" w:rsidRDefault="005D352B" w:rsidP="005D352B">
      <w:pPr>
        <w:numPr>
          <w:ilvl w:val="0"/>
          <w:numId w:val="6"/>
        </w:numPr>
        <w:contextualSpacing/>
        <w:rPr>
          <w:rFonts w:ascii="Arial" w:hAnsi="Arial" w:cs="Arial"/>
          <w:sz w:val="24"/>
          <w:szCs w:val="24"/>
        </w:rPr>
      </w:pPr>
      <w:r w:rsidRPr="00725069">
        <w:rPr>
          <w:rFonts w:ascii="Arial" w:hAnsi="Arial" w:cs="Arial"/>
          <w:sz w:val="24"/>
          <w:szCs w:val="24"/>
        </w:rPr>
        <w:t xml:space="preserve">Please confirm whether </w:t>
      </w:r>
      <w:r>
        <w:rPr>
          <w:rFonts w:ascii="Arial" w:hAnsi="Arial" w:cs="Arial"/>
          <w:sz w:val="24"/>
          <w:szCs w:val="24"/>
        </w:rPr>
        <w:t>Waterloo North</w:t>
      </w:r>
      <w:r w:rsidRPr="00725069">
        <w:rPr>
          <w:rFonts w:ascii="Arial" w:hAnsi="Arial" w:cs="Arial"/>
          <w:sz w:val="24"/>
          <w:szCs w:val="24"/>
        </w:rPr>
        <w:t xml:space="preserve"> </w:t>
      </w:r>
      <w:r w:rsidR="00722B60">
        <w:rPr>
          <w:rFonts w:ascii="Arial" w:hAnsi="Arial" w:cs="Arial"/>
          <w:sz w:val="24"/>
          <w:szCs w:val="24"/>
        </w:rPr>
        <w:t xml:space="preserve">Hydro </w:t>
      </w:r>
      <w:r w:rsidRPr="00725069">
        <w:rPr>
          <w:rFonts w:ascii="Arial" w:hAnsi="Arial" w:cs="Arial"/>
          <w:sz w:val="24"/>
          <w:szCs w:val="24"/>
        </w:rPr>
        <w:t>ha</w:t>
      </w:r>
      <w:r>
        <w:rPr>
          <w:rFonts w:ascii="Arial" w:hAnsi="Arial" w:cs="Arial"/>
          <w:sz w:val="24"/>
          <w:szCs w:val="24"/>
        </w:rPr>
        <w:t>s requested disposition of this sub account</w:t>
      </w:r>
      <w:r w:rsidRPr="00725069">
        <w:rPr>
          <w:rFonts w:ascii="Arial" w:hAnsi="Arial" w:cs="Arial"/>
          <w:sz w:val="24"/>
          <w:szCs w:val="24"/>
        </w:rPr>
        <w:t xml:space="preserve"> previously. </w:t>
      </w:r>
    </w:p>
    <w:p w14:paraId="62BCD85F" w14:textId="77777777" w:rsidR="009635B5" w:rsidRDefault="009635B5" w:rsidP="009635B5">
      <w:pPr>
        <w:ind w:left="720"/>
        <w:contextualSpacing/>
        <w:rPr>
          <w:rFonts w:ascii="Arial" w:hAnsi="Arial" w:cs="Arial"/>
          <w:sz w:val="24"/>
          <w:szCs w:val="24"/>
        </w:rPr>
      </w:pPr>
    </w:p>
    <w:p w14:paraId="71F226D9" w14:textId="12E9FC19" w:rsidR="0024013C" w:rsidRDefault="0024013C" w:rsidP="0024013C">
      <w:pPr>
        <w:ind w:left="720"/>
        <w:contextualSpacing/>
        <w:rPr>
          <w:rFonts w:ascii="Arial" w:hAnsi="Arial" w:cs="Arial"/>
          <w:color w:val="0070C0"/>
          <w:sz w:val="24"/>
          <w:szCs w:val="24"/>
        </w:rPr>
      </w:pPr>
      <w:r>
        <w:rPr>
          <w:rFonts w:ascii="Arial" w:hAnsi="Arial" w:cs="Arial"/>
          <w:color w:val="0070C0"/>
          <w:sz w:val="24"/>
          <w:szCs w:val="24"/>
        </w:rPr>
        <w:t xml:space="preserve">Yes, in the 2018 IRM filing the 2015 balance had been disposed of. </w:t>
      </w:r>
    </w:p>
    <w:p w14:paraId="357902FB" w14:textId="77777777" w:rsidR="009635B5" w:rsidRPr="0024013C" w:rsidRDefault="009635B5" w:rsidP="0024013C">
      <w:pPr>
        <w:ind w:left="720"/>
        <w:contextualSpacing/>
        <w:rPr>
          <w:rFonts w:ascii="Arial" w:hAnsi="Arial" w:cs="Arial"/>
          <w:color w:val="0070C0"/>
          <w:sz w:val="24"/>
          <w:szCs w:val="24"/>
        </w:rPr>
      </w:pPr>
    </w:p>
    <w:p w14:paraId="37A13C01" w14:textId="72E8EB70" w:rsidR="005D352B" w:rsidRDefault="005D352B" w:rsidP="005D352B">
      <w:pPr>
        <w:numPr>
          <w:ilvl w:val="0"/>
          <w:numId w:val="6"/>
        </w:numPr>
        <w:contextualSpacing/>
        <w:rPr>
          <w:rFonts w:ascii="Arial" w:hAnsi="Arial" w:cs="Arial"/>
          <w:sz w:val="24"/>
          <w:szCs w:val="24"/>
        </w:rPr>
      </w:pPr>
      <w:r w:rsidRPr="00725069">
        <w:rPr>
          <w:rFonts w:ascii="Arial" w:hAnsi="Arial" w:cs="Arial"/>
          <w:sz w:val="24"/>
          <w:szCs w:val="24"/>
        </w:rPr>
        <w:t xml:space="preserve">When did the rate rider relating to IRM cease? </w:t>
      </w:r>
    </w:p>
    <w:p w14:paraId="6C9D2C62" w14:textId="77777777" w:rsidR="009635B5" w:rsidRDefault="009635B5" w:rsidP="009635B5">
      <w:pPr>
        <w:ind w:left="720"/>
        <w:contextualSpacing/>
        <w:rPr>
          <w:rFonts w:ascii="Arial" w:hAnsi="Arial" w:cs="Arial"/>
          <w:sz w:val="24"/>
          <w:szCs w:val="24"/>
        </w:rPr>
      </w:pPr>
    </w:p>
    <w:p w14:paraId="2F5C69B7" w14:textId="53666755" w:rsidR="0024013C" w:rsidRDefault="0024013C" w:rsidP="0024013C">
      <w:pPr>
        <w:ind w:left="720"/>
        <w:contextualSpacing/>
        <w:rPr>
          <w:rFonts w:ascii="Arial" w:hAnsi="Arial" w:cs="Arial"/>
          <w:color w:val="0070C0"/>
          <w:sz w:val="24"/>
          <w:szCs w:val="24"/>
        </w:rPr>
      </w:pPr>
      <w:r w:rsidRPr="0024013C">
        <w:rPr>
          <w:rFonts w:ascii="Arial" w:hAnsi="Arial" w:cs="Arial"/>
          <w:color w:val="0070C0"/>
          <w:sz w:val="24"/>
          <w:szCs w:val="24"/>
        </w:rPr>
        <w:t xml:space="preserve">The </w:t>
      </w:r>
      <w:r w:rsidR="008E2ACF">
        <w:rPr>
          <w:rFonts w:ascii="Arial" w:hAnsi="Arial" w:cs="Arial"/>
          <w:color w:val="0070C0"/>
          <w:sz w:val="24"/>
          <w:szCs w:val="24"/>
        </w:rPr>
        <w:t>1595-2015 balance ceased April 30, 2016</w:t>
      </w:r>
      <w:r w:rsidRPr="0024013C">
        <w:rPr>
          <w:rFonts w:ascii="Arial" w:hAnsi="Arial" w:cs="Arial"/>
          <w:color w:val="0070C0"/>
          <w:sz w:val="24"/>
          <w:szCs w:val="24"/>
        </w:rPr>
        <w:t xml:space="preserve">. </w:t>
      </w:r>
    </w:p>
    <w:p w14:paraId="1A96F92E" w14:textId="77777777" w:rsidR="009635B5" w:rsidRPr="0024013C" w:rsidRDefault="009635B5" w:rsidP="0024013C">
      <w:pPr>
        <w:ind w:left="720"/>
        <w:contextualSpacing/>
        <w:rPr>
          <w:rFonts w:ascii="Arial" w:hAnsi="Arial" w:cs="Arial"/>
          <w:color w:val="0070C0"/>
          <w:sz w:val="24"/>
          <w:szCs w:val="24"/>
        </w:rPr>
      </w:pPr>
    </w:p>
    <w:p w14:paraId="3F87BF2A" w14:textId="46185E5B" w:rsidR="005D352B" w:rsidRDefault="005D352B" w:rsidP="005D352B">
      <w:pPr>
        <w:numPr>
          <w:ilvl w:val="0"/>
          <w:numId w:val="6"/>
        </w:numPr>
        <w:contextualSpacing/>
        <w:rPr>
          <w:rFonts w:ascii="Arial" w:hAnsi="Arial" w:cs="Arial"/>
          <w:sz w:val="24"/>
          <w:szCs w:val="24"/>
        </w:rPr>
      </w:pPr>
      <w:r w:rsidRPr="00725069">
        <w:rPr>
          <w:rFonts w:ascii="Arial" w:hAnsi="Arial" w:cs="Arial"/>
          <w:sz w:val="24"/>
          <w:szCs w:val="24"/>
        </w:rPr>
        <w:t xml:space="preserve">What audited financial statements did </w:t>
      </w:r>
      <w:r w:rsidR="00A14832">
        <w:rPr>
          <w:rFonts w:ascii="Arial" w:hAnsi="Arial" w:cs="Arial"/>
          <w:sz w:val="24"/>
          <w:szCs w:val="24"/>
        </w:rPr>
        <w:t xml:space="preserve">Waterloo North </w:t>
      </w:r>
      <w:r w:rsidR="00A83349">
        <w:rPr>
          <w:rFonts w:ascii="Arial" w:hAnsi="Arial" w:cs="Arial"/>
          <w:sz w:val="24"/>
          <w:szCs w:val="24"/>
        </w:rPr>
        <w:t xml:space="preserve">Hydro </w:t>
      </w:r>
      <w:r w:rsidR="00A14832">
        <w:rPr>
          <w:rFonts w:ascii="Arial" w:hAnsi="Arial" w:cs="Arial"/>
          <w:sz w:val="24"/>
          <w:szCs w:val="24"/>
        </w:rPr>
        <w:t>base this</w:t>
      </w:r>
      <w:r w:rsidRPr="00725069">
        <w:rPr>
          <w:rFonts w:ascii="Arial" w:hAnsi="Arial" w:cs="Arial"/>
          <w:sz w:val="24"/>
          <w:szCs w:val="24"/>
        </w:rPr>
        <w:t xml:space="preserve"> disp</w:t>
      </w:r>
      <w:r w:rsidR="00A14832">
        <w:rPr>
          <w:rFonts w:ascii="Arial" w:hAnsi="Arial" w:cs="Arial"/>
          <w:sz w:val="24"/>
          <w:szCs w:val="24"/>
        </w:rPr>
        <w:t>osition</w:t>
      </w:r>
      <w:r w:rsidRPr="00725069">
        <w:rPr>
          <w:rFonts w:ascii="Arial" w:hAnsi="Arial" w:cs="Arial"/>
          <w:sz w:val="24"/>
          <w:szCs w:val="24"/>
        </w:rPr>
        <w:t xml:space="preserve"> on previously and what does </w:t>
      </w:r>
      <w:r w:rsidR="00A14832">
        <w:rPr>
          <w:rFonts w:ascii="Arial" w:hAnsi="Arial" w:cs="Arial"/>
          <w:sz w:val="24"/>
          <w:szCs w:val="24"/>
        </w:rPr>
        <w:t>the</w:t>
      </w:r>
      <w:r w:rsidRPr="00725069">
        <w:rPr>
          <w:rFonts w:ascii="Arial" w:hAnsi="Arial" w:cs="Arial"/>
          <w:sz w:val="24"/>
          <w:szCs w:val="24"/>
        </w:rPr>
        <w:t xml:space="preserve"> balance pertain to?</w:t>
      </w:r>
    </w:p>
    <w:p w14:paraId="2FE8AC0A" w14:textId="77777777" w:rsidR="009635B5" w:rsidRDefault="009635B5" w:rsidP="009635B5">
      <w:pPr>
        <w:ind w:left="720"/>
        <w:contextualSpacing/>
        <w:rPr>
          <w:rFonts w:ascii="Arial" w:hAnsi="Arial" w:cs="Arial"/>
          <w:sz w:val="24"/>
          <w:szCs w:val="24"/>
        </w:rPr>
      </w:pPr>
    </w:p>
    <w:p w14:paraId="5F9A64BF" w14:textId="7C7A3045" w:rsidR="0024013C" w:rsidRDefault="0024013C" w:rsidP="0024013C">
      <w:pPr>
        <w:ind w:left="720"/>
        <w:contextualSpacing/>
        <w:rPr>
          <w:rFonts w:ascii="Arial" w:hAnsi="Arial" w:cs="Arial"/>
          <w:color w:val="0070C0"/>
          <w:sz w:val="24"/>
          <w:szCs w:val="24"/>
        </w:rPr>
      </w:pPr>
      <w:r w:rsidRPr="0024013C">
        <w:rPr>
          <w:rFonts w:ascii="Arial" w:hAnsi="Arial" w:cs="Arial"/>
          <w:color w:val="0070C0"/>
          <w:sz w:val="24"/>
          <w:szCs w:val="24"/>
        </w:rPr>
        <w:t>This difference is due to a slight variation between the amount approved to be disposed of and the actual account balance at the end of the year</w:t>
      </w:r>
      <w:r>
        <w:rPr>
          <w:rFonts w:ascii="Arial" w:hAnsi="Arial" w:cs="Arial"/>
          <w:color w:val="0070C0"/>
          <w:sz w:val="24"/>
          <w:szCs w:val="24"/>
        </w:rPr>
        <w:t xml:space="preserve"> because of a small number of customer bill corrections</w:t>
      </w:r>
      <w:r w:rsidRPr="0024013C">
        <w:rPr>
          <w:rFonts w:ascii="Arial" w:hAnsi="Arial" w:cs="Arial"/>
          <w:color w:val="0070C0"/>
          <w:sz w:val="24"/>
          <w:szCs w:val="24"/>
        </w:rPr>
        <w:t xml:space="preserve">. </w:t>
      </w:r>
      <w:r w:rsidR="008E2ACF">
        <w:rPr>
          <w:rFonts w:ascii="Arial" w:hAnsi="Arial" w:cs="Arial"/>
          <w:color w:val="0070C0"/>
          <w:sz w:val="24"/>
          <w:szCs w:val="24"/>
        </w:rPr>
        <w:t>The previous amount claimed would have been included on the December 31, 2016 Audited Financial Statements.</w:t>
      </w:r>
    </w:p>
    <w:p w14:paraId="769AAFD0" w14:textId="77777777" w:rsidR="00D61064" w:rsidRPr="0024013C" w:rsidRDefault="00D61064" w:rsidP="0024013C">
      <w:pPr>
        <w:ind w:left="720"/>
        <w:contextualSpacing/>
        <w:rPr>
          <w:rFonts w:ascii="Arial" w:hAnsi="Arial" w:cs="Arial"/>
          <w:color w:val="0070C0"/>
          <w:sz w:val="24"/>
          <w:szCs w:val="24"/>
        </w:rPr>
      </w:pPr>
    </w:p>
    <w:p w14:paraId="55BD8F10" w14:textId="177F1CEF" w:rsidR="005D352B" w:rsidRDefault="00A14832" w:rsidP="005D352B">
      <w:pPr>
        <w:numPr>
          <w:ilvl w:val="0"/>
          <w:numId w:val="6"/>
        </w:numPr>
        <w:autoSpaceDE w:val="0"/>
        <w:autoSpaceDN w:val="0"/>
        <w:adjustRightInd w:val="0"/>
        <w:spacing w:after="0" w:line="240" w:lineRule="auto"/>
        <w:contextualSpacing/>
        <w:rPr>
          <w:rFonts w:ascii="Arial" w:hAnsi="Arial" w:cs="Arial"/>
          <w:color w:val="000000"/>
          <w:sz w:val="24"/>
          <w:szCs w:val="24"/>
        </w:rPr>
      </w:pPr>
      <w:r>
        <w:rPr>
          <w:rFonts w:ascii="Arial" w:hAnsi="Arial" w:cs="Arial"/>
          <w:color w:val="000000"/>
          <w:sz w:val="24"/>
          <w:szCs w:val="24"/>
        </w:rPr>
        <w:t>Please explain why this amount has</w:t>
      </w:r>
      <w:r w:rsidR="005D352B" w:rsidRPr="00725069">
        <w:rPr>
          <w:rFonts w:ascii="Arial" w:hAnsi="Arial" w:cs="Arial"/>
          <w:color w:val="000000"/>
          <w:sz w:val="24"/>
          <w:szCs w:val="24"/>
        </w:rPr>
        <w:t xml:space="preserve"> not been written off. </w:t>
      </w:r>
    </w:p>
    <w:p w14:paraId="0285C522" w14:textId="77777777" w:rsidR="009635B5" w:rsidRDefault="009635B5" w:rsidP="009635B5">
      <w:pPr>
        <w:autoSpaceDE w:val="0"/>
        <w:autoSpaceDN w:val="0"/>
        <w:adjustRightInd w:val="0"/>
        <w:spacing w:after="0" w:line="240" w:lineRule="auto"/>
        <w:ind w:left="720"/>
        <w:contextualSpacing/>
        <w:rPr>
          <w:rFonts w:ascii="Arial" w:hAnsi="Arial" w:cs="Arial"/>
          <w:color w:val="000000"/>
          <w:sz w:val="24"/>
          <w:szCs w:val="24"/>
        </w:rPr>
      </w:pPr>
    </w:p>
    <w:p w14:paraId="6A8C8ABE" w14:textId="6132ECE1" w:rsidR="0024013C" w:rsidRPr="0024013C" w:rsidRDefault="0024013C" w:rsidP="0024013C">
      <w:pPr>
        <w:autoSpaceDE w:val="0"/>
        <w:autoSpaceDN w:val="0"/>
        <w:adjustRightInd w:val="0"/>
        <w:spacing w:after="0" w:line="240" w:lineRule="auto"/>
        <w:ind w:left="720"/>
        <w:contextualSpacing/>
        <w:rPr>
          <w:rFonts w:ascii="Arial" w:hAnsi="Arial" w:cs="Arial"/>
          <w:color w:val="0070C0"/>
          <w:sz w:val="24"/>
          <w:szCs w:val="24"/>
        </w:rPr>
      </w:pPr>
      <w:r w:rsidRPr="0024013C">
        <w:rPr>
          <w:rFonts w:ascii="Arial" w:hAnsi="Arial" w:cs="Arial"/>
          <w:color w:val="0070C0"/>
          <w:sz w:val="24"/>
          <w:szCs w:val="24"/>
        </w:rPr>
        <w:t xml:space="preserve">WNH was under the impression that no balances were to be considered </w:t>
      </w:r>
      <w:r w:rsidR="008E2ACF">
        <w:rPr>
          <w:rFonts w:ascii="Arial" w:hAnsi="Arial" w:cs="Arial"/>
          <w:color w:val="0070C0"/>
          <w:sz w:val="24"/>
          <w:szCs w:val="24"/>
        </w:rPr>
        <w:t>‘</w:t>
      </w:r>
      <w:r w:rsidRPr="0024013C">
        <w:rPr>
          <w:rFonts w:ascii="Arial" w:hAnsi="Arial" w:cs="Arial"/>
          <w:color w:val="0070C0"/>
          <w:sz w:val="24"/>
          <w:szCs w:val="24"/>
        </w:rPr>
        <w:t>final</w:t>
      </w:r>
      <w:r w:rsidR="008E2ACF">
        <w:rPr>
          <w:rFonts w:ascii="Arial" w:hAnsi="Arial" w:cs="Arial"/>
          <w:color w:val="0070C0"/>
          <w:sz w:val="24"/>
          <w:szCs w:val="24"/>
        </w:rPr>
        <w:t>’</w:t>
      </w:r>
      <w:r w:rsidRPr="0024013C">
        <w:rPr>
          <w:rFonts w:ascii="Arial" w:hAnsi="Arial" w:cs="Arial"/>
          <w:color w:val="0070C0"/>
          <w:sz w:val="24"/>
          <w:szCs w:val="24"/>
        </w:rPr>
        <w:t xml:space="preserve"> </w:t>
      </w:r>
      <w:r w:rsidR="008E2ACF">
        <w:rPr>
          <w:rFonts w:ascii="Arial" w:hAnsi="Arial" w:cs="Arial"/>
          <w:color w:val="0070C0"/>
          <w:sz w:val="24"/>
          <w:szCs w:val="24"/>
        </w:rPr>
        <w:t xml:space="preserve">for the 2019 IRM applications </w:t>
      </w:r>
      <w:r w:rsidRPr="0024013C">
        <w:rPr>
          <w:rFonts w:ascii="Arial" w:hAnsi="Arial" w:cs="Arial"/>
          <w:color w:val="0070C0"/>
          <w:sz w:val="24"/>
          <w:szCs w:val="24"/>
        </w:rPr>
        <w:t xml:space="preserve">and therefore the </w:t>
      </w:r>
      <w:r w:rsidR="008E2ACF">
        <w:rPr>
          <w:rFonts w:ascii="Arial" w:hAnsi="Arial" w:cs="Arial"/>
          <w:color w:val="0070C0"/>
          <w:sz w:val="24"/>
          <w:szCs w:val="24"/>
        </w:rPr>
        <w:t>remaining balance</w:t>
      </w:r>
      <w:r w:rsidRPr="0024013C">
        <w:rPr>
          <w:rFonts w:ascii="Arial" w:hAnsi="Arial" w:cs="Arial"/>
          <w:color w:val="0070C0"/>
          <w:sz w:val="24"/>
          <w:szCs w:val="24"/>
        </w:rPr>
        <w:t xml:space="preserve"> was not written off. </w:t>
      </w:r>
      <w:r w:rsidR="008E2ACF">
        <w:rPr>
          <w:rFonts w:ascii="Arial" w:hAnsi="Arial" w:cs="Arial"/>
          <w:color w:val="0070C0"/>
          <w:sz w:val="24"/>
          <w:szCs w:val="24"/>
        </w:rPr>
        <w:t xml:space="preserve">WNH has removed the $82 claim and will write off the balance of $83 in the 2018 year. </w:t>
      </w:r>
    </w:p>
    <w:p w14:paraId="289E4C03" w14:textId="17B61FC2" w:rsidR="00CA6CFD" w:rsidRDefault="00CA6CFD">
      <w:pPr>
        <w:rPr>
          <w:rFonts w:ascii="Arial" w:hAnsi="Arial" w:cs="Arial"/>
          <w:b/>
          <w:sz w:val="24"/>
          <w:szCs w:val="24"/>
        </w:rPr>
      </w:pPr>
    </w:p>
    <w:p w14:paraId="12A641D8" w14:textId="79D96784" w:rsidR="00ED3CE0" w:rsidRDefault="001F5CB6" w:rsidP="00ED3CE0">
      <w:pPr>
        <w:spacing w:after="0"/>
        <w:rPr>
          <w:rFonts w:ascii="Arial" w:hAnsi="Arial" w:cs="Arial"/>
          <w:b/>
          <w:sz w:val="24"/>
          <w:szCs w:val="24"/>
        </w:rPr>
      </w:pPr>
      <w:r>
        <w:rPr>
          <w:rFonts w:ascii="Arial" w:hAnsi="Arial" w:cs="Arial"/>
          <w:b/>
          <w:sz w:val="24"/>
          <w:szCs w:val="24"/>
        </w:rPr>
        <w:t xml:space="preserve">Staff </w:t>
      </w:r>
      <w:r w:rsidR="00E02478">
        <w:rPr>
          <w:rFonts w:ascii="Arial" w:hAnsi="Arial" w:cs="Arial"/>
          <w:b/>
          <w:sz w:val="24"/>
          <w:szCs w:val="24"/>
        </w:rPr>
        <w:t xml:space="preserve">Question </w:t>
      </w:r>
      <w:r>
        <w:rPr>
          <w:rFonts w:ascii="Arial" w:hAnsi="Arial" w:cs="Arial"/>
          <w:b/>
          <w:sz w:val="24"/>
          <w:szCs w:val="24"/>
        </w:rPr>
        <w:t>#</w:t>
      </w:r>
      <w:r w:rsidR="00323A89">
        <w:rPr>
          <w:rFonts w:ascii="Arial" w:hAnsi="Arial" w:cs="Arial"/>
          <w:b/>
          <w:sz w:val="24"/>
          <w:szCs w:val="24"/>
        </w:rPr>
        <w:t>3</w:t>
      </w:r>
    </w:p>
    <w:p w14:paraId="21A7C424" w14:textId="5E18A56D" w:rsidR="005D352B" w:rsidRDefault="005D352B" w:rsidP="00ED3CE0">
      <w:pPr>
        <w:spacing w:after="0"/>
        <w:rPr>
          <w:rFonts w:ascii="Arial" w:hAnsi="Arial" w:cs="Arial"/>
          <w:b/>
          <w:sz w:val="24"/>
          <w:szCs w:val="24"/>
        </w:rPr>
      </w:pPr>
      <w:r>
        <w:rPr>
          <w:rFonts w:ascii="Arial" w:hAnsi="Arial" w:cs="Arial"/>
          <w:b/>
          <w:sz w:val="24"/>
          <w:szCs w:val="24"/>
        </w:rPr>
        <w:t>Ref: Tab 6.1a</w:t>
      </w:r>
      <w:r w:rsidR="00CA6CFD">
        <w:rPr>
          <w:rFonts w:ascii="Arial" w:hAnsi="Arial" w:cs="Arial"/>
          <w:b/>
          <w:sz w:val="24"/>
          <w:szCs w:val="24"/>
        </w:rPr>
        <w:t xml:space="preserve"> GA Allocation</w:t>
      </w:r>
    </w:p>
    <w:p w14:paraId="010DBBFE" w14:textId="77777777" w:rsidR="00650A44" w:rsidRDefault="00650A44" w:rsidP="00650A44">
      <w:pPr>
        <w:spacing w:after="0"/>
        <w:rPr>
          <w:rFonts w:ascii="Arial" w:hAnsi="Arial" w:cs="Arial"/>
          <w:b/>
          <w:sz w:val="24"/>
          <w:szCs w:val="24"/>
        </w:rPr>
      </w:pPr>
      <w:r>
        <w:rPr>
          <w:rFonts w:ascii="Arial" w:hAnsi="Arial" w:cs="Arial"/>
          <w:b/>
          <w:sz w:val="24"/>
          <w:szCs w:val="24"/>
        </w:rPr>
        <w:t>Ref: Tab 6.2a CBR B_Allocation</w:t>
      </w:r>
    </w:p>
    <w:p w14:paraId="5DA64359" w14:textId="77777777" w:rsidR="005F1F8A" w:rsidRDefault="00FE794E" w:rsidP="00ED3CE0">
      <w:pPr>
        <w:spacing w:after="0"/>
        <w:rPr>
          <w:rFonts w:ascii="Arial" w:hAnsi="Arial" w:cs="Arial"/>
          <w:sz w:val="24"/>
          <w:szCs w:val="24"/>
        </w:rPr>
      </w:pPr>
      <w:r>
        <w:rPr>
          <w:rFonts w:ascii="Arial" w:hAnsi="Arial" w:cs="Arial"/>
          <w:sz w:val="24"/>
          <w:szCs w:val="24"/>
        </w:rPr>
        <w:t>OEB staff notes that no d</w:t>
      </w:r>
      <w:r w:rsidR="001010C7">
        <w:rPr>
          <w:rFonts w:ascii="Arial" w:hAnsi="Arial" w:cs="Arial"/>
          <w:sz w:val="24"/>
          <w:szCs w:val="24"/>
        </w:rPr>
        <w:t xml:space="preserve">ata has been entered in cell </w:t>
      </w:r>
      <w:r w:rsidR="00650A44">
        <w:rPr>
          <w:rFonts w:ascii="Arial" w:hAnsi="Arial" w:cs="Arial"/>
          <w:sz w:val="24"/>
          <w:szCs w:val="24"/>
        </w:rPr>
        <w:t>D</w:t>
      </w:r>
      <w:r w:rsidR="001010C7">
        <w:rPr>
          <w:rFonts w:ascii="Arial" w:hAnsi="Arial" w:cs="Arial"/>
          <w:sz w:val="24"/>
          <w:szCs w:val="24"/>
        </w:rPr>
        <w:t>20</w:t>
      </w:r>
      <w:r w:rsidR="00650A44">
        <w:rPr>
          <w:rFonts w:ascii="Arial" w:hAnsi="Arial" w:cs="Arial"/>
          <w:sz w:val="24"/>
          <w:szCs w:val="24"/>
        </w:rPr>
        <w:t xml:space="preserve"> for Tab 6.1a and Tab 6.2a.</w:t>
      </w:r>
      <w:r w:rsidR="001010C7">
        <w:rPr>
          <w:rFonts w:ascii="Arial" w:hAnsi="Arial" w:cs="Arial"/>
          <w:sz w:val="24"/>
          <w:szCs w:val="24"/>
        </w:rPr>
        <w:t xml:space="preserve"> </w:t>
      </w:r>
      <w:r w:rsidR="00EA6750">
        <w:rPr>
          <w:rFonts w:ascii="Arial" w:hAnsi="Arial" w:cs="Arial"/>
          <w:sz w:val="24"/>
          <w:szCs w:val="24"/>
        </w:rPr>
        <w:t>Below is a table that staff</w:t>
      </w:r>
      <w:r w:rsidR="0039794B">
        <w:rPr>
          <w:rFonts w:ascii="Arial" w:hAnsi="Arial" w:cs="Arial"/>
          <w:sz w:val="24"/>
          <w:szCs w:val="24"/>
        </w:rPr>
        <w:t xml:space="preserve"> prepared showing the “Validation of Data used in </w:t>
      </w:r>
      <w:r w:rsidR="00EA6750">
        <w:rPr>
          <w:rFonts w:ascii="Arial" w:hAnsi="Arial" w:cs="Arial"/>
          <w:sz w:val="24"/>
          <w:szCs w:val="24"/>
        </w:rPr>
        <w:t>c</w:t>
      </w:r>
      <w:r w:rsidR="0039794B">
        <w:rPr>
          <w:rFonts w:ascii="Arial" w:hAnsi="Arial" w:cs="Arial"/>
          <w:sz w:val="24"/>
          <w:szCs w:val="24"/>
        </w:rPr>
        <w:t xml:space="preserve">lass B GA and CBR Allocations”. </w:t>
      </w:r>
    </w:p>
    <w:p w14:paraId="021D047B" w14:textId="77777777" w:rsidR="005F1F8A" w:rsidRDefault="005F1F8A" w:rsidP="00ED3CE0">
      <w:pPr>
        <w:spacing w:after="0"/>
        <w:rPr>
          <w:rFonts w:ascii="Arial" w:hAnsi="Arial" w:cs="Arial"/>
          <w:sz w:val="24"/>
          <w:szCs w:val="24"/>
        </w:rPr>
      </w:pPr>
    </w:p>
    <w:p w14:paraId="2AA6ECD6" w14:textId="5B148E89" w:rsidR="00FE794E" w:rsidRPr="005F1F8A" w:rsidRDefault="0039794B" w:rsidP="005F1F8A">
      <w:pPr>
        <w:pStyle w:val="ListParagraph"/>
        <w:numPr>
          <w:ilvl w:val="0"/>
          <w:numId w:val="13"/>
        </w:numPr>
        <w:spacing w:after="0"/>
        <w:ind w:left="540" w:hanging="540"/>
        <w:rPr>
          <w:rFonts w:ascii="Arial" w:hAnsi="Arial" w:cs="Arial"/>
          <w:sz w:val="24"/>
          <w:szCs w:val="24"/>
        </w:rPr>
      </w:pPr>
      <w:r w:rsidRPr="005F1F8A">
        <w:rPr>
          <w:rFonts w:ascii="Arial" w:hAnsi="Arial" w:cs="Arial"/>
          <w:sz w:val="24"/>
          <w:szCs w:val="24"/>
        </w:rPr>
        <w:t xml:space="preserve">Please confirm If Waterloo North Hydro </w:t>
      </w:r>
      <w:r w:rsidR="00D352AB" w:rsidRPr="005F1F8A">
        <w:rPr>
          <w:rFonts w:ascii="Arial" w:hAnsi="Arial" w:cs="Arial"/>
          <w:sz w:val="24"/>
          <w:szCs w:val="24"/>
        </w:rPr>
        <w:t xml:space="preserve">agrees </w:t>
      </w:r>
      <w:r w:rsidRPr="005F1F8A">
        <w:rPr>
          <w:rFonts w:ascii="Arial" w:hAnsi="Arial" w:cs="Arial"/>
          <w:sz w:val="24"/>
          <w:szCs w:val="24"/>
        </w:rPr>
        <w:t>with the data, if so, staff will adjust the mode</w:t>
      </w:r>
      <w:r w:rsidR="00EA6750" w:rsidRPr="005F1F8A">
        <w:rPr>
          <w:rFonts w:ascii="Arial" w:hAnsi="Arial" w:cs="Arial"/>
          <w:sz w:val="24"/>
          <w:szCs w:val="24"/>
        </w:rPr>
        <w:t>l</w:t>
      </w:r>
      <w:r w:rsidRPr="005F1F8A">
        <w:rPr>
          <w:rFonts w:ascii="Arial" w:hAnsi="Arial" w:cs="Arial"/>
          <w:sz w:val="24"/>
          <w:szCs w:val="24"/>
        </w:rPr>
        <w:t>. If not, please explain.</w:t>
      </w:r>
    </w:p>
    <w:p w14:paraId="1C0B544A" w14:textId="77777777" w:rsidR="00E74B81" w:rsidRDefault="00E74B81" w:rsidP="00ED3CE0">
      <w:pPr>
        <w:spacing w:after="0"/>
        <w:rPr>
          <w:rFonts w:ascii="Arial" w:hAnsi="Arial" w:cs="Arial"/>
          <w:sz w:val="24"/>
          <w:szCs w:val="24"/>
        </w:rPr>
      </w:pPr>
    </w:p>
    <w:p w14:paraId="181FDF7B" w14:textId="4C56EF50" w:rsidR="00E74B81" w:rsidRDefault="00E74B81" w:rsidP="00E74B81">
      <w:pPr>
        <w:spacing w:after="0"/>
        <w:jc w:val="center"/>
        <w:rPr>
          <w:rFonts w:ascii="Arial" w:hAnsi="Arial" w:cs="Arial"/>
          <w:sz w:val="24"/>
          <w:szCs w:val="24"/>
        </w:rPr>
      </w:pPr>
      <w:r>
        <w:rPr>
          <w:noProof/>
          <w:lang w:val="en-US"/>
        </w:rPr>
        <w:drawing>
          <wp:inline distT="0" distB="0" distL="0" distR="0" wp14:anchorId="3E27B49E" wp14:editId="5F236CAF">
            <wp:extent cx="5620123" cy="2872740"/>
            <wp:effectExtent l="19050" t="19050" r="19050" b="228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36195" cy="2880955"/>
                    </a:xfrm>
                    <a:prstGeom prst="rect">
                      <a:avLst/>
                    </a:prstGeom>
                    <a:ln>
                      <a:solidFill>
                        <a:schemeClr val="tx1"/>
                      </a:solidFill>
                    </a:ln>
                  </pic:spPr>
                </pic:pic>
              </a:graphicData>
            </a:graphic>
          </wp:inline>
        </w:drawing>
      </w:r>
    </w:p>
    <w:p w14:paraId="1FA8DD2D" w14:textId="77777777" w:rsidR="00E74B81" w:rsidRPr="00FE794E" w:rsidRDefault="00E74B81" w:rsidP="00ED3CE0">
      <w:pPr>
        <w:spacing w:after="0"/>
        <w:rPr>
          <w:rFonts w:ascii="Arial" w:hAnsi="Arial" w:cs="Arial"/>
          <w:sz w:val="24"/>
          <w:szCs w:val="24"/>
        </w:rPr>
      </w:pPr>
    </w:p>
    <w:p w14:paraId="4A0AEB39" w14:textId="182B1658" w:rsidR="00FE794E" w:rsidRDefault="00FE794E" w:rsidP="00ED3CE0">
      <w:pPr>
        <w:spacing w:after="0"/>
        <w:rPr>
          <w:rFonts w:ascii="Arial" w:hAnsi="Arial" w:cs="Arial"/>
          <w:b/>
          <w:sz w:val="24"/>
          <w:szCs w:val="24"/>
        </w:rPr>
      </w:pPr>
    </w:p>
    <w:p w14:paraId="06BD1496" w14:textId="0F3E8E58" w:rsidR="00E74B81" w:rsidRDefault="00E74B81" w:rsidP="00FE794E">
      <w:pPr>
        <w:spacing w:after="0"/>
        <w:rPr>
          <w:rFonts w:ascii="Arial" w:hAnsi="Arial" w:cs="Arial"/>
          <w:sz w:val="24"/>
          <w:szCs w:val="24"/>
        </w:rPr>
      </w:pPr>
    </w:p>
    <w:p w14:paraId="6DE7770B" w14:textId="0EF97A55" w:rsidR="00E74B81" w:rsidRDefault="00E74B81" w:rsidP="00E74B81">
      <w:pPr>
        <w:spacing w:after="0"/>
        <w:jc w:val="center"/>
        <w:rPr>
          <w:rFonts w:ascii="Arial" w:hAnsi="Arial" w:cs="Arial"/>
          <w:b/>
          <w:sz w:val="24"/>
          <w:szCs w:val="24"/>
        </w:rPr>
      </w:pPr>
      <w:r>
        <w:rPr>
          <w:noProof/>
          <w:lang w:val="en-US"/>
        </w:rPr>
        <w:drawing>
          <wp:inline distT="0" distB="0" distL="0" distR="0" wp14:anchorId="1EDC499F" wp14:editId="094309D3">
            <wp:extent cx="5893724" cy="2969777"/>
            <wp:effectExtent l="19050" t="19050" r="12065" b="215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16789" cy="2981399"/>
                    </a:xfrm>
                    <a:prstGeom prst="rect">
                      <a:avLst/>
                    </a:prstGeom>
                    <a:ln>
                      <a:solidFill>
                        <a:schemeClr val="tx1"/>
                      </a:solidFill>
                    </a:ln>
                  </pic:spPr>
                </pic:pic>
              </a:graphicData>
            </a:graphic>
          </wp:inline>
        </w:drawing>
      </w:r>
    </w:p>
    <w:p w14:paraId="13D6D145" w14:textId="07FD3A2D" w:rsidR="005F1F8A" w:rsidRDefault="005F1F8A" w:rsidP="00E74B81">
      <w:pPr>
        <w:spacing w:after="0"/>
        <w:jc w:val="center"/>
        <w:rPr>
          <w:rFonts w:ascii="Arial" w:hAnsi="Arial" w:cs="Arial"/>
          <w:b/>
          <w:sz w:val="24"/>
          <w:szCs w:val="24"/>
        </w:rPr>
      </w:pPr>
    </w:p>
    <w:p w14:paraId="18AD8925" w14:textId="77777777" w:rsidR="005F1F8A" w:rsidRDefault="005F1F8A" w:rsidP="00E74B81">
      <w:pPr>
        <w:spacing w:after="0"/>
        <w:jc w:val="center"/>
        <w:rPr>
          <w:rFonts w:ascii="Arial" w:hAnsi="Arial" w:cs="Arial"/>
          <w:b/>
          <w:sz w:val="24"/>
          <w:szCs w:val="24"/>
        </w:rPr>
      </w:pPr>
    </w:p>
    <w:p w14:paraId="4C318EFF" w14:textId="75619461" w:rsidR="00EA6750" w:rsidRDefault="005F1F8A" w:rsidP="00E74B81">
      <w:pPr>
        <w:spacing w:after="0"/>
        <w:jc w:val="center"/>
        <w:rPr>
          <w:rFonts w:ascii="Arial" w:hAnsi="Arial" w:cs="Arial"/>
          <w:b/>
          <w:sz w:val="24"/>
          <w:szCs w:val="24"/>
        </w:rPr>
      </w:pPr>
      <w:r w:rsidRPr="005F1F8A">
        <w:rPr>
          <w:noProof/>
          <w:lang w:val="en-US"/>
        </w:rPr>
        <w:drawing>
          <wp:inline distT="0" distB="0" distL="0" distR="0" wp14:anchorId="31B3E7F0" wp14:editId="47D7BABB">
            <wp:extent cx="5943600" cy="3167352"/>
            <wp:effectExtent l="19050" t="19050" r="19050" b="146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3167352"/>
                    </a:xfrm>
                    <a:prstGeom prst="rect">
                      <a:avLst/>
                    </a:prstGeom>
                    <a:noFill/>
                    <a:ln>
                      <a:solidFill>
                        <a:schemeClr val="tx1"/>
                      </a:solidFill>
                    </a:ln>
                  </pic:spPr>
                </pic:pic>
              </a:graphicData>
            </a:graphic>
          </wp:inline>
        </w:drawing>
      </w:r>
    </w:p>
    <w:p w14:paraId="2C326F09" w14:textId="77777777" w:rsidR="00FE794E" w:rsidRPr="00FE794E" w:rsidRDefault="00FE794E" w:rsidP="00FE794E">
      <w:pPr>
        <w:pStyle w:val="ListParagraph"/>
        <w:spacing w:after="0"/>
        <w:ind w:left="360"/>
        <w:rPr>
          <w:rFonts w:ascii="Arial" w:hAnsi="Arial" w:cs="Arial"/>
          <w:b/>
          <w:sz w:val="24"/>
          <w:szCs w:val="24"/>
        </w:rPr>
      </w:pPr>
    </w:p>
    <w:p w14:paraId="462F98A6" w14:textId="77777777" w:rsidR="00E74B81" w:rsidRDefault="00E74B81" w:rsidP="00ED3CE0">
      <w:pPr>
        <w:spacing w:after="0"/>
        <w:rPr>
          <w:rFonts w:ascii="Arial" w:hAnsi="Arial" w:cs="Arial"/>
          <w:b/>
          <w:sz w:val="24"/>
          <w:szCs w:val="24"/>
        </w:rPr>
      </w:pPr>
    </w:p>
    <w:p w14:paraId="28C83349" w14:textId="11905C03" w:rsidR="005F1F8A" w:rsidRDefault="00A83697">
      <w:pPr>
        <w:rPr>
          <w:rFonts w:ascii="Arial" w:hAnsi="Arial" w:cs="Arial"/>
          <w:b/>
          <w:sz w:val="24"/>
          <w:szCs w:val="24"/>
        </w:rPr>
      </w:pPr>
      <w:r>
        <w:rPr>
          <w:rFonts w:ascii="Arial" w:hAnsi="Arial" w:cs="Arial"/>
          <w:color w:val="0070C0"/>
          <w:sz w:val="24"/>
          <w:szCs w:val="24"/>
        </w:rPr>
        <w:t xml:space="preserve">WNH agrees with the numbers attached and have been included in the revised model. </w:t>
      </w:r>
      <w:r w:rsidR="005F1F8A">
        <w:rPr>
          <w:rFonts w:ascii="Arial" w:hAnsi="Arial" w:cs="Arial"/>
          <w:b/>
          <w:sz w:val="24"/>
          <w:szCs w:val="24"/>
        </w:rPr>
        <w:br w:type="page"/>
      </w:r>
    </w:p>
    <w:p w14:paraId="7632D8F5" w14:textId="5FE9D61E" w:rsidR="005D352B" w:rsidRDefault="001F5CB6" w:rsidP="00ED3CE0">
      <w:pPr>
        <w:spacing w:after="0"/>
        <w:rPr>
          <w:rFonts w:ascii="Arial" w:hAnsi="Arial" w:cs="Arial"/>
          <w:b/>
          <w:sz w:val="24"/>
          <w:szCs w:val="24"/>
        </w:rPr>
      </w:pPr>
      <w:r>
        <w:rPr>
          <w:rFonts w:ascii="Arial" w:hAnsi="Arial" w:cs="Arial"/>
          <w:b/>
          <w:sz w:val="24"/>
          <w:szCs w:val="24"/>
        </w:rPr>
        <w:t xml:space="preserve">Staff </w:t>
      </w:r>
      <w:r w:rsidR="005D352B">
        <w:rPr>
          <w:rFonts w:ascii="Arial" w:hAnsi="Arial" w:cs="Arial"/>
          <w:b/>
          <w:sz w:val="24"/>
          <w:szCs w:val="24"/>
        </w:rPr>
        <w:t xml:space="preserve">Question </w:t>
      </w:r>
      <w:r>
        <w:rPr>
          <w:rFonts w:ascii="Arial" w:hAnsi="Arial" w:cs="Arial"/>
          <w:b/>
          <w:sz w:val="24"/>
          <w:szCs w:val="24"/>
        </w:rPr>
        <w:t>#</w:t>
      </w:r>
      <w:r w:rsidR="00D352AB">
        <w:rPr>
          <w:rFonts w:ascii="Arial" w:hAnsi="Arial" w:cs="Arial"/>
          <w:b/>
          <w:sz w:val="24"/>
          <w:szCs w:val="24"/>
        </w:rPr>
        <w:t>4</w:t>
      </w:r>
    </w:p>
    <w:p w14:paraId="735B41E4" w14:textId="5EAF87D4" w:rsidR="005D352B" w:rsidRDefault="0005541D" w:rsidP="00ED3CE0">
      <w:pPr>
        <w:spacing w:after="0"/>
        <w:rPr>
          <w:rFonts w:ascii="Arial" w:hAnsi="Arial" w:cs="Arial"/>
          <w:b/>
          <w:sz w:val="24"/>
          <w:szCs w:val="24"/>
        </w:rPr>
      </w:pPr>
      <w:r>
        <w:rPr>
          <w:rFonts w:ascii="Arial" w:hAnsi="Arial" w:cs="Arial"/>
          <w:b/>
          <w:sz w:val="24"/>
          <w:szCs w:val="24"/>
        </w:rPr>
        <w:t>Ref: Account 1595 Workform</w:t>
      </w:r>
    </w:p>
    <w:p w14:paraId="560B5F9F" w14:textId="66CCC7D4" w:rsidR="006B4DAB" w:rsidRDefault="006B4DAB" w:rsidP="006B4DAB">
      <w:pPr>
        <w:contextualSpacing/>
        <w:rPr>
          <w:rFonts w:ascii="Arial" w:hAnsi="Arial" w:cs="Arial"/>
          <w:sz w:val="24"/>
          <w:szCs w:val="24"/>
        </w:rPr>
      </w:pPr>
      <w:r w:rsidRPr="006B4DAB">
        <w:rPr>
          <w:rFonts w:ascii="Arial" w:hAnsi="Arial" w:cs="Arial"/>
          <w:sz w:val="24"/>
          <w:szCs w:val="24"/>
        </w:rPr>
        <w:t xml:space="preserve">OEB staff notes that </w:t>
      </w:r>
      <w:r w:rsidR="006E1551">
        <w:rPr>
          <w:rFonts w:ascii="Arial" w:hAnsi="Arial" w:cs="Arial"/>
          <w:sz w:val="24"/>
          <w:szCs w:val="24"/>
        </w:rPr>
        <w:t>the amount</w:t>
      </w:r>
      <w:r w:rsidR="001027DF">
        <w:rPr>
          <w:rFonts w:ascii="Arial" w:hAnsi="Arial" w:cs="Arial"/>
          <w:sz w:val="24"/>
          <w:szCs w:val="24"/>
        </w:rPr>
        <w:t>s</w:t>
      </w:r>
      <w:r w:rsidR="006E1551">
        <w:rPr>
          <w:rFonts w:ascii="Arial" w:hAnsi="Arial" w:cs="Arial"/>
          <w:sz w:val="24"/>
          <w:szCs w:val="24"/>
        </w:rPr>
        <w:t xml:space="preserve"> inputted in</w:t>
      </w:r>
      <w:r>
        <w:rPr>
          <w:rFonts w:ascii="Arial" w:hAnsi="Arial" w:cs="Arial"/>
          <w:sz w:val="24"/>
          <w:szCs w:val="24"/>
        </w:rPr>
        <w:t xml:space="preserve"> “Principal Balance Approved for Dispos</w:t>
      </w:r>
      <w:r w:rsidR="00807B44">
        <w:rPr>
          <w:rFonts w:ascii="Arial" w:hAnsi="Arial" w:cs="Arial"/>
          <w:sz w:val="24"/>
          <w:szCs w:val="24"/>
        </w:rPr>
        <w:t>i</w:t>
      </w:r>
      <w:r>
        <w:rPr>
          <w:rFonts w:ascii="Arial" w:hAnsi="Arial" w:cs="Arial"/>
          <w:sz w:val="24"/>
          <w:szCs w:val="24"/>
        </w:rPr>
        <w:t>tion” and “Carrying Charges Balance Approved for Disposition” do</w:t>
      </w:r>
      <w:r w:rsidRPr="006B4DAB">
        <w:rPr>
          <w:rFonts w:ascii="Arial" w:hAnsi="Arial" w:cs="Arial"/>
          <w:sz w:val="24"/>
          <w:szCs w:val="24"/>
        </w:rPr>
        <w:t xml:space="preserve"> not reconcile with the disposition amount approved by the OEB in the 2016 cost of service Decision &amp; Rate Order dated </w:t>
      </w:r>
      <w:r w:rsidR="006E1551">
        <w:rPr>
          <w:rFonts w:ascii="Arial" w:hAnsi="Arial" w:cs="Arial"/>
          <w:sz w:val="24"/>
          <w:szCs w:val="24"/>
        </w:rPr>
        <w:t>November 26, 2015 (EB-2015-0108).</w:t>
      </w:r>
    </w:p>
    <w:p w14:paraId="48D01C49" w14:textId="7147B073" w:rsidR="005D352B" w:rsidRPr="006D268A" w:rsidRDefault="006B4DAB" w:rsidP="006D268A">
      <w:pPr>
        <w:pStyle w:val="ListParagraph"/>
        <w:numPr>
          <w:ilvl w:val="0"/>
          <w:numId w:val="11"/>
        </w:numPr>
        <w:spacing w:after="0"/>
        <w:ind w:left="540" w:hanging="540"/>
        <w:rPr>
          <w:rFonts w:ascii="Arial" w:hAnsi="Arial" w:cs="Arial"/>
          <w:sz w:val="24"/>
          <w:szCs w:val="24"/>
        </w:rPr>
      </w:pPr>
      <w:r w:rsidRPr="006D268A">
        <w:rPr>
          <w:rFonts w:ascii="Arial" w:hAnsi="Arial" w:cs="Arial"/>
          <w:sz w:val="24"/>
          <w:szCs w:val="24"/>
        </w:rPr>
        <w:t>Please provide an explanation for the above discrepancies. If corrections are needed OEB staff will make adjustments.</w:t>
      </w:r>
    </w:p>
    <w:p w14:paraId="5AC21553" w14:textId="28047098" w:rsidR="005D352B" w:rsidRDefault="005D352B" w:rsidP="00696A07">
      <w:pPr>
        <w:spacing w:after="0"/>
        <w:ind w:left="540"/>
        <w:rPr>
          <w:rFonts w:ascii="Arial" w:hAnsi="Arial" w:cs="Arial"/>
          <w:b/>
          <w:color w:val="0070C0"/>
          <w:sz w:val="24"/>
          <w:szCs w:val="24"/>
        </w:rPr>
      </w:pPr>
    </w:p>
    <w:p w14:paraId="4D603050" w14:textId="03AE9E39" w:rsidR="00696A07" w:rsidRDefault="00696A07" w:rsidP="00696A07">
      <w:pPr>
        <w:spacing w:after="0"/>
        <w:ind w:left="540"/>
        <w:rPr>
          <w:rFonts w:ascii="Arial" w:hAnsi="Arial" w:cs="Arial"/>
          <w:color w:val="0070C0"/>
          <w:sz w:val="24"/>
          <w:szCs w:val="24"/>
        </w:rPr>
      </w:pPr>
      <w:r>
        <w:rPr>
          <w:rFonts w:ascii="Arial" w:hAnsi="Arial" w:cs="Arial"/>
          <w:color w:val="0070C0"/>
          <w:sz w:val="24"/>
          <w:szCs w:val="24"/>
        </w:rPr>
        <w:t>The 1595 Analysis Workform for 2016 includes Balances Approved f</w:t>
      </w:r>
      <w:r w:rsidR="00E2297B">
        <w:rPr>
          <w:rFonts w:ascii="Arial" w:hAnsi="Arial" w:cs="Arial"/>
          <w:color w:val="0070C0"/>
          <w:sz w:val="24"/>
          <w:szCs w:val="24"/>
        </w:rPr>
        <w:t xml:space="preserve">or </w:t>
      </w:r>
      <w:r>
        <w:rPr>
          <w:rFonts w:ascii="Arial" w:hAnsi="Arial" w:cs="Arial"/>
          <w:color w:val="0070C0"/>
          <w:sz w:val="24"/>
          <w:szCs w:val="24"/>
        </w:rPr>
        <w:t xml:space="preserve">Disposition of Group 1 &amp; Group 2 $2,601,458 and 1589 GA </w:t>
      </w:r>
      <w:r w:rsidR="00E2297B">
        <w:rPr>
          <w:rFonts w:ascii="Arial" w:hAnsi="Arial" w:cs="Arial"/>
          <w:color w:val="0070C0"/>
          <w:sz w:val="24"/>
          <w:szCs w:val="24"/>
        </w:rPr>
        <w:t>$2,333,935 for a total of $4,935,393. Included in WNH’s 2016 Settlement Agreement was the EDDVAR Model where you can see these same totals (below). The column in the 2019 IRM Model will not add to this total because it does not include Group 2 accounts or D</w:t>
      </w:r>
      <w:r w:rsidR="009635B5">
        <w:rPr>
          <w:rFonts w:ascii="Arial" w:hAnsi="Arial" w:cs="Arial"/>
          <w:color w:val="0070C0"/>
          <w:sz w:val="24"/>
          <w:szCs w:val="24"/>
        </w:rPr>
        <w:t xml:space="preserve">isposition of 2010 and 2011 balances which were disposed of in the 2016 DVAD. If further clarification is needed, please provide where you see the discrepancy. </w:t>
      </w:r>
    </w:p>
    <w:p w14:paraId="58E855E1" w14:textId="12AA8690" w:rsidR="00E2297B" w:rsidRDefault="00E2297B" w:rsidP="00696A07">
      <w:pPr>
        <w:spacing w:after="0"/>
        <w:ind w:left="540"/>
        <w:rPr>
          <w:rFonts w:ascii="Arial" w:hAnsi="Arial" w:cs="Arial"/>
          <w:color w:val="0070C0"/>
          <w:sz w:val="24"/>
          <w:szCs w:val="24"/>
        </w:rPr>
      </w:pPr>
    </w:p>
    <w:p w14:paraId="1DCF8C4B" w14:textId="32F90F6A" w:rsidR="00E2297B" w:rsidRDefault="009635B5" w:rsidP="00E2297B">
      <w:pPr>
        <w:autoSpaceDE w:val="0"/>
        <w:autoSpaceDN w:val="0"/>
        <w:adjustRightInd w:val="0"/>
        <w:spacing w:after="0" w:line="240" w:lineRule="auto"/>
        <w:rPr>
          <w:rFonts w:ascii="Arial" w:hAnsi="Arial" w:cs="Arial"/>
          <w:color w:val="3F8080"/>
          <w:sz w:val="24"/>
          <w:szCs w:val="24"/>
        </w:rPr>
      </w:pPr>
      <w:r>
        <w:rPr>
          <w:rFonts w:ascii="Arial" w:hAnsi="Arial" w:cs="Arial"/>
          <w:noProof/>
          <w:color w:val="3F8080"/>
          <w:sz w:val="24"/>
          <w:szCs w:val="24"/>
          <w:lang w:val="en-US"/>
        </w:rPr>
        <w:drawing>
          <wp:anchor distT="0" distB="0" distL="114300" distR="114300" simplePos="0" relativeHeight="251658240" behindDoc="0" locked="0" layoutInCell="1" allowOverlap="1" wp14:anchorId="510DB2A8" wp14:editId="7BF95DAD">
            <wp:simplePos x="0" y="0"/>
            <wp:positionH relativeFrom="page">
              <wp:align>center</wp:align>
            </wp:positionH>
            <wp:positionV relativeFrom="paragraph">
              <wp:posOffset>173355</wp:posOffset>
            </wp:positionV>
            <wp:extent cx="5274945" cy="3048000"/>
            <wp:effectExtent l="0" t="0" r="190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74945" cy="3048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2297B">
        <w:rPr>
          <w:rFonts w:ascii="Arial" w:hAnsi="Arial" w:cs="Arial"/>
          <w:color w:val="3F8080"/>
          <w:sz w:val="24"/>
          <w:szCs w:val="24"/>
        </w:rPr>
        <w:t xml:space="preserve"> </w:t>
      </w:r>
    </w:p>
    <w:p w14:paraId="3E45E0A7" w14:textId="5BA10B69" w:rsidR="00E2297B" w:rsidRDefault="00E2297B" w:rsidP="00E2297B">
      <w:pPr>
        <w:autoSpaceDE w:val="0"/>
        <w:autoSpaceDN w:val="0"/>
        <w:adjustRightInd w:val="0"/>
        <w:spacing w:after="0" w:line="240" w:lineRule="auto"/>
        <w:rPr>
          <w:rFonts w:ascii="Arial" w:hAnsi="Arial" w:cs="Arial"/>
          <w:color w:val="3F8080"/>
          <w:sz w:val="24"/>
          <w:szCs w:val="24"/>
        </w:rPr>
      </w:pPr>
    </w:p>
    <w:p w14:paraId="19C8447B" w14:textId="64EC8A2F" w:rsidR="00E2297B" w:rsidRDefault="00E2297B" w:rsidP="00E2297B">
      <w:pPr>
        <w:autoSpaceDE w:val="0"/>
        <w:autoSpaceDN w:val="0"/>
        <w:adjustRightInd w:val="0"/>
        <w:spacing w:after="0" w:line="240" w:lineRule="auto"/>
        <w:rPr>
          <w:rFonts w:ascii="Arial" w:hAnsi="Arial" w:cs="Arial"/>
          <w:color w:val="3F8080"/>
          <w:sz w:val="24"/>
          <w:szCs w:val="24"/>
        </w:rPr>
      </w:pPr>
      <w:r>
        <w:rPr>
          <w:rFonts w:ascii="Arial" w:hAnsi="Arial" w:cs="Arial"/>
          <w:color w:val="3F8080"/>
          <w:sz w:val="24"/>
          <w:szCs w:val="24"/>
        </w:rPr>
        <w:t xml:space="preserve"> </w:t>
      </w:r>
    </w:p>
    <w:p w14:paraId="32F7E60C" w14:textId="5BA6E6E6" w:rsidR="00E2297B" w:rsidRDefault="00E2297B" w:rsidP="00E2297B">
      <w:pPr>
        <w:autoSpaceDE w:val="0"/>
        <w:autoSpaceDN w:val="0"/>
        <w:adjustRightInd w:val="0"/>
        <w:spacing w:after="0" w:line="240" w:lineRule="auto"/>
        <w:rPr>
          <w:rFonts w:ascii="Arial" w:hAnsi="Arial" w:cs="Arial"/>
          <w:color w:val="3F8080"/>
          <w:sz w:val="24"/>
          <w:szCs w:val="24"/>
        </w:rPr>
      </w:pPr>
    </w:p>
    <w:p w14:paraId="0A2C9DE6" w14:textId="77777777" w:rsidR="00E2297B" w:rsidRPr="00696A07" w:rsidRDefault="00E2297B" w:rsidP="00696A07">
      <w:pPr>
        <w:spacing w:after="0"/>
        <w:ind w:left="540"/>
        <w:rPr>
          <w:rFonts w:ascii="Arial" w:hAnsi="Arial" w:cs="Arial"/>
          <w:color w:val="0070C0"/>
          <w:sz w:val="24"/>
          <w:szCs w:val="24"/>
        </w:rPr>
      </w:pPr>
    </w:p>
    <w:p w14:paraId="56F38625" w14:textId="35F8A117" w:rsidR="008F0FAA" w:rsidRPr="008F0FAA" w:rsidRDefault="008F0FAA" w:rsidP="00ED3CE0">
      <w:pPr>
        <w:spacing w:after="0"/>
        <w:rPr>
          <w:rFonts w:ascii="Arial" w:hAnsi="Arial" w:cs="Arial"/>
          <w:b/>
          <w:sz w:val="24"/>
          <w:szCs w:val="24"/>
        </w:rPr>
      </w:pPr>
    </w:p>
    <w:p w14:paraId="70213111" w14:textId="77777777" w:rsidR="00E2297B" w:rsidRDefault="00E2297B" w:rsidP="008F0FAA">
      <w:pPr>
        <w:spacing w:after="0"/>
        <w:rPr>
          <w:rFonts w:ascii="Arial" w:hAnsi="Arial" w:cs="Arial"/>
          <w:b/>
          <w:sz w:val="24"/>
          <w:szCs w:val="24"/>
        </w:rPr>
      </w:pPr>
    </w:p>
    <w:p w14:paraId="7950FBD2" w14:textId="09605F9D" w:rsidR="00E2297B" w:rsidRDefault="009635B5" w:rsidP="008F0FAA">
      <w:pPr>
        <w:spacing w:after="0"/>
        <w:rPr>
          <w:rFonts w:ascii="Arial" w:hAnsi="Arial" w:cs="Arial"/>
          <w:b/>
          <w:sz w:val="24"/>
          <w:szCs w:val="24"/>
        </w:rPr>
      </w:pPr>
      <w:r>
        <w:rPr>
          <w:rFonts w:ascii="Arial" w:hAnsi="Arial" w:cs="Arial"/>
          <w:noProof/>
          <w:color w:val="3F8080"/>
          <w:sz w:val="24"/>
          <w:szCs w:val="24"/>
          <w:lang w:val="en-US"/>
        </w:rPr>
        <w:drawing>
          <wp:anchor distT="0" distB="0" distL="114300" distR="114300" simplePos="0" relativeHeight="251659264" behindDoc="1" locked="0" layoutInCell="1" allowOverlap="1" wp14:anchorId="393672C5" wp14:editId="1A4773DA">
            <wp:simplePos x="0" y="0"/>
            <wp:positionH relativeFrom="page">
              <wp:align>center</wp:align>
            </wp:positionH>
            <wp:positionV relativeFrom="paragraph">
              <wp:posOffset>0</wp:posOffset>
            </wp:positionV>
            <wp:extent cx="5274000" cy="3326795"/>
            <wp:effectExtent l="0" t="0" r="3175" b="6985"/>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74000" cy="33267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632EF6F" w14:textId="57CA36D9" w:rsidR="00E2297B" w:rsidRDefault="00E2297B" w:rsidP="008F0FAA">
      <w:pPr>
        <w:spacing w:after="0"/>
        <w:rPr>
          <w:rFonts w:ascii="Arial" w:hAnsi="Arial" w:cs="Arial"/>
          <w:b/>
          <w:sz w:val="24"/>
          <w:szCs w:val="24"/>
        </w:rPr>
      </w:pPr>
    </w:p>
    <w:p w14:paraId="64A4CD6A" w14:textId="3800B54A" w:rsidR="008F0FAA" w:rsidRPr="008F0FAA" w:rsidRDefault="008F0FAA" w:rsidP="008F0FAA">
      <w:pPr>
        <w:spacing w:after="0"/>
        <w:rPr>
          <w:rFonts w:ascii="Arial" w:hAnsi="Arial" w:cs="Arial"/>
          <w:b/>
          <w:sz w:val="24"/>
          <w:szCs w:val="24"/>
        </w:rPr>
      </w:pPr>
      <w:r w:rsidRPr="008F0FAA">
        <w:rPr>
          <w:rFonts w:ascii="Arial" w:hAnsi="Arial" w:cs="Arial"/>
          <w:b/>
          <w:sz w:val="24"/>
          <w:szCs w:val="24"/>
        </w:rPr>
        <w:t>Staff Question #5</w:t>
      </w:r>
    </w:p>
    <w:p w14:paraId="4466195C" w14:textId="0210A69F" w:rsidR="008F0FAA" w:rsidRPr="008F0FAA" w:rsidRDefault="008F0FAA" w:rsidP="008F0FAA">
      <w:pPr>
        <w:rPr>
          <w:rFonts w:ascii="Arial" w:hAnsi="Arial" w:cs="Arial"/>
          <w:b/>
          <w:sz w:val="24"/>
          <w:szCs w:val="24"/>
        </w:rPr>
      </w:pPr>
      <w:r w:rsidRPr="008F0FAA">
        <w:rPr>
          <w:rFonts w:ascii="Arial" w:hAnsi="Arial" w:cs="Arial"/>
          <w:b/>
          <w:sz w:val="24"/>
          <w:szCs w:val="24"/>
        </w:rPr>
        <w:t>Ref: Appendix A – GA Methodology Description – Questions on Accounts 1588 and 1589</w:t>
      </w:r>
    </w:p>
    <w:p w14:paraId="1BE7A95A" w14:textId="00AD4F37" w:rsidR="008F0FAA" w:rsidRPr="008F0FAA" w:rsidRDefault="008F0FAA" w:rsidP="008F0FAA">
      <w:pPr>
        <w:rPr>
          <w:rFonts w:ascii="Arial" w:hAnsi="Arial" w:cs="Arial"/>
          <w:sz w:val="24"/>
          <w:szCs w:val="24"/>
        </w:rPr>
      </w:pPr>
      <w:r w:rsidRPr="008F0FAA">
        <w:rPr>
          <w:rFonts w:ascii="Arial" w:hAnsi="Arial" w:cs="Arial"/>
          <w:sz w:val="24"/>
          <w:szCs w:val="24"/>
        </w:rPr>
        <w:t>OEB Staff require further clarification on the Applicant’s recording of Charge Types (CT) 1142 and 148 to Accounts 1588 and 1589.</w:t>
      </w:r>
    </w:p>
    <w:p w14:paraId="2158ADC0" w14:textId="77777777" w:rsidR="008F0FAA" w:rsidRPr="008F0FAA" w:rsidRDefault="008F0FAA" w:rsidP="008F0FAA">
      <w:pPr>
        <w:rPr>
          <w:rFonts w:ascii="Arial" w:hAnsi="Arial" w:cs="Arial"/>
          <w:sz w:val="24"/>
          <w:szCs w:val="24"/>
        </w:rPr>
      </w:pPr>
      <w:r w:rsidRPr="008F0FAA">
        <w:rPr>
          <w:rFonts w:ascii="Arial" w:hAnsi="Arial" w:cs="Arial"/>
          <w:sz w:val="24"/>
          <w:szCs w:val="24"/>
        </w:rPr>
        <w:t>In response to Question 2.a in Appendix A of the GA Analysis Workform Instructions, the Applicant indicated the following:</w:t>
      </w:r>
    </w:p>
    <w:p w14:paraId="620E603C" w14:textId="77777777" w:rsidR="008F0FAA" w:rsidRPr="008F0FAA" w:rsidRDefault="008F0FAA" w:rsidP="008F0FAA">
      <w:pPr>
        <w:rPr>
          <w:rFonts w:ascii="Arial" w:hAnsi="Arial" w:cs="Arial"/>
          <w:sz w:val="24"/>
          <w:szCs w:val="24"/>
        </w:rPr>
      </w:pPr>
      <w:r w:rsidRPr="008F0FAA">
        <w:rPr>
          <w:rFonts w:ascii="Arial" w:hAnsi="Arial" w:cs="Arial"/>
          <w:i/>
          <w:sz w:val="24"/>
          <w:szCs w:val="24"/>
        </w:rPr>
        <w:t>“In order to determine the full GA for all customers, Waterloo North Hydro (WNH) multiplies Waterloo North Hydro's total system load (kWh) by the Class B second estimate ($/MWh converted to $/kWh) for the settlement month. The dollar value associated with Class A usage is subtracted from the total Global Adjustment amount to determine the Class B Global Adjustment amount (CT 148). The usage for all non-RPP customers is multiplied by the second estimate to determine the amount of the non-RPP portion of GA (recorded in 1589). The remaining amount must be RPP GA…”</w:t>
      </w:r>
    </w:p>
    <w:p w14:paraId="5C8ED48F" w14:textId="77777777" w:rsidR="008F0FAA" w:rsidRPr="008F0FAA" w:rsidRDefault="008F0FAA" w:rsidP="008F0FAA">
      <w:pPr>
        <w:rPr>
          <w:rFonts w:ascii="Arial" w:hAnsi="Arial" w:cs="Arial"/>
          <w:sz w:val="24"/>
          <w:szCs w:val="24"/>
        </w:rPr>
      </w:pPr>
      <w:r w:rsidRPr="008F0FAA">
        <w:rPr>
          <w:rFonts w:ascii="Arial" w:hAnsi="Arial" w:cs="Arial"/>
          <w:sz w:val="24"/>
          <w:szCs w:val="24"/>
        </w:rPr>
        <w:t>In addition, in response to Questions 2.b in Appendix A of the GA Analysis Workform Instructions, the Applicant stated:</w:t>
      </w:r>
    </w:p>
    <w:p w14:paraId="6E7D47F7" w14:textId="77777777" w:rsidR="008F0FAA" w:rsidRPr="008F0FAA" w:rsidRDefault="008F0FAA" w:rsidP="008F0FAA">
      <w:pPr>
        <w:rPr>
          <w:rFonts w:ascii="Arial" w:hAnsi="Arial" w:cs="Arial"/>
          <w:sz w:val="24"/>
          <w:szCs w:val="24"/>
        </w:rPr>
      </w:pPr>
      <w:r w:rsidRPr="008F0FAA">
        <w:rPr>
          <w:rFonts w:ascii="Arial" w:hAnsi="Arial" w:cs="Arial"/>
          <w:i/>
          <w:sz w:val="24"/>
          <w:szCs w:val="24"/>
        </w:rPr>
        <w:t>“There are no true-ups to usage amounts unless there is a correction on a bill. The error is corrected on the next settlement month after the error has been noted and has not been material in the past.”</w:t>
      </w:r>
    </w:p>
    <w:p w14:paraId="573EBCA6" w14:textId="77777777" w:rsidR="008F0FAA" w:rsidRPr="008F0FAA" w:rsidRDefault="008F0FAA" w:rsidP="008F0FAA">
      <w:pPr>
        <w:rPr>
          <w:rFonts w:ascii="Arial" w:hAnsi="Arial" w:cs="Arial"/>
          <w:sz w:val="24"/>
          <w:szCs w:val="24"/>
        </w:rPr>
      </w:pPr>
      <w:r w:rsidRPr="008F0FAA">
        <w:rPr>
          <w:rFonts w:ascii="Arial" w:hAnsi="Arial" w:cs="Arial"/>
          <w:sz w:val="24"/>
          <w:szCs w:val="24"/>
        </w:rPr>
        <w:t>On page 18 of the Manager’s Summary, the Applicant states:</w:t>
      </w:r>
    </w:p>
    <w:p w14:paraId="1CD81821" w14:textId="77777777" w:rsidR="008F0FAA" w:rsidRPr="008F0FAA" w:rsidRDefault="008F0FAA" w:rsidP="008F0FAA">
      <w:pPr>
        <w:rPr>
          <w:rFonts w:ascii="Arial" w:hAnsi="Arial" w:cs="Arial"/>
          <w:i/>
          <w:sz w:val="24"/>
          <w:szCs w:val="24"/>
        </w:rPr>
      </w:pPr>
      <w:r w:rsidRPr="008F0FAA">
        <w:rPr>
          <w:rFonts w:ascii="Arial" w:hAnsi="Arial" w:cs="Arial"/>
          <w:i/>
          <w:sz w:val="24"/>
          <w:szCs w:val="24"/>
        </w:rPr>
        <w:t>“WNH performs true-ups in accordance with the accounting guidance provided on May 23, 2017 and reflects RPP settlement true up claims in the year to which such true-up adjustments relate.”</w:t>
      </w:r>
    </w:p>
    <w:p w14:paraId="29226C14" w14:textId="72F39E1E" w:rsidR="008F0FAA" w:rsidRDefault="008F0FAA" w:rsidP="008F0FAA">
      <w:pPr>
        <w:pStyle w:val="ListParagraph"/>
        <w:numPr>
          <w:ilvl w:val="0"/>
          <w:numId w:val="14"/>
        </w:numPr>
        <w:spacing w:after="160" w:line="259" w:lineRule="auto"/>
        <w:rPr>
          <w:rFonts w:ascii="Arial" w:hAnsi="Arial" w:cs="Arial"/>
          <w:sz w:val="24"/>
          <w:szCs w:val="24"/>
        </w:rPr>
      </w:pPr>
      <w:r w:rsidRPr="008F0FAA">
        <w:rPr>
          <w:rFonts w:ascii="Arial" w:hAnsi="Arial" w:cs="Arial"/>
          <w:sz w:val="24"/>
          <w:szCs w:val="24"/>
        </w:rPr>
        <w:t>Please confirm that, for the purposes of initial settlement with the IESO, the Applicant bases RPP-related GA costs on the IESO’s 2</w:t>
      </w:r>
      <w:r w:rsidRPr="008F0FAA">
        <w:rPr>
          <w:rFonts w:ascii="Arial" w:hAnsi="Arial" w:cs="Arial"/>
          <w:sz w:val="24"/>
          <w:szCs w:val="24"/>
          <w:vertAlign w:val="superscript"/>
        </w:rPr>
        <w:t>nd</w:t>
      </w:r>
      <w:r w:rsidRPr="008F0FAA">
        <w:rPr>
          <w:rFonts w:ascii="Arial" w:hAnsi="Arial" w:cs="Arial"/>
          <w:sz w:val="24"/>
          <w:szCs w:val="24"/>
        </w:rPr>
        <w:t xml:space="preserve"> estimate GA prices, as indicated in the first quote above. If not, please explain on what GA price the initial RPP settlement is based on.</w:t>
      </w:r>
    </w:p>
    <w:p w14:paraId="54EEE928" w14:textId="60CDA908" w:rsidR="00A01599" w:rsidRPr="00A01599" w:rsidRDefault="00A01599" w:rsidP="00A01599">
      <w:pPr>
        <w:spacing w:after="160" w:line="259" w:lineRule="auto"/>
        <w:ind w:left="720"/>
        <w:rPr>
          <w:rFonts w:ascii="Arial" w:hAnsi="Arial" w:cs="Arial"/>
          <w:color w:val="0070C0"/>
          <w:sz w:val="24"/>
          <w:szCs w:val="24"/>
        </w:rPr>
      </w:pPr>
      <w:r>
        <w:rPr>
          <w:rFonts w:ascii="Arial" w:hAnsi="Arial" w:cs="Arial"/>
          <w:color w:val="0070C0"/>
          <w:sz w:val="24"/>
          <w:szCs w:val="24"/>
        </w:rPr>
        <w:t>Yes, WNH bases RPP-related GA costs on the IESO’s 2</w:t>
      </w:r>
      <w:r w:rsidRPr="00A01599">
        <w:rPr>
          <w:rFonts w:ascii="Arial" w:hAnsi="Arial" w:cs="Arial"/>
          <w:color w:val="0070C0"/>
          <w:sz w:val="24"/>
          <w:szCs w:val="24"/>
          <w:vertAlign w:val="superscript"/>
        </w:rPr>
        <w:t>nd</w:t>
      </w:r>
      <w:r>
        <w:rPr>
          <w:rFonts w:ascii="Arial" w:hAnsi="Arial" w:cs="Arial"/>
          <w:color w:val="0070C0"/>
          <w:sz w:val="24"/>
          <w:szCs w:val="24"/>
        </w:rPr>
        <w:t xml:space="preserve"> estimate GA prices. </w:t>
      </w:r>
    </w:p>
    <w:p w14:paraId="2898F6AF" w14:textId="67BFCBF0" w:rsidR="008F0FAA" w:rsidRDefault="008F0FAA" w:rsidP="008F0FAA">
      <w:pPr>
        <w:pStyle w:val="ListParagraph"/>
        <w:numPr>
          <w:ilvl w:val="0"/>
          <w:numId w:val="14"/>
        </w:numPr>
        <w:spacing w:after="160" w:line="259" w:lineRule="auto"/>
        <w:rPr>
          <w:rFonts w:ascii="Arial" w:hAnsi="Arial" w:cs="Arial"/>
          <w:sz w:val="24"/>
          <w:szCs w:val="24"/>
        </w:rPr>
      </w:pPr>
      <w:r w:rsidRPr="008F0FAA">
        <w:rPr>
          <w:rFonts w:ascii="Arial" w:hAnsi="Arial" w:cs="Arial"/>
          <w:sz w:val="24"/>
          <w:szCs w:val="24"/>
        </w:rPr>
        <w:t>If the above is confirmed, please explain why a true-up is not necessary for the GA price variance, whereby the Applicant would recalculate the amounts payable to (recoverable from) the IESO given the actual GA price for that particular month.</w:t>
      </w:r>
    </w:p>
    <w:p w14:paraId="126068F2" w14:textId="791845E1" w:rsidR="00A01599" w:rsidRPr="00A01599" w:rsidRDefault="00A01599" w:rsidP="00A01599">
      <w:pPr>
        <w:spacing w:after="160" w:line="259" w:lineRule="auto"/>
        <w:ind w:left="720"/>
        <w:rPr>
          <w:rFonts w:ascii="Arial" w:hAnsi="Arial" w:cs="Arial"/>
          <w:color w:val="0070C0"/>
          <w:sz w:val="24"/>
          <w:szCs w:val="24"/>
        </w:rPr>
      </w:pPr>
      <w:r>
        <w:rPr>
          <w:rFonts w:ascii="Arial" w:hAnsi="Arial" w:cs="Arial"/>
          <w:color w:val="0070C0"/>
          <w:sz w:val="24"/>
          <w:szCs w:val="24"/>
        </w:rPr>
        <w:t>As noted above in WNH’s initial submission it was stated that “</w:t>
      </w:r>
      <w:r w:rsidRPr="00A01599">
        <w:rPr>
          <w:rFonts w:ascii="Arial" w:hAnsi="Arial" w:cs="Arial"/>
          <w:color w:val="0070C0"/>
          <w:sz w:val="24"/>
          <w:szCs w:val="24"/>
        </w:rPr>
        <w:t>There are no true-ups to usage amounts unless there is a correction on a bill.</w:t>
      </w:r>
      <w:r>
        <w:rPr>
          <w:rFonts w:ascii="Arial" w:hAnsi="Arial" w:cs="Arial"/>
          <w:color w:val="0070C0"/>
          <w:sz w:val="24"/>
          <w:szCs w:val="24"/>
        </w:rPr>
        <w:t xml:space="preserve">” This may not have been explained properly. </w:t>
      </w:r>
      <w:r w:rsidRPr="00A01599">
        <w:rPr>
          <w:rFonts w:ascii="Arial" w:hAnsi="Arial" w:cs="Arial"/>
          <w:color w:val="0070C0"/>
          <w:sz w:val="24"/>
          <w:szCs w:val="24"/>
          <w:u w:val="single"/>
        </w:rPr>
        <w:t xml:space="preserve">WNH does not have true-ups related to </w:t>
      </w:r>
      <w:r>
        <w:rPr>
          <w:rFonts w:ascii="Arial" w:hAnsi="Arial" w:cs="Arial"/>
          <w:color w:val="0070C0"/>
          <w:sz w:val="24"/>
          <w:szCs w:val="24"/>
          <w:u w:val="single"/>
        </w:rPr>
        <w:t xml:space="preserve">Class A and Class B </w:t>
      </w:r>
      <w:r w:rsidRPr="00A01599">
        <w:rPr>
          <w:rFonts w:ascii="Arial" w:hAnsi="Arial" w:cs="Arial"/>
          <w:color w:val="0070C0"/>
          <w:sz w:val="24"/>
          <w:szCs w:val="24"/>
          <w:u w:val="single"/>
        </w:rPr>
        <w:t>total system load usage</w:t>
      </w:r>
      <w:r>
        <w:rPr>
          <w:rFonts w:ascii="Arial" w:hAnsi="Arial" w:cs="Arial"/>
          <w:color w:val="0070C0"/>
          <w:sz w:val="24"/>
          <w:szCs w:val="24"/>
        </w:rPr>
        <w:t xml:space="preserve">. There are two true-ups that are performed: GA price variance true-up (described above) and allocation between Class B RPP and Class B non-RPP usage from the prior month’s accrual (the total usage for Class B will not change). </w:t>
      </w:r>
    </w:p>
    <w:p w14:paraId="0F3C72FD" w14:textId="2E6A1D0D" w:rsidR="008F0FAA" w:rsidRDefault="008F0FAA" w:rsidP="008F0FAA">
      <w:pPr>
        <w:pStyle w:val="ListParagraph"/>
        <w:numPr>
          <w:ilvl w:val="0"/>
          <w:numId w:val="14"/>
        </w:numPr>
        <w:spacing w:after="160" w:line="259" w:lineRule="auto"/>
        <w:rPr>
          <w:rFonts w:ascii="Arial" w:hAnsi="Arial" w:cs="Arial"/>
          <w:sz w:val="24"/>
          <w:szCs w:val="24"/>
        </w:rPr>
      </w:pPr>
      <w:r w:rsidRPr="008F0FAA">
        <w:rPr>
          <w:rFonts w:ascii="Arial" w:hAnsi="Arial" w:cs="Arial"/>
          <w:sz w:val="24"/>
          <w:szCs w:val="24"/>
        </w:rPr>
        <w:t>Please confirm that, at the end of a particular target month, the Applicant subtracts the Class A kWh and the Class B Non-RPP kWh billed in that month from the total system load to determine the amount of kWh attributable to Class B RPP customers. If not, please clarify how RPP kWh for a particular settlement month are determined.</w:t>
      </w:r>
    </w:p>
    <w:p w14:paraId="37E93FC2" w14:textId="0148168F" w:rsidR="00A01599" w:rsidRDefault="00A01599" w:rsidP="00A01599">
      <w:pPr>
        <w:pStyle w:val="ListParagraph"/>
        <w:spacing w:after="160" w:line="259" w:lineRule="auto"/>
        <w:rPr>
          <w:rFonts w:ascii="Arial" w:hAnsi="Arial" w:cs="Arial"/>
          <w:sz w:val="24"/>
          <w:szCs w:val="24"/>
        </w:rPr>
      </w:pPr>
    </w:p>
    <w:p w14:paraId="459623EC" w14:textId="5C3AA0D1" w:rsidR="00A01599" w:rsidRPr="00A01599" w:rsidRDefault="00A01599" w:rsidP="00A01599">
      <w:pPr>
        <w:pStyle w:val="ListParagraph"/>
        <w:spacing w:after="160" w:line="259" w:lineRule="auto"/>
        <w:rPr>
          <w:rFonts w:ascii="Arial" w:hAnsi="Arial" w:cs="Arial"/>
          <w:color w:val="0070C0"/>
          <w:sz w:val="24"/>
          <w:szCs w:val="24"/>
        </w:rPr>
      </w:pPr>
      <w:r>
        <w:rPr>
          <w:rFonts w:ascii="Arial" w:hAnsi="Arial" w:cs="Arial"/>
          <w:color w:val="0070C0"/>
          <w:sz w:val="24"/>
          <w:szCs w:val="24"/>
        </w:rPr>
        <w:t>Yes, confirmed.</w:t>
      </w:r>
    </w:p>
    <w:p w14:paraId="59F1D490" w14:textId="77777777" w:rsidR="00A01599" w:rsidRPr="008F0FAA" w:rsidRDefault="00A01599" w:rsidP="00A01599">
      <w:pPr>
        <w:pStyle w:val="ListParagraph"/>
        <w:spacing w:after="160" w:line="259" w:lineRule="auto"/>
        <w:rPr>
          <w:rFonts w:ascii="Arial" w:hAnsi="Arial" w:cs="Arial"/>
          <w:sz w:val="24"/>
          <w:szCs w:val="24"/>
        </w:rPr>
      </w:pPr>
    </w:p>
    <w:p w14:paraId="1D141E77" w14:textId="77777777" w:rsidR="008F0FAA" w:rsidRPr="008F0FAA" w:rsidRDefault="008F0FAA" w:rsidP="008F0FAA">
      <w:pPr>
        <w:pStyle w:val="ListParagraph"/>
        <w:numPr>
          <w:ilvl w:val="0"/>
          <w:numId w:val="14"/>
        </w:numPr>
        <w:spacing w:after="160" w:line="259" w:lineRule="auto"/>
        <w:rPr>
          <w:rFonts w:ascii="Arial" w:hAnsi="Arial" w:cs="Arial"/>
          <w:sz w:val="24"/>
          <w:szCs w:val="24"/>
        </w:rPr>
      </w:pPr>
      <w:r w:rsidRPr="008F0FAA">
        <w:rPr>
          <w:rFonts w:ascii="Arial" w:hAnsi="Arial" w:cs="Arial"/>
          <w:sz w:val="24"/>
          <w:szCs w:val="24"/>
        </w:rPr>
        <w:t>If the above is confirmed, please explain how and when the Applicant recalculates the quantities attributable to Class B RPP and Class B Non-RPP customers based on actual consumption, rather than billings in a particular month, as well as how that adjustment is recorded in the general ledgers of the Applicant.</w:t>
      </w:r>
    </w:p>
    <w:p w14:paraId="27E18ACE" w14:textId="69FB3410" w:rsidR="008F0FAA" w:rsidRDefault="008F0FAA" w:rsidP="008F0FAA">
      <w:pPr>
        <w:ind w:left="720"/>
        <w:rPr>
          <w:rFonts w:ascii="Arial" w:hAnsi="Arial" w:cs="Arial"/>
          <w:sz w:val="24"/>
          <w:szCs w:val="24"/>
        </w:rPr>
      </w:pPr>
      <w:r w:rsidRPr="008F0FAA">
        <w:rPr>
          <w:rFonts w:ascii="Arial" w:hAnsi="Arial" w:cs="Arial"/>
          <w:sz w:val="24"/>
          <w:szCs w:val="24"/>
        </w:rPr>
        <w:t>As an example, if the Applicant is initially determining the RPP kWh for June, by subtracting amounts billed to Class A customers in June and amounts billed to Class B Non-RPP customers in June, when is the data available for the Applicant to be able to determine how many kWh were actually consumed by, rather than billed to, Class A and Class B Non-RPP customers during June to perform the quantity-related true-up for CT 1142?</w:t>
      </w:r>
    </w:p>
    <w:p w14:paraId="650930D6" w14:textId="2CA906B9" w:rsidR="003627F6" w:rsidRDefault="003627F6" w:rsidP="008F0FAA">
      <w:pPr>
        <w:ind w:left="720"/>
        <w:rPr>
          <w:rFonts w:ascii="Arial" w:hAnsi="Arial" w:cs="Arial"/>
          <w:color w:val="0070C0"/>
          <w:sz w:val="24"/>
          <w:szCs w:val="24"/>
        </w:rPr>
      </w:pPr>
      <w:r>
        <w:rPr>
          <w:rFonts w:ascii="Arial" w:hAnsi="Arial" w:cs="Arial"/>
          <w:color w:val="0070C0"/>
          <w:sz w:val="24"/>
          <w:szCs w:val="24"/>
        </w:rPr>
        <w:t xml:space="preserve">As noted in part B above there is a true up of the allocation between Class B RPP and Class B non RPP in the following month. As an example: </w:t>
      </w:r>
    </w:p>
    <w:p w14:paraId="79C49528" w14:textId="1F22AF72" w:rsidR="00AC1BA1" w:rsidRDefault="00AC1BA1" w:rsidP="008F0FAA">
      <w:pPr>
        <w:ind w:left="720"/>
        <w:rPr>
          <w:rFonts w:ascii="Arial" w:hAnsi="Arial" w:cs="Arial"/>
          <w:color w:val="0070C0"/>
          <w:sz w:val="24"/>
          <w:szCs w:val="24"/>
        </w:rPr>
      </w:pPr>
      <w:r>
        <w:rPr>
          <w:rFonts w:ascii="Arial" w:hAnsi="Arial" w:cs="Arial"/>
          <w:color w:val="0070C0"/>
          <w:sz w:val="24"/>
          <w:szCs w:val="24"/>
        </w:rPr>
        <w:t>On the 4</w:t>
      </w:r>
      <w:r w:rsidRPr="00AC1BA1">
        <w:rPr>
          <w:rFonts w:ascii="Arial" w:hAnsi="Arial" w:cs="Arial"/>
          <w:color w:val="0070C0"/>
          <w:sz w:val="24"/>
          <w:szCs w:val="24"/>
          <w:vertAlign w:val="superscript"/>
        </w:rPr>
        <w:t>th</w:t>
      </w:r>
      <w:r>
        <w:rPr>
          <w:rFonts w:ascii="Arial" w:hAnsi="Arial" w:cs="Arial"/>
          <w:color w:val="0070C0"/>
          <w:sz w:val="24"/>
          <w:szCs w:val="24"/>
        </w:rPr>
        <w:t xml:space="preserve"> business day of a month, WNH completes settlement for the prior month</w:t>
      </w:r>
      <w:r w:rsidR="003627F6">
        <w:rPr>
          <w:rFonts w:ascii="Arial" w:hAnsi="Arial" w:cs="Arial"/>
          <w:color w:val="0070C0"/>
          <w:sz w:val="24"/>
          <w:szCs w:val="24"/>
        </w:rPr>
        <w:t>.</w:t>
      </w:r>
      <w:r>
        <w:rPr>
          <w:rFonts w:ascii="Arial" w:hAnsi="Arial" w:cs="Arial"/>
          <w:color w:val="0070C0"/>
          <w:sz w:val="24"/>
          <w:szCs w:val="24"/>
        </w:rPr>
        <w:t xml:space="preserve"> At this point WNH has usage information on Class A in total, Class B in total as well as the IESO’s second estimate. </w:t>
      </w:r>
      <w:r w:rsidR="003627F6">
        <w:rPr>
          <w:rFonts w:ascii="Arial" w:hAnsi="Arial" w:cs="Arial"/>
          <w:color w:val="0070C0"/>
          <w:sz w:val="24"/>
          <w:szCs w:val="24"/>
        </w:rPr>
        <w:t xml:space="preserve"> WNH would take the</w:t>
      </w:r>
      <w:r>
        <w:rPr>
          <w:rFonts w:ascii="Arial" w:hAnsi="Arial" w:cs="Arial"/>
          <w:color w:val="0070C0"/>
          <w:sz w:val="24"/>
          <w:szCs w:val="24"/>
        </w:rPr>
        <w:t xml:space="preserve"> Class B system load usage and calculate the Class B total dollars using the second GA estimate</w:t>
      </w:r>
      <w:r w:rsidR="003627F6">
        <w:rPr>
          <w:rFonts w:ascii="Arial" w:hAnsi="Arial" w:cs="Arial"/>
          <w:color w:val="0070C0"/>
          <w:sz w:val="24"/>
          <w:szCs w:val="24"/>
        </w:rPr>
        <w:t>. WNH would then estimate Non-RPP Class B usage (forecasted) based on prior year’s history usage and multiply the usage by the second estimate to come up with an accrual for August’s Non-RPP Class B amount and the remainder would be August’s RPP Class B amount.</w:t>
      </w:r>
    </w:p>
    <w:p w14:paraId="6B73A086" w14:textId="3505BED9" w:rsidR="003627F6" w:rsidRPr="003627F6" w:rsidRDefault="003627F6" w:rsidP="008F0FAA">
      <w:pPr>
        <w:ind w:left="720"/>
        <w:rPr>
          <w:rFonts w:ascii="Arial" w:hAnsi="Arial" w:cs="Arial"/>
          <w:color w:val="0070C0"/>
          <w:sz w:val="24"/>
          <w:szCs w:val="24"/>
        </w:rPr>
      </w:pPr>
      <w:r>
        <w:rPr>
          <w:rFonts w:ascii="Arial" w:hAnsi="Arial" w:cs="Arial"/>
          <w:color w:val="0070C0"/>
          <w:sz w:val="24"/>
          <w:szCs w:val="24"/>
        </w:rPr>
        <w:t xml:space="preserve">In the following month’s settlement, WNH would take the Actual Class B dollars from the IESO invoice (total of RPP and Non-RPP) and then subtract the actual billing </w:t>
      </w:r>
      <w:r w:rsidR="00696A07">
        <w:rPr>
          <w:rFonts w:ascii="Arial" w:hAnsi="Arial" w:cs="Arial"/>
          <w:color w:val="0070C0"/>
          <w:sz w:val="24"/>
          <w:szCs w:val="24"/>
        </w:rPr>
        <w:t xml:space="preserve">(billed usage multiplied by final rate) </w:t>
      </w:r>
      <w:r>
        <w:rPr>
          <w:rFonts w:ascii="Arial" w:hAnsi="Arial" w:cs="Arial"/>
          <w:color w:val="0070C0"/>
          <w:sz w:val="24"/>
          <w:szCs w:val="24"/>
        </w:rPr>
        <w:t>for Class B Non-RPP GA. The remainder is the Class B RPP amount which is then subtracted against the prior month’s accrual to become the true-up amount</w:t>
      </w:r>
      <w:r w:rsidR="00AC1BA1">
        <w:rPr>
          <w:rFonts w:ascii="Arial" w:hAnsi="Arial" w:cs="Arial"/>
          <w:color w:val="0070C0"/>
          <w:sz w:val="24"/>
          <w:szCs w:val="24"/>
        </w:rPr>
        <w:t xml:space="preserve"> in that month’s settlement</w:t>
      </w:r>
      <w:r>
        <w:rPr>
          <w:rFonts w:ascii="Arial" w:hAnsi="Arial" w:cs="Arial"/>
          <w:color w:val="0070C0"/>
          <w:sz w:val="24"/>
          <w:szCs w:val="24"/>
        </w:rPr>
        <w:t>. The Class B Non-RPP amount variance (accrual vs. estimate) remains in 1589</w:t>
      </w:r>
      <w:r w:rsidR="00AC1BA1">
        <w:rPr>
          <w:rFonts w:ascii="Arial" w:hAnsi="Arial" w:cs="Arial"/>
          <w:color w:val="0070C0"/>
          <w:sz w:val="24"/>
          <w:szCs w:val="24"/>
        </w:rPr>
        <w:t xml:space="preserve"> until OEB settlement (IRM / COS)</w:t>
      </w:r>
      <w:r>
        <w:rPr>
          <w:rFonts w:ascii="Arial" w:hAnsi="Arial" w:cs="Arial"/>
          <w:color w:val="0070C0"/>
          <w:sz w:val="24"/>
          <w:szCs w:val="24"/>
        </w:rPr>
        <w:t xml:space="preserve">. </w:t>
      </w:r>
    </w:p>
    <w:p w14:paraId="1296D6EF" w14:textId="0F67D434" w:rsidR="008F0FAA" w:rsidRDefault="008F0FAA" w:rsidP="008F0FAA">
      <w:pPr>
        <w:pStyle w:val="ListParagraph"/>
        <w:numPr>
          <w:ilvl w:val="0"/>
          <w:numId w:val="14"/>
        </w:numPr>
        <w:spacing w:after="160" w:line="259" w:lineRule="auto"/>
        <w:rPr>
          <w:rFonts w:ascii="Arial" w:hAnsi="Arial" w:cs="Arial"/>
          <w:sz w:val="24"/>
          <w:szCs w:val="24"/>
        </w:rPr>
      </w:pPr>
      <w:r w:rsidRPr="008F0FAA">
        <w:rPr>
          <w:rFonts w:ascii="Arial" w:hAnsi="Arial" w:cs="Arial"/>
          <w:sz w:val="24"/>
          <w:szCs w:val="24"/>
        </w:rPr>
        <w:t>The Applicant has indicated that no true-ups are performed in 2017, however, has also acknowledged that true-ups are performed and reflected in the year in which they pertain. Please confirm that the applicant has updated its RPP Settlement true-up procedures consistent with the OEB May 23, 2017 letter regarding the Guidance on the Disposition of Accounts 1588 and 1589. If necessary, please clarify whether or not RPP Settlement true-ups have been performed and recorded during 2017.</w:t>
      </w:r>
    </w:p>
    <w:p w14:paraId="1D4497CC" w14:textId="215F897E" w:rsidR="00696A07" w:rsidRDefault="00696A07" w:rsidP="00696A07">
      <w:pPr>
        <w:pStyle w:val="ListParagraph"/>
        <w:spacing w:after="160" w:line="259" w:lineRule="auto"/>
        <w:rPr>
          <w:rFonts w:ascii="Arial" w:hAnsi="Arial" w:cs="Arial"/>
          <w:sz w:val="24"/>
          <w:szCs w:val="24"/>
        </w:rPr>
      </w:pPr>
    </w:p>
    <w:p w14:paraId="30129235" w14:textId="77777777" w:rsidR="009635B5" w:rsidRDefault="00696A07" w:rsidP="009635B5">
      <w:pPr>
        <w:pStyle w:val="ListParagraph"/>
        <w:spacing w:after="160" w:line="259" w:lineRule="auto"/>
        <w:rPr>
          <w:rFonts w:ascii="Arial" w:hAnsi="Arial" w:cs="Arial"/>
          <w:color w:val="0070C0"/>
          <w:sz w:val="24"/>
          <w:szCs w:val="24"/>
        </w:rPr>
      </w:pPr>
      <w:r>
        <w:rPr>
          <w:rFonts w:ascii="Arial" w:hAnsi="Arial" w:cs="Arial"/>
          <w:color w:val="0070C0"/>
          <w:sz w:val="24"/>
          <w:szCs w:val="24"/>
        </w:rPr>
        <w:t xml:space="preserve">In the initial submission it was stated that no true-ups were performed in 2017, however this was meant to be total system usage true-ups. As noted in part B, there are price variance true-ups as well as Non-RPP and RPP allocation true ups monthly. This aligns with WNH’s understanding of the </w:t>
      </w:r>
      <w:r w:rsidRPr="00696A07">
        <w:rPr>
          <w:rFonts w:ascii="Arial" w:hAnsi="Arial" w:cs="Arial"/>
          <w:color w:val="0070C0"/>
          <w:sz w:val="24"/>
          <w:szCs w:val="24"/>
        </w:rPr>
        <w:t>OEB May 23, 2017 letter regarding the Guidance on the Disposition of Accounts 1588 and 1589</w:t>
      </w:r>
      <w:r>
        <w:rPr>
          <w:rFonts w:ascii="Arial" w:hAnsi="Arial" w:cs="Arial"/>
          <w:color w:val="0070C0"/>
          <w:sz w:val="24"/>
          <w:szCs w:val="24"/>
        </w:rPr>
        <w:t xml:space="preserve">. The true-ups for price variance and allocation variances were performed and recorded in 2017. </w:t>
      </w:r>
    </w:p>
    <w:p w14:paraId="24B09CBF" w14:textId="5554C4E6" w:rsidR="00696A07" w:rsidRPr="009635B5" w:rsidRDefault="00696A07" w:rsidP="009635B5">
      <w:pPr>
        <w:pStyle w:val="ListParagraph"/>
        <w:spacing w:after="160" w:line="259" w:lineRule="auto"/>
        <w:rPr>
          <w:rFonts w:ascii="Arial" w:hAnsi="Arial" w:cs="Arial"/>
          <w:color w:val="0070C0"/>
          <w:sz w:val="24"/>
          <w:szCs w:val="24"/>
        </w:rPr>
      </w:pPr>
      <w:r w:rsidRPr="009635B5">
        <w:rPr>
          <w:rFonts w:ascii="Arial" w:hAnsi="Arial" w:cs="Arial"/>
          <w:color w:val="0070C0"/>
          <w:sz w:val="24"/>
          <w:szCs w:val="24"/>
        </w:rPr>
        <w:t xml:space="preserve">If further clarification is needed, WNH believes that a call may be more appropriate to discuss details. </w:t>
      </w:r>
    </w:p>
    <w:p w14:paraId="26361A4E" w14:textId="4536A903" w:rsidR="008F0FAA" w:rsidRDefault="008F0FAA">
      <w:pPr>
        <w:rPr>
          <w:rFonts w:ascii="Arial" w:hAnsi="Arial" w:cs="Arial"/>
          <w:b/>
          <w:sz w:val="24"/>
          <w:szCs w:val="24"/>
        </w:rPr>
      </w:pPr>
    </w:p>
    <w:p w14:paraId="282B6C78" w14:textId="47FF3F8F" w:rsidR="008F0FAA" w:rsidRPr="008F0FAA" w:rsidRDefault="008F0FAA" w:rsidP="008F0FAA">
      <w:pPr>
        <w:spacing w:after="0"/>
        <w:rPr>
          <w:rFonts w:ascii="Arial" w:hAnsi="Arial" w:cs="Arial"/>
          <w:b/>
          <w:sz w:val="24"/>
          <w:szCs w:val="24"/>
        </w:rPr>
      </w:pPr>
      <w:r w:rsidRPr="008F0FAA">
        <w:rPr>
          <w:rFonts w:ascii="Arial" w:hAnsi="Arial" w:cs="Arial"/>
          <w:b/>
          <w:sz w:val="24"/>
          <w:szCs w:val="24"/>
        </w:rPr>
        <w:t>Staff Question #6</w:t>
      </w:r>
    </w:p>
    <w:p w14:paraId="4C0A492C" w14:textId="193BDA1E" w:rsidR="008F0FAA" w:rsidRPr="008F0FAA" w:rsidRDefault="008F0FAA" w:rsidP="008F0FAA">
      <w:pPr>
        <w:rPr>
          <w:rFonts w:ascii="Arial" w:hAnsi="Arial" w:cs="Arial"/>
          <w:sz w:val="24"/>
          <w:szCs w:val="24"/>
        </w:rPr>
      </w:pPr>
      <w:r w:rsidRPr="008F0FAA">
        <w:rPr>
          <w:rFonts w:ascii="Arial" w:hAnsi="Arial" w:cs="Arial"/>
          <w:b/>
          <w:sz w:val="24"/>
          <w:szCs w:val="24"/>
        </w:rPr>
        <w:t>Ref: GA Analysis Workform</w:t>
      </w:r>
    </w:p>
    <w:p w14:paraId="41A5FED7" w14:textId="77777777" w:rsidR="008F0FAA" w:rsidRPr="008F0FAA" w:rsidRDefault="008F0FAA" w:rsidP="008F0FAA">
      <w:pPr>
        <w:rPr>
          <w:rFonts w:ascii="Arial" w:hAnsi="Arial" w:cs="Arial"/>
          <w:sz w:val="24"/>
          <w:szCs w:val="24"/>
        </w:rPr>
      </w:pPr>
      <w:r w:rsidRPr="008F0FAA">
        <w:rPr>
          <w:rFonts w:ascii="Arial" w:hAnsi="Arial" w:cs="Arial"/>
          <w:sz w:val="24"/>
          <w:szCs w:val="24"/>
        </w:rPr>
        <w:t>Reconciling item 3b is described as:</w:t>
      </w:r>
    </w:p>
    <w:p w14:paraId="182E607D" w14:textId="77777777" w:rsidR="008F0FAA" w:rsidRPr="008F0FAA" w:rsidRDefault="008F0FAA" w:rsidP="008F0FAA">
      <w:pPr>
        <w:rPr>
          <w:rFonts w:ascii="Arial" w:hAnsi="Arial" w:cs="Arial"/>
          <w:i/>
          <w:sz w:val="24"/>
          <w:szCs w:val="24"/>
        </w:rPr>
      </w:pPr>
      <w:r w:rsidRPr="008F0FAA">
        <w:rPr>
          <w:rFonts w:ascii="Arial" w:hAnsi="Arial" w:cs="Arial"/>
          <w:i/>
          <w:sz w:val="24"/>
          <w:szCs w:val="24"/>
        </w:rPr>
        <w:t>“CR $30K (actual receivable / payable was lower than accrued) related to prior year but recorded in the GL in the current year, therefore, should record CR in current year”</w:t>
      </w:r>
    </w:p>
    <w:p w14:paraId="463861D8" w14:textId="77777777" w:rsidR="008F0FAA" w:rsidRPr="008F0FAA" w:rsidRDefault="008F0FAA" w:rsidP="008F0FAA">
      <w:pPr>
        <w:rPr>
          <w:rFonts w:ascii="Arial" w:hAnsi="Arial" w:cs="Arial"/>
          <w:sz w:val="24"/>
          <w:szCs w:val="24"/>
        </w:rPr>
      </w:pPr>
      <w:r w:rsidRPr="008F0FAA">
        <w:rPr>
          <w:rFonts w:ascii="Arial" w:hAnsi="Arial" w:cs="Arial"/>
          <w:sz w:val="24"/>
          <w:szCs w:val="24"/>
        </w:rPr>
        <w:t>Please confirm that the applicant intended to state that this amount (a receivable) was related to the current year (2017) but recorded in the GL in the subsequent year (2018), as item 3a already exists to capture amounts pertaining to 2016 but recorded in 2017. If this is not the case, please provide more information on the nature and timing of this adjustment.</w:t>
      </w:r>
    </w:p>
    <w:p w14:paraId="7C0E6B6A" w14:textId="07A43213" w:rsidR="008F0FAA" w:rsidRPr="00C91B44" w:rsidRDefault="00C91B44" w:rsidP="008F0FAA">
      <w:pPr>
        <w:rPr>
          <w:rFonts w:ascii="Arial" w:hAnsi="Arial" w:cs="Arial"/>
          <w:color w:val="0070C0"/>
          <w:sz w:val="24"/>
          <w:szCs w:val="24"/>
        </w:rPr>
      </w:pPr>
      <w:r w:rsidRPr="00C91B44">
        <w:rPr>
          <w:rFonts w:ascii="Arial" w:hAnsi="Arial" w:cs="Arial"/>
          <w:color w:val="0070C0"/>
          <w:sz w:val="24"/>
          <w:szCs w:val="24"/>
        </w:rPr>
        <w:t xml:space="preserve">OEB’s </w:t>
      </w:r>
      <w:r w:rsidR="00D20D0B">
        <w:rPr>
          <w:rFonts w:ascii="Arial" w:hAnsi="Arial" w:cs="Arial"/>
          <w:color w:val="0070C0"/>
          <w:sz w:val="24"/>
          <w:szCs w:val="24"/>
        </w:rPr>
        <w:t xml:space="preserve">revision </w:t>
      </w:r>
      <w:r w:rsidRPr="00C91B44">
        <w:rPr>
          <w:rFonts w:ascii="Arial" w:hAnsi="Arial" w:cs="Arial"/>
          <w:color w:val="0070C0"/>
          <w:sz w:val="24"/>
          <w:szCs w:val="24"/>
        </w:rPr>
        <w:t xml:space="preserve">is correct. </w:t>
      </w:r>
    </w:p>
    <w:p w14:paraId="3D50D87F" w14:textId="3B050676" w:rsidR="005D352B" w:rsidRDefault="001F5CB6" w:rsidP="00ED3CE0">
      <w:pPr>
        <w:spacing w:after="0"/>
        <w:rPr>
          <w:rFonts w:ascii="Arial" w:hAnsi="Arial" w:cs="Arial"/>
          <w:b/>
          <w:sz w:val="24"/>
          <w:szCs w:val="24"/>
        </w:rPr>
      </w:pPr>
      <w:r>
        <w:rPr>
          <w:rFonts w:ascii="Arial" w:hAnsi="Arial" w:cs="Arial"/>
          <w:b/>
          <w:sz w:val="24"/>
          <w:szCs w:val="24"/>
        </w:rPr>
        <w:t xml:space="preserve">Staff </w:t>
      </w:r>
      <w:r w:rsidR="00E02478">
        <w:rPr>
          <w:rFonts w:ascii="Arial" w:hAnsi="Arial" w:cs="Arial"/>
          <w:b/>
          <w:sz w:val="24"/>
          <w:szCs w:val="24"/>
        </w:rPr>
        <w:t xml:space="preserve">Question </w:t>
      </w:r>
      <w:r>
        <w:rPr>
          <w:rFonts w:ascii="Arial" w:hAnsi="Arial" w:cs="Arial"/>
          <w:b/>
          <w:sz w:val="24"/>
          <w:szCs w:val="24"/>
        </w:rPr>
        <w:t>#</w:t>
      </w:r>
      <w:r w:rsidR="008F0FAA">
        <w:rPr>
          <w:rFonts w:ascii="Arial" w:hAnsi="Arial" w:cs="Arial"/>
          <w:b/>
          <w:sz w:val="24"/>
          <w:szCs w:val="24"/>
        </w:rPr>
        <w:t>7</w:t>
      </w:r>
    </w:p>
    <w:p w14:paraId="3A34D642" w14:textId="2431F34E" w:rsidR="00831DBE" w:rsidRDefault="00831DBE" w:rsidP="00831DBE">
      <w:pPr>
        <w:spacing w:after="0"/>
        <w:rPr>
          <w:rFonts w:ascii="Arial" w:hAnsi="Arial" w:cs="Arial"/>
          <w:b/>
          <w:sz w:val="24"/>
          <w:szCs w:val="24"/>
        </w:rPr>
      </w:pPr>
      <w:r>
        <w:rPr>
          <w:rFonts w:ascii="Arial" w:hAnsi="Arial" w:cs="Arial"/>
          <w:b/>
          <w:sz w:val="24"/>
          <w:szCs w:val="24"/>
        </w:rPr>
        <w:t xml:space="preserve">Ref: </w:t>
      </w:r>
      <w:r w:rsidR="00807B44">
        <w:rPr>
          <w:rFonts w:ascii="Arial" w:hAnsi="Arial" w:cs="Arial"/>
          <w:b/>
          <w:sz w:val="24"/>
          <w:szCs w:val="24"/>
        </w:rPr>
        <w:t>GA Analysis Workform</w:t>
      </w:r>
    </w:p>
    <w:p w14:paraId="22E1D742" w14:textId="5A3D71F2" w:rsidR="005D352B" w:rsidRDefault="00831DBE" w:rsidP="00ED3CE0">
      <w:pPr>
        <w:spacing w:after="0"/>
        <w:rPr>
          <w:rFonts w:ascii="Arial" w:hAnsi="Arial" w:cs="Arial"/>
          <w:sz w:val="24"/>
          <w:szCs w:val="24"/>
        </w:rPr>
      </w:pPr>
      <w:r w:rsidRPr="00807B44">
        <w:rPr>
          <w:rFonts w:ascii="Arial" w:hAnsi="Arial" w:cs="Arial"/>
          <w:sz w:val="24"/>
          <w:szCs w:val="24"/>
        </w:rPr>
        <w:t>Waterloo North</w:t>
      </w:r>
      <w:r w:rsidR="00722B60">
        <w:rPr>
          <w:rFonts w:ascii="Arial" w:hAnsi="Arial" w:cs="Arial"/>
          <w:sz w:val="24"/>
          <w:szCs w:val="24"/>
        </w:rPr>
        <w:t xml:space="preserve"> Hydro</w:t>
      </w:r>
      <w:r w:rsidRPr="00807B44">
        <w:rPr>
          <w:rFonts w:ascii="Arial" w:hAnsi="Arial" w:cs="Arial"/>
          <w:sz w:val="24"/>
          <w:szCs w:val="24"/>
        </w:rPr>
        <w:t>’s approved</w:t>
      </w:r>
      <w:r w:rsidRPr="00831DBE">
        <w:rPr>
          <w:rFonts w:ascii="Arial" w:hAnsi="Arial" w:cs="Arial"/>
          <w:sz w:val="24"/>
          <w:szCs w:val="24"/>
        </w:rPr>
        <w:t xml:space="preserve"> loss factor is 1.0</w:t>
      </w:r>
      <w:r>
        <w:rPr>
          <w:rFonts w:ascii="Arial" w:hAnsi="Arial" w:cs="Arial"/>
          <w:sz w:val="24"/>
          <w:szCs w:val="24"/>
        </w:rPr>
        <w:t>362</w:t>
      </w:r>
      <w:r w:rsidRPr="00831DBE">
        <w:rPr>
          <w:rFonts w:ascii="Arial" w:hAnsi="Arial" w:cs="Arial"/>
          <w:sz w:val="24"/>
          <w:szCs w:val="24"/>
        </w:rPr>
        <w:t xml:space="preserve"> and the calculated loss factor from the GA Analysis Workform is 1.</w:t>
      </w:r>
      <w:r>
        <w:rPr>
          <w:rFonts w:ascii="Arial" w:hAnsi="Arial" w:cs="Arial"/>
          <w:sz w:val="24"/>
          <w:szCs w:val="24"/>
        </w:rPr>
        <w:t>0623, a difference of 2.51</w:t>
      </w:r>
      <w:r w:rsidRPr="00831DBE">
        <w:rPr>
          <w:rFonts w:ascii="Arial" w:hAnsi="Arial" w:cs="Arial"/>
          <w:sz w:val="24"/>
          <w:szCs w:val="24"/>
        </w:rPr>
        <w:t>%. Please explain the difference and revise the GA Analysis Workform as needed.</w:t>
      </w:r>
    </w:p>
    <w:p w14:paraId="6BA511D0" w14:textId="7ECA3D1E" w:rsidR="00012E51" w:rsidRDefault="00012E51" w:rsidP="00ED3CE0">
      <w:pPr>
        <w:spacing w:after="0"/>
        <w:rPr>
          <w:rFonts w:ascii="Arial" w:hAnsi="Arial" w:cs="Arial"/>
          <w:sz w:val="24"/>
          <w:szCs w:val="24"/>
        </w:rPr>
      </w:pPr>
    </w:p>
    <w:p w14:paraId="2F979FEF" w14:textId="5EFF8413" w:rsidR="00012E51" w:rsidRPr="00F01F48" w:rsidRDefault="00F01F48" w:rsidP="00ED3CE0">
      <w:pPr>
        <w:spacing w:after="0"/>
        <w:rPr>
          <w:rFonts w:ascii="Arial" w:hAnsi="Arial" w:cs="Arial"/>
          <w:color w:val="0070C0"/>
          <w:sz w:val="24"/>
          <w:szCs w:val="24"/>
        </w:rPr>
      </w:pPr>
      <w:r>
        <w:rPr>
          <w:rFonts w:ascii="Arial" w:hAnsi="Arial" w:cs="Arial"/>
          <w:color w:val="0070C0"/>
          <w:sz w:val="24"/>
          <w:szCs w:val="24"/>
        </w:rPr>
        <w:t xml:space="preserve">After review of the GA Workform there was an error </w:t>
      </w:r>
      <w:r w:rsidR="00B87E26">
        <w:rPr>
          <w:rFonts w:ascii="Arial" w:hAnsi="Arial" w:cs="Arial"/>
          <w:color w:val="0070C0"/>
          <w:sz w:val="24"/>
          <w:szCs w:val="24"/>
        </w:rPr>
        <w:t xml:space="preserve">in the second table due to an incorrect rolling of the months. A revised workform is attached. </w:t>
      </w:r>
    </w:p>
    <w:sectPr w:rsidR="00012E51" w:rsidRPr="00F01F48" w:rsidSect="00EA0919">
      <w:headerReference w:type="default" r:id="rId15"/>
      <w:pgSz w:w="12240" w:h="15840" w:code="1"/>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F15EDC" w14:textId="77777777" w:rsidR="00360806" w:rsidRDefault="00360806" w:rsidP="00851418">
      <w:pPr>
        <w:spacing w:after="0" w:line="240" w:lineRule="auto"/>
      </w:pPr>
      <w:r>
        <w:separator/>
      </w:r>
    </w:p>
  </w:endnote>
  <w:endnote w:type="continuationSeparator" w:id="0">
    <w:p w14:paraId="18B5FF74" w14:textId="77777777" w:rsidR="00360806" w:rsidRDefault="00360806" w:rsidP="00851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A1D954" w14:textId="77777777" w:rsidR="00360806" w:rsidRDefault="00360806" w:rsidP="00851418">
      <w:pPr>
        <w:spacing w:after="0" w:line="240" w:lineRule="auto"/>
      </w:pPr>
      <w:r>
        <w:separator/>
      </w:r>
    </w:p>
  </w:footnote>
  <w:footnote w:type="continuationSeparator" w:id="0">
    <w:p w14:paraId="13138CDD" w14:textId="77777777" w:rsidR="00360806" w:rsidRDefault="00360806" w:rsidP="008514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FF0F91" w14:textId="0FB632DD" w:rsidR="00851418" w:rsidRPr="00DA5F69" w:rsidRDefault="00D5062F">
    <w:pPr>
      <w:pStyle w:val="Header"/>
      <w:rPr>
        <w:rFonts w:ascii="Arial" w:hAnsi="Arial" w:cs="Arial"/>
        <w:sz w:val="20"/>
        <w:szCs w:val="20"/>
      </w:rPr>
    </w:pPr>
    <w:r w:rsidRPr="00DA5F69">
      <w:rPr>
        <w:rFonts w:ascii="Arial" w:hAnsi="Arial" w:cs="Arial"/>
        <w:sz w:val="20"/>
        <w:szCs w:val="20"/>
      </w:rPr>
      <w:ptab w:relativeTo="margin" w:alignment="center" w:leader="none"/>
    </w:r>
    <w:r w:rsidRPr="00DA5F69">
      <w:rPr>
        <w:rFonts w:ascii="Arial" w:hAnsi="Arial" w:cs="Arial"/>
        <w:sz w:val="20"/>
        <w:szCs w:val="20"/>
      </w:rPr>
      <w:ptab w:relativeTo="margin" w:alignment="right" w:leader="none"/>
    </w:r>
    <w:r w:rsidR="00866E79">
      <w:rPr>
        <w:rFonts w:ascii="Arial" w:hAnsi="Arial" w:cs="Arial"/>
        <w:sz w:val="20"/>
        <w:szCs w:val="20"/>
      </w:rPr>
      <w:t>Waterloo North Hydro Inc.</w:t>
    </w:r>
  </w:p>
  <w:p w14:paraId="61052496" w14:textId="4637EDBE" w:rsidR="00D5062F" w:rsidRDefault="001B40BE">
    <w:pPr>
      <w:pStyle w:val="Header"/>
      <w:rPr>
        <w:rFonts w:ascii="Arial" w:hAnsi="Arial" w:cs="Arial"/>
        <w:sz w:val="20"/>
        <w:szCs w:val="20"/>
      </w:rPr>
    </w:pPr>
    <w:r>
      <w:rPr>
        <w:rFonts w:ascii="Arial" w:hAnsi="Arial" w:cs="Arial"/>
        <w:sz w:val="20"/>
        <w:szCs w:val="20"/>
      </w:rPr>
      <w:tab/>
    </w:r>
    <w:r>
      <w:rPr>
        <w:rFonts w:ascii="Arial" w:hAnsi="Arial" w:cs="Arial"/>
        <w:sz w:val="20"/>
        <w:szCs w:val="20"/>
      </w:rPr>
      <w:tab/>
      <w:t>EB-2018</w:t>
    </w:r>
    <w:r w:rsidR="00DA5F69" w:rsidRPr="00DA5F69">
      <w:rPr>
        <w:rFonts w:ascii="Arial" w:hAnsi="Arial" w:cs="Arial"/>
        <w:sz w:val="20"/>
        <w:szCs w:val="20"/>
      </w:rPr>
      <w:t>-00</w:t>
    </w:r>
    <w:r w:rsidR="00866E79">
      <w:rPr>
        <w:rFonts w:ascii="Arial" w:hAnsi="Arial" w:cs="Arial"/>
        <w:sz w:val="20"/>
        <w:szCs w:val="20"/>
      </w:rPr>
      <w:t>74</w:t>
    </w:r>
  </w:p>
  <w:p w14:paraId="1D597286" w14:textId="1BF65BE9" w:rsidR="00B34F02" w:rsidRPr="00DA5F69" w:rsidRDefault="00D5062F">
    <w:pPr>
      <w:pStyle w:val="Header"/>
      <w:rPr>
        <w:rFonts w:ascii="Arial" w:hAnsi="Arial" w:cs="Arial"/>
        <w:b/>
        <w:sz w:val="20"/>
        <w:szCs w:val="20"/>
      </w:rPr>
    </w:pPr>
    <w:r w:rsidRPr="00DA5F69">
      <w:rPr>
        <w:rFonts w:ascii="Arial" w:hAnsi="Arial" w:cs="Arial"/>
        <w:sz w:val="20"/>
        <w:szCs w:val="20"/>
      </w:rPr>
      <w:tab/>
    </w:r>
    <w:r w:rsidRPr="00DA5F69">
      <w:rPr>
        <w:rFonts w:ascii="Arial" w:hAnsi="Arial" w:cs="Arial"/>
        <w:sz w:val="20"/>
        <w:szCs w:val="20"/>
      </w:rPr>
      <w:tab/>
      <w:t xml:space="preserve">Page </w:t>
    </w:r>
    <w:r w:rsidRPr="00DA5F69">
      <w:rPr>
        <w:rFonts w:ascii="Arial" w:hAnsi="Arial" w:cs="Arial"/>
        <w:b/>
        <w:sz w:val="20"/>
        <w:szCs w:val="20"/>
      </w:rPr>
      <w:fldChar w:fldCharType="begin"/>
    </w:r>
    <w:r w:rsidRPr="00DA5F69">
      <w:rPr>
        <w:rFonts w:ascii="Arial" w:hAnsi="Arial" w:cs="Arial"/>
        <w:b/>
        <w:sz w:val="20"/>
        <w:szCs w:val="20"/>
      </w:rPr>
      <w:instrText xml:space="preserve"> PAGE  \* Arabic  \* MERGEFORMAT </w:instrText>
    </w:r>
    <w:r w:rsidRPr="00DA5F69">
      <w:rPr>
        <w:rFonts w:ascii="Arial" w:hAnsi="Arial" w:cs="Arial"/>
        <w:b/>
        <w:sz w:val="20"/>
        <w:szCs w:val="20"/>
      </w:rPr>
      <w:fldChar w:fldCharType="separate"/>
    </w:r>
    <w:r w:rsidR="00FB6C4B">
      <w:rPr>
        <w:rFonts w:ascii="Arial" w:hAnsi="Arial" w:cs="Arial"/>
        <w:b/>
        <w:noProof/>
        <w:sz w:val="20"/>
        <w:szCs w:val="20"/>
      </w:rPr>
      <w:t>4</w:t>
    </w:r>
    <w:r w:rsidRPr="00DA5F69">
      <w:rPr>
        <w:rFonts w:ascii="Arial" w:hAnsi="Arial" w:cs="Arial"/>
        <w:b/>
        <w:sz w:val="20"/>
        <w:szCs w:val="20"/>
      </w:rPr>
      <w:fldChar w:fldCharType="end"/>
    </w:r>
    <w:r w:rsidRPr="00DA5F69">
      <w:rPr>
        <w:rFonts w:ascii="Arial" w:hAnsi="Arial" w:cs="Arial"/>
        <w:sz w:val="20"/>
        <w:szCs w:val="20"/>
      </w:rPr>
      <w:t xml:space="preserve"> of </w:t>
    </w:r>
    <w:r w:rsidRPr="00DA5F69">
      <w:rPr>
        <w:rFonts w:ascii="Arial" w:hAnsi="Arial" w:cs="Arial"/>
        <w:b/>
        <w:sz w:val="20"/>
        <w:szCs w:val="20"/>
      </w:rPr>
      <w:fldChar w:fldCharType="begin"/>
    </w:r>
    <w:r w:rsidRPr="00DA5F69">
      <w:rPr>
        <w:rFonts w:ascii="Arial" w:hAnsi="Arial" w:cs="Arial"/>
        <w:b/>
        <w:sz w:val="20"/>
        <w:szCs w:val="20"/>
      </w:rPr>
      <w:instrText xml:space="preserve"> NUMPAGES  \* Arabic  \* MERGEFORMAT </w:instrText>
    </w:r>
    <w:r w:rsidRPr="00DA5F69">
      <w:rPr>
        <w:rFonts w:ascii="Arial" w:hAnsi="Arial" w:cs="Arial"/>
        <w:b/>
        <w:sz w:val="20"/>
        <w:szCs w:val="20"/>
      </w:rPr>
      <w:fldChar w:fldCharType="separate"/>
    </w:r>
    <w:r w:rsidR="00FB6C4B">
      <w:rPr>
        <w:rFonts w:ascii="Arial" w:hAnsi="Arial" w:cs="Arial"/>
        <w:b/>
        <w:noProof/>
        <w:sz w:val="20"/>
        <w:szCs w:val="20"/>
      </w:rPr>
      <w:t>10</w:t>
    </w:r>
    <w:r w:rsidRPr="00DA5F69">
      <w:rPr>
        <w:rFonts w:ascii="Arial" w:hAnsi="Arial" w:cs="Arial"/>
        <w:b/>
        <w:sz w:val="20"/>
        <w:szCs w:val="20"/>
      </w:rPr>
      <w:fldChar w:fldCharType="end"/>
    </w:r>
  </w:p>
  <w:p w14:paraId="0B8B44F7" w14:textId="77777777" w:rsidR="00D5062F" w:rsidRDefault="00D5062F">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B7195"/>
    <w:multiLevelType w:val="hybridMultilevel"/>
    <w:tmpl w:val="AB92A3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9C6B39"/>
    <w:multiLevelType w:val="hybridMultilevel"/>
    <w:tmpl w:val="19F412F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8B1066B"/>
    <w:multiLevelType w:val="hybridMultilevel"/>
    <w:tmpl w:val="95962D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1631C4"/>
    <w:multiLevelType w:val="hybridMultilevel"/>
    <w:tmpl w:val="DEC4AD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38394C"/>
    <w:multiLevelType w:val="hybridMultilevel"/>
    <w:tmpl w:val="AF1424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0A6302"/>
    <w:multiLevelType w:val="hybridMultilevel"/>
    <w:tmpl w:val="A184D3E6"/>
    <w:lvl w:ilvl="0" w:tplc="CBEEE570">
      <w:start w:val="1"/>
      <w:numFmt w:val="lowerLetter"/>
      <w:lvlText w:val="%1)"/>
      <w:lvlJc w:val="left"/>
      <w:pPr>
        <w:ind w:left="720" w:hanging="360"/>
      </w:pPr>
      <w:rPr>
        <w:rFonts w:ascii="Arial" w:hAnsi="Arial" w:cs="Arial"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AC1155"/>
    <w:multiLevelType w:val="hybridMultilevel"/>
    <w:tmpl w:val="2E9210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55759C"/>
    <w:multiLevelType w:val="hybridMultilevel"/>
    <w:tmpl w:val="B23E73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F71630"/>
    <w:multiLevelType w:val="hybridMultilevel"/>
    <w:tmpl w:val="5492B8B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7D71BE"/>
    <w:multiLevelType w:val="hybridMultilevel"/>
    <w:tmpl w:val="ACA4956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9A726D"/>
    <w:multiLevelType w:val="hybridMultilevel"/>
    <w:tmpl w:val="9AF8A810"/>
    <w:lvl w:ilvl="0" w:tplc="EE3E5888">
      <w:start w:val="1"/>
      <w:numFmt w:val="lowerLetter"/>
      <w:lvlText w:val="%1)"/>
      <w:lvlJc w:val="left"/>
      <w:pPr>
        <w:ind w:left="720" w:hanging="360"/>
      </w:pPr>
      <w:rPr>
        <w:rFonts w:ascii="Arial" w:eastAsiaTheme="minorHAnsi" w:hAnsi="Arial" w:cs="Arial"/>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66481BA5"/>
    <w:multiLevelType w:val="hybridMultilevel"/>
    <w:tmpl w:val="64B882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B9514A2"/>
    <w:multiLevelType w:val="hybridMultilevel"/>
    <w:tmpl w:val="3588F7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DD53912"/>
    <w:multiLevelType w:val="hybridMultilevel"/>
    <w:tmpl w:val="F468DDF0"/>
    <w:lvl w:ilvl="0" w:tplc="04090011">
      <w:start w:val="1"/>
      <w:numFmt w:val="decimal"/>
      <w:lvlText w:val="%1)"/>
      <w:lvlJc w:val="left"/>
      <w:pPr>
        <w:ind w:left="360" w:hanging="360"/>
      </w:pPr>
      <w:rPr>
        <w:rFonts w:hint="default"/>
      </w:r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 w:numId="3">
    <w:abstractNumId w:val="4"/>
  </w:num>
  <w:num w:numId="4">
    <w:abstractNumId w:val="7"/>
  </w:num>
  <w:num w:numId="5">
    <w:abstractNumId w:val="3"/>
  </w:num>
  <w:num w:numId="6">
    <w:abstractNumId w:val="10"/>
  </w:num>
  <w:num w:numId="7">
    <w:abstractNumId w:val="12"/>
  </w:num>
  <w:num w:numId="8">
    <w:abstractNumId w:val="13"/>
  </w:num>
  <w:num w:numId="9">
    <w:abstractNumId w:val="2"/>
  </w:num>
  <w:num w:numId="10">
    <w:abstractNumId w:val="5"/>
  </w:num>
  <w:num w:numId="11">
    <w:abstractNumId w:val="11"/>
  </w:num>
  <w:num w:numId="12">
    <w:abstractNumId w:val="8"/>
  </w:num>
  <w:num w:numId="13">
    <w:abstractNumId w:val="6"/>
  </w:num>
  <w:num w:numId="14">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6F8"/>
    <w:rsid w:val="00003BE1"/>
    <w:rsid w:val="000069CF"/>
    <w:rsid w:val="00011987"/>
    <w:rsid w:val="00012E51"/>
    <w:rsid w:val="0001354E"/>
    <w:rsid w:val="0001531F"/>
    <w:rsid w:val="00030D12"/>
    <w:rsid w:val="000414BC"/>
    <w:rsid w:val="00041BBD"/>
    <w:rsid w:val="000437D6"/>
    <w:rsid w:val="00046E03"/>
    <w:rsid w:val="0005541D"/>
    <w:rsid w:val="00073711"/>
    <w:rsid w:val="00081604"/>
    <w:rsid w:val="000843ED"/>
    <w:rsid w:val="00096D51"/>
    <w:rsid w:val="000A1997"/>
    <w:rsid w:val="000B51CC"/>
    <w:rsid w:val="000C035C"/>
    <w:rsid w:val="000D2EAF"/>
    <w:rsid w:val="000E09DB"/>
    <w:rsid w:val="000E1DAE"/>
    <w:rsid w:val="000E4C7B"/>
    <w:rsid w:val="000F0FBB"/>
    <w:rsid w:val="001010C7"/>
    <w:rsid w:val="001027DF"/>
    <w:rsid w:val="00112D88"/>
    <w:rsid w:val="00145A2B"/>
    <w:rsid w:val="00146770"/>
    <w:rsid w:val="00150BE5"/>
    <w:rsid w:val="001563E4"/>
    <w:rsid w:val="00156B65"/>
    <w:rsid w:val="0016286E"/>
    <w:rsid w:val="0016330B"/>
    <w:rsid w:val="00163BCB"/>
    <w:rsid w:val="00171C5D"/>
    <w:rsid w:val="00175E69"/>
    <w:rsid w:val="0018179E"/>
    <w:rsid w:val="001A184E"/>
    <w:rsid w:val="001B1072"/>
    <w:rsid w:val="001B2AD3"/>
    <w:rsid w:val="001B40BE"/>
    <w:rsid w:val="001C7CA4"/>
    <w:rsid w:val="001D2BB6"/>
    <w:rsid w:val="001D7086"/>
    <w:rsid w:val="001D7A71"/>
    <w:rsid w:val="001E069B"/>
    <w:rsid w:val="001E6EA6"/>
    <w:rsid w:val="001F5CB6"/>
    <w:rsid w:val="00204A40"/>
    <w:rsid w:val="00204CE7"/>
    <w:rsid w:val="0021184B"/>
    <w:rsid w:val="002152C0"/>
    <w:rsid w:val="0023076C"/>
    <w:rsid w:val="00233B92"/>
    <w:rsid w:val="002363C3"/>
    <w:rsid w:val="0024013C"/>
    <w:rsid w:val="00241483"/>
    <w:rsid w:val="002510CD"/>
    <w:rsid w:val="002579E0"/>
    <w:rsid w:val="00261348"/>
    <w:rsid w:val="00272B65"/>
    <w:rsid w:val="00284B69"/>
    <w:rsid w:val="00286DC4"/>
    <w:rsid w:val="00293086"/>
    <w:rsid w:val="002966E4"/>
    <w:rsid w:val="0029762E"/>
    <w:rsid w:val="002A72E9"/>
    <w:rsid w:val="002B7C64"/>
    <w:rsid w:val="002C75F8"/>
    <w:rsid w:val="002D2F55"/>
    <w:rsid w:val="002F218C"/>
    <w:rsid w:val="00303671"/>
    <w:rsid w:val="00304228"/>
    <w:rsid w:val="00323A89"/>
    <w:rsid w:val="00323BCB"/>
    <w:rsid w:val="0032442F"/>
    <w:rsid w:val="0032693C"/>
    <w:rsid w:val="00351FEF"/>
    <w:rsid w:val="0035397C"/>
    <w:rsid w:val="00354A5F"/>
    <w:rsid w:val="00360806"/>
    <w:rsid w:val="003624ED"/>
    <w:rsid w:val="003627F6"/>
    <w:rsid w:val="00370D5B"/>
    <w:rsid w:val="0037285F"/>
    <w:rsid w:val="003807A2"/>
    <w:rsid w:val="003834CA"/>
    <w:rsid w:val="003856F8"/>
    <w:rsid w:val="00393FCD"/>
    <w:rsid w:val="00394351"/>
    <w:rsid w:val="0039687D"/>
    <w:rsid w:val="0039794B"/>
    <w:rsid w:val="003A7960"/>
    <w:rsid w:val="003C216A"/>
    <w:rsid w:val="003E076C"/>
    <w:rsid w:val="003E7D1C"/>
    <w:rsid w:val="003F1B00"/>
    <w:rsid w:val="003F1B82"/>
    <w:rsid w:val="003F609A"/>
    <w:rsid w:val="003F7D01"/>
    <w:rsid w:val="00406CDC"/>
    <w:rsid w:val="00412DC6"/>
    <w:rsid w:val="0043160E"/>
    <w:rsid w:val="00450CB6"/>
    <w:rsid w:val="00463CA8"/>
    <w:rsid w:val="00464D00"/>
    <w:rsid w:val="00471B90"/>
    <w:rsid w:val="00472EFF"/>
    <w:rsid w:val="004734FA"/>
    <w:rsid w:val="0047404F"/>
    <w:rsid w:val="00475BCE"/>
    <w:rsid w:val="004934A8"/>
    <w:rsid w:val="004939A5"/>
    <w:rsid w:val="004A5F89"/>
    <w:rsid w:val="004C01D2"/>
    <w:rsid w:val="004C1F32"/>
    <w:rsid w:val="004D46E0"/>
    <w:rsid w:val="004F04C5"/>
    <w:rsid w:val="004F4145"/>
    <w:rsid w:val="00511282"/>
    <w:rsid w:val="005117CF"/>
    <w:rsid w:val="005216D6"/>
    <w:rsid w:val="005349C8"/>
    <w:rsid w:val="00545B8E"/>
    <w:rsid w:val="00553935"/>
    <w:rsid w:val="0056158D"/>
    <w:rsid w:val="005879AC"/>
    <w:rsid w:val="005979B0"/>
    <w:rsid w:val="005A69AC"/>
    <w:rsid w:val="005B0481"/>
    <w:rsid w:val="005B4C39"/>
    <w:rsid w:val="005B6E11"/>
    <w:rsid w:val="005C4D50"/>
    <w:rsid w:val="005C5C6B"/>
    <w:rsid w:val="005D352B"/>
    <w:rsid w:val="005D772D"/>
    <w:rsid w:val="005E0591"/>
    <w:rsid w:val="005E77DD"/>
    <w:rsid w:val="005F1F8A"/>
    <w:rsid w:val="005F38E0"/>
    <w:rsid w:val="00601C3B"/>
    <w:rsid w:val="0060662D"/>
    <w:rsid w:val="006125B7"/>
    <w:rsid w:val="006225E9"/>
    <w:rsid w:val="00634992"/>
    <w:rsid w:val="0063554D"/>
    <w:rsid w:val="00650A44"/>
    <w:rsid w:val="006546FF"/>
    <w:rsid w:val="006550FD"/>
    <w:rsid w:val="006561C4"/>
    <w:rsid w:val="006604B5"/>
    <w:rsid w:val="006659F5"/>
    <w:rsid w:val="0069057C"/>
    <w:rsid w:val="00690FCD"/>
    <w:rsid w:val="00691C29"/>
    <w:rsid w:val="00692FC5"/>
    <w:rsid w:val="00696A07"/>
    <w:rsid w:val="006A6276"/>
    <w:rsid w:val="006A6B6B"/>
    <w:rsid w:val="006A72DB"/>
    <w:rsid w:val="006B4DAB"/>
    <w:rsid w:val="006B7A95"/>
    <w:rsid w:val="006C68C5"/>
    <w:rsid w:val="006D268A"/>
    <w:rsid w:val="006E1551"/>
    <w:rsid w:val="006F3EFE"/>
    <w:rsid w:val="00706907"/>
    <w:rsid w:val="007175F9"/>
    <w:rsid w:val="00722B60"/>
    <w:rsid w:val="007419C6"/>
    <w:rsid w:val="00746080"/>
    <w:rsid w:val="00767C3E"/>
    <w:rsid w:val="00772E59"/>
    <w:rsid w:val="00776FED"/>
    <w:rsid w:val="007829E5"/>
    <w:rsid w:val="00794B4A"/>
    <w:rsid w:val="007A64A9"/>
    <w:rsid w:val="007C5A54"/>
    <w:rsid w:val="007D3C19"/>
    <w:rsid w:val="007D51C9"/>
    <w:rsid w:val="007F40FF"/>
    <w:rsid w:val="00801BB6"/>
    <w:rsid w:val="00806D93"/>
    <w:rsid w:val="00807B44"/>
    <w:rsid w:val="00831DBE"/>
    <w:rsid w:val="00832A00"/>
    <w:rsid w:val="00834E7C"/>
    <w:rsid w:val="00850053"/>
    <w:rsid w:val="00851418"/>
    <w:rsid w:val="008539D9"/>
    <w:rsid w:val="00866E79"/>
    <w:rsid w:val="0087639C"/>
    <w:rsid w:val="0087688C"/>
    <w:rsid w:val="008A0688"/>
    <w:rsid w:val="008A57B0"/>
    <w:rsid w:val="008A5D3A"/>
    <w:rsid w:val="008B6D75"/>
    <w:rsid w:val="008C5FAC"/>
    <w:rsid w:val="008C74E3"/>
    <w:rsid w:val="008E2ACF"/>
    <w:rsid w:val="008F0FAA"/>
    <w:rsid w:val="008F688C"/>
    <w:rsid w:val="008F73E8"/>
    <w:rsid w:val="00900330"/>
    <w:rsid w:val="00906622"/>
    <w:rsid w:val="009071CF"/>
    <w:rsid w:val="009138FC"/>
    <w:rsid w:val="00923824"/>
    <w:rsid w:val="00937121"/>
    <w:rsid w:val="00953C66"/>
    <w:rsid w:val="009635B5"/>
    <w:rsid w:val="009643D1"/>
    <w:rsid w:val="009677A0"/>
    <w:rsid w:val="009807D8"/>
    <w:rsid w:val="00983A06"/>
    <w:rsid w:val="00985D4D"/>
    <w:rsid w:val="00993F61"/>
    <w:rsid w:val="009B02A8"/>
    <w:rsid w:val="009C17CC"/>
    <w:rsid w:val="009C79A3"/>
    <w:rsid w:val="009D30CF"/>
    <w:rsid w:val="009E0910"/>
    <w:rsid w:val="009E1E72"/>
    <w:rsid w:val="009E4F0A"/>
    <w:rsid w:val="00A01599"/>
    <w:rsid w:val="00A102CC"/>
    <w:rsid w:val="00A14832"/>
    <w:rsid w:val="00A16652"/>
    <w:rsid w:val="00A207D8"/>
    <w:rsid w:val="00A30E40"/>
    <w:rsid w:val="00A36FB3"/>
    <w:rsid w:val="00A52E2A"/>
    <w:rsid w:val="00A56010"/>
    <w:rsid w:val="00A56508"/>
    <w:rsid w:val="00A668A7"/>
    <w:rsid w:val="00A704BA"/>
    <w:rsid w:val="00A713D4"/>
    <w:rsid w:val="00A71C61"/>
    <w:rsid w:val="00A71F2C"/>
    <w:rsid w:val="00A81A28"/>
    <w:rsid w:val="00A83349"/>
    <w:rsid w:val="00A83697"/>
    <w:rsid w:val="00A92BB5"/>
    <w:rsid w:val="00A9717E"/>
    <w:rsid w:val="00AA06D9"/>
    <w:rsid w:val="00AB0B9E"/>
    <w:rsid w:val="00AC1BA1"/>
    <w:rsid w:val="00AD340F"/>
    <w:rsid w:val="00AF12C9"/>
    <w:rsid w:val="00AF288A"/>
    <w:rsid w:val="00AF2B0D"/>
    <w:rsid w:val="00B076A5"/>
    <w:rsid w:val="00B20109"/>
    <w:rsid w:val="00B247C1"/>
    <w:rsid w:val="00B25576"/>
    <w:rsid w:val="00B314F3"/>
    <w:rsid w:val="00B34F02"/>
    <w:rsid w:val="00B41852"/>
    <w:rsid w:val="00B56997"/>
    <w:rsid w:val="00B611D3"/>
    <w:rsid w:val="00B76EA7"/>
    <w:rsid w:val="00B87E26"/>
    <w:rsid w:val="00B97F5F"/>
    <w:rsid w:val="00B97FB4"/>
    <w:rsid w:val="00BA12EA"/>
    <w:rsid w:val="00BC1A68"/>
    <w:rsid w:val="00BD4512"/>
    <w:rsid w:val="00BD52F2"/>
    <w:rsid w:val="00BD754D"/>
    <w:rsid w:val="00BE1A92"/>
    <w:rsid w:val="00BF7CFF"/>
    <w:rsid w:val="00C23F96"/>
    <w:rsid w:val="00C27332"/>
    <w:rsid w:val="00C6280A"/>
    <w:rsid w:val="00C63C8D"/>
    <w:rsid w:val="00C7140B"/>
    <w:rsid w:val="00C744C2"/>
    <w:rsid w:val="00C818E2"/>
    <w:rsid w:val="00C91B44"/>
    <w:rsid w:val="00CA0B82"/>
    <w:rsid w:val="00CA234C"/>
    <w:rsid w:val="00CA344E"/>
    <w:rsid w:val="00CA6CFD"/>
    <w:rsid w:val="00CB168B"/>
    <w:rsid w:val="00CC447E"/>
    <w:rsid w:val="00CC6D11"/>
    <w:rsid w:val="00CF0F7C"/>
    <w:rsid w:val="00D02D7F"/>
    <w:rsid w:val="00D0773D"/>
    <w:rsid w:val="00D20D0B"/>
    <w:rsid w:val="00D215CA"/>
    <w:rsid w:val="00D21A42"/>
    <w:rsid w:val="00D2658F"/>
    <w:rsid w:val="00D348BB"/>
    <w:rsid w:val="00D352AB"/>
    <w:rsid w:val="00D36BBE"/>
    <w:rsid w:val="00D47CBB"/>
    <w:rsid w:val="00D5062F"/>
    <w:rsid w:val="00D5227A"/>
    <w:rsid w:val="00D56A27"/>
    <w:rsid w:val="00D61064"/>
    <w:rsid w:val="00D621FC"/>
    <w:rsid w:val="00D72628"/>
    <w:rsid w:val="00D80EDE"/>
    <w:rsid w:val="00D87B36"/>
    <w:rsid w:val="00D91B73"/>
    <w:rsid w:val="00D958A6"/>
    <w:rsid w:val="00D95CAA"/>
    <w:rsid w:val="00D95F3E"/>
    <w:rsid w:val="00D974D5"/>
    <w:rsid w:val="00D975C5"/>
    <w:rsid w:val="00DA09D0"/>
    <w:rsid w:val="00DA2484"/>
    <w:rsid w:val="00DA4B99"/>
    <w:rsid w:val="00DA5F69"/>
    <w:rsid w:val="00DB30CD"/>
    <w:rsid w:val="00DC2E85"/>
    <w:rsid w:val="00DC3F8F"/>
    <w:rsid w:val="00DD09DC"/>
    <w:rsid w:val="00DE1A3A"/>
    <w:rsid w:val="00DE6348"/>
    <w:rsid w:val="00DF6932"/>
    <w:rsid w:val="00E02478"/>
    <w:rsid w:val="00E2026C"/>
    <w:rsid w:val="00E2297B"/>
    <w:rsid w:val="00E23ECF"/>
    <w:rsid w:val="00E261A1"/>
    <w:rsid w:val="00E26699"/>
    <w:rsid w:val="00E2683A"/>
    <w:rsid w:val="00E31459"/>
    <w:rsid w:val="00E452BA"/>
    <w:rsid w:val="00E45775"/>
    <w:rsid w:val="00E6089B"/>
    <w:rsid w:val="00E63408"/>
    <w:rsid w:val="00E6651E"/>
    <w:rsid w:val="00E74B81"/>
    <w:rsid w:val="00E7523D"/>
    <w:rsid w:val="00E909A7"/>
    <w:rsid w:val="00E9387D"/>
    <w:rsid w:val="00EA0919"/>
    <w:rsid w:val="00EA2CF7"/>
    <w:rsid w:val="00EA6750"/>
    <w:rsid w:val="00EB68C4"/>
    <w:rsid w:val="00EC0C97"/>
    <w:rsid w:val="00EC26AE"/>
    <w:rsid w:val="00ED3CE0"/>
    <w:rsid w:val="00ED3F0B"/>
    <w:rsid w:val="00EE450C"/>
    <w:rsid w:val="00EF616E"/>
    <w:rsid w:val="00F01F48"/>
    <w:rsid w:val="00F213C1"/>
    <w:rsid w:val="00F27A5F"/>
    <w:rsid w:val="00F34EDA"/>
    <w:rsid w:val="00F4428A"/>
    <w:rsid w:val="00F45C35"/>
    <w:rsid w:val="00F66E08"/>
    <w:rsid w:val="00F72F89"/>
    <w:rsid w:val="00F86479"/>
    <w:rsid w:val="00F91432"/>
    <w:rsid w:val="00F92F12"/>
    <w:rsid w:val="00F96ACE"/>
    <w:rsid w:val="00FB3A11"/>
    <w:rsid w:val="00FB6C4B"/>
    <w:rsid w:val="00FC76AA"/>
    <w:rsid w:val="00FD5EDC"/>
    <w:rsid w:val="00FE794E"/>
    <w:rsid w:val="00FF68CC"/>
    <w:rsid w:val="00FF6EA0"/>
    <w:rsid w:val="00FF72F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6F923ECF"/>
  <w15:docId w15:val="{98FF87BC-ABA1-4955-85CA-7978A6FEF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442F"/>
    <w:pPr>
      <w:ind w:left="720"/>
      <w:contextualSpacing/>
    </w:pPr>
  </w:style>
  <w:style w:type="paragraph" w:styleId="BalloonText">
    <w:name w:val="Balloon Text"/>
    <w:basedOn w:val="Normal"/>
    <w:link w:val="BalloonTextChar"/>
    <w:uiPriority w:val="99"/>
    <w:semiHidden/>
    <w:unhideWhenUsed/>
    <w:rsid w:val="009643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43D1"/>
    <w:rPr>
      <w:rFonts w:ascii="Tahoma" w:hAnsi="Tahoma" w:cs="Tahoma"/>
      <w:sz w:val="16"/>
      <w:szCs w:val="16"/>
    </w:rPr>
  </w:style>
  <w:style w:type="paragraph" w:styleId="Header">
    <w:name w:val="header"/>
    <w:basedOn w:val="Normal"/>
    <w:link w:val="HeaderChar"/>
    <w:uiPriority w:val="99"/>
    <w:unhideWhenUsed/>
    <w:rsid w:val="008514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418"/>
  </w:style>
  <w:style w:type="paragraph" w:styleId="Footer">
    <w:name w:val="footer"/>
    <w:basedOn w:val="Normal"/>
    <w:link w:val="FooterChar"/>
    <w:uiPriority w:val="99"/>
    <w:unhideWhenUsed/>
    <w:rsid w:val="008514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418"/>
  </w:style>
  <w:style w:type="character" w:styleId="Hyperlink">
    <w:name w:val="Hyperlink"/>
    <w:basedOn w:val="DefaultParagraphFont"/>
    <w:uiPriority w:val="99"/>
    <w:unhideWhenUsed/>
    <w:rsid w:val="00145A2B"/>
    <w:rPr>
      <w:color w:val="0000FF" w:themeColor="hyperlink"/>
      <w:u w:val="single"/>
    </w:rPr>
  </w:style>
  <w:style w:type="paragraph" w:customStyle="1" w:styleId="Default">
    <w:name w:val="Default"/>
    <w:rsid w:val="00A56010"/>
    <w:pPr>
      <w:autoSpaceDE w:val="0"/>
      <w:autoSpaceDN w:val="0"/>
      <w:adjustRightInd w:val="0"/>
      <w:spacing w:after="0" w:line="240" w:lineRule="auto"/>
    </w:pPr>
    <w:rPr>
      <w:rFonts w:ascii="Arial" w:hAnsi="Arial" w:cs="Arial"/>
      <w:color w:val="000000"/>
      <w:sz w:val="24"/>
      <w:szCs w:val="24"/>
    </w:rPr>
  </w:style>
  <w:style w:type="paragraph" w:styleId="FootnoteText">
    <w:name w:val="footnote text"/>
    <w:basedOn w:val="Normal"/>
    <w:link w:val="FootnoteTextChar"/>
    <w:uiPriority w:val="99"/>
    <w:semiHidden/>
    <w:unhideWhenUsed/>
    <w:rsid w:val="0090033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0330"/>
    <w:rPr>
      <w:sz w:val="20"/>
      <w:szCs w:val="20"/>
    </w:rPr>
  </w:style>
  <w:style w:type="character" w:styleId="FootnoteReference">
    <w:name w:val="footnote reference"/>
    <w:basedOn w:val="DefaultParagraphFont"/>
    <w:uiPriority w:val="99"/>
    <w:semiHidden/>
    <w:unhideWhenUsed/>
    <w:rsid w:val="00900330"/>
    <w:rPr>
      <w:vertAlign w:val="superscript"/>
    </w:rPr>
  </w:style>
  <w:style w:type="character" w:styleId="CommentReference">
    <w:name w:val="annotation reference"/>
    <w:basedOn w:val="DefaultParagraphFont"/>
    <w:uiPriority w:val="99"/>
    <w:semiHidden/>
    <w:unhideWhenUsed/>
    <w:rsid w:val="00772E59"/>
    <w:rPr>
      <w:sz w:val="16"/>
      <w:szCs w:val="16"/>
    </w:rPr>
  </w:style>
  <w:style w:type="paragraph" w:styleId="CommentText">
    <w:name w:val="annotation text"/>
    <w:basedOn w:val="Normal"/>
    <w:link w:val="CommentTextChar"/>
    <w:uiPriority w:val="99"/>
    <w:semiHidden/>
    <w:unhideWhenUsed/>
    <w:rsid w:val="00772E59"/>
    <w:pPr>
      <w:spacing w:line="240" w:lineRule="auto"/>
    </w:pPr>
    <w:rPr>
      <w:sz w:val="20"/>
      <w:szCs w:val="20"/>
    </w:rPr>
  </w:style>
  <w:style w:type="character" w:customStyle="1" w:styleId="CommentTextChar">
    <w:name w:val="Comment Text Char"/>
    <w:basedOn w:val="DefaultParagraphFont"/>
    <w:link w:val="CommentText"/>
    <w:uiPriority w:val="99"/>
    <w:semiHidden/>
    <w:rsid w:val="00772E59"/>
    <w:rPr>
      <w:sz w:val="20"/>
      <w:szCs w:val="20"/>
    </w:rPr>
  </w:style>
  <w:style w:type="paragraph" w:styleId="CommentSubject">
    <w:name w:val="annotation subject"/>
    <w:basedOn w:val="CommentText"/>
    <w:next w:val="CommentText"/>
    <w:link w:val="CommentSubjectChar"/>
    <w:uiPriority w:val="99"/>
    <w:semiHidden/>
    <w:unhideWhenUsed/>
    <w:rsid w:val="00772E59"/>
    <w:rPr>
      <w:b/>
      <w:bCs/>
    </w:rPr>
  </w:style>
  <w:style w:type="character" w:customStyle="1" w:styleId="CommentSubjectChar">
    <w:name w:val="Comment Subject Char"/>
    <w:basedOn w:val="CommentTextChar"/>
    <w:link w:val="CommentSubject"/>
    <w:uiPriority w:val="99"/>
    <w:semiHidden/>
    <w:rsid w:val="00772E59"/>
    <w:rPr>
      <w:b/>
      <w:bCs/>
      <w:sz w:val="20"/>
      <w:szCs w:val="20"/>
    </w:rPr>
  </w:style>
  <w:style w:type="table" w:styleId="TableGrid">
    <w:name w:val="Table Grid"/>
    <w:basedOn w:val="TableNormal"/>
    <w:uiPriority w:val="39"/>
    <w:rsid w:val="000E1DA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092824">
      <w:bodyDiv w:val="1"/>
      <w:marLeft w:val="0"/>
      <w:marRight w:val="0"/>
      <w:marTop w:val="0"/>
      <w:marBottom w:val="0"/>
      <w:divBdr>
        <w:top w:val="none" w:sz="0" w:space="0" w:color="auto"/>
        <w:left w:val="none" w:sz="0" w:space="0" w:color="auto"/>
        <w:bottom w:val="none" w:sz="0" w:space="0" w:color="auto"/>
        <w:right w:val="none" w:sz="0" w:space="0" w:color="auto"/>
      </w:divBdr>
    </w:div>
    <w:div w:id="545416455">
      <w:bodyDiv w:val="1"/>
      <w:marLeft w:val="0"/>
      <w:marRight w:val="0"/>
      <w:marTop w:val="0"/>
      <w:marBottom w:val="0"/>
      <w:divBdr>
        <w:top w:val="none" w:sz="0" w:space="0" w:color="auto"/>
        <w:left w:val="none" w:sz="0" w:space="0" w:color="auto"/>
        <w:bottom w:val="none" w:sz="0" w:space="0" w:color="auto"/>
        <w:right w:val="none" w:sz="0" w:space="0" w:color="auto"/>
      </w:divBdr>
    </w:div>
    <w:div w:id="567544250">
      <w:bodyDiv w:val="1"/>
      <w:marLeft w:val="0"/>
      <w:marRight w:val="0"/>
      <w:marTop w:val="0"/>
      <w:marBottom w:val="0"/>
      <w:divBdr>
        <w:top w:val="none" w:sz="0" w:space="0" w:color="auto"/>
        <w:left w:val="none" w:sz="0" w:space="0" w:color="auto"/>
        <w:bottom w:val="none" w:sz="0" w:space="0" w:color="auto"/>
        <w:right w:val="none" w:sz="0" w:space="0" w:color="auto"/>
      </w:divBdr>
    </w:div>
    <w:div w:id="1299604929">
      <w:bodyDiv w:val="1"/>
      <w:marLeft w:val="0"/>
      <w:marRight w:val="0"/>
      <w:marTop w:val="0"/>
      <w:marBottom w:val="0"/>
      <w:divBdr>
        <w:top w:val="none" w:sz="0" w:space="0" w:color="auto"/>
        <w:left w:val="none" w:sz="0" w:space="0" w:color="auto"/>
        <w:bottom w:val="none" w:sz="0" w:space="0" w:color="auto"/>
        <w:right w:val="none" w:sz="0" w:space="0" w:color="auto"/>
      </w:divBdr>
    </w:div>
    <w:div w:id="1558005404">
      <w:bodyDiv w:val="1"/>
      <w:marLeft w:val="0"/>
      <w:marRight w:val="0"/>
      <w:marTop w:val="0"/>
      <w:marBottom w:val="0"/>
      <w:divBdr>
        <w:top w:val="none" w:sz="0" w:space="0" w:color="auto"/>
        <w:left w:val="none" w:sz="0" w:space="0" w:color="auto"/>
        <w:bottom w:val="none" w:sz="0" w:space="0" w:color="auto"/>
        <w:right w:val="none" w:sz="0" w:space="0" w:color="auto"/>
      </w:divBdr>
    </w:div>
    <w:div w:id="1621298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1816</Words>
  <Characters>10352</Characters>
  <Application>Microsoft Office Word</Application>
  <DocSecurity>4</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Alyson Conrad</dc:creator>
  <cp:lastModifiedBy>Christiane Wong</cp:lastModifiedBy>
  <cp:revision>2</cp:revision>
  <dcterms:created xsi:type="dcterms:W3CDTF">2018-10-03T11:50:00Z</dcterms:created>
  <dcterms:modified xsi:type="dcterms:W3CDTF">2018-10-03T11:50:00Z</dcterms:modified>
</cp:coreProperties>
</file>