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gif" ContentType="image/gif"/>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26EC" w:rsidRDefault="00F11516" w:rsidP="00F11516">
      <w:pPr>
        <w:jc w:val="left"/>
      </w:pPr>
      <w:r w:rsidRPr="004D1A4F">
        <w:rPr>
          <w:rFonts w:ascii="Calibri" w:hAnsi="Calibri"/>
          <w:noProof/>
        </w:rPr>
        <w:drawing>
          <wp:inline distT="0" distB="0" distL="0" distR="0">
            <wp:extent cx="1409700" cy="561975"/>
            <wp:effectExtent l="0" t="0" r="0" b="9525"/>
            <wp:docPr id="3" name="Picture 3" descr="hydro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ydro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9700" cy="561975"/>
                    </a:xfrm>
                    <a:prstGeom prst="rect">
                      <a:avLst/>
                    </a:prstGeom>
                    <a:noFill/>
                    <a:ln>
                      <a:noFill/>
                    </a:ln>
                  </pic:spPr>
                </pic:pic>
              </a:graphicData>
            </a:graphic>
          </wp:inline>
        </w:drawing>
      </w:r>
    </w:p>
    <w:p w:rsidR="00F11516" w:rsidRDefault="00F11516" w:rsidP="009633A2">
      <w:pPr>
        <w:jc w:val="center"/>
      </w:pPr>
    </w:p>
    <w:p w:rsidR="00F11516" w:rsidRPr="004D1A4F" w:rsidRDefault="00F11516" w:rsidP="009E621A">
      <w:pPr>
        <w:pStyle w:val="NoSpacing"/>
      </w:pPr>
      <w:r w:rsidRPr="004D1A4F">
        <w:t>Ontario Energy Board</w:t>
      </w:r>
      <w:r w:rsidRPr="004D1A4F">
        <w:tab/>
      </w:r>
      <w:r w:rsidRPr="004D1A4F">
        <w:tab/>
      </w:r>
      <w:r w:rsidRPr="004D1A4F">
        <w:tab/>
      </w:r>
      <w:r w:rsidRPr="004D1A4F">
        <w:tab/>
      </w:r>
      <w:r w:rsidR="00BB4DBD">
        <w:tab/>
      </w:r>
      <w:r w:rsidR="00BB4DBD">
        <w:tab/>
      </w:r>
      <w:r w:rsidR="00BB4DBD">
        <w:tab/>
      </w:r>
      <w:r w:rsidR="00833AA0">
        <w:tab/>
      </w:r>
      <w:r w:rsidR="0082334C">
        <w:t xml:space="preserve">November </w:t>
      </w:r>
      <w:r w:rsidR="009E621A">
        <w:t>5</w:t>
      </w:r>
      <w:r w:rsidR="0082334C">
        <w:t xml:space="preserve">, </w:t>
      </w:r>
      <w:r w:rsidR="002E083C">
        <w:t>201</w:t>
      </w:r>
      <w:r w:rsidR="009E621A">
        <w:t>8</w:t>
      </w:r>
      <w:r w:rsidRPr="004D1A4F">
        <w:tab/>
      </w:r>
      <w:r w:rsidRPr="004D1A4F">
        <w:tab/>
      </w:r>
      <w:r w:rsidRPr="004D1A4F">
        <w:tab/>
      </w:r>
      <w:r w:rsidRPr="004D1A4F">
        <w:tab/>
      </w:r>
    </w:p>
    <w:p w:rsidR="00F11516" w:rsidRPr="004D1A4F" w:rsidRDefault="00F11516" w:rsidP="00F11516">
      <w:pPr>
        <w:pStyle w:val="NoSpacing"/>
      </w:pPr>
      <w:r w:rsidRPr="004D1A4F">
        <w:t>P.O. Box 2319</w:t>
      </w:r>
    </w:p>
    <w:p w:rsidR="00F11516" w:rsidRPr="004D1A4F" w:rsidRDefault="00F11516" w:rsidP="00F11516">
      <w:pPr>
        <w:pStyle w:val="NoSpacing"/>
      </w:pPr>
      <w:r w:rsidRPr="004D1A4F">
        <w:t>27</w:t>
      </w:r>
      <w:r w:rsidRPr="004D1A4F">
        <w:rPr>
          <w:vertAlign w:val="superscript"/>
        </w:rPr>
        <w:t>th</w:t>
      </w:r>
      <w:r w:rsidRPr="004D1A4F">
        <w:t xml:space="preserve"> Floor</w:t>
      </w:r>
    </w:p>
    <w:p w:rsidR="00F11516" w:rsidRPr="004D1A4F" w:rsidRDefault="00F11516" w:rsidP="00F11516">
      <w:pPr>
        <w:pStyle w:val="NoSpacing"/>
      </w:pPr>
      <w:r w:rsidRPr="004D1A4F">
        <w:t>2300 Yonge Street</w:t>
      </w:r>
    </w:p>
    <w:p w:rsidR="00F11516" w:rsidRPr="004D1A4F" w:rsidRDefault="00F11516" w:rsidP="00F11516">
      <w:pPr>
        <w:pStyle w:val="NoSpacing"/>
      </w:pPr>
      <w:r w:rsidRPr="004D1A4F">
        <w:t>TORONTO, ON  M4P 1E4</w:t>
      </w:r>
    </w:p>
    <w:p w:rsidR="00F11516" w:rsidRDefault="00F11516" w:rsidP="00F11516">
      <w:pPr>
        <w:rPr>
          <w:rFonts w:ascii="Calibri" w:hAnsi="Calibri"/>
        </w:rPr>
      </w:pPr>
    </w:p>
    <w:p w:rsidR="00F11516" w:rsidRPr="004D1A4F" w:rsidRDefault="00F11516" w:rsidP="00F11516">
      <w:pPr>
        <w:rPr>
          <w:rFonts w:ascii="Calibri" w:hAnsi="Calibri"/>
          <w:b/>
          <w:u w:val="single"/>
        </w:rPr>
      </w:pPr>
      <w:r w:rsidRPr="004D1A4F">
        <w:rPr>
          <w:rFonts w:ascii="Calibri" w:hAnsi="Calibri"/>
          <w:b/>
          <w:u w:val="single"/>
        </w:rPr>
        <w:t xml:space="preserve">Attention:  </w:t>
      </w:r>
      <w:r w:rsidRPr="004D1A4F">
        <w:rPr>
          <w:rFonts w:ascii="Calibri" w:hAnsi="Calibri"/>
          <w:b/>
          <w:u w:val="single"/>
        </w:rPr>
        <w:tab/>
        <w:t>Board Secretary</w:t>
      </w:r>
    </w:p>
    <w:p w:rsidR="00F11516" w:rsidRPr="0079389F" w:rsidRDefault="00F11516" w:rsidP="00F11516">
      <w:pPr>
        <w:rPr>
          <w:rFonts w:ascii="Calibri" w:hAnsi="Calibri"/>
          <w:b/>
          <w:u w:val="single"/>
        </w:rPr>
      </w:pPr>
      <w:r w:rsidRPr="004D1A4F">
        <w:rPr>
          <w:rFonts w:ascii="Calibri" w:hAnsi="Calibri"/>
          <w:b/>
          <w:u w:val="single"/>
        </w:rPr>
        <w:t xml:space="preserve">Re:  </w:t>
      </w:r>
      <w:r w:rsidRPr="004D1A4F">
        <w:rPr>
          <w:rFonts w:ascii="Calibri" w:hAnsi="Calibri"/>
          <w:b/>
          <w:u w:val="single"/>
        </w:rPr>
        <w:tab/>
      </w:r>
      <w:r>
        <w:rPr>
          <w:rFonts w:ascii="Calibri" w:hAnsi="Calibri"/>
          <w:b/>
          <w:u w:val="single"/>
        </w:rPr>
        <w:t>Board File EB-201</w:t>
      </w:r>
      <w:r w:rsidR="009E621A">
        <w:rPr>
          <w:rFonts w:ascii="Calibri" w:hAnsi="Calibri"/>
          <w:b/>
          <w:u w:val="single"/>
        </w:rPr>
        <w:t>8</w:t>
      </w:r>
      <w:r>
        <w:rPr>
          <w:rFonts w:ascii="Calibri" w:hAnsi="Calibri"/>
          <w:b/>
          <w:u w:val="single"/>
        </w:rPr>
        <w:t>-00</w:t>
      </w:r>
      <w:r w:rsidR="009E621A">
        <w:rPr>
          <w:rFonts w:ascii="Calibri" w:hAnsi="Calibri"/>
          <w:b/>
          <w:u w:val="single"/>
        </w:rPr>
        <w:t>46</w:t>
      </w:r>
      <w:r>
        <w:rPr>
          <w:rFonts w:ascii="Calibri" w:hAnsi="Calibri"/>
          <w:b/>
          <w:u w:val="single"/>
        </w:rPr>
        <w:t xml:space="preserve">              201</w:t>
      </w:r>
      <w:r w:rsidR="009E621A">
        <w:rPr>
          <w:rFonts w:ascii="Calibri" w:hAnsi="Calibri"/>
          <w:b/>
          <w:u w:val="single"/>
        </w:rPr>
        <w:t>9</w:t>
      </w:r>
      <w:r>
        <w:rPr>
          <w:rFonts w:ascii="Calibri" w:hAnsi="Calibri"/>
          <w:b/>
          <w:u w:val="single"/>
        </w:rPr>
        <w:t xml:space="preserve"> </w:t>
      </w:r>
      <w:r w:rsidRPr="004D1A4F">
        <w:rPr>
          <w:rFonts w:ascii="Calibri" w:hAnsi="Calibri"/>
          <w:b/>
          <w:u w:val="single"/>
        </w:rPr>
        <w:t>IRM Application</w:t>
      </w:r>
    </w:p>
    <w:p w:rsidR="00F11516" w:rsidRPr="004D1A4F" w:rsidRDefault="00F11516" w:rsidP="00F11516">
      <w:pPr>
        <w:rPr>
          <w:rFonts w:ascii="Calibri" w:hAnsi="Calibri"/>
        </w:rPr>
      </w:pPr>
      <w:r w:rsidRPr="004D1A4F">
        <w:rPr>
          <w:rFonts w:ascii="Calibri" w:hAnsi="Calibri"/>
        </w:rPr>
        <w:t>Dear Ms. Walli:</w:t>
      </w:r>
    </w:p>
    <w:p w:rsidR="00F11516" w:rsidRDefault="00F11516" w:rsidP="00765766">
      <w:pPr>
        <w:pStyle w:val="NoSpacing"/>
      </w:pPr>
      <w:r>
        <w:t>Please find attached Kenora Hydro’s 201</w:t>
      </w:r>
      <w:r w:rsidR="009E621A">
        <w:t>9</w:t>
      </w:r>
      <w:r>
        <w:t xml:space="preserve"> IRM Rate application requesting new rates effective May 1, 201</w:t>
      </w:r>
      <w:r w:rsidR="009E621A">
        <w:t>9</w:t>
      </w:r>
      <w:r>
        <w:t>.</w:t>
      </w:r>
    </w:p>
    <w:p w:rsidR="00765766" w:rsidRDefault="00765766" w:rsidP="00765766">
      <w:pPr>
        <w:pStyle w:val="NoSpacing"/>
      </w:pPr>
    </w:p>
    <w:p w:rsidR="00F11516" w:rsidRDefault="00765766" w:rsidP="00F11516">
      <w:pPr>
        <w:rPr>
          <w:rFonts w:ascii="Calibri" w:hAnsi="Calibri"/>
        </w:rPr>
      </w:pPr>
      <w:r>
        <w:rPr>
          <w:rFonts w:ascii="Calibri" w:hAnsi="Calibri"/>
        </w:rPr>
        <w:t>T</w:t>
      </w:r>
      <w:r w:rsidR="00F11516">
        <w:rPr>
          <w:rFonts w:ascii="Calibri" w:hAnsi="Calibri"/>
        </w:rPr>
        <w:t xml:space="preserve">wo </w:t>
      </w:r>
      <w:r>
        <w:rPr>
          <w:rFonts w:ascii="Calibri" w:hAnsi="Calibri"/>
        </w:rPr>
        <w:t xml:space="preserve">hard copies will follow by courier. </w:t>
      </w:r>
      <w:r w:rsidR="00F11516">
        <w:rPr>
          <w:rFonts w:ascii="Calibri" w:hAnsi="Calibri"/>
        </w:rPr>
        <w:t xml:space="preserve"> This </w:t>
      </w:r>
      <w:r w:rsidR="000321B7">
        <w:rPr>
          <w:rFonts w:ascii="Calibri" w:hAnsi="Calibri"/>
        </w:rPr>
        <w:t>application</w:t>
      </w:r>
      <w:r w:rsidR="00F11516">
        <w:rPr>
          <w:rFonts w:ascii="Calibri" w:hAnsi="Calibri"/>
        </w:rPr>
        <w:t xml:space="preserve"> has also been submitted through the OEB’s web portal.</w:t>
      </w:r>
    </w:p>
    <w:p w:rsidR="00F11516" w:rsidRDefault="00F11516" w:rsidP="00F11516">
      <w:pPr>
        <w:rPr>
          <w:rFonts w:ascii="Calibri" w:hAnsi="Calibri"/>
        </w:rPr>
      </w:pPr>
      <w:r>
        <w:rPr>
          <w:rFonts w:ascii="Calibri" w:hAnsi="Calibri"/>
        </w:rPr>
        <w:t>Please contact me directly at 807-467-2014 should you require anything further.</w:t>
      </w:r>
    </w:p>
    <w:p w:rsidR="00F11516" w:rsidRPr="004D1A4F" w:rsidRDefault="00F11516" w:rsidP="00F11516">
      <w:pPr>
        <w:rPr>
          <w:rFonts w:ascii="Calibri" w:hAnsi="Calibri"/>
        </w:rPr>
      </w:pPr>
      <w:r w:rsidRPr="004D1A4F">
        <w:rPr>
          <w:rFonts w:ascii="Calibri" w:hAnsi="Calibri"/>
        </w:rPr>
        <w:t>Sincerely,</w:t>
      </w:r>
    </w:p>
    <w:p w:rsidR="00F11516" w:rsidRPr="004D1A4F" w:rsidRDefault="00F11516" w:rsidP="00F11516">
      <w:pPr>
        <w:pStyle w:val="NoSpacing"/>
      </w:pPr>
      <w:r w:rsidRPr="002910B6">
        <w:rPr>
          <w:noProof/>
        </w:rPr>
        <w:drawing>
          <wp:inline distT="0" distB="0" distL="0" distR="0">
            <wp:extent cx="1714500" cy="4000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14500" cy="400050"/>
                    </a:xfrm>
                    <a:prstGeom prst="rect">
                      <a:avLst/>
                    </a:prstGeom>
                    <a:noFill/>
                    <a:ln>
                      <a:noFill/>
                    </a:ln>
                  </pic:spPr>
                </pic:pic>
              </a:graphicData>
            </a:graphic>
          </wp:inline>
        </w:drawing>
      </w:r>
    </w:p>
    <w:p w:rsidR="00F11516" w:rsidRPr="004D1A4F" w:rsidRDefault="00F11516" w:rsidP="00F11516">
      <w:pPr>
        <w:pStyle w:val="NoSpacing"/>
      </w:pPr>
      <w:r w:rsidRPr="004D1A4F">
        <w:t>Janice Robertson</w:t>
      </w:r>
      <w:r>
        <w:t xml:space="preserve">, </w:t>
      </w:r>
      <w:r w:rsidR="007D6C59">
        <w:t xml:space="preserve">CPA, </w:t>
      </w:r>
      <w:r>
        <w:t>CA</w:t>
      </w:r>
    </w:p>
    <w:p w:rsidR="00F11516" w:rsidRPr="004D1A4F" w:rsidRDefault="00F11516" w:rsidP="00F11516">
      <w:pPr>
        <w:pStyle w:val="NoSpacing"/>
      </w:pPr>
      <w:r w:rsidRPr="004D1A4F">
        <w:t>Manager of Finance &amp; Regulatory Affairs</w:t>
      </w:r>
    </w:p>
    <w:p w:rsidR="00F11516" w:rsidRPr="004D1A4F" w:rsidRDefault="00F11516" w:rsidP="00F11516">
      <w:pPr>
        <w:pStyle w:val="NoSpacing"/>
      </w:pPr>
      <w:r w:rsidRPr="004D1A4F">
        <w:t>Kenora Hydro Electric Corporation Ltd.</w:t>
      </w:r>
    </w:p>
    <w:p w:rsidR="00F11516" w:rsidRPr="004D1A4F" w:rsidRDefault="00F11516" w:rsidP="00F11516">
      <w:pPr>
        <w:pStyle w:val="NoSpacing"/>
      </w:pPr>
      <w:r w:rsidRPr="004D1A4F">
        <w:t>Ph (807) 467-2014</w:t>
      </w:r>
    </w:p>
    <w:p w:rsidR="00F11516" w:rsidRPr="004D1A4F" w:rsidRDefault="00F11516" w:rsidP="00F11516">
      <w:pPr>
        <w:pStyle w:val="NoSpacing"/>
      </w:pPr>
      <w:r w:rsidRPr="004D1A4F">
        <w:t>Fax (807) 467-2068</w:t>
      </w:r>
    </w:p>
    <w:p w:rsidR="00F11516" w:rsidRPr="004D1A4F" w:rsidRDefault="00F11516" w:rsidP="00F11516">
      <w:pPr>
        <w:pStyle w:val="NoSpacing"/>
      </w:pPr>
      <w:r w:rsidRPr="004D1A4F">
        <w:t>jrobertson@kenora.ca</w:t>
      </w:r>
    </w:p>
    <w:p w:rsidR="00F11516" w:rsidRPr="004D1A4F" w:rsidRDefault="00F11516" w:rsidP="00F11516">
      <w:pPr>
        <w:pStyle w:val="NoSpacing"/>
      </w:pPr>
    </w:p>
    <w:p w:rsidR="00F11516" w:rsidRDefault="00F11516" w:rsidP="00F11516">
      <w:pPr>
        <w:rPr>
          <w:rFonts w:ascii="Calibri" w:hAnsi="Calibri"/>
        </w:rPr>
      </w:pPr>
      <w:r w:rsidRPr="004D1A4F">
        <w:rPr>
          <w:rFonts w:ascii="Calibri" w:hAnsi="Calibri"/>
        </w:rPr>
        <w:t>Encls.</w:t>
      </w:r>
    </w:p>
    <w:p w:rsidR="00F11516" w:rsidRPr="004D1A4F" w:rsidRDefault="001F0807" w:rsidP="00F11516">
      <w:pPr>
        <w:rPr>
          <w:rFonts w:ascii="Calibri" w:hAnsi="Calibri"/>
        </w:rPr>
      </w:pPr>
      <w:r>
        <w:rPr>
          <w:rFonts w:ascii="Calibri" w:hAnsi="Calibri"/>
        </w:rPr>
        <w:pict>
          <v:rect id="_x0000_i1026" style="width:0;height:1.5pt" o:hralign="center" o:hrstd="t" o:hr="t" fillcolor="gray" stroked="f"/>
        </w:pict>
      </w:r>
      <w:r w:rsidR="00F11516" w:rsidRPr="004D1A4F">
        <w:rPr>
          <w:rFonts w:ascii="Calibri" w:hAnsi="Calibri" w:cs="Arial"/>
          <w:b/>
        </w:rPr>
        <w:t>Box 2680-215 Mellick Avenue, Kenora, Ontario  P9N 3X8    Phone (807) 467-2075    Fax (807) 467-2068</w:t>
      </w:r>
    </w:p>
    <w:p w:rsidR="00F11516" w:rsidRPr="004D1A4F" w:rsidRDefault="00F11516" w:rsidP="00F11516">
      <w:pPr>
        <w:rPr>
          <w:rFonts w:ascii="Calibri" w:hAnsi="Calibri"/>
        </w:rPr>
      </w:pPr>
    </w:p>
    <w:p w:rsidR="00F11516" w:rsidRPr="004D1A4F" w:rsidRDefault="00F11516" w:rsidP="00F11516">
      <w:pPr>
        <w:ind w:left="1440"/>
        <w:rPr>
          <w:rFonts w:ascii="Calibri" w:hAnsi="Calibri"/>
        </w:rPr>
      </w:pPr>
    </w:p>
    <w:p w:rsidR="00F11516" w:rsidRDefault="00F11516" w:rsidP="009633A2">
      <w:pPr>
        <w:jc w:val="center"/>
      </w:pPr>
    </w:p>
    <w:p w:rsidR="00FE75D0" w:rsidRDefault="00FE75D0" w:rsidP="00F11516"/>
    <w:p w:rsidR="0016761F" w:rsidRDefault="009633A2" w:rsidP="009633A2">
      <w:pPr>
        <w:jc w:val="center"/>
      </w:pPr>
      <w:r>
        <w:rPr>
          <w:noProof/>
        </w:rPr>
        <w:drawing>
          <wp:inline distT="0" distB="0" distL="0" distR="0">
            <wp:extent cx="2054352" cy="777240"/>
            <wp:effectExtent l="19050" t="0" r="3048" b="0"/>
            <wp:docPr id="1" name="Picture 0" descr="Envelope 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velope Logo.tif"/>
                    <pic:cNvPicPr/>
                  </pic:nvPicPr>
                  <pic:blipFill>
                    <a:blip r:embed="rId10" cstate="print"/>
                    <a:stretch>
                      <a:fillRect/>
                    </a:stretch>
                  </pic:blipFill>
                  <pic:spPr>
                    <a:xfrm>
                      <a:off x="0" y="0"/>
                      <a:ext cx="2054352" cy="777240"/>
                    </a:xfrm>
                    <a:prstGeom prst="rect">
                      <a:avLst/>
                    </a:prstGeom>
                  </pic:spPr>
                </pic:pic>
              </a:graphicData>
            </a:graphic>
          </wp:inline>
        </w:drawing>
      </w:r>
    </w:p>
    <w:p w:rsidR="009633A2" w:rsidRDefault="009633A2"/>
    <w:p w:rsidR="009633A2" w:rsidRDefault="009633A2"/>
    <w:p w:rsidR="009633A2" w:rsidRPr="009633A2" w:rsidRDefault="009633A2" w:rsidP="009633A2">
      <w:pPr>
        <w:pStyle w:val="NoSpacing"/>
        <w:jc w:val="center"/>
        <w:rPr>
          <w:b/>
        </w:rPr>
      </w:pPr>
      <w:r w:rsidRPr="009633A2">
        <w:rPr>
          <w:b/>
        </w:rPr>
        <w:t>APPLICATION FOR APPROVAL OF ELECTRICITY DISTRIBUTION RATES</w:t>
      </w:r>
    </w:p>
    <w:p w:rsidR="009633A2" w:rsidRPr="009633A2" w:rsidRDefault="009633A2" w:rsidP="009633A2">
      <w:pPr>
        <w:pStyle w:val="NoSpacing"/>
        <w:jc w:val="center"/>
        <w:rPr>
          <w:b/>
        </w:rPr>
      </w:pPr>
      <w:r w:rsidRPr="009633A2">
        <w:rPr>
          <w:b/>
        </w:rPr>
        <w:t>EFFECTIVE MAY 1, 201</w:t>
      </w:r>
      <w:r w:rsidR="009E621A">
        <w:rPr>
          <w:b/>
        </w:rPr>
        <w:t>9</w:t>
      </w:r>
    </w:p>
    <w:p w:rsidR="009633A2" w:rsidRPr="009633A2" w:rsidRDefault="009633A2" w:rsidP="009633A2">
      <w:pPr>
        <w:pStyle w:val="NoSpacing"/>
        <w:jc w:val="center"/>
        <w:rPr>
          <w:b/>
        </w:rPr>
      </w:pPr>
    </w:p>
    <w:p w:rsidR="009633A2" w:rsidRDefault="00064ECD" w:rsidP="00BB4DBD">
      <w:pPr>
        <w:pStyle w:val="NoSpacing"/>
        <w:jc w:val="center"/>
        <w:rPr>
          <w:b/>
        </w:rPr>
      </w:pPr>
      <w:r>
        <w:rPr>
          <w:b/>
        </w:rPr>
        <w:t>EB – 201</w:t>
      </w:r>
      <w:r w:rsidR="009E621A">
        <w:rPr>
          <w:b/>
        </w:rPr>
        <w:t>8</w:t>
      </w:r>
      <w:r w:rsidR="002E083C">
        <w:rPr>
          <w:b/>
        </w:rPr>
        <w:t>-00</w:t>
      </w:r>
      <w:r w:rsidR="009E621A">
        <w:rPr>
          <w:b/>
        </w:rPr>
        <w:t>46</w:t>
      </w:r>
      <w:r w:rsidR="009633A2">
        <w:rPr>
          <w:b/>
        </w:rPr>
        <w:br w:type="page"/>
      </w:r>
    </w:p>
    <w:p w:rsidR="009633A2" w:rsidRDefault="009633A2" w:rsidP="00C925B3">
      <w:pPr>
        <w:spacing w:line="276" w:lineRule="auto"/>
      </w:pPr>
      <w:r>
        <w:rPr>
          <w:b/>
        </w:rPr>
        <w:lastRenderedPageBreak/>
        <w:t xml:space="preserve">IN THE MATTER OF </w:t>
      </w:r>
      <w:r>
        <w:t>the Ontario Energy Board Act, 1998, Schedule B to the Energy Competition Act, 1998, c.15;</w:t>
      </w:r>
    </w:p>
    <w:p w:rsidR="009633A2" w:rsidRDefault="009633A2" w:rsidP="00C925B3">
      <w:pPr>
        <w:spacing w:line="276" w:lineRule="auto"/>
      </w:pPr>
      <w:r w:rsidRPr="009633A2">
        <w:rPr>
          <w:b/>
        </w:rPr>
        <w:t>AND IN THE MATTER OF</w:t>
      </w:r>
      <w:r>
        <w:t xml:space="preserve"> an Application by Kenora Hydro Electric Corporation Ltd. to the Ontario Energy Board for an Order approving just and reasonable rates and other service charges for the distribution of electricity as of May 1, 201</w:t>
      </w:r>
      <w:r w:rsidR="00AE33D4">
        <w:t>9</w:t>
      </w:r>
      <w:r>
        <w:t>.</w:t>
      </w:r>
    </w:p>
    <w:p w:rsidR="009633A2" w:rsidRDefault="009633A2" w:rsidP="00C925B3">
      <w:pPr>
        <w:spacing w:line="276" w:lineRule="auto"/>
      </w:pPr>
      <w:r w:rsidRPr="00F713AA">
        <w:rPr>
          <w:b/>
        </w:rPr>
        <w:t>APPLICATION</w:t>
      </w:r>
    </w:p>
    <w:p w:rsidR="009633A2" w:rsidRDefault="00775148" w:rsidP="00C925B3">
      <w:pPr>
        <w:spacing w:line="276" w:lineRule="auto"/>
      </w:pPr>
      <w:r>
        <w:t xml:space="preserve">The Applicant, </w:t>
      </w:r>
      <w:r w:rsidR="002B5DA9">
        <w:t>Kenora Hydro Electric Corporation Ltd (“Kenora Hydro</w:t>
      </w:r>
      <w:r>
        <w:t>”</w:t>
      </w:r>
      <w:r w:rsidR="002B5DA9">
        <w:t>) is a corporation incorporated pursuant to the Ontario Business Corporations Act with its head office in the City of Kenora, Ontario.  Kenora Hydro carries on the business of distributing electricity within the City of Kenora as a licensed electricity distributor under license ED-2003-0030.</w:t>
      </w:r>
    </w:p>
    <w:p w:rsidR="002B5DA9" w:rsidRDefault="002B5DA9" w:rsidP="00C925B3">
      <w:pPr>
        <w:spacing w:line="276" w:lineRule="auto"/>
      </w:pPr>
      <w:r>
        <w:t>Kenora Hydro hereby applies to the OEB pursuant to Section 78 of the Ontario Energy Board Act, 1998 for approval of these proposed distribution rates and other charges, on a</w:t>
      </w:r>
      <w:r w:rsidR="004B7C61">
        <w:t>n</w:t>
      </w:r>
      <w:r>
        <w:t xml:space="preserve"> Incentive Regulation </w:t>
      </w:r>
      <w:r w:rsidR="00775148">
        <w:t>A</w:t>
      </w:r>
      <w:r>
        <w:t>pplication, with rate</w:t>
      </w:r>
      <w:r w:rsidR="00775148">
        <w:t>s</w:t>
      </w:r>
      <w:r>
        <w:t xml:space="preserve"> effective May 1, 201</w:t>
      </w:r>
      <w:r w:rsidR="00AE33D4">
        <w:t>9</w:t>
      </w:r>
      <w:r>
        <w:t>.</w:t>
      </w:r>
      <w:r w:rsidR="00C41530">
        <w:t xml:space="preserve">  In the event that the Board is unable to provide a Dec</w:t>
      </w:r>
      <w:r w:rsidR="00F12D28">
        <w:t>i</w:t>
      </w:r>
      <w:r w:rsidR="00C41530">
        <w:t>sion and Order for this Application for implementation on May 1, 201</w:t>
      </w:r>
      <w:r w:rsidR="00AE33D4">
        <w:t>9</w:t>
      </w:r>
      <w:r w:rsidR="00C41530">
        <w:t>, Kenora Hydro requests that the Board issue an Interim Rate Order declaring the current Distri</w:t>
      </w:r>
      <w:r w:rsidR="00F12D28">
        <w:t>b</w:t>
      </w:r>
      <w:r w:rsidR="00C41530">
        <w:t>u</w:t>
      </w:r>
      <w:r w:rsidR="00F12D28">
        <w:t>t</w:t>
      </w:r>
      <w:r w:rsidR="00C41530">
        <w:t>ion Rates and Specific Service Charges as interim until the implementation date.</w:t>
      </w:r>
    </w:p>
    <w:p w:rsidR="00075236" w:rsidRDefault="00075236" w:rsidP="00C925B3">
      <w:pPr>
        <w:spacing w:line="276" w:lineRule="auto"/>
      </w:pPr>
      <w:r>
        <w:t>This application will be made available for viewing at  www.kenorahydro.ca.</w:t>
      </w:r>
    </w:p>
    <w:p w:rsidR="00B214C0" w:rsidRDefault="00B214C0" w:rsidP="00C925B3">
      <w:pPr>
        <w:spacing w:line="276" w:lineRule="auto"/>
      </w:pPr>
      <w:r>
        <w:t>Request</w:t>
      </w:r>
      <w:r w:rsidR="004B1953">
        <w:t>s</w:t>
      </w:r>
      <w:r>
        <w:t xml:space="preserve"> for further information on this application should be made to:</w:t>
      </w:r>
    </w:p>
    <w:p w:rsidR="00B214C0" w:rsidRDefault="00ED13E7" w:rsidP="00C925B3">
      <w:pPr>
        <w:pStyle w:val="NoSpacing"/>
        <w:spacing w:line="276" w:lineRule="auto"/>
      </w:pPr>
      <w:r>
        <w:tab/>
      </w:r>
      <w:r w:rsidR="00B214C0">
        <w:t>Janice Robertson</w:t>
      </w:r>
      <w:r w:rsidR="001D44E0">
        <w:t>, CP</w:t>
      </w:r>
      <w:r w:rsidR="00C31D6B">
        <w:t>A, CA</w:t>
      </w:r>
      <w:r w:rsidR="00075236">
        <w:tab/>
      </w:r>
      <w:r w:rsidR="00075236">
        <w:tab/>
      </w:r>
      <w:r w:rsidR="00075236">
        <w:tab/>
      </w:r>
    </w:p>
    <w:p w:rsidR="00075236" w:rsidRDefault="00ED13E7" w:rsidP="00075236">
      <w:pPr>
        <w:pStyle w:val="NoSpacing"/>
        <w:spacing w:line="276" w:lineRule="auto"/>
      </w:pPr>
      <w:r>
        <w:tab/>
      </w:r>
      <w:r w:rsidR="00B214C0">
        <w:t>Manager of Finance &amp; Regulatory Affairs</w:t>
      </w:r>
    </w:p>
    <w:p w:rsidR="00075236" w:rsidRDefault="00ED13E7" w:rsidP="00075236">
      <w:pPr>
        <w:pStyle w:val="NoSpacing"/>
        <w:spacing w:line="276" w:lineRule="auto"/>
      </w:pPr>
      <w:r>
        <w:tab/>
      </w:r>
      <w:r w:rsidR="00B214C0">
        <w:t>807-467-2014</w:t>
      </w:r>
    </w:p>
    <w:p w:rsidR="00075236" w:rsidRPr="00075236" w:rsidRDefault="00ED13E7" w:rsidP="00075236">
      <w:pPr>
        <w:pStyle w:val="NoSpacing"/>
        <w:spacing w:line="276" w:lineRule="auto"/>
        <w:rPr>
          <w:rStyle w:val="Hyperlink"/>
          <w:color w:val="auto"/>
          <w:u w:val="none"/>
        </w:rPr>
      </w:pPr>
      <w:r>
        <w:tab/>
      </w:r>
      <w:hyperlink r:id="rId11" w:history="1">
        <w:r w:rsidR="00B214C0" w:rsidRPr="008A6A1A">
          <w:rPr>
            <w:rStyle w:val="Hyperlink"/>
          </w:rPr>
          <w:t>jrobertson@kenora.ca</w:t>
        </w:r>
      </w:hyperlink>
    </w:p>
    <w:p w:rsidR="00075236" w:rsidRDefault="00075236" w:rsidP="00075236">
      <w:pPr>
        <w:pStyle w:val="NoSpacing"/>
        <w:spacing w:line="276" w:lineRule="auto"/>
        <w:ind w:firstLine="720"/>
        <w:rPr>
          <w:rStyle w:val="Hyperlink"/>
        </w:rPr>
      </w:pPr>
    </w:p>
    <w:p w:rsidR="004B1953" w:rsidRDefault="00C31D6B" w:rsidP="00ED13E7">
      <w:pPr>
        <w:pStyle w:val="NoSpacing"/>
        <w:spacing w:line="276" w:lineRule="auto"/>
        <w:jc w:val="left"/>
      </w:pPr>
      <w:r>
        <w:t>The primary licens</w:t>
      </w:r>
      <w:r w:rsidR="004B1953">
        <w:t>e contact:</w:t>
      </w:r>
    </w:p>
    <w:p w:rsidR="00ED13E7" w:rsidRPr="00075236" w:rsidRDefault="00ED13E7" w:rsidP="00ED13E7">
      <w:pPr>
        <w:pStyle w:val="NoSpacing"/>
        <w:spacing w:line="276" w:lineRule="auto"/>
        <w:jc w:val="left"/>
        <w:rPr>
          <w:color w:val="0000FF" w:themeColor="hyperlink"/>
          <w:u w:val="single"/>
        </w:rPr>
      </w:pPr>
    </w:p>
    <w:p w:rsidR="004B1953" w:rsidRDefault="004B1953" w:rsidP="00C925B3">
      <w:pPr>
        <w:pStyle w:val="NoSpacing"/>
        <w:spacing w:line="276" w:lineRule="auto"/>
      </w:pPr>
      <w:r>
        <w:tab/>
        <w:t>David Sinclair</w:t>
      </w:r>
    </w:p>
    <w:p w:rsidR="004B1953" w:rsidRDefault="004B1953" w:rsidP="00C925B3">
      <w:pPr>
        <w:pStyle w:val="NoSpacing"/>
        <w:spacing w:line="276" w:lineRule="auto"/>
        <w:ind w:firstLine="720"/>
      </w:pPr>
      <w:r>
        <w:t>President &amp; CEO</w:t>
      </w:r>
    </w:p>
    <w:p w:rsidR="004B1953" w:rsidRDefault="004B1953" w:rsidP="00C925B3">
      <w:pPr>
        <w:pStyle w:val="NoSpacing"/>
        <w:spacing w:line="276" w:lineRule="auto"/>
        <w:ind w:firstLine="720"/>
      </w:pPr>
      <w:r>
        <w:t>807-467-2075</w:t>
      </w:r>
    </w:p>
    <w:p w:rsidR="00F713AA" w:rsidRDefault="001F0807" w:rsidP="00C925B3">
      <w:pPr>
        <w:pStyle w:val="NoSpacing"/>
        <w:spacing w:line="276" w:lineRule="auto"/>
        <w:ind w:firstLine="720"/>
      </w:pPr>
      <w:hyperlink r:id="rId12" w:history="1">
        <w:r w:rsidR="00F713AA" w:rsidRPr="001E68D1">
          <w:rPr>
            <w:rStyle w:val="Hyperlink"/>
          </w:rPr>
          <w:t>dsinclair@kenora.ca</w:t>
        </w:r>
      </w:hyperlink>
    </w:p>
    <w:p w:rsidR="00F713AA" w:rsidRDefault="00F713AA" w:rsidP="00C925B3">
      <w:pPr>
        <w:pStyle w:val="NoSpacing"/>
        <w:spacing w:line="276" w:lineRule="auto"/>
        <w:ind w:firstLine="720"/>
      </w:pPr>
    </w:p>
    <w:p w:rsidR="00C925B3" w:rsidRPr="00C120D7" w:rsidRDefault="00B214C0" w:rsidP="00C120D7">
      <w:pPr>
        <w:pStyle w:val="NoSpacing"/>
        <w:spacing w:line="276" w:lineRule="auto"/>
      </w:pPr>
      <w:r>
        <w:t>Dated in Kenora, Ontario,</w:t>
      </w:r>
      <w:r w:rsidR="00FC195E">
        <w:t xml:space="preserve"> </w:t>
      </w:r>
      <w:r w:rsidR="0082334C">
        <w:t xml:space="preserve">November </w:t>
      </w:r>
      <w:r w:rsidR="00FC4EFF">
        <w:t>5, 2018</w:t>
      </w:r>
    </w:p>
    <w:p w:rsidR="00B214C0" w:rsidRPr="00470181" w:rsidRDefault="00FC0F88" w:rsidP="009D13A5">
      <w:pPr>
        <w:rPr>
          <w:b/>
          <w:sz w:val="24"/>
          <w:szCs w:val="24"/>
        </w:rPr>
      </w:pPr>
      <w:r>
        <w:rPr>
          <w:b/>
          <w:sz w:val="24"/>
          <w:szCs w:val="24"/>
        </w:rPr>
        <w:br w:type="page"/>
      </w:r>
      <w:r w:rsidR="00B214C0" w:rsidRPr="00470181">
        <w:rPr>
          <w:b/>
          <w:sz w:val="24"/>
          <w:szCs w:val="24"/>
        </w:rPr>
        <w:lastRenderedPageBreak/>
        <w:t>MANAGER’S SUMMARY</w:t>
      </w:r>
    </w:p>
    <w:p w:rsidR="00513F6B" w:rsidRDefault="00B214C0" w:rsidP="00430069">
      <w:pPr>
        <w:spacing w:line="276" w:lineRule="auto"/>
      </w:pPr>
      <w:r w:rsidRPr="005D6399">
        <w:t>Kenora Hydro is applying for rates and charges to be effective May 1, 201</w:t>
      </w:r>
      <w:r w:rsidR="00FC4EFF">
        <w:t>9</w:t>
      </w:r>
      <w:r w:rsidRPr="005D6399">
        <w:t xml:space="preserve">.  Kenora Hydro </w:t>
      </w:r>
      <w:r w:rsidR="00F55D60">
        <w:t xml:space="preserve">last </w:t>
      </w:r>
      <w:r w:rsidRPr="005D6399">
        <w:t xml:space="preserve">completed a full Cost of Service rebasing application, with rates effective July 1, 2011.  </w:t>
      </w:r>
    </w:p>
    <w:p w:rsidR="00FC677A" w:rsidRDefault="00FC677A" w:rsidP="00430069">
      <w:pPr>
        <w:spacing w:line="276" w:lineRule="auto"/>
      </w:pPr>
      <w:r>
        <w:t>Kenora Hydro has maintained financial records during 201</w:t>
      </w:r>
      <w:r w:rsidR="002E083C">
        <w:t>6</w:t>
      </w:r>
      <w:r>
        <w:t xml:space="preserve"> consistent with </w:t>
      </w:r>
      <w:r w:rsidR="00BB4DBD">
        <w:t>IFRS</w:t>
      </w:r>
      <w:r>
        <w:t xml:space="preserve">.   </w:t>
      </w:r>
    </w:p>
    <w:p w:rsidR="00470181" w:rsidRDefault="00470181" w:rsidP="00430069">
      <w:pPr>
        <w:pStyle w:val="NoSpacing"/>
        <w:spacing w:line="276" w:lineRule="auto"/>
        <w:rPr>
          <w:b/>
        </w:rPr>
      </w:pPr>
    </w:p>
    <w:p w:rsidR="00003E82" w:rsidRPr="00470181" w:rsidRDefault="00FC677A" w:rsidP="00430069">
      <w:pPr>
        <w:pStyle w:val="NoSpacing"/>
        <w:spacing w:line="276" w:lineRule="auto"/>
        <w:rPr>
          <w:b/>
          <w:u w:val="single"/>
        </w:rPr>
      </w:pPr>
      <w:r>
        <w:rPr>
          <w:b/>
          <w:u w:val="single"/>
        </w:rPr>
        <w:t>201</w:t>
      </w:r>
      <w:r w:rsidR="00FC4EFF">
        <w:rPr>
          <w:b/>
          <w:u w:val="single"/>
        </w:rPr>
        <w:t>9</w:t>
      </w:r>
      <w:r>
        <w:rPr>
          <w:b/>
          <w:u w:val="single"/>
        </w:rPr>
        <w:t xml:space="preserve"> Rate Filing - </w:t>
      </w:r>
      <w:r w:rsidR="00D66213" w:rsidRPr="00470181">
        <w:rPr>
          <w:b/>
          <w:u w:val="single"/>
        </w:rPr>
        <w:t>General Information</w:t>
      </w:r>
    </w:p>
    <w:p w:rsidR="00470181" w:rsidRDefault="00470181" w:rsidP="00430069">
      <w:pPr>
        <w:pStyle w:val="NoSpacing"/>
        <w:spacing w:line="276" w:lineRule="auto"/>
        <w:rPr>
          <w:b/>
        </w:rPr>
      </w:pPr>
    </w:p>
    <w:p w:rsidR="00FC677A" w:rsidRPr="00FC677A" w:rsidRDefault="00FC677A" w:rsidP="00430069">
      <w:pPr>
        <w:pStyle w:val="NoSpacing"/>
        <w:spacing w:line="276" w:lineRule="auto"/>
      </w:pPr>
      <w:r w:rsidRPr="00FC677A">
        <w:t>Kenora Hydro is filing this rate application under the OEB Filing Requirements</w:t>
      </w:r>
      <w:r w:rsidR="00C41530">
        <w:t xml:space="preserve"> for Electricity Distribution Rate Applications – 201</w:t>
      </w:r>
      <w:r w:rsidR="00FC4EFF">
        <w:t>8</w:t>
      </w:r>
      <w:r w:rsidR="00BB4DBD">
        <w:t xml:space="preserve"> edition for 201</w:t>
      </w:r>
      <w:r w:rsidR="00FC4EFF">
        <w:t>9</w:t>
      </w:r>
      <w:r w:rsidR="00C41530">
        <w:t xml:space="preserve"> Rate Applications – Chapter 3 – Incentive R</w:t>
      </w:r>
      <w:r w:rsidR="002E083C">
        <w:t>ate-Setting Applications</w:t>
      </w:r>
      <w:r w:rsidR="00C41530">
        <w:t xml:space="preserve">, dated July </w:t>
      </w:r>
      <w:r w:rsidR="00FC4EFF">
        <w:t>12</w:t>
      </w:r>
      <w:r w:rsidR="002E083C">
        <w:t>, 201</w:t>
      </w:r>
      <w:r w:rsidR="00FC4EFF">
        <w:t>8</w:t>
      </w:r>
      <w:r w:rsidR="00CC59B1">
        <w:t xml:space="preserve">.  </w:t>
      </w:r>
      <w:r w:rsidRPr="00FC677A">
        <w:t>Kenora Hydro has elected to file an Annual Incentive R</w:t>
      </w:r>
      <w:r w:rsidR="003A23F9">
        <w:t>egulation</w:t>
      </w:r>
      <w:r w:rsidRPr="00FC677A">
        <w:t xml:space="preserve"> Model for rates effective May 1, 201</w:t>
      </w:r>
      <w:r w:rsidR="00FC4EFF">
        <w:t>9</w:t>
      </w:r>
      <w:r w:rsidRPr="00FC677A">
        <w:t>.</w:t>
      </w:r>
    </w:p>
    <w:p w:rsidR="00FC677A" w:rsidRDefault="00FC677A" w:rsidP="00430069">
      <w:pPr>
        <w:pStyle w:val="NoSpacing"/>
        <w:spacing w:line="276" w:lineRule="auto"/>
        <w:rPr>
          <w:b/>
        </w:rPr>
      </w:pPr>
    </w:p>
    <w:p w:rsidR="00B715FA" w:rsidRPr="00DD2198" w:rsidRDefault="00D66213" w:rsidP="00430069">
      <w:pPr>
        <w:pStyle w:val="NoSpacing"/>
        <w:spacing w:line="276" w:lineRule="auto"/>
        <w:rPr>
          <w:b/>
          <w:i/>
          <w:u w:val="single"/>
        </w:rPr>
      </w:pPr>
      <w:r w:rsidRPr="00DD2198">
        <w:rPr>
          <w:b/>
          <w:i/>
          <w:u w:val="single"/>
        </w:rPr>
        <w:t>Incremental Capital Module</w:t>
      </w:r>
    </w:p>
    <w:p w:rsidR="00B715FA" w:rsidRDefault="00B715FA" w:rsidP="00430069">
      <w:pPr>
        <w:pStyle w:val="NoSpacing"/>
        <w:spacing w:line="276" w:lineRule="auto"/>
        <w:rPr>
          <w:b/>
        </w:rPr>
      </w:pPr>
    </w:p>
    <w:p w:rsidR="00B715FA" w:rsidRDefault="000E5C5D" w:rsidP="00430069">
      <w:pPr>
        <w:pStyle w:val="NoSpacing"/>
        <w:spacing w:line="276" w:lineRule="auto"/>
      </w:pPr>
      <w:r>
        <w:t>An I</w:t>
      </w:r>
      <w:r w:rsidR="00B715FA">
        <w:t xml:space="preserve">ncremental Capital Model has not been filed by Kenora Hydro for this </w:t>
      </w:r>
      <w:r w:rsidR="00CC3663">
        <w:t>a</w:t>
      </w:r>
      <w:r w:rsidR="00B715FA">
        <w:t>pplication.</w:t>
      </w:r>
    </w:p>
    <w:p w:rsidR="00B715FA" w:rsidRDefault="00B715FA" w:rsidP="00430069">
      <w:pPr>
        <w:pStyle w:val="NoSpacing"/>
        <w:spacing w:line="276" w:lineRule="auto"/>
        <w:rPr>
          <w:b/>
        </w:rPr>
      </w:pPr>
    </w:p>
    <w:p w:rsidR="00B715FA" w:rsidRPr="00DD2198" w:rsidRDefault="00D66213" w:rsidP="00430069">
      <w:pPr>
        <w:pStyle w:val="NoSpacing"/>
        <w:spacing w:line="276" w:lineRule="auto"/>
        <w:rPr>
          <w:b/>
          <w:i/>
          <w:u w:val="single"/>
        </w:rPr>
      </w:pPr>
      <w:r w:rsidRPr="00DD2198">
        <w:rPr>
          <w:b/>
          <w:i/>
          <w:u w:val="single"/>
        </w:rPr>
        <w:t>Z-Factor Claim</w:t>
      </w:r>
    </w:p>
    <w:p w:rsidR="00B715FA" w:rsidRDefault="00B715FA" w:rsidP="00430069">
      <w:pPr>
        <w:pStyle w:val="NoSpacing"/>
        <w:spacing w:line="276" w:lineRule="auto"/>
        <w:rPr>
          <w:b/>
        </w:rPr>
      </w:pPr>
    </w:p>
    <w:p w:rsidR="00B715FA" w:rsidRPr="00B715FA" w:rsidRDefault="00B715FA" w:rsidP="00430069">
      <w:pPr>
        <w:pStyle w:val="NoSpacing"/>
        <w:spacing w:line="276" w:lineRule="auto"/>
      </w:pPr>
      <w:r>
        <w:t>A Z-Factor Claim has not been filed by Kenora Hydro for this application.</w:t>
      </w:r>
    </w:p>
    <w:p w:rsidR="00003E82" w:rsidRDefault="00003E82" w:rsidP="00430069">
      <w:pPr>
        <w:pStyle w:val="NoSpacing"/>
        <w:spacing w:line="276" w:lineRule="auto"/>
        <w:rPr>
          <w:b/>
        </w:rPr>
      </w:pPr>
    </w:p>
    <w:p w:rsidR="00D66213" w:rsidRPr="00DD2198" w:rsidRDefault="00D66213" w:rsidP="00430069">
      <w:pPr>
        <w:pStyle w:val="NoSpacing"/>
        <w:spacing w:line="276" w:lineRule="auto"/>
        <w:rPr>
          <w:b/>
          <w:i/>
          <w:u w:val="single"/>
        </w:rPr>
      </w:pPr>
      <w:r w:rsidRPr="00DD2198">
        <w:rPr>
          <w:b/>
          <w:i/>
          <w:u w:val="single"/>
        </w:rPr>
        <w:t>Deferral and Variance Account Rate Rider</w:t>
      </w:r>
    </w:p>
    <w:p w:rsidR="00D66213" w:rsidRDefault="00D66213" w:rsidP="00430069">
      <w:pPr>
        <w:pStyle w:val="NoSpacing"/>
        <w:spacing w:line="276" w:lineRule="auto"/>
      </w:pPr>
    </w:p>
    <w:p w:rsidR="00D66213" w:rsidRDefault="00D66213" w:rsidP="00430069">
      <w:pPr>
        <w:spacing w:line="276" w:lineRule="auto"/>
      </w:pPr>
      <w:r>
        <w:t xml:space="preserve">Kenora Hydro has included in this </w:t>
      </w:r>
      <w:r w:rsidR="00CC3663">
        <w:t xml:space="preserve">application </w:t>
      </w:r>
      <w:r>
        <w:t>an analysis of the Group 1</w:t>
      </w:r>
      <w:r w:rsidR="00C120D7">
        <w:t xml:space="preserve"> Deferral and Variance accounts.  </w:t>
      </w:r>
      <w:r w:rsidR="008313D3">
        <w:t xml:space="preserve">As the pre-determined threshold has </w:t>
      </w:r>
      <w:r w:rsidR="00FC4EFF">
        <w:t xml:space="preserve">not </w:t>
      </w:r>
      <w:r w:rsidR="008313D3">
        <w:t xml:space="preserve">been met, Kenora Hydro will </w:t>
      </w:r>
      <w:r w:rsidR="00FC4EFF">
        <w:t xml:space="preserve">not </w:t>
      </w:r>
      <w:r w:rsidR="008313D3">
        <w:t xml:space="preserve">be disposing of the balances in Group 1 DVA accounts, including the Global Adjustment Account balance.  </w:t>
      </w:r>
      <w:r w:rsidR="000F471F">
        <w:t>The LRAM balance will not be disposed of in this application.   The Shared Tax Savings will not be disposed of in this application.</w:t>
      </w:r>
    </w:p>
    <w:p w:rsidR="000F471F" w:rsidRDefault="000F471F" w:rsidP="000F471F">
      <w:pPr>
        <w:pStyle w:val="NoSpacing"/>
        <w:spacing w:line="276" w:lineRule="auto"/>
        <w:rPr>
          <w:b/>
          <w:i/>
          <w:u w:val="single"/>
        </w:rPr>
      </w:pPr>
      <w:r w:rsidRPr="000F471F">
        <w:rPr>
          <w:b/>
          <w:i/>
          <w:u w:val="single"/>
        </w:rPr>
        <w:t>Rate Design Transition</w:t>
      </w:r>
    </w:p>
    <w:p w:rsidR="000F471F" w:rsidRPr="000F471F" w:rsidRDefault="000F471F" w:rsidP="000F471F">
      <w:pPr>
        <w:pStyle w:val="NoSpacing"/>
        <w:spacing w:line="276" w:lineRule="auto"/>
        <w:rPr>
          <w:b/>
          <w:i/>
          <w:u w:val="single"/>
        </w:rPr>
      </w:pPr>
    </w:p>
    <w:p w:rsidR="000F471F" w:rsidRDefault="00FC4EFF" w:rsidP="00430069">
      <w:pPr>
        <w:spacing w:line="276" w:lineRule="auto"/>
      </w:pPr>
      <w:r>
        <w:t xml:space="preserve">Kenora Hydro is in the fourth </w:t>
      </w:r>
      <w:r w:rsidR="000F471F">
        <w:t>of the four year transition to fully fixed rate revenue design</w:t>
      </w:r>
      <w:r w:rsidR="004462BC">
        <w:t xml:space="preserve"> for residential customers</w:t>
      </w:r>
      <w:r w:rsidR="000F471F">
        <w:t xml:space="preserve">.  The new split will be </w:t>
      </w:r>
      <w:r>
        <w:t>100</w:t>
      </w:r>
      <w:r w:rsidR="000F471F">
        <w:t xml:space="preserve">% Fixed and </w:t>
      </w:r>
      <w:r>
        <w:t>0</w:t>
      </w:r>
      <w:r w:rsidR="000F471F">
        <w:t>% Volumetric bas</w:t>
      </w:r>
      <w:r>
        <w:t>ed revenue beginning May 1, 2019</w:t>
      </w:r>
      <w:r w:rsidR="000F471F">
        <w:t>.</w:t>
      </w:r>
      <w:r w:rsidR="00BB74F5">
        <w:t xml:space="preserve">  Residential customers at the 750 kWh consumption level will experience no change in total distribution revenue as a result of this final transition.  The </w:t>
      </w:r>
      <w:r w:rsidR="00DF26B3">
        <w:t>residential class deemed to experience the greatest impact, those with consumption at the 254 kWh/month level, will be impacted by $1.83 increase per month, within the $4.00 increase limit deemed to require additional transition time.</w:t>
      </w:r>
    </w:p>
    <w:p w:rsidR="000F471F" w:rsidRPr="00DD2198" w:rsidRDefault="000F471F" w:rsidP="000F471F">
      <w:pPr>
        <w:pStyle w:val="NoSpacing"/>
        <w:spacing w:line="276" w:lineRule="auto"/>
        <w:rPr>
          <w:b/>
          <w:i/>
          <w:u w:val="single"/>
        </w:rPr>
      </w:pPr>
      <w:r w:rsidRPr="00DD2198">
        <w:rPr>
          <w:b/>
          <w:i/>
          <w:u w:val="single"/>
        </w:rPr>
        <w:lastRenderedPageBreak/>
        <w:t>Specific Service Charge and Loss Factors</w:t>
      </w:r>
    </w:p>
    <w:p w:rsidR="000F471F" w:rsidRPr="00B056A6" w:rsidRDefault="000F471F" w:rsidP="000F471F">
      <w:pPr>
        <w:pStyle w:val="NoSpacing"/>
        <w:spacing w:line="276" w:lineRule="auto"/>
        <w:rPr>
          <w:b/>
          <w:i/>
        </w:rPr>
      </w:pPr>
    </w:p>
    <w:p w:rsidR="000F471F" w:rsidRDefault="000F471F" w:rsidP="000F471F">
      <w:pPr>
        <w:spacing w:line="276" w:lineRule="auto"/>
      </w:pPr>
      <w:r>
        <w:t>Kenora Hydro is applying to continue the current Specific Service Charges and Loss Factors as approved by the Board (EB-2014-0087).</w:t>
      </w:r>
    </w:p>
    <w:p w:rsidR="00DD2198" w:rsidRDefault="00DD2198" w:rsidP="00870D45">
      <w:pPr>
        <w:pStyle w:val="NoSpacing"/>
        <w:spacing w:line="276" w:lineRule="auto"/>
        <w:jc w:val="left"/>
        <w:rPr>
          <w:b/>
          <w:i/>
          <w:u w:val="single"/>
        </w:rPr>
      </w:pPr>
    </w:p>
    <w:p w:rsidR="00B056A6" w:rsidRPr="00DD2198" w:rsidRDefault="00870D45" w:rsidP="00A368FB">
      <w:pPr>
        <w:spacing w:line="276" w:lineRule="auto"/>
        <w:rPr>
          <w:b/>
          <w:i/>
          <w:u w:val="single"/>
        </w:rPr>
      </w:pPr>
      <w:r w:rsidRPr="00DD2198">
        <w:rPr>
          <w:b/>
          <w:i/>
          <w:u w:val="single"/>
        </w:rPr>
        <w:t>MicroFIT Generator Service Charge</w:t>
      </w:r>
    </w:p>
    <w:p w:rsidR="00870D45" w:rsidRDefault="00074624" w:rsidP="00A368FB">
      <w:pPr>
        <w:spacing w:line="276" w:lineRule="auto"/>
      </w:pPr>
      <w:r>
        <w:t xml:space="preserve">Kenora Hydro does not propose any change to </w:t>
      </w:r>
      <w:r w:rsidR="00870D45">
        <w:t>the current monthly service charge of $5.40 as prescribed by the Board.</w:t>
      </w:r>
    </w:p>
    <w:p w:rsidR="00D66213" w:rsidRPr="001377D4" w:rsidRDefault="00F12D28" w:rsidP="00D66213">
      <w:pPr>
        <w:spacing w:line="276" w:lineRule="auto"/>
        <w:rPr>
          <w:b/>
          <w:i/>
          <w:u w:val="single"/>
        </w:rPr>
      </w:pPr>
      <w:r>
        <w:rPr>
          <w:b/>
          <w:i/>
          <w:u w:val="single"/>
        </w:rPr>
        <w:t>Bill</w:t>
      </w:r>
      <w:r w:rsidR="00D66213" w:rsidRPr="001377D4">
        <w:rPr>
          <w:b/>
          <w:i/>
          <w:u w:val="single"/>
        </w:rPr>
        <w:t xml:space="preserve"> Impacts</w:t>
      </w:r>
    </w:p>
    <w:p w:rsidR="00F12D28" w:rsidRDefault="002F5A7F" w:rsidP="00C120D7">
      <w:pPr>
        <w:spacing w:line="276" w:lineRule="auto"/>
      </w:pPr>
      <w:r>
        <w:t>Every customer class in this</w:t>
      </w:r>
      <w:r w:rsidR="001377D4">
        <w:t xml:space="preserve"> application is impacted by this Rate Application. </w:t>
      </w:r>
      <w:r w:rsidR="001A0020">
        <w:t xml:space="preserve">  Details of impacts presented under </w:t>
      </w:r>
      <w:r w:rsidR="005F57CB">
        <w:rPr>
          <w:b/>
        </w:rPr>
        <w:t>Tab 20</w:t>
      </w:r>
      <w:r w:rsidR="001A0020" w:rsidRPr="00992079">
        <w:rPr>
          <w:b/>
        </w:rPr>
        <w:t xml:space="preserve"> – Bill Impacts </w:t>
      </w:r>
      <w:r w:rsidR="00630742">
        <w:t>section</w:t>
      </w:r>
      <w:r w:rsidR="001A0020">
        <w:t>.</w:t>
      </w:r>
    </w:p>
    <w:p w:rsidR="00D63A3E" w:rsidRDefault="00D63A3E" w:rsidP="00C120D7">
      <w:pPr>
        <w:spacing w:line="276" w:lineRule="auto"/>
      </w:pPr>
    </w:p>
    <w:p w:rsidR="007B17BA" w:rsidRPr="007B17BA" w:rsidRDefault="007B17BA" w:rsidP="00C120D7">
      <w:pPr>
        <w:spacing w:line="276" w:lineRule="auto"/>
        <w:rPr>
          <w:b/>
        </w:rPr>
      </w:pPr>
      <w:r w:rsidRPr="007B17BA">
        <w:rPr>
          <w:b/>
        </w:rPr>
        <w:t xml:space="preserve">The GA Methodology Description Questionnaire is included as Appendix A. </w:t>
      </w:r>
    </w:p>
    <w:p w:rsidR="007B17BA" w:rsidRDefault="007B17BA" w:rsidP="007B17BA">
      <w:pPr>
        <w:spacing w:line="276" w:lineRule="auto"/>
        <w:rPr>
          <w:b/>
        </w:rPr>
      </w:pPr>
      <w:r>
        <w:rPr>
          <w:b/>
        </w:rPr>
        <w:t>The 2019 Global Adjustment Working Paper is included as Appendix B.</w:t>
      </w:r>
    </w:p>
    <w:p w:rsidR="004527DE" w:rsidRDefault="004527DE" w:rsidP="004527DE">
      <w:pPr>
        <w:spacing w:line="276" w:lineRule="auto"/>
        <w:rPr>
          <w:b/>
        </w:rPr>
      </w:pPr>
      <w:r w:rsidRPr="008817CF">
        <w:rPr>
          <w:b/>
        </w:rPr>
        <w:t>The Full 201</w:t>
      </w:r>
      <w:r w:rsidR="00FC4EFF">
        <w:rPr>
          <w:b/>
        </w:rPr>
        <w:t>9</w:t>
      </w:r>
      <w:r w:rsidRPr="008817CF">
        <w:rPr>
          <w:b/>
        </w:rPr>
        <w:t xml:space="preserve"> Annual IR Rate Generator</w:t>
      </w:r>
      <w:r w:rsidR="008817CF">
        <w:rPr>
          <w:b/>
        </w:rPr>
        <w:t>, including Rate Impact sheets,</w:t>
      </w:r>
      <w:r w:rsidR="007B17BA">
        <w:rPr>
          <w:b/>
        </w:rPr>
        <w:t xml:space="preserve"> is included as Appendix C</w:t>
      </w:r>
      <w:r w:rsidRPr="008817CF">
        <w:rPr>
          <w:b/>
        </w:rPr>
        <w:t>.</w:t>
      </w:r>
    </w:p>
    <w:p w:rsidR="00B25C03" w:rsidRDefault="00CA1757" w:rsidP="004527DE">
      <w:pPr>
        <w:spacing w:line="276" w:lineRule="auto"/>
        <w:rPr>
          <w:b/>
        </w:rPr>
      </w:pPr>
      <w:r>
        <w:rPr>
          <w:b/>
        </w:rPr>
        <w:t>T</w:t>
      </w:r>
      <w:r w:rsidR="00B25C03">
        <w:rPr>
          <w:b/>
        </w:rPr>
        <w:t>hese IRM documents and any related correspondence will be made available by link on our website at www.kenorahydro.ca.</w:t>
      </w:r>
    </w:p>
    <w:p w:rsidR="008313D3" w:rsidRPr="008817CF" w:rsidRDefault="008313D3" w:rsidP="004527DE">
      <w:pPr>
        <w:spacing w:line="276" w:lineRule="auto"/>
        <w:rPr>
          <w:b/>
        </w:rPr>
      </w:pPr>
    </w:p>
    <w:p w:rsidR="008817CF" w:rsidRPr="008817CF" w:rsidRDefault="008817CF" w:rsidP="008817CF">
      <w:pPr>
        <w:spacing w:line="276" w:lineRule="auto"/>
        <w:rPr>
          <w:b/>
        </w:rPr>
      </w:pPr>
      <w:r w:rsidRPr="008817CF">
        <w:rPr>
          <w:b/>
        </w:rPr>
        <w:t xml:space="preserve">    </w:t>
      </w:r>
    </w:p>
    <w:p w:rsidR="008C41AF" w:rsidRDefault="008C41AF">
      <w:r>
        <w:br w:type="page"/>
      </w:r>
    </w:p>
    <w:p w:rsidR="00003E82" w:rsidRPr="0001063C" w:rsidRDefault="00D8790F" w:rsidP="00D8790F">
      <w:pPr>
        <w:spacing w:line="276" w:lineRule="auto"/>
        <w:rPr>
          <w:b/>
          <w:sz w:val="28"/>
          <w:szCs w:val="28"/>
          <w:u w:val="single"/>
        </w:rPr>
      </w:pPr>
      <w:r w:rsidRPr="0001063C">
        <w:rPr>
          <w:b/>
          <w:sz w:val="28"/>
          <w:szCs w:val="28"/>
          <w:u w:val="single"/>
        </w:rPr>
        <w:lastRenderedPageBreak/>
        <w:t>201</w:t>
      </w:r>
      <w:r w:rsidR="00FC4EFF">
        <w:rPr>
          <w:b/>
          <w:sz w:val="28"/>
          <w:szCs w:val="28"/>
          <w:u w:val="single"/>
        </w:rPr>
        <w:t>9</w:t>
      </w:r>
      <w:r w:rsidRPr="0001063C">
        <w:rPr>
          <w:b/>
          <w:sz w:val="28"/>
          <w:szCs w:val="28"/>
          <w:u w:val="single"/>
        </w:rPr>
        <w:t xml:space="preserve"> Annual IR Rate Generator </w:t>
      </w:r>
      <w:r w:rsidR="002E064A" w:rsidRPr="0001063C">
        <w:rPr>
          <w:b/>
          <w:sz w:val="28"/>
          <w:szCs w:val="28"/>
          <w:u w:val="single"/>
        </w:rPr>
        <w:t>Rate Application</w:t>
      </w:r>
      <w:r w:rsidRPr="0001063C">
        <w:rPr>
          <w:b/>
          <w:sz w:val="28"/>
          <w:szCs w:val="28"/>
          <w:u w:val="single"/>
        </w:rPr>
        <w:t xml:space="preserve"> Inputs</w:t>
      </w:r>
      <w:r w:rsidR="001A0020" w:rsidRPr="0001063C">
        <w:rPr>
          <w:b/>
          <w:sz w:val="28"/>
          <w:szCs w:val="28"/>
          <w:u w:val="single"/>
        </w:rPr>
        <w:t xml:space="preserve"> &amp; Results</w:t>
      </w:r>
    </w:p>
    <w:p w:rsidR="00D8790F" w:rsidRPr="001377D4" w:rsidRDefault="00D8790F" w:rsidP="00D8790F">
      <w:pPr>
        <w:spacing w:line="276" w:lineRule="auto"/>
        <w:rPr>
          <w:b/>
          <w:i/>
          <w:u w:val="single"/>
        </w:rPr>
      </w:pPr>
      <w:r w:rsidRPr="001377D4">
        <w:rPr>
          <w:b/>
          <w:i/>
          <w:u w:val="single"/>
        </w:rPr>
        <w:t xml:space="preserve">Tab </w:t>
      </w:r>
      <w:r w:rsidR="00F43C18">
        <w:rPr>
          <w:b/>
          <w:i/>
          <w:u w:val="single"/>
        </w:rPr>
        <w:t>2</w:t>
      </w:r>
      <w:r w:rsidRPr="001377D4">
        <w:rPr>
          <w:b/>
          <w:i/>
          <w:u w:val="single"/>
        </w:rPr>
        <w:t xml:space="preserve"> – Current Tariff Schedule</w:t>
      </w:r>
    </w:p>
    <w:p w:rsidR="00D8790F" w:rsidRDefault="007B73C5" w:rsidP="00D8790F">
      <w:pPr>
        <w:spacing w:line="276" w:lineRule="auto"/>
      </w:pPr>
      <w:r>
        <w:t>This Model was pre-populated with Kenora Hydro’s c</w:t>
      </w:r>
      <w:r w:rsidR="00D8790F">
        <w:t>urrent rates from May 1, 201</w:t>
      </w:r>
      <w:r w:rsidR="00FC4EFF">
        <w:t>8</w:t>
      </w:r>
      <w:r w:rsidR="00D8790F">
        <w:t xml:space="preserve"> Tariff of Rates and Charges</w:t>
      </w:r>
      <w:r w:rsidR="00D8790F" w:rsidRPr="00020D4B">
        <w:t xml:space="preserve"> </w:t>
      </w:r>
      <w:r w:rsidR="00D8790F">
        <w:t>EB-201</w:t>
      </w:r>
      <w:r w:rsidR="00FC4EFF">
        <w:t>7</w:t>
      </w:r>
      <w:r w:rsidR="00D8790F">
        <w:t>-0</w:t>
      </w:r>
      <w:r w:rsidR="00BB4DBD">
        <w:t>0</w:t>
      </w:r>
      <w:r w:rsidR="00D51F8D">
        <w:t>54</w:t>
      </w:r>
      <w:r w:rsidR="00D8790F">
        <w:t>.</w:t>
      </w:r>
      <w:r w:rsidR="00F50098">
        <w:t xml:space="preserve">  Kenora Hydro confirms the accuracy of these inputs.</w:t>
      </w:r>
    </w:p>
    <w:p w:rsidR="00D8790F" w:rsidRPr="001377D4" w:rsidRDefault="00D8790F" w:rsidP="00D8790F">
      <w:pPr>
        <w:spacing w:line="276" w:lineRule="auto"/>
        <w:rPr>
          <w:b/>
          <w:i/>
          <w:u w:val="single"/>
        </w:rPr>
      </w:pPr>
      <w:r w:rsidRPr="001377D4">
        <w:rPr>
          <w:b/>
          <w:i/>
          <w:u w:val="single"/>
        </w:rPr>
        <w:t xml:space="preserve">Tab </w:t>
      </w:r>
      <w:r w:rsidR="00F43C18">
        <w:rPr>
          <w:b/>
          <w:i/>
          <w:u w:val="single"/>
        </w:rPr>
        <w:t>3</w:t>
      </w:r>
      <w:r w:rsidRPr="001377D4">
        <w:rPr>
          <w:b/>
          <w:i/>
          <w:u w:val="single"/>
        </w:rPr>
        <w:t xml:space="preserve"> – Continuity Schedule</w:t>
      </w:r>
    </w:p>
    <w:p w:rsidR="00D8790F" w:rsidRDefault="00F50098" w:rsidP="00D8790F">
      <w:pPr>
        <w:spacing w:line="276" w:lineRule="auto"/>
      </w:pPr>
      <w:r>
        <w:t xml:space="preserve">RRR balances </w:t>
      </w:r>
      <w:r w:rsidR="007175EF">
        <w:t>have been</w:t>
      </w:r>
      <w:r>
        <w:t xml:space="preserve"> pre</w:t>
      </w:r>
      <w:r w:rsidR="007175EF">
        <w:t>-</w:t>
      </w:r>
      <w:r>
        <w:t xml:space="preserve">populated </w:t>
      </w:r>
      <w:r w:rsidR="00D8790F">
        <w:t>from the</w:t>
      </w:r>
      <w:r w:rsidR="001377D4">
        <w:t xml:space="preserve"> 2.1.7 </w:t>
      </w:r>
      <w:r>
        <w:t>201</w:t>
      </w:r>
      <w:r w:rsidR="00FC4EFF">
        <w:t>7</w:t>
      </w:r>
      <w:r w:rsidR="00D8790F">
        <w:t xml:space="preserve"> RRR filing</w:t>
      </w:r>
      <w:r w:rsidR="00D51F8D">
        <w:t>, as revised October 19, 2018</w:t>
      </w:r>
      <w:r w:rsidR="00D8790F">
        <w:t>.</w:t>
      </w:r>
      <w:r>
        <w:t xml:space="preserve">  Kenora Hydro confirms the accuracy of these inputs</w:t>
      </w:r>
      <w:r w:rsidR="00227093">
        <w:t>, with the noted exception of Cell BU31.  The total from the 2011 Year balances in account 1595 ha</w:t>
      </w:r>
      <w:r w:rsidR="00161D9D">
        <w:t>s</w:t>
      </w:r>
      <w:r w:rsidR="00227093">
        <w:t xml:space="preserve"> not been brought forward by this model.  E-mail discussion with Board Staff indicates that the activity and balances for both 2011 and 2012 should be reported together, and that the Variance as noted of $90,169 is expected</w:t>
      </w:r>
      <w:r>
        <w:t>.</w:t>
      </w:r>
      <w:r w:rsidR="00227093">
        <w:t xml:space="preserve">  The balance of the missing 1595 account</w:t>
      </w:r>
      <w:r w:rsidR="00161D9D">
        <w:t xml:space="preserve"> in this model </w:t>
      </w:r>
      <w:r w:rsidR="00227093">
        <w:t>is a DR ($90,169).  Including this balance leaves an adjusted variance column of 0.</w:t>
      </w:r>
      <w:r w:rsidR="00D8790F">
        <w:t xml:space="preserve">  </w:t>
      </w:r>
      <w:r w:rsidR="003B27EB">
        <w:t xml:space="preserve">Kenora Hydro used </w:t>
      </w:r>
      <w:r w:rsidR="00161D9D">
        <w:t>t</w:t>
      </w:r>
      <w:r w:rsidR="00D51F8D">
        <w:t>he OEB rate of 2.17</w:t>
      </w:r>
      <w:r w:rsidR="003B27EB">
        <w:t>% to project carrying charges to April 30, 201</w:t>
      </w:r>
      <w:r w:rsidR="00FC4EFF">
        <w:t>9</w:t>
      </w:r>
      <w:r w:rsidR="003B27EB">
        <w:t>.</w:t>
      </w:r>
    </w:p>
    <w:p w:rsidR="0020215B" w:rsidRDefault="0020215B" w:rsidP="0020215B">
      <w:pPr>
        <w:spacing w:line="276" w:lineRule="auto"/>
      </w:pPr>
      <w:r>
        <w:t>In accordance with the Board’s Guidelines for Electricity Distributor Conservation and Demand Management (EB-2012-0003) issued April 26, 2012, at a minimum, distributors must apply for disposition of the balance in the LRAMVA at the time of their Cost of Service rate application.  Distributors may apply for the disposition of the balance in the LRAMVA on IR rate applications if the balance is deemed significant by the applicant.  As the to</w:t>
      </w:r>
      <w:r w:rsidR="002E083C">
        <w:t xml:space="preserve">tal </w:t>
      </w:r>
      <w:r w:rsidR="004D3589">
        <w:t xml:space="preserve">audited balance in the GL </w:t>
      </w:r>
      <w:r w:rsidR="002E083C">
        <w:t xml:space="preserve">the LRAMVA </w:t>
      </w:r>
      <w:r w:rsidR="00D51F8D">
        <w:t>account is $9,530</w:t>
      </w:r>
      <w:r>
        <w:t xml:space="preserve"> as at December 31, 201</w:t>
      </w:r>
      <w:r w:rsidR="00D51F8D">
        <w:t>7</w:t>
      </w:r>
      <w:r>
        <w:t>, Kenora Hydro is electing to not dispose of this balance in this application.  This balance has not been included in the Continuity Schedule.</w:t>
      </w:r>
    </w:p>
    <w:p w:rsidR="00D8790F" w:rsidRPr="001377D4" w:rsidRDefault="00D8790F" w:rsidP="001377D4">
      <w:pPr>
        <w:spacing w:line="276" w:lineRule="auto"/>
        <w:rPr>
          <w:b/>
          <w:i/>
          <w:u w:val="single"/>
        </w:rPr>
      </w:pPr>
      <w:r w:rsidRPr="001377D4">
        <w:rPr>
          <w:b/>
          <w:i/>
          <w:u w:val="single"/>
        </w:rPr>
        <w:t xml:space="preserve">Tab </w:t>
      </w:r>
      <w:r w:rsidR="00F43C18">
        <w:rPr>
          <w:b/>
          <w:i/>
          <w:u w:val="single"/>
        </w:rPr>
        <w:t>4</w:t>
      </w:r>
      <w:r w:rsidR="007B73C5">
        <w:rPr>
          <w:b/>
          <w:i/>
          <w:u w:val="single"/>
        </w:rPr>
        <w:t xml:space="preserve">, 5 &amp; 6 - Billing Determinant </w:t>
      </w:r>
      <w:r w:rsidR="00F43C18">
        <w:rPr>
          <w:b/>
          <w:i/>
          <w:u w:val="single"/>
        </w:rPr>
        <w:t>DVA Accounts</w:t>
      </w:r>
    </w:p>
    <w:p w:rsidR="00D51F8D" w:rsidRDefault="0077160A" w:rsidP="00D6449B">
      <w:pPr>
        <w:pStyle w:val="ListParagraph"/>
        <w:numPr>
          <w:ilvl w:val="0"/>
          <w:numId w:val="24"/>
        </w:numPr>
        <w:spacing w:line="276" w:lineRule="auto"/>
        <w:jc w:val="left"/>
      </w:pPr>
      <w:r w:rsidRPr="00D51F8D">
        <w:rPr>
          <w:b/>
        </w:rPr>
        <w:t xml:space="preserve">Tab 4:  </w:t>
      </w:r>
      <w:r>
        <w:t xml:space="preserve"> </w:t>
      </w:r>
      <w:r w:rsidR="007B73C5">
        <w:t xml:space="preserve">As the DVA Account balances plus projected carrying charges results in a balance of, </w:t>
      </w:r>
      <w:r w:rsidR="00764F0D">
        <w:t>($20</w:t>
      </w:r>
      <w:r w:rsidR="008C1B0D">
        <w:t>,</w:t>
      </w:r>
      <w:r w:rsidR="00764F0D">
        <w:t>488</w:t>
      </w:r>
      <w:r w:rsidR="008C1B0D">
        <w:t>)</w:t>
      </w:r>
      <w:r w:rsidR="00EB5861">
        <w:t xml:space="preserve">  </w:t>
      </w:r>
      <w:r w:rsidR="007B73C5">
        <w:t xml:space="preserve">producing a claim of </w:t>
      </w:r>
      <w:r w:rsidR="008C1B0D">
        <w:t>(</w:t>
      </w:r>
      <w:r w:rsidR="007B73C5">
        <w:t>$</w:t>
      </w:r>
      <w:r w:rsidR="008C1B0D">
        <w:t>0.0002)</w:t>
      </w:r>
      <w:r w:rsidR="007B73C5">
        <w:t xml:space="preserve"> per kWh, it does </w:t>
      </w:r>
      <w:r w:rsidR="00D51F8D">
        <w:t xml:space="preserve">not </w:t>
      </w:r>
      <w:r w:rsidR="007B73C5">
        <w:t>exceed the preset disposition threshold of DR</w:t>
      </w:r>
      <w:r w:rsidR="007510F7">
        <w:t>/</w:t>
      </w:r>
      <w:r w:rsidR="007B73C5">
        <w:t>CR $0.001/kWh</w:t>
      </w:r>
      <w:r w:rsidR="008C1B0D">
        <w:t xml:space="preserve"> and will not be disposed of in this application</w:t>
      </w:r>
      <w:r w:rsidR="001A3ED3">
        <w:t>.</w:t>
      </w:r>
      <w:r w:rsidR="007510F7">
        <w:t xml:space="preserve">  </w:t>
      </w:r>
    </w:p>
    <w:p w:rsidR="0077160A" w:rsidRDefault="001A3ED3" w:rsidP="00D51F8D">
      <w:pPr>
        <w:pStyle w:val="ListParagraph"/>
        <w:spacing w:line="276" w:lineRule="auto"/>
        <w:jc w:val="left"/>
      </w:pPr>
      <w:r>
        <w:t xml:space="preserve">  </w:t>
      </w:r>
    </w:p>
    <w:p w:rsidR="00952E07" w:rsidRDefault="00952E07" w:rsidP="0077160A">
      <w:pPr>
        <w:pStyle w:val="ListParagraph"/>
        <w:numPr>
          <w:ilvl w:val="0"/>
          <w:numId w:val="24"/>
        </w:numPr>
        <w:spacing w:line="276" w:lineRule="auto"/>
        <w:jc w:val="left"/>
      </w:pPr>
      <w:r>
        <w:rPr>
          <w:b/>
        </w:rPr>
        <w:t>Tab 5:</w:t>
      </w:r>
      <w:r>
        <w:t xml:space="preserve">  No input required.</w:t>
      </w:r>
    </w:p>
    <w:p w:rsidR="0077160A" w:rsidRDefault="0077160A" w:rsidP="0077160A">
      <w:pPr>
        <w:pStyle w:val="ListParagraph"/>
        <w:spacing w:line="276" w:lineRule="auto"/>
        <w:jc w:val="left"/>
      </w:pPr>
    </w:p>
    <w:p w:rsidR="007B73C5" w:rsidRDefault="007510F7" w:rsidP="0077160A">
      <w:pPr>
        <w:pStyle w:val="ListParagraph"/>
        <w:numPr>
          <w:ilvl w:val="0"/>
          <w:numId w:val="24"/>
        </w:numPr>
        <w:spacing w:line="276" w:lineRule="auto"/>
        <w:jc w:val="left"/>
      </w:pPr>
      <w:r>
        <w:rPr>
          <w:b/>
        </w:rPr>
        <w:t xml:space="preserve">Tab </w:t>
      </w:r>
      <w:r w:rsidR="00630742">
        <w:rPr>
          <w:b/>
        </w:rPr>
        <w:t>7</w:t>
      </w:r>
      <w:r w:rsidR="0077160A">
        <w:rPr>
          <w:b/>
        </w:rPr>
        <w:t>:</w:t>
      </w:r>
      <w:r w:rsidR="00764F0D">
        <w:rPr>
          <w:b/>
        </w:rPr>
        <w:t xml:space="preserve">  </w:t>
      </w:r>
      <w:r w:rsidR="00764F0D" w:rsidRPr="00764F0D">
        <w:t>No input required.</w:t>
      </w:r>
      <w:r w:rsidR="0077160A">
        <w:rPr>
          <w:b/>
        </w:rPr>
        <w:t xml:space="preserve">  </w:t>
      </w:r>
      <w:r w:rsidR="0077160A">
        <w:t xml:space="preserve"> </w:t>
      </w:r>
      <w:r>
        <w:t xml:space="preserve">  </w:t>
      </w:r>
      <w:r w:rsidR="001A3ED3">
        <w:t xml:space="preserve">  </w:t>
      </w:r>
    </w:p>
    <w:p w:rsidR="00D8790F" w:rsidRPr="001377D4" w:rsidRDefault="00D8790F" w:rsidP="001377D4">
      <w:pPr>
        <w:spacing w:line="276" w:lineRule="auto"/>
        <w:rPr>
          <w:b/>
          <w:i/>
          <w:u w:val="single"/>
        </w:rPr>
      </w:pPr>
      <w:r w:rsidRPr="001377D4">
        <w:rPr>
          <w:b/>
          <w:i/>
          <w:u w:val="single"/>
        </w:rPr>
        <w:t xml:space="preserve">Tab </w:t>
      </w:r>
      <w:r w:rsidR="00630742">
        <w:rPr>
          <w:b/>
          <w:i/>
          <w:u w:val="single"/>
        </w:rPr>
        <w:t>8 &amp; 9</w:t>
      </w:r>
      <w:r w:rsidRPr="001377D4">
        <w:rPr>
          <w:b/>
          <w:i/>
          <w:u w:val="single"/>
        </w:rPr>
        <w:t xml:space="preserve"> – Tax Change</w:t>
      </w:r>
    </w:p>
    <w:p w:rsidR="0083566F" w:rsidRDefault="00EF482F" w:rsidP="0077160A">
      <w:pPr>
        <w:pStyle w:val="ListParagraph"/>
        <w:numPr>
          <w:ilvl w:val="0"/>
          <w:numId w:val="25"/>
        </w:numPr>
        <w:spacing w:line="276" w:lineRule="auto"/>
      </w:pPr>
      <w:r w:rsidRPr="0077160A">
        <w:rPr>
          <w:b/>
        </w:rPr>
        <w:t xml:space="preserve">Tab </w:t>
      </w:r>
      <w:r w:rsidR="00630742">
        <w:rPr>
          <w:b/>
        </w:rPr>
        <w:t>8 &amp; 9</w:t>
      </w:r>
      <w:r w:rsidR="0077160A" w:rsidRPr="0077160A">
        <w:rPr>
          <w:b/>
        </w:rPr>
        <w:t>:</w:t>
      </w:r>
      <w:r w:rsidR="0077160A">
        <w:t xml:space="preserve">  </w:t>
      </w:r>
      <w:r w:rsidR="00D8790F">
        <w:t xml:space="preserve"> </w:t>
      </w:r>
      <w:r w:rsidR="0077160A">
        <w:t>T</w:t>
      </w:r>
      <w:r w:rsidR="00D8790F">
        <w:t xml:space="preserve">here </w:t>
      </w:r>
      <w:r w:rsidR="0077160A">
        <w:t xml:space="preserve">is non-material </w:t>
      </w:r>
      <w:r w:rsidR="00D8790F">
        <w:t xml:space="preserve">impact of </w:t>
      </w:r>
      <w:r w:rsidR="00F50098">
        <w:t>the</w:t>
      </w:r>
      <w:r w:rsidR="00D8790F">
        <w:t xml:space="preserve"> currently known legislated tax changes on Kenora Hydro.  </w:t>
      </w:r>
      <w:r w:rsidR="00F50098">
        <w:t>Total impact is $</w:t>
      </w:r>
      <w:r w:rsidR="00C151F0">
        <w:t>(</w:t>
      </w:r>
      <w:r w:rsidR="00764F0D">
        <w:t>2,447</w:t>
      </w:r>
      <w:r w:rsidR="00BD0DDC">
        <w:t>)</w:t>
      </w:r>
      <w:r w:rsidR="00F50098">
        <w:t xml:space="preserve">   </w:t>
      </w:r>
      <w:r w:rsidR="0077160A">
        <w:t>N</w:t>
      </w:r>
      <w:r w:rsidR="001A3ED3">
        <w:t>o Rate Rider</w:t>
      </w:r>
      <w:r w:rsidR="00D8790F">
        <w:t xml:space="preserve"> </w:t>
      </w:r>
      <w:r w:rsidR="0077160A">
        <w:t xml:space="preserve">is </w:t>
      </w:r>
      <w:r w:rsidR="00D8790F">
        <w:t xml:space="preserve">calculated </w:t>
      </w:r>
      <w:r w:rsidR="00764F0D">
        <w:t xml:space="preserve">in this model </w:t>
      </w:r>
      <w:r w:rsidR="00D8790F">
        <w:t>as a result of Tax Savings</w:t>
      </w:r>
      <w:r w:rsidR="00764F0D">
        <w:t xml:space="preserve"> </w:t>
      </w:r>
      <w:r w:rsidR="00D01616">
        <w:lastRenderedPageBreak/>
        <w:t>a</w:t>
      </w:r>
      <w:r w:rsidR="00764F0D">
        <w:t>s calculated</w:t>
      </w:r>
      <w:r w:rsidR="00D8790F">
        <w:t xml:space="preserve">.  </w:t>
      </w:r>
      <w:r w:rsidR="002E083C">
        <w:t xml:space="preserve">This amount will be recorded into Account </w:t>
      </w:r>
      <w:r w:rsidR="00C32BD5">
        <w:t>1595</w:t>
      </w:r>
      <w:r w:rsidR="002E083C">
        <w:t xml:space="preserve"> in the 201</w:t>
      </w:r>
      <w:r w:rsidR="00C151F0">
        <w:t>9</w:t>
      </w:r>
      <w:r w:rsidR="002E083C">
        <w:t xml:space="preserve"> year end</w:t>
      </w:r>
      <w:r w:rsidR="00BE0EFF">
        <w:t xml:space="preserve"> for future disposal</w:t>
      </w:r>
      <w:r w:rsidR="002E083C">
        <w:t>.</w:t>
      </w:r>
    </w:p>
    <w:p w:rsidR="00D8790F" w:rsidRPr="001377D4" w:rsidRDefault="00D8790F" w:rsidP="00D8790F">
      <w:pPr>
        <w:spacing w:line="276" w:lineRule="auto"/>
        <w:rPr>
          <w:b/>
          <w:i/>
          <w:u w:val="single"/>
        </w:rPr>
      </w:pPr>
      <w:r w:rsidRPr="001377D4">
        <w:rPr>
          <w:b/>
          <w:i/>
          <w:u w:val="single"/>
        </w:rPr>
        <w:t xml:space="preserve">Tab </w:t>
      </w:r>
      <w:r w:rsidR="00630742">
        <w:rPr>
          <w:b/>
          <w:i/>
          <w:u w:val="single"/>
        </w:rPr>
        <w:t>10</w:t>
      </w:r>
      <w:r w:rsidRPr="001377D4">
        <w:rPr>
          <w:b/>
          <w:i/>
          <w:u w:val="single"/>
        </w:rPr>
        <w:t xml:space="preserve"> through </w:t>
      </w:r>
      <w:r w:rsidR="00F43C18">
        <w:rPr>
          <w:b/>
          <w:i/>
          <w:u w:val="single"/>
        </w:rPr>
        <w:t>1</w:t>
      </w:r>
      <w:r w:rsidR="00667CC8">
        <w:rPr>
          <w:b/>
          <w:i/>
          <w:u w:val="single"/>
        </w:rPr>
        <w:t>5</w:t>
      </w:r>
      <w:r w:rsidRPr="001377D4">
        <w:rPr>
          <w:b/>
          <w:i/>
          <w:u w:val="single"/>
        </w:rPr>
        <w:t xml:space="preserve"> – RTSR</w:t>
      </w:r>
      <w:r w:rsidR="00F43C18">
        <w:rPr>
          <w:b/>
          <w:i/>
          <w:u w:val="single"/>
        </w:rPr>
        <w:t xml:space="preserve"> Rates</w:t>
      </w:r>
      <w:r w:rsidRPr="001377D4">
        <w:rPr>
          <w:b/>
          <w:i/>
          <w:u w:val="single"/>
        </w:rPr>
        <w:t xml:space="preserve"> </w:t>
      </w:r>
    </w:p>
    <w:p w:rsidR="00D8790F" w:rsidRDefault="00D8790F" w:rsidP="00430069">
      <w:pPr>
        <w:pStyle w:val="ListParagraph"/>
        <w:numPr>
          <w:ilvl w:val="0"/>
          <w:numId w:val="23"/>
        </w:numPr>
        <w:spacing w:line="276" w:lineRule="auto"/>
        <w:ind w:left="720"/>
      </w:pPr>
      <w:r w:rsidRPr="001377D4">
        <w:rPr>
          <w:b/>
        </w:rPr>
        <w:t xml:space="preserve">Tab </w:t>
      </w:r>
      <w:r w:rsidR="00630742">
        <w:rPr>
          <w:b/>
        </w:rPr>
        <w:t>10</w:t>
      </w:r>
      <w:r w:rsidRPr="001377D4">
        <w:rPr>
          <w:b/>
        </w:rPr>
        <w:t>:</w:t>
      </w:r>
      <w:r>
        <w:t xml:space="preserve">  The most recent RRR billing determinants are </w:t>
      </w:r>
      <w:r w:rsidR="0063452B">
        <w:t>pre-populated</w:t>
      </w:r>
      <w:r>
        <w:t xml:space="preserve"> from the 201</w:t>
      </w:r>
      <w:r w:rsidR="00C151F0">
        <w:t>7</w:t>
      </w:r>
      <w:r>
        <w:t xml:space="preserve"> Annual RRR filing</w:t>
      </w:r>
      <w:r w:rsidR="004923C6">
        <w:t>, as revised October 19, 2018</w:t>
      </w:r>
      <w:r>
        <w:t>.</w:t>
      </w:r>
      <w:r w:rsidR="00DC0E75">
        <w:t xml:space="preserve">  Kenora Hydro confirms the accuracy of these inputs.</w:t>
      </w:r>
      <w:r>
        <w:t xml:space="preserve"> </w:t>
      </w:r>
    </w:p>
    <w:p w:rsidR="00E00A2C" w:rsidRDefault="00D8790F" w:rsidP="00667CC8">
      <w:pPr>
        <w:pStyle w:val="NoSpacing"/>
        <w:numPr>
          <w:ilvl w:val="0"/>
          <w:numId w:val="23"/>
        </w:numPr>
        <w:ind w:left="720"/>
      </w:pPr>
      <w:r w:rsidRPr="00D8790F">
        <w:rPr>
          <w:b/>
        </w:rPr>
        <w:t xml:space="preserve">Tab </w:t>
      </w:r>
      <w:r w:rsidR="00630742">
        <w:rPr>
          <w:b/>
        </w:rPr>
        <w:t>11</w:t>
      </w:r>
      <w:r w:rsidRPr="00D8790F">
        <w:rPr>
          <w:b/>
        </w:rPr>
        <w:t>:</w:t>
      </w:r>
      <w:r>
        <w:t xml:space="preserve">  Rates effective January 1, 201</w:t>
      </w:r>
      <w:r w:rsidR="00C151F0">
        <w:t>9</w:t>
      </w:r>
      <w:r w:rsidR="00643462">
        <w:t xml:space="preserve"> </w:t>
      </w:r>
      <w:r>
        <w:t>are assumed to be the 201</w:t>
      </w:r>
      <w:r w:rsidR="00C151F0">
        <w:t>8</w:t>
      </w:r>
      <w:r>
        <w:t xml:space="preserve"> Rates until updated. </w:t>
      </w:r>
      <w:r w:rsidR="00E00A2C">
        <w:t xml:space="preserve">  Kenora Hydro agrees that the Board will update these rates in this application January 201</w:t>
      </w:r>
      <w:r w:rsidR="00C151F0">
        <w:t>9</w:t>
      </w:r>
      <w:r w:rsidR="00E00A2C">
        <w:t xml:space="preserve"> as required.</w:t>
      </w:r>
    </w:p>
    <w:p w:rsidR="00430069" w:rsidRDefault="00430069" w:rsidP="00667CC8">
      <w:pPr>
        <w:pStyle w:val="NoSpacing"/>
        <w:ind w:left="720"/>
      </w:pPr>
    </w:p>
    <w:p w:rsidR="00D8790F" w:rsidRDefault="00D8790F" w:rsidP="00430069">
      <w:pPr>
        <w:pStyle w:val="ListParagraph"/>
        <w:numPr>
          <w:ilvl w:val="0"/>
          <w:numId w:val="23"/>
        </w:numPr>
        <w:spacing w:line="276" w:lineRule="auto"/>
        <w:ind w:left="720"/>
      </w:pPr>
      <w:r w:rsidRPr="001377D4">
        <w:rPr>
          <w:b/>
        </w:rPr>
        <w:t xml:space="preserve">Tab </w:t>
      </w:r>
      <w:r w:rsidR="00F43C18">
        <w:rPr>
          <w:b/>
        </w:rPr>
        <w:t>12</w:t>
      </w:r>
      <w:r w:rsidRPr="001377D4">
        <w:rPr>
          <w:b/>
        </w:rPr>
        <w:t>:</w:t>
      </w:r>
      <w:r>
        <w:t xml:space="preserve">  Network and Connection charges </w:t>
      </w:r>
      <w:r w:rsidR="00764F0D">
        <w:t xml:space="preserve">as inputs for this tab are </w:t>
      </w:r>
      <w:r>
        <w:t xml:space="preserve">taken </w:t>
      </w:r>
      <w:r w:rsidR="00666655">
        <w:t xml:space="preserve">directly </w:t>
      </w:r>
      <w:r>
        <w:t>from 201</w:t>
      </w:r>
      <w:r w:rsidR="00C151F0">
        <w:t>7</w:t>
      </w:r>
      <w:r>
        <w:t xml:space="preserve"> IESO Invoices.</w:t>
      </w:r>
    </w:p>
    <w:p w:rsidR="00667CC8" w:rsidRDefault="00667CC8" w:rsidP="00667CC8">
      <w:pPr>
        <w:pStyle w:val="ListParagraph"/>
        <w:spacing w:line="240" w:lineRule="auto"/>
      </w:pPr>
    </w:p>
    <w:p w:rsidR="0063452B" w:rsidRDefault="00667CC8" w:rsidP="00667CC8">
      <w:pPr>
        <w:pStyle w:val="ListParagraph"/>
        <w:numPr>
          <w:ilvl w:val="0"/>
          <w:numId w:val="23"/>
        </w:numPr>
        <w:spacing w:line="276" w:lineRule="auto"/>
        <w:ind w:left="720"/>
      </w:pPr>
      <w:r w:rsidRPr="00667CC8">
        <w:rPr>
          <w:b/>
        </w:rPr>
        <w:t>Tab 13, 14 &amp; 15</w:t>
      </w:r>
      <w:r w:rsidR="0063452B" w:rsidRPr="00667CC8">
        <w:rPr>
          <w:b/>
        </w:rPr>
        <w:t>:</w:t>
      </w:r>
      <w:r w:rsidR="0063452B">
        <w:t xml:space="preserve">  No inputs.</w:t>
      </w:r>
    </w:p>
    <w:p w:rsidR="004527DE" w:rsidRPr="001377D4" w:rsidRDefault="00D8790F" w:rsidP="001377D4">
      <w:pPr>
        <w:spacing w:line="276" w:lineRule="auto"/>
        <w:rPr>
          <w:b/>
          <w:i/>
          <w:u w:val="single"/>
        </w:rPr>
      </w:pPr>
      <w:r w:rsidRPr="001377D4">
        <w:rPr>
          <w:b/>
          <w:i/>
          <w:u w:val="single"/>
        </w:rPr>
        <w:t xml:space="preserve">Tab </w:t>
      </w:r>
      <w:r w:rsidR="00F43C18">
        <w:rPr>
          <w:b/>
          <w:i/>
          <w:u w:val="single"/>
        </w:rPr>
        <w:t>1</w:t>
      </w:r>
      <w:r w:rsidR="00667CC8">
        <w:rPr>
          <w:b/>
          <w:i/>
          <w:u w:val="single"/>
        </w:rPr>
        <w:t>6</w:t>
      </w:r>
      <w:r w:rsidR="004527DE" w:rsidRPr="001377D4">
        <w:rPr>
          <w:b/>
          <w:i/>
          <w:u w:val="single"/>
        </w:rPr>
        <w:t xml:space="preserve"> – Revenue to Cost Adjustment &amp; GDPIPI</w:t>
      </w:r>
    </w:p>
    <w:p w:rsidR="00D8790F" w:rsidRDefault="00D8790F" w:rsidP="00D8790F">
      <w:pPr>
        <w:spacing w:line="276" w:lineRule="auto"/>
        <w:jc w:val="left"/>
      </w:pPr>
      <w:r>
        <w:t>The Board’s Annual IR model dictates that Kenora’s filing incorporates the following:</w:t>
      </w:r>
    </w:p>
    <w:p w:rsidR="00D8790F" w:rsidRDefault="00D8790F" w:rsidP="00D8790F">
      <w:pPr>
        <w:pStyle w:val="NoSpacing"/>
        <w:numPr>
          <w:ilvl w:val="0"/>
          <w:numId w:val="15"/>
        </w:numPr>
        <w:spacing w:line="276" w:lineRule="auto"/>
        <w:jc w:val="left"/>
      </w:pPr>
      <w:r>
        <w:t xml:space="preserve">Price Escalator  = </w:t>
      </w:r>
      <w:r w:rsidR="002E083C">
        <w:t>1</w:t>
      </w:r>
      <w:r w:rsidR="00AE6FF7">
        <w:t>.</w:t>
      </w:r>
      <w:r w:rsidR="00764F0D">
        <w:t>2</w:t>
      </w:r>
      <w:r w:rsidR="00AE6FF7">
        <w:t>%</w:t>
      </w:r>
    </w:p>
    <w:p w:rsidR="00D8790F" w:rsidRDefault="00D8790F" w:rsidP="00D8790F">
      <w:pPr>
        <w:pStyle w:val="NoSpacing"/>
        <w:numPr>
          <w:ilvl w:val="0"/>
          <w:numId w:val="15"/>
        </w:numPr>
        <w:spacing w:line="276" w:lineRule="auto"/>
        <w:jc w:val="left"/>
      </w:pPr>
      <w:r>
        <w:t>Stretch Factor = 0.</w:t>
      </w:r>
      <w:r w:rsidR="00AE6FF7">
        <w:t>6</w:t>
      </w:r>
      <w:r>
        <w:t xml:space="preserve">%  </w:t>
      </w:r>
    </w:p>
    <w:p w:rsidR="00D8790F" w:rsidRDefault="00D8790F" w:rsidP="004527DE">
      <w:pPr>
        <w:pStyle w:val="NoSpacing"/>
        <w:numPr>
          <w:ilvl w:val="0"/>
          <w:numId w:val="15"/>
        </w:numPr>
        <w:spacing w:line="480" w:lineRule="auto"/>
        <w:jc w:val="left"/>
      </w:pPr>
      <w:r>
        <w:t xml:space="preserve">Resulting Total Price </w:t>
      </w:r>
      <w:r w:rsidR="005259AB">
        <w:t xml:space="preserve">Cap </w:t>
      </w:r>
      <w:r>
        <w:t xml:space="preserve">Index = </w:t>
      </w:r>
      <w:r w:rsidR="00764F0D">
        <w:t>0</w:t>
      </w:r>
      <w:r>
        <w:t>.</w:t>
      </w:r>
      <w:r w:rsidR="00764F0D">
        <w:t>6</w:t>
      </w:r>
      <w:r>
        <w:t>%</w:t>
      </w:r>
    </w:p>
    <w:p w:rsidR="00D8790F" w:rsidRDefault="00D8790F" w:rsidP="00D8790F">
      <w:pPr>
        <w:spacing w:line="276" w:lineRule="auto"/>
      </w:pPr>
      <w:r>
        <w:t>It is understood that the Board will update this rate application to reflect any required changes in these rates.</w:t>
      </w:r>
    </w:p>
    <w:p w:rsidR="003A79A1" w:rsidRDefault="003A79A1" w:rsidP="00D8790F">
      <w:pPr>
        <w:spacing w:line="276" w:lineRule="auto"/>
      </w:pPr>
      <w:r>
        <w:t xml:space="preserve">The Rate Design Transition on Tab 16 indicates that </w:t>
      </w:r>
      <w:r w:rsidR="00666655">
        <w:t xml:space="preserve">this, </w:t>
      </w:r>
      <w:r>
        <w:t xml:space="preserve">the </w:t>
      </w:r>
      <w:r w:rsidR="00666655">
        <w:t>fourth</w:t>
      </w:r>
      <w:r>
        <w:t xml:space="preserve"> year of the four year</w:t>
      </w:r>
      <w:r w:rsidR="00C151F0">
        <w:t xml:space="preserve"> transition will result in a 100</w:t>
      </w:r>
      <w:r>
        <w:t xml:space="preserve">% Fixed and </w:t>
      </w:r>
      <w:r w:rsidR="00C151F0">
        <w:t>0</w:t>
      </w:r>
      <w:r>
        <w:t>% Variable component for residential customers.</w:t>
      </w:r>
    </w:p>
    <w:p w:rsidR="001325CA" w:rsidRDefault="001325CA" w:rsidP="001325CA">
      <w:pPr>
        <w:spacing w:line="276" w:lineRule="auto"/>
      </w:pPr>
      <w:r>
        <w:t xml:space="preserve">As noted in the July </w:t>
      </w:r>
      <w:r w:rsidR="00C151F0">
        <w:t>12</w:t>
      </w:r>
      <w:r>
        <w:t>, 201</w:t>
      </w:r>
      <w:r w:rsidR="00C151F0">
        <w:t>8</w:t>
      </w:r>
      <w:r>
        <w:t xml:space="preserve"> Filing Requirements, Kenora Hydro confirms that the annual adjustment mechanism will not be applied to the following components of delivery rates in this rate application:</w:t>
      </w:r>
    </w:p>
    <w:p w:rsidR="001325CA" w:rsidRDefault="001325CA" w:rsidP="001325CA">
      <w:pPr>
        <w:pStyle w:val="ListParagraph"/>
        <w:numPr>
          <w:ilvl w:val="0"/>
          <w:numId w:val="17"/>
        </w:numPr>
        <w:spacing w:line="276" w:lineRule="auto"/>
      </w:pPr>
      <w:r>
        <w:t>Rate Adders, Rate Riders</w:t>
      </w:r>
    </w:p>
    <w:p w:rsidR="001325CA" w:rsidRDefault="001325CA" w:rsidP="001325CA">
      <w:pPr>
        <w:pStyle w:val="ListParagraph"/>
        <w:numPr>
          <w:ilvl w:val="0"/>
          <w:numId w:val="17"/>
        </w:numPr>
        <w:spacing w:line="276" w:lineRule="auto"/>
      </w:pPr>
      <w:r>
        <w:t>Low Voltage Service Charge</w:t>
      </w:r>
    </w:p>
    <w:p w:rsidR="001325CA" w:rsidRDefault="001325CA" w:rsidP="001325CA">
      <w:pPr>
        <w:pStyle w:val="ListParagraph"/>
        <w:numPr>
          <w:ilvl w:val="0"/>
          <w:numId w:val="17"/>
        </w:numPr>
        <w:spacing w:line="276" w:lineRule="auto"/>
      </w:pPr>
      <w:r>
        <w:t>Retail Transmission Service Rates</w:t>
      </w:r>
    </w:p>
    <w:p w:rsidR="001325CA" w:rsidRDefault="001325CA" w:rsidP="001325CA">
      <w:pPr>
        <w:pStyle w:val="ListParagraph"/>
        <w:numPr>
          <w:ilvl w:val="0"/>
          <w:numId w:val="17"/>
        </w:numPr>
        <w:spacing w:line="276" w:lineRule="auto"/>
      </w:pPr>
      <w:r>
        <w:t>Wholesale Market Service Rate, Rural Rate Protection Benefit and Charge</w:t>
      </w:r>
    </w:p>
    <w:p w:rsidR="001325CA" w:rsidRDefault="001325CA" w:rsidP="001325CA">
      <w:pPr>
        <w:pStyle w:val="ListParagraph"/>
        <w:numPr>
          <w:ilvl w:val="0"/>
          <w:numId w:val="17"/>
        </w:numPr>
        <w:spacing w:line="276" w:lineRule="auto"/>
      </w:pPr>
      <w:r>
        <w:t>Standard Supply Service – Administrative Charge</w:t>
      </w:r>
    </w:p>
    <w:p w:rsidR="001325CA" w:rsidRDefault="001325CA" w:rsidP="001325CA">
      <w:pPr>
        <w:pStyle w:val="ListParagraph"/>
        <w:numPr>
          <w:ilvl w:val="0"/>
          <w:numId w:val="17"/>
        </w:numPr>
        <w:spacing w:line="276" w:lineRule="auto"/>
      </w:pPr>
      <w:r>
        <w:t>Capacity Based Recovery</w:t>
      </w:r>
    </w:p>
    <w:p w:rsidR="001325CA" w:rsidRDefault="001325CA" w:rsidP="001325CA">
      <w:pPr>
        <w:pStyle w:val="ListParagraph"/>
        <w:numPr>
          <w:ilvl w:val="0"/>
          <w:numId w:val="17"/>
        </w:numPr>
        <w:spacing w:line="276" w:lineRule="auto"/>
      </w:pPr>
      <w:r>
        <w:t>MicroFIT Service Charge</w:t>
      </w:r>
    </w:p>
    <w:p w:rsidR="001325CA" w:rsidRDefault="001325CA" w:rsidP="001325CA">
      <w:pPr>
        <w:pStyle w:val="ListParagraph"/>
        <w:numPr>
          <w:ilvl w:val="0"/>
          <w:numId w:val="17"/>
        </w:numPr>
        <w:spacing w:line="276" w:lineRule="auto"/>
      </w:pPr>
      <w:r>
        <w:t>Specific Service Charges</w:t>
      </w:r>
    </w:p>
    <w:p w:rsidR="001325CA" w:rsidRDefault="001325CA" w:rsidP="001325CA">
      <w:pPr>
        <w:pStyle w:val="ListParagraph"/>
        <w:numPr>
          <w:ilvl w:val="0"/>
          <w:numId w:val="17"/>
        </w:numPr>
        <w:spacing w:line="276" w:lineRule="auto"/>
      </w:pPr>
      <w:r>
        <w:lastRenderedPageBreak/>
        <w:t>Transformation and Primary Metering Allowances</w:t>
      </w:r>
    </w:p>
    <w:p w:rsidR="001325CA" w:rsidRDefault="001325CA" w:rsidP="001325CA">
      <w:pPr>
        <w:pStyle w:val="ListParagraph"/>
        <w:numPr>
          <w:ilvl w:val="0"/>
          <w:numId w:val="17"/>
        </w:numPr>
        <w:spacing w:line="276" w:lineRule="auto"/>
      </w:pPr>
      <w:r>
        <w:t>Smart Metering Entity Charge</w:t>
      </w:r>
    </w:p>
    <w:p w:rsidR="00667CC8" w:rsidRDefault="00667CC8" w:rsidP="00667CC8">
      <w:pPr>
        <w:rPr>
          <w:b/>
          <w:i/>
          <w:u w:val="single"/>
        </w:rPr>
      </w:pPr>
      <w:r w:rsidRPr="001377D4">
        <w:rPr>
          <w:b/>
          <w:i/>
          <w:u w:val="single"/>
        </w:rPr>
        <w:t xml:space="preserve">Tab </w:t>
      </w:r>
      <w:r>
        <w:rPr>
          <w:b/>
          <w:i/>
          <w:u w:val="single"/>
        </w:rPr>
        <w:t>17</w:t>
      </w:r>
      <w:r w:rsidRPr="001377D4">
        <w:rPr>
          <w:b/>
          <w:i/>
          <w:u w:val="single"/>
        </w:rPr>
        <w:t xml:space="preserve"> – </w:t>
      </w:r>
      <w:r>
        <w:rPr>
          <w:b/>
          <w:i/>
          <w:u w:val="single"/>
        </w:rPr>
        <w:t>Regulatory Changes</w:t>
      </w:r>
    </w:p>
    <w:p w:rsidR="00667CC8" w:rsidRPr="00667CC8" w:rsidRDefault="00667CC8" w:rsidP="00667CC8">
      <w:pPr>
        <w:rPr>
          <w:b/>
          <w:i/>
          <w:u w:val="single"/>
        </w:rPr>
      </w:pPr>
      <w:r w:rsidRPr="00667CC8">
        <w:t>No inputs made.</w:t>
      </w:r>
    </w:p>
    <w:p w:rsidR="00D8790F" w:rsidRPr="001377D4" w:rsidRDefault="004527DE" w:rsidP="001377D4">
      <w:pPr>
        <w:spacing w:line="276" w:lineRule="auto"/>
        <w:rPr>
          <w:b/>
          <w:i/>
          <w:u w:val="single"/>
        </w:rPr>
      </w:pPr>
      <w:r w:rsidRPr="001377D4">
        <w:rPr>
          <w:b/>
          <w:i/>
          <w:u w:val="single"/>
        </w:rPr>
        <w:t xml:space="preserve">Tab </w:t>
      </w:r>
      <w:r w:rsidR="00F43C18">
        <w:rPr>
          <w:b/>
          <w:i/>
          <w:u w:val="single"/>
        </w:rPr>
        <w:t>1</w:t>
      </w:r>
      <w:r w:rsidR="00667CC8">
        <w:rPr>
          <w:b/>
          <w:i/>
          <w:u w:val="single"/>
        </w:rPr>
        <w:t>8</w:t>
      </w:r>
      <w:r w:rsidRPr="001377D4">
        <w:rPr>
          <w:b/>
          <w:i/>
          <w:u w:val="single"/>
        </w:rPr>
        <w:t xml:space="preserve"> – </w:t>
      </w:r>
      <w:r w:rsidR="00F43C18">
        <w:rPr>
          <w:b/>
          <w:i/>
          <w:u w:val="single"/>
        </w:rPr>
        <w:t>Additional Rates</w:t>
      </w:r>
    </w:p>
    <w:p w:rsidR="001377D4" w:rsidRPr="00667CC8" w:rsidRDefault="00667CC8" w:rsidP="00003E82">
      <w:pPr>
        <w:pStyle w:val="NoSpacing"/>
        <w:spacing w:line="276" w:lineRule="auto"/>
        <w:jc w:val="left"/>
      </w:pPr>
      <w:r w:rsidRPr="00667CC8">
        <w:t>No inputs made.</w:t>
      </w:r>
    </w:p>
    <w:p w:rsidR="00667CC8" w:rsidRDefault="00667CC8" w:rsidP="00003E82">
      <w:pPr>
        <w:pStyle w:val="NoSpacing"/>
        <w:spacing w:line="276" w:lineRule="auto"/>
        <w:jc w:val="left"/>
        <w:rPr>
          <w:b/>
        </w:rPr>
      </w:pPr>
    </w:p>
    <w:p w:rsidR="004527DE" w:rsidRPr="001377D4" w:rsidRDefault="00667CC8" w:rsidP="001377D4">
      <w:pPr>
        <w:spacing w:line="276" w:lineRule="auto"/>
        <w:rPr>
          <w:b/>
          <w:i/>
          <w:u w:val="single"/>
        </w:rPr>
      </w:pPr>
      <w:r>
        <w:rPr>
          <w:b/>
          <w:i/>
          <w:u w:val="single"/>
        </w:rPr>
        <w:t>Tab 19</w:t>
      </w:r>
      <w:r w:rsidR="004527DE" w:rsidRPr="001377D4">
        <w:rPr>
          <w:b/>
          <w:i/>
          <w:u w:val="single"/>
        </w:rPr>
        <w:t xml:space="preserve"> – </w:t>
      </w:r>
      <w:r w:rsidR="00F43C18">
        <w:rPr>
          <w:b/>
          <w:i/>
          <w:u w:val="single"/>
        </w:rPr>
        <w:t>Final Tariff Schedule</w:t>
      </w:r>
    </w:p>
    <w:p w:rsidR="004527DE" w:rsidRDefault="00667CC8" w:rsidP="00003E82">
      <w:pPr>
        <w:pStyle w:val="NoSpacing"/>
        <w:spacing w:line="276" w:lineRule="auto"/>
        <w:jc w:val="left"/>
      </w:pPr>
      <w:r>
        <w:t>No inputs made.</w:t>
      </w:r>
    </w:p>
    <w:p w:rsidR="009F272A" w:rsidRDefault="009F272A" w:rsidP="00003E82">
      <w:pPr>
        <w:pStyle w:val="NoSpacing"/>
        <w:spacing w:line="276" w:lineRule="auto"/>
        <w:jc w:val="left"/>
        <w:rPr>
          <w:b/>
          <w:i/>
          <w:u w:val="single"/>
        </w:rPr>
      </w:pPr>
    </w:p>
    <w:p w:rsidR="00F43C18" w:rsidRPr="00F43C18" w:rsidRDefault="00F43C18" w:rsidP="00003E82">
      <w:pPr>
        <w:pStyle w:val="NoSpacing"/>
        <w:spacing w:line="276" w:lineRule="auto"/>
        <w:jc w:val="left"/>
        <w:rPr>
          <w:b/>
          <w:i/>
          <w:u w:val="single"/>
        </w:rPr>
      </w:pPr>
      <w:r w:rsidRPr="00F43C18">
        <w:rPr>
          <w:b/>
          <w:i/>
          <w:u w:val="single"/>
        </w:rPr>
        <w:t xml:space="preserve">Tab </w:t>
      </w:r>
      <w:r w:rsidR="00667CC8">
        <w:rPr>
          <w:b/>
          <w:i/>
          <w:u w:val="single"/>
        </w:rPr>
        <w:t>20</w:t>
      </w:r>
      <w:r w:rsidRPr="00F43C18">
        <w:rPr>
          <w:b/>
          <w:i/>
          <w:u w:val="single"/>
        </w:rPr>
        <w:t xml:space="preserve"> – Bill Impacts</w:t>
      </w:r>
    </w:p>
    <w:p w:rsidR="005259AB" w:rsidRDefault="005259AB" w:rsidP="001A0020">
      <w:pPr>
        <w:spacing w:line="276" w:lineRule="auto"/>
      </w:pPr>
    </w:p>
    <w:p w:rsidR="001A0020" w:rsidRDefault="001A0020" w:rsidP="001A0020">
      <w:pPr>
        <w:spacing w:line="276" w:lineRule="auto"/>
      </w:pPr>
      <w:r>
        <w:t>The draft rates, as presented, produce the following rate impacts:</w:t>
      </w:r>
    </w:p>
    <w:tbl>
      <w:tblPr>
        <w:tblStyle w:val="TableGrid"/>
        <w:tblW w:w="9630" w:type="dxa"/>
        <w:tblInd w:w="-185" w:type="dxa"/>
        <w:tblLook w:val="04A0" w:firstRow="1" w:lastRow="0" w:firstColumn="1" w:lastColumn="0" w:noHBand="0" w:noVBand="1"/>
      </w:tblPr>
      <w:tblGrid>
        <w:gridCol w:w="2644"/>
        <w:gridCol w:w="940"/>
        <w:gridCol w:w="1224"/>
        <w:gridCol w:w="1361"/>
        <w:gridCol w:w="1211"/>
        <w:gridCol w:w="1204"/>
        <w:gridCol w:w="1046"/>
      </w:tblGrid>
      <w:tr w:rsidR="008D0EBA" w:rsidTr="008D0EBA">
        <w:trPr>
          <w:trHeight w:val="707"/>
        </w:trPr>
        <w:tc>
          <w:tcPr>
            <w:tcW w:w="2644" w:type="dxa"/>
            <w:vMerge w:val="restart"/>
            <w:shd w:val="clear" w:color="auto" w:fill="B8CCE4" w:themeFill="accent1" w:themeFillTint="66"/>
          </w:tcPr>
          <w:p w:rsidR="008D0EBA" w:rsidRDefault="008D0EBA" w:rsidP="00641488">
            <w:pPr>
              <w:jc w:val="center"/>
            </w:pPr>
          </w:p>
          <w:p w:rsidR="008D0EBA" w:rsidRDefault="008D0EBA" w:rsidP="00641488">
            <w:pPr>
              <w:jc w:val="center"/>
            </w:pPr>
          </w:p>
          <w:p w:rsidR="008D0EBA" w:rsidRDefault="008D0EBA" w:rsidP="00641488">
            <w:pPr>
              <w:jc w:val="center"/>
            </w:pPr>
          </w:p>
          <w:p w:rsidR="008D0EBA" w:rsidRDefault="008D0EBA" w:rsidP="00641488">
            <w:pPr>
              <w:jc w:val="center"/>
            </w:pPr>
            <w:r>
              <w:t>Rate Class</w:t>
            </w:r>
          </w:p>
        </w:tc>
        <w:tc>
          <w:tcPr>
            <w:tcW w:w="2164" w:type="dxa"/>
            <w:gridSpan w:val="2"/>
            <w:shd w:val="clear" w:color="auto" w:fill="B8CCE4" w:themeFill="accent1" w:themeFillTint="66"/>
          </w:tcPr>
          <w:p w:rsidR="008D0EBA" w:rsidRPr="008D0EBA" w:rsidRDefault="008D0EBA" w:rsidP="008D0EBA">
            <w:pPr>
              <w:spacing w:line="276" w:lineRule="auto"/>
              <w:jc w:val="center"/>
              <w:rPr>
                <w:b/>
              </w:rPr>
            </w:pPr>
            <w:r w:rsidRPr="008D0EBA">
              <w:rPr>
                <w:b/>
              </w:rPr>
              <w:t xml:space="preserve">Sub Total A = Impact Excluding Pass Through  </w:t>
            </w:r>
          </w:p>
        </w:tc>
        <w:tc>
          <w:tcPr>
            <w:tcW w:w="2572" w:type="dxa"/>
            <w:gridSpan w:val="2"/>
            <w:shd w:val="clear" w:color="auto" w:fill="B8CCE4" w:themeFill="accent1" w:themeFillTint="66"/>
          </w:tcPr>
          <w:p w:rsidR="008D0EBA" w:rsidRPr="00D64C6C" w:rsidRDefault="008D0EBA" w:rsidP="00822239">
            <w:pPr>
              <w:spacing w:line="276" w:lineRule="auto"/>
              <w:jc w:val="center"/>
              <w:rPr>
                <w:b/>
              </w:rPr>
            </w:pPr>
            <w:r>
              <w:rPr>
                <w:b/>
              </w:rPr>
              <w:t xml:space="preserve">Sub Total B = Impact on Distribution </w:t>
            </w:r>
          </w:p>
        </w:tc>
        <w:tc>
          <w:tcPr>
            <w:tcW w:w="2250" w:type="dxa"/>
            <w:gridSpan w:val="2"/>
            <w:shd w:val="clear" w:color="auto" w:fill="B8CCE4" w:themeFill="accent1" w:themeFillTint="66"/>
          </w:tcPr>
          <w:p w:rsidR="008D0EBA" w:rsidRPr="00D64C6C" w:rsidRDefault="008D0EBA" w:rsidP="008D0EBA">
            <w:pPr>
              <w:spacing w:line="480" w:lineRule="auto"/>
              <w:jc w:val="center"/>
              <w:rPr>
                <w:b/>
              </w:rPr>
            </w:pPr>
            <w:r w:rsidRPr="00D64C6C">
              <w:rPr>
                <w:b/>
              </w:rPr>
              <w:t xml:space="preserve">Impact to Total Bill </w:t>
            </w:r>
          </w:p>
        </w:tc>
      </w:tr>
      <w:tr w:rsidR="008D0EBA" w:rsidTr="008D0EBA">
        <w:trPr>
          <w:trHeight w:val="458"/>
        </w:trPr>
        <w:tc>
          <w:tcPr>
            <w:tcW w:w="2644" w:type="dxa"/>
            <w:vMerge/>
            <w:shd w:val="clear" w:color="auto" w:fill="B8CCE4" w:themeFill="accent1" w:themeFillTint="66"/>
          </w:tcPr>
          <w:p w:rsidR="008D0EBA" w:rsidRDefault="008D0EBA" w:rsidP="008D0EBA"/>
        </w:tc>
        <w:tc>
          <w:tcPr>
            <w:tcW w:w="940" w:type="dxa"/>
            <w:shd w:val="clear" w:color="auto" w:fill="B8CCE4" w:themeFill="accent1" w:themeFillTint="66"/>
          </w:tcPr>
          <w:p w:rsidR="008D0EBA" w:rsidRDefault="008D0EBA" w:rsidP="008D0EBA">
            <w:pPr>
              <w:spacing w:line="276" w:lineRule="auto"/>
              <w:jc w:val="center"/>
            </w:pPr>
            <w:r>
              <w:t>$</w:t>
            </w:r>
          </w:p>
        </w:tc>
        <w:tc>
          <w:tcPr>
            <w:tcW w:w="1224" w:type="dxa"/>
            <w:shd w:val="clear" w:color="auto" w:fill="B8CCE4" w:themeFill="accent1" w:themeFillTint="66"/>
          </w:tcPr>
          <w:p w:rsidR="008D0EBA" w:rsidRDefault="008D0EBA" w:rsidP="008D0EBA">
            <w:pPr>
              <w:spacing w:line="276" w:lineRule="auto"/>
              <w:jc w:val="center"/>
            </w:pPr>
            <w:r>
              <w:t>%</w:t>
            </w:r>
          </w:p>
        </w:tc>
        <w:tc>
          <w:tcPr>
            <w:tcW w:w="1361" w:type="dxa"/>
            <w:shd w:val="clear" w:color="auto" w:fill="B8CCE4" w:themeFill="accent1" w:themeFillTint="66"/>
          </w:tcPr>
          <w:p w:rsidR="008D0EBA" w:rsidRDefault="008D0EBA" w:rsidP="008D0EBA">
            <w:pPr>
              <w:spacing w:line="276" w:lineRule="auto"/>
              <w:jc w:val="center"/>
            </w:pPr>
            <w:r>
              <w:t>$</w:t>
            </w:r>
          </w:p>
        </w:tc>
        <w:tc>
          <w:tcPr>
            <w:tcW w:w="1211" w:type="dxa"/>
            <w:shd w:val="clear" w:color="auto" w:fill="B8CCE4" w:themeFill="accent1" w:themeFillTint="66"/>
          </w:tcPr>
          <w:p w:rsidR="008D0EBA" w:rsidRDefault="008D0EBA" w:rsidP="008D0EBA">
            <w:pPr>
              <w:spacing w:line="276" w:lineRule="auto"/>
              <w:ind w:left="-67"/>
              <w:jc w:val="center"/>
            </w:pPr>
            <w:r>
              <w:t>%</w:t>
            </w:r>
          </w:p>
        </w:tc>
        <w:tc>
          <w:tcPr>
            <w:tcW w:w="1204" w:type="dxa"/>
            <w:shd w:val="clear" w:color="auto" w:fill="B8CCE4" w:themeFill="accent1" w:themeFillTint="66"/>
          </w:tcPr>
          <w:p w:rsidR="008D0EBA" w:rsidRPr="00D64C6C" w:rsidRDefault="008D0EBA" w:rsidP="008D0EBA">
            <w:pPr>
              <w:spacing w:line="276" w:lineRule="auto"/>
              <w:jc w:val="center"/>
              <w:rPr>
                <w:b/>
              </w:rPr>
            </w:pPr>
            <w:r w:rsidRPr="00D64C6C">
              <w:rPr>
                <w:b/>
              </w:rPr>
              <w:t>$</w:t>
            </w:r>
          </w:p>
        </w:tc>
        <w:tc>
          <w:tcPr>
            <w:tcW w:w="1046" w:type="dxa"/>
            <w:shd w:val="clear" w:color="auto" w:fill="B8CCE4" w:themeFill="accent1" w:themeFillTint="66"/>
          </w:tcPr>
          <w:p w:rsidR="008D0EBA" w:rsidRPr="00D64C6C" w:rsidRDefault="008D0EBA" w:rsidP="008D0EBA">
            <w:pPr>
              <w:spacing w:line="276" w:lineRule="auto"/>
              <w:jc w:val="center"/>
              <w:rPr>
                <w:b/>
              </w:rPr>
            </w:pPr>
            <w:r w:rsidRPr="00D64C6C">
              <w:rPr>
                <w:b/>
              </w:rPr>
              <w:t>%</w:t>
            </w:r>
          </w:p>
        </w:tc>
      </w:tr>
      <w:tr w:rsidR="008D0EBA" w:rsidTr="008D0EBA">
        <w:trPr>
          <w:trHeight w:val="317"/>
        </w:trPr>
        <w:tc>
          <w:tcPr>
            <w:tcW w:w="2644" w:type="dxa"/>
          </w:tcPr>
          <w:p w:rsidR="008D0EBA" w:rsidRPr="001B22ED" w:rsidRDefault="008D0EBA" w:rsidP="008D0EBA">
            <w:pPr>
              <w:spacing w:line="276" w:lineRule="auto"/>
              <w:rPr>
                <w:sz w:val="18"/>
                <w:szCs w:val="18"/>
              </w:rPr>
            </w:pPr>
            <w:r w:rsidRPr="001B22ED">
              <w:rPr>
                <w:sz w:val="18"/>
                <w:szCs w:val="18"/>
              </w:rPr>
              <w:t>Residential (RPP)</w:t>
            </w:r>
          </w:p>
        </w:tc>
        <w:tc>
          <w:tcPr>
            <w:tcW w:w="940" w:type="dxa"/>
          </w:tcPr>
          <w:p w:rsidR="008D0EBA" w:rsidRDefault="008D0EBA" w:rsidP="00C70FEE">
            <w:pPr>
              <w:spacing w:line="276" w:lineRule="auto"/>
              <w:jc w:val="right"/>
            </w:pPr>
            <w:r>
              <w:t>$</w:t>
            </w:r>
            <w:r w:rsidR="00544C16">
              <w:t xml:space="preserve"> </w:t>
            </w:r>
            <w:r w:rsidR="00C70FEE">
              <w:t>0.</w:t>
            </w:r>
            <w:r w:rsidR="00634D4C">
              <w:t>00</w:t>
            </w:r>
          </w:p>
        </w:tc>
        <w:tc>
          <w:tcPr>
            <w:tcW w:w="1224" w:type="dxa"/>
          </w:tcPr>
          <w:p w:rsidR="008D0EBA" w:rsidRDefault="00634D4C" w:rsidP="008D0EBA">
            <w:pPr>
              <w:spacing w:line="276" w:lineRule="auto"/>
              <w:jc w:val="center"/>
            </w:pPr>
            <w:r>
              <w:t>0.0</w:t>
            </w:r>
            <w:r w:rsidR="008D0EBA">
              <w:t>%</w:t>
            </w:r>
          </w:p>
        </w:tc>
        <w:tc>
          <w:tcPr>
            <w:tcW w:w="1361" w:type="dxa"/>
          </w:tcPr>
          <w:p w:rsidR="008D0EBA" w:rsidRPr="001B22ED" w:rsidRDefault="008D0EBA" w:rsidP="00C70FEE">
            <w:pPr>
              <w:spacing w:line="276" w:lineRule="auto"/>
              <w:jc w:val="right"/>
            </w:pPr>
            <w:r w:rsidRPr="001B22ED">
              <w:t>$</w:t>
            </w:r>
            <w:r w:rsidR="009734E3">
              <w:t>3.30</w:t>
            </w:r>
          </w:p>
        </w:tc>
        <w:tc>
          <w:tcPr>
            <w:tcW w:w="1211" w:type="dxa"/>
          </w:tcPr>
          <w:p w:rsidR="008D0EBA" w:rsidRPr="001B22ED" w:rsidRDefault="00634D4C" w:rsidP="00764F0D">
            <w:pPr>
              <w:spacing w:line="276" w:lineRule="auto"/>
              <w:jc w:val="center"/>
            </w:pPr>
            <w:r>
              <w:t>10.8</w:t>
            </w:r>
            <w:r w:rsidR="008D0EBA" w:rsidRPr="001B22ED">
              <w:t>%</w:t>
            </w:r>
          </w:p>
        </w:tc>
        <w:tc>
          <w:tcPr>
            <w:tcW w:w="1204" w:type="dxa"/>
          </w:tcPr>
          <w:p w:rsidR="008D0EBA" w:rsidRPr="001B22ED" w:rsidRDefault="008D0EBA" w:rsidP="00C70FEE">
            <w:pPr>
              <w:spacing w:line="276" w:lineRule="auto"/>
              <w:jc w:val="right"/>
            </w:pPr>
            <w:r w:rsidRPr="001B22ED">
              <w:t>$</w:t>
            </w:r>
            <w:r w:rsidR="00634D4C">
              <w:t>3.46</w:t>
            </w:r>
          </w:p>
        </w:tc>
        <w:tc>
          <w:tcPr>
            <w:tcW w:w="1046" w:type="dxa"/>
          </w:tcPr>
          <w:p w:rsidR="008D0EBA" w:rsidRPr="001B22ED" w:rsidRDefault="00634D4C" w:rsidP="00C70FEE">
            <w:pPr>
              <w:spacing w:line="276" w:lineRule="auto"/>
              <w:jc w:val="center"/>
            </w:pPr>
            <w:r>
              <w:t>3.2</w:t>
            </w:r>
            <w:r w:rsidR="008D0EBA" w:rsidRPr="001B22ED">
              <w:t>%</w:t>
            </w:r>
          </w:p>
        </w:tc>
      </w:tr>
      <w:tr w:rsidR="008D0EBA" w:rsidTr="008D0EBA">
        <w:trPr>
          <w:trHeight w:val="317"/>
        </w:trPr>
        <w:tc>
          <w:tcPr>
            <w:tcW w:w="2644" w:type="dxa"/>
          </w:tcPr>
          <w:p w:rsidR="008D0EBA" w:rsidRPr="001B22ED" w:rsidRDefault="008D0EBA" w:rsidP="008D0EBA">
            <w:pPr>
              <w:spacing w:line="276" w:lineRule="auto"/>
              <w:rPr>
                <w:sz w:val="18"/>
                <w:szCs w:val="18"/>
              </w:rPr>
            </w:pPr>
            <w:r w:rsidRPr="001B22ED">
              <w:rPr>
                <w:sz w:val="18"/>
                <w:szCs w:val="18"/>
              </w:rPr>
              <w:t>General Service &lt; 50 kW (RPP)</w:t>
            </w:r>
          </w:p>
        </w:tc>
        <w:tc>
          <w:tcPr>
            <w:tcW w:w="940" w:type="dxa"/>
          </w:tcPr>
          <w:p w:rsidR="008D0EBA" w:rsidRDefault="008D0EBA" w:rsidP="00634D4C">
            <w:pPr>
              <w:spacing w:line="276" w:lineRule="auto"/>
              <w:jc w:val="right"/>
            </w:pPr>
            <w:r>
              <w:t>$</w:t>
            </w:r>
            <w:r w:rsidR="00544C16">
              <w:t xml:space="preserve"> </w:t>
            </w:r>
            <w:r w:rsidR="00634D4C">
              <w:t>0.24</w:t>
            </w:r>
          </w:p>
        </w:tc>
        <w:tc>
          <w:tcPr>
            <w:tcW w:w="1224" w:type="dxa"/>
          </w:tcPr>
          <w:p w:rsidR="008D0EBA" w:rsidRDefault="00634D4C" w:rsidP="008D0EBA">
            <w:pPr>
              <w:spacing w:line="276" w:lineRule="auto"/>
              <w:jc w:val="center"/>
            </w:pPr>
            <w:r>
              <w:t>0.5</w:t>
            </w:r>
            <w:r w:rsidR="008D0EBA">
              <w:t>%</w:t>
            </w:r>
          </w:p>
        </w:tc>
        <w:tc>
          <w:tcPr>
            <w:tcW w:w="1361" w:type="dxa"/>
          </w:tcPr>
          <w:p w:rsidR="008D0EBA" w:rsidRPr="001B22ED" w:rsidRDefault="00C70FEE" w:rsidP="008C1848">
            <w:pPr>
              <w:spacing w:line="276" w:lineRule="auto"/>
              <w:jc w:val="right"/>
            </w:pPr>
            <w:r>
              <w:t>$</w:t>
            </w:r>
            <w:r w:rsidR="00634D4C">
              <w:t>9.24</w:t>
            </w:r>
            <w:r>
              <w:t xml:space="preserve"> </w:t>
            </w:r>
          </w:p>
        </w:tc>
        <w:tc>
          <w:tcPr>
            <w:tcW w:w="1211" w:type="dxa"/>
          </w:tcPr>
          <w:p w:rsidR="008D0EBA" w:rsidRPr="001B22ED" w:rsidRDefault="00634D4C" w:rsidP="00764F0D">
            <w:pPr>
              <w:spacing w:line="276" w:lineRule="auto"/>
              <w:jc w:val="center"/>
            </w:pPr>
            <w:r>
              <w:t>18.3</w:t>
            </w:r>
            <w:r w:rsidR="008D0EBA" w:rsidRPr="001B22ED">
              <w:t>%</w:t>
            </w:r>
          </w:p>
        </w:tc>
        <w:tc>
          <w:tcPr>
            <w:tcW w:w="1204" w:type="dxa"/>
          </w:tcPr>
          <w:p w:rsidR="008D0EBA" w:rsidRPr="001B22ED" w:rsidRDefault="008D0EBA" w:rsidP="008C1848">
            <w:pPr>
              <w:spacing w:line="276" w:lineRule="auto"/>
              <w:jc w:val="right"/>
            </w:pPr>
            <w:r w:rsidRPr="001B22ED">
              <w:t>$</w:t>
            </w:r>
            <w:r w:rsidR="00634D4C">
              <w:t>9.70</w:t>
            </w:r>
            <w:r w:rsidR="00544C16" w:rsidRPr="001B22ED">
              <w:t xml:space="preserve"> </w:t>
            </w:r>
          </w:p>
        </w:tc>
        <w:tc>
          <w:tcPr>
            <w:tcW w:w="1046" w:type="dxa"/>
          </w:tcPr>
          <w:p w:rsidR="008D0EBA" w:rsidRPr="001B22ED" w:rsidRDefault="00634D4C" w:rsidP="008D0EBA">
            <w:pPr>
              <w:spacing w:line="276" w:lineRule="auto"/>
              <w:jc w:val="center"/>
            </w:pPr>
            <w:r>
              <w:t>3.9</w:t>
            </w:r>
            <w:r w:rsidR="008D0EBA" w:rsidRPr="001B22ED">
              <w:t>%</w:t>
            </w:r>
          </w:p>
        </w:tc>
      </w:tr>
      <w:tr w:rsidR="008D0EBA" w:rsidTr="008D0EBA">
        <w:trPr>
          <w:trHeight w:val="588"/>
        </w:trPr>
        <w:tc>
          <w:tcPr>
            <w:tcW w:w="2644" w:type="dxa"/>
          </w:tcPr>
          <w:p w:rsidR="008D0EBA" w:rsidRPr="001B22ED" w:rsidRDefault="008D0EBA" w:rsidP="008D0EBA">
            <w:pPr>
              <w:spacing w:line="276" w:lineRule="auto"/>
              <w:rPr>
                <w:sz w:val="18"/>
                <w:szCs w:val="18"/>
              </w:rPr>
            </w:pPr>
            <w:r w:rsidRPr="001B22ED">
              <w:rPr>
                <w:sz w:val="18"/>
                <w:szCs w:val="18"/>
              </w:rPr>
              <w:t>General Service &gt; 50 to 4,999 kW (Non-RPP)</w:t>
            </w:r>
          </w:p>
        </w:tc>
        <w:tc>
          <w:tcPr>
            <w:tcW w:w="940" w:type="dxa"/>
          </w:tcPr>
          <w:p w:rsidR="008D0EBA" w:rsidRDefault="008D0EBA" w:rsidP="00905259">
            <w:pPr>
              <w:spacing w:line="276" w:lineRule="auto"/>
              <w:jc w:val="right"/>
            </w:pPr>
            <w:r>
              <w:t>$</w:t>
            </w:r>
            <w:r w:rsidR="00634D4C">
              <w:t>4.32</w:t>
            </w:r>
          </w:p>
        </w:tc>
        <w:tc>
          <w:tcPr>
            <w:tcW w:w="1224" w:type="dxa"/>
          </w:tcPr>
          <w:p w:rsidR="008D0EBA" w:rsidRDefault="00634D4C" w:rsidP="008D0EBA">
            <w:pPr>
              <w:spacing w:line="276" w:lineRule="auto"/>
              <w:jc w:val="center"/>
            </w:pPr>
            <w:r>
              <w:t>0.6</w:t>
            </w:r>
            <w:r w:rsidR="008D0EBA">
              <w:t>%</w:t>
            </w:r>
          </w:p>
        </w:tc>
        <w:tc>
          <w:tcPr>
            <w:tcW w:w="1361" w:type="dxa"/>
          </w:tcPr>
          <w:p w:rsidR="008D0EBA" w:rsidRPr="001B22ED" w:rsidRDefault="00822239" w:rsidP="001B1C4C">
            <w:pPr>
              <w:spacing w:line="276" w:lineRule="auto"/>
              <w:jc w:val="right"/>
            </w:pPr>
            <w:r w:rsidRPr="001B22ED">
              <w:t>$</w:t>
            </w:r>
            <w:r w:rsidR="00634D4C">
              <w:t>161.48</w:t>
            </w:r>
            <w:r w:rsidR="00544C16" w:rsidRPr="001B22ED">
              <w:t xml:space="preserve"> </w:t>
            </w:r>
          </w:p>
        </w:tc>
        <w:tc>
          <w:tcPr>
            <w:tcW w:w="1211" w:type="dxa"/>
          </w:tcPr>
          <w:p w:rsidR="008D0EBA" w:rsidRPr="001B22ED" w:rsidRDefault="00634D4C" w:rsidP="00764F0D">
            <w:pPr>
              <w:spacing w:line="276" w:lineRule="auto"/>
              <w:jc w:val="center"/>
            </w:pPr>
            <w:r>
              <w:t>26.5</w:t>
            </w:r>
            <w:r w:rsidR="00822239" w:rsidRPr="001B22ED">
              <w:t>%</w:t>
            </w:r>
          </w:p>
        </w:tc>
        <w:tc>
          <w:tcPr>
            <w:tcW w:w="1204" w:type="dxa"/>
          </w:tcPr>
          <w:p w:rsidR="008D0EBA" w:rsidRPr="001B22ED" w:rsidRDefault="008D0EBA" w:rsidP="001B1C4C">
            <w:pPr>
              <w:spacing w:line="276" w:lineRule="auto"/>
              <w:jc w:val="right"/>
            </w:pPr>
            <w:r w:rsidRPr="001B22ED">
              <w:t>$</w:t>
            </w:r>
            <w:r w:rsidR="00634D4C">
              <w:t>179.72</w:t>
            </w:r>
            <w:r w:rsidR="00544C16" w:rsidRPr="001B22ED">
              <w:t xml:space="preserve"> </w:t>
            </w:r>
          </w:p>
        </w:tc>
        <w:tc>
          <w:tcPr>
            <w:tcW w:w="1046" w:type="dxa"/>
          </w:tcPr>
          <w:p w:rsidR="008D0EBA" w:rsidRPr="001B22ED" w:rsidRDefault="00634D4C" w:rsidP="00905259">
            <w:pPr>
              <w:spacing w:line="276" w:lineRule="auto"/>
              <w:jc w:val="center"/>
            </w:pPr>
            <w:r>
              <w:t>7.8</w:t>
            </w:r>
            <w:r w:rsidR="008D0EBA" w:rsidRPr="001B22ED">
              <w:t>%</w:t>
            </w:r>
          </w:p>
        </w:tc>
      </w:tr>
      <w:tr w:rsidR="008D0EBA" w:rsidTr="008D0EBA">
        <w:trPr>
          <w:trHeight w:val="333"/>
        </w:trPr>
        <w:tc>
          <w:tcPr>
            <w:tcW w:w="2644" w:type="dxa"/>
          </w:tcPr>
          <w:p w:rsidR="008D0EBA" w:rsidRPr="001B22ED" w:rsidRDefault="008D0EBA" w:rsidP="008D0EBA">
            <w:pPr>
              <w:spacing w:line="276" w:lineRule="auto"/>
              <w:rPr>
                <w:sz w:val="18"/>
                <w:szCs w:val="18"/>
              </w:rPr>
            </w:pPr>
            <w:r w:rsidRPr="001B22ED">
              <w:rPr>
                <w:sz w:val="18"/>
                <w:szCs w:val="18"/>
              </w:rPr>
              <w:t>Unmetered Scattered Load (RPP)</w:t>
            </w:r>
          </w:p>
        </w:tc>
        <w:tc>
          <w:tcPr>
            <w:tcW w:w="940" w:type="dxa"/>
          </w:tcPr>
          <w:p w:rsidR="008D0EBA" w:rsidRDefault="008D0EBA" w:rsidP="00905259">
            <w:pPr>
              <w:spacing w:line="276" w:lineRule="auto"/>
              <w:jc w:val="right"/>
            </w:pPr>
            <w:r>
              <w:t>$</w:t>
            </w:r>
            <w:r w:rsidR="00634D4C">
              <w:t>2.97</w:t>
            </w:r>
            <w:r w:rsidR="00544C16">
              <w:t xml:space="preserve"> </w:t>
            </w:r>
          </w:p>
        </w:tc>
        <w:tc>
          <w:tcPr>
            <w:tcW w:w="1224" w:type="dxa"/>
          </w:tcPr>
          <w:p w:rsidR="008D0EBA" w:rsidRDefault="00634D4C" w:rsidP="008D0EBA">
            <w:pPr>
              <w:spacing w:line="276" w:lineRule="auto"/>
              <w:jc w:val="center"/>
            </w:pPr>
            <w:r>
              <w:t>0.6</w:t>
            </w:r>
            <w:r w:rsidR="008D0EBA">
              <w:t>%</w:t>
            </w:r>
          </w:p>
        </w:tc>
        <w:tc>
          <w:tcPr>
            <w:tcW w:w="1361" w:type="dxa"/>
          </w:tcPr>
          <w:p w:rsidR="008D0EBA" w:rsidRPr="001B22ED" w:rsidRDefault="00822239" w:rsidP="008C1848">
            <w:pPr>
              <w:spacing w:line="276" w:lineRule="auto"/>
              <w:jc w:val="right"/>
            </w:pPr>
            <w:r w:rsidRPr="001B22ED">
              <w:t>$</w:t>
            </w:r>
            <w:r w:rsidR="00634D4C">
              <w:t>44.22</w:t>
            </w:r>
            <w:r w:rsidR="00544C16" w:rsidRPr="001B22ED">
              <w:t xml:space="preserve"> </w:t>
            </w:r>
          </w:p>
        </w:tc>
        <w:tc>
          <w:tcPr>
            <w:tcW w:w="1211" w:type="dxa"/>
          </w:tcPr>
          <w:p w:rsidR="008D0EBA" w:rsidRPr="001B22ED" w:rsidRDefault="00634D4C" w:rsidP="00764F0D">
            <w:pPr>
              <w:spacing w:line="276" w:lineRule="auto"/>
              <w:jc w:val="center"/>
            </w:pPr>
            <w:r>
              <w:t>9.1</w:t>
            </w:r>
            <w:r w:rsidR="00822239" w:rsidRPr="001B22ED">
              <w:t>%</w:t>
            </w:r>
          </w:p>
        </w:tc>
        <w:tc>
          <w:tcPr>
            <w:tcW w:w="1204" w:type="dxa"/>
          </w:tcPr>
          <w:p w:rsidR="008D0EBA" w:rsidRPr="001B22ED" w:rsidRDefault="008D0EBA" w:rsidP="008C1848">
            <w:pPr>
              <w:spacing w:line="276" w:lineRule="auto"/>
              <w:jc w:val="right"/>
            </w:pPr>
            <w:r w:rsidRPr="001B22ED">
              <w:t>$</w:t>
            </w:r>
            <w:r w:rsidR="00634D4C">
              <w:t>49.97</w:t>
            </w:r>
            <w:r w:rsidR="00544C16" w:rsidRPr="001B22ED">
              <w:t xml:space="preserve"> </w:t>
            </w:r>
          </w:p>
        </w:tc>
        <w:tc>
          <w:tcPr>
            <w:tcW w:w="1046" w:type="dxa"/>
          </w:tcPr>
          <w:p w:rsidR="008D0EBA" w:rsidRPr="001B22ED" w:rsidRDefault="00634D4C" w:rsidP="00C70FEE">
            <w:pPr>
              <w:spacing w:line="276" w:lineRule="auto"/>
              <w:jc w:val="center"/>
            </w:pPr>
            <w:r>
              <w:t>2.6</w:t>
            </w:r>
            <w:r w:rsidR="008D0EBA" w:rsidRPr="001B22ED">
              <w:t>%</w:t>
            </w:r>
          </w:p>
        </w:tc>
      </w:tr>
      <w:tr w:rsidR="008D0EBA" w:rsidTr="008D0EBA">
        <w:trPr>
          <w:trHeight w:val="317"/>
        </w:trPr>
        <w:tc>
          <w:tcPr>
            <w:tcW w:w="2644" w:type="dxa"/>
          </w:tcPr>
          <w:p w:rsidR="008D0EBA" w:rsidRPr="001B22ED" w:rsidRDefault="008D0EBA" w:rsidP="008D0EBA">
            <w:pPr>
              <w:spacing w:line="276" w:lineRule="auto"/>
              <w:rPr>
                <w:sz w:val="18"/>
                <w:szCs w:val="18"/>
              </w:rPr>
            </w:pPr>
            <w:r w:rsidRPr="001B22ED">
              <w:rPr>
                <w:sz w:val="18"/>
                <w:szCs w:val="18"/>
              </w:rPr>
              <w:t>Streetlight (Non-RPP)</w:t>
            </w:r>
          </w:p>
        </w:tc>
        <w:tc>
          <w:tcPr>
            <w:tcW w:w="940" w:type="dxa"/>
          </w:tcPr>
          <w:p w:rsidR="008D0EBA" w:rsidRDefault="008D0EBA" w:rsidP="00905259">
            <w:pPr>
              <w:spacing w:line="276" w:lineRule="auto"/>
              <w:jc w:val="right"/>
            </w:pPr>
            <w:r>
              <w:t>$</w:t>
            </w:r>
            <w:r w:rsidR="00634D4C">
              <w:t>18.04</w:t>
            </w:r>
            <w:r w:rsidR="00544C16">
              <w:t xml:space="preserve"> </w:t>
            </w:r>
          </w:p>
        </w:tc>
        <w:tc>
          <w:tcPr>
            <w:tcW w:w="1224" w:type="dxa"/>
          </w:tcPr>
          <w:p w:rsidR="008D0EBA" w:rsidRDefault="00634D4C" w:rsidP="008D0EBA">
            <w:pPr>
              <w:spacing w:line="276" w:lineRule="auto"/>
              <w:jc w:val="center"/>
            </w:pPr>
            <w:r>
              <w:t>0.6</w:t>
            </w:r>
            <w:r w:rsidR="008D0EBA">
              <w:t>%</w:t>
            </w:r>
          </w:p>
        </w:tc>
        <w:tc>
          <w:tcPr>
            <w:tcW w:w="1361" w:type="dxa"/>
          </w:tcPr>
          <w:p w:rsidR="008D0EBA" w:rsidRPr="001B22ED" w:rsidRDefault="00401048" w:rsidP="001B1C4C">
            <w:pPr>
              <w:spacing w:line="276" w:lineRule="auto"/>
              <w:jc w:val="right"/>
            </w:pPr>
            <w:r w:rsidRPr="001B22ED">
              <w:t>$</w:t>
            </w:r>
            <w:r w:rsidR="00634D4C">
              <w:t>249.55</w:t>
            </w:r>
            <w:r w:rsidR="00544C16" w:rsidRPr="001B22ED">
              <w:t xml:space="preserve"> </w:t>
            </w:r>
          </w:p>
        </w:tc>
        <w:tc>
          <w:tcPr>
            <w:tcW w:w="1211" w:type="dxa"/>
          </w:tcPr>
          <w:p w:rsidR="008D0EBA" w:rsidRPr="001B22ED" w:rsidRDefault="00634D4C" w:rsidP="00764F0D">
            <w:pPr>
              <w:spacing w:line="276" w:lineRule="auto"/>
              <w:jc w:val="center"/>
            </w:pPr>
            <w:r>
              <w:t>8.6</w:t>
            </w:r>
            <w:r w:rsidR="00401048" w:rsidRPr="001B22ED">
              <w:t>%</w:t>
            </w:r>
          </w:p>
        </w:tc>
        <w:tc>
          <w:tcPr>
            <w:tcW w:w="1204" w:type="dxa"/>
          </w:tcPr>
          <w:p w:rsidR="008D0EBA" w:rsidRPr="001B22ED" w:rsidRDefault="008D0EBA" w:rsidP="008C1848">
            <w:pPr>
              <w:spacing w:line="276" w:lineRule="auto"/>
              <w:jc w:val="right"/>
            </w:pPr>
            <w:r w:rsidRPr="001B22ED">
              <w:t>$</w:t>
            </w:r>
            <w:r w:rsidR="00634D4C">
              <w:t>280.02</w:t>
            </w:r>
            <w:r w:rsidR="00C70FEE">
              <w:t xml:space="preserve"> </w:t>
            </w:r>
          </w:p>
        </w:tc>
        <w:tc>
          <w:tcPr>
            <w:tcW w:w="1046" w:type="dxa"/>
          </w:tcPr>
          <w:p w:rsidR="008D0EBA" w:rsidRPr="001B22ED" w:rsidRDefault="00634D4C" w:rsidP="00401048">
            <w:pPr>
              <w:spacing w:line="276" w:lineRule="auto"/>
              <w:jc w:val="center"/>
            </w:pPr>
            <w:r>
              <w:t>3.6</w:t>
            </w:r>
            <w:r w:rsidR="008D0EBA" w:rsidRPr="001B22ED">
              <w:t>%</w:t>
            </w:r>
          </w:p>
        </w:tc>
      </w:tr>
      <w:tr w:rsidR="008D0EBA" w:rsidTr="008D0EBA">
        <w:trPr>
          <w:trHeight w:val="317"/>
        </w:trPr>
        <w:tc>
          <w:tcPr>
            <w:tcW w:w="2644" w:type="dxa"/>
          </w:tcPr>
          <w:p w:rsidR="008D0EBA" w:rsidRPr="001B22ED" w:rsidRDefault="008D0EBA" w:rsidP="00764F0D">
            <w:pPr>
              <w:spacing w:line="276" w:lineRule="auto"/>
              <w:rPr>
                <w:sz w:val="18"/>
                <w:szCs w:val="18"/>
              </w:rPr>
            </w:pPr>
            <w:r w:rsidRPr="001B22ED">
              <w:rPr>
                <w:sz w:val="18"/>
                <w:szCs w:val="18"/>
              </w:rPr>
              <w:t>Residential 10</w:t>
            </w:r>
            <w:r w:rsidRPr="001B22ED">
              <w:rPr>
                <w:sz w:val="18"/>
                <w:szCs w:val="18"/>
                <w:vertAlign w:val="superscript"/>
              </w:rPr>
              <w:t>th</w:t>
            </w:r>
            <w:r w:rsidRPr="001B22ED">
              <w:rPr>
                <w:sz w:val="18"/>
                <w:szCs w:val="18"/>
              </w:rPr>
              <w:t xml:space="preserve"> Percentile (25</w:t>
            </w:r>
            <w:r w:rsidR="00764F0D">
              <w:rPr>
                <w:sz w:val="18"/>
                <w:szCs w:val="18"/>
              </w:rPr>
              <w:t>4</w:t>
            </w:r>
            <w:r w:rsidRPr="001B22ED">
              <w:rPr>
                <w:sz w:val="18"/>
                <w:szCs w:val="18"/>
              </w:rPr>
              <w:t xml:space="preserve"> kWh)</w:t>
            </w:r>
          </w:p>
        </w:tc>
        <w:tc>
          <w:tcPr>
            <w:tcW w:w="940" w:type="dxa"/>
          </w:tcPr>
          <w:p w:rsidR="008D0EBA" w:rsidRDefault="008D0EBA" w:rsidP="00905259">
            <w:pPr>
              <w:spacing w:line="276" w:lineRule="auto"/>
              <w:jc w:val="right"/>
            </w:pPr>
            <w:r>
              <w:t>$</w:t>
            </w:r>
            <w:r w:rsidR="00634D4C">
              <w:t>1.83</w:t>
            </w:r>
            <w:r w:rsidR="00544C16">
              <w:t xml:space="preserve"> </w:t>
            </w:r>
          </w:p>
        </w:tc>
        <w:tc>
          <w:tcPr>
            <w:tcW w:w="1224" w:type="dxa"/>
          </w:tcPr>
          <w:p w:rsidR="008D0EBA" w:rsidRDefault="00634D4C" w:rsidP="008D0EBA">
            <w:pPr>
              <w:spacing w:line="276" w:lineRule="auto"/>
              <w:jc w:val="center"/>
            </w:pPr>
            <w:r>
              <w:t>6.4</w:t>
            </w:r>
            <w:r w:rsidR="008D0EBA">
              <w:t>%</w:t>
            </w:r>
          </w:p>
        </w:tc>
        <w:tc>
          <w:tcPr>
            <w:tcW w:w="1361" w:type="dxa"/>
          </w:tcPr>
          <w:p w:rsidR="008D0EBA" w:rsidRPr="001B22ED" w:rsidRDefault="00EB1A36" w:rsidP="008C1848">
            <w:pPr>
              <w:spacing w:line="276" w:lineRule="auto"/>
              <w:jc w:val="right"/>
            </w:pPr>
            <w:r w:rsidRPr="001B22ED">
              <w:t>$</w:t>
            </w:r>
            <w:r w:rsidR="00634D4C">
              <w:t>2.95</w:t>
            </w:r>
            <w:r w:rsidR="00544C16" w:rsidRPr="001B22ED">
              <w:t xml:space="preserve"> </w:t>
            </w:r>
          </w:p>
        </w:tc>
        <w:tc>
          <w:tcPr>
            <w:tcW w:w="1211" w:type="dxa"/>
          </w:tcPr>
          <w:p w:rsidR="008D0EBA" w:rsidRPr="001B22ED" w:rsidRDefault="00634D4C" w:rsidP="00764F0D">
            <w:pPr>
              <w:spacing w:line="276" w:lineRule="auto"/>
              <w:jc w:val="center"/>
            </w:pPr>
            <w:r>
              <w:t>10.1</w:t>
            </w:r>
            <w:r w:rsidR="00EB1A36" w:rsidRPr="001B22ED">
              <w:t>%</w:t>
            </w:r>
          </w:p>
        </w:tc>
        <w:tc>
          <w:tcPr>
            <w:tcW w:w="1204" w:type="dxa"/>
          </w:tcPr>
          <w:p w:rsidR="008D0EBA" w:rsidRPr="001B22ED" w:rsidRDefault="008D0EBA" w:rsidP="008C1848">
            <w:pPr>
              <w:spacing w:line="276" w:lineRule="auto"/>
              <w:jc w:val="right"/>
            </w:pPr>
            <w:r w:rsidRPr="001B22ED">
              <w:t>$</w:t>
            </w:r>
            <w:r w:rsidR="00634D4C">
              <w:t>3.10</w:t>
            </w:r>
            <w:r w:rsidR="00544C16" w:rsidRPr="001B22ED">
              <w:t xml:space="preserve"> </w:t>
            </w:r>
          </w:p>
        </w:tc>
        <w:tc>
          <w:tcPr>
            <w:tcW w:w="1046" w:type="dxa"/>
          </w:tcPr>
          <w:p w:rsidR="008D0EBA" w:rsidRPr="001B22ED" w:rsidRDefault="00634D4C" w:rsidP="00905259">
            <w:pPr>
              <w:spacing w:line="276" w:lineRule="auto"/>
              <w:jc w:val="center"/>
            </w:pPr>
            <w:r>
              <w:t>5.5</w:t>
            </w:r>
            <w:r w:rsidR="008D0EBA" w:rsidRPr="001B22ED">
              <w:t>%</w:t>
            </w:r>
          </w:p>
        </w:tc>
      </w:tr>
    </w:tbl>
    <w:p w:rsidR="0020215B" w:rsidRDefault="0020215B" w:rsidP="001A0020">
      <w:pPr>
        <w:pStyle w:val="NoSpacing"/>
        <w:spacing w:line="276" w:lineRule="auto"/>
        <w:jc w:val="left"/>
      </w:pPr>
    </w:p>
    <w:p w:rsidR="00634D4C" w:rsidRDefault="00634D4C" w:rsidP="001A0020">
      <w:pPr>
        <w:pStyle w:val="NoSpacing"/>
        <w:spacing w:line="276" w:lineRule="auto"/>
        <w:jc w:val="left"/>
      </w:pPr>
    </w:p>
    <w:p w:rsidR="00656EC6" w:rsidRDefault="00656EC6" w:rsidP="00656EC6">
      <w:pPr>
        <w:pStyle w:val="NoSpacing"/>
        <w:spacing w:line="276" w:lineRule="auto"/>
        <w:jc w:val="left"/>
      </w:pPr>
      <w:r>
        <w:t>In accordance with Chapter 3, s 3.2.3 Rate Design for Residential Electricity Customers, an additional analysis of the total bill impact was reformed on the 10</w:t>
      </w:r>
      <w:r w:rsidRPr="00990619">
        <w:rPr>
          <w:vertAlign w:val="superscript"/>
        </w:rPr>
        <w:t>th</w:t>
      </w:r>
      <w:r>
        <w:t xml:space="preserve"> consumption percentile.  The 10</w:t>
      </w:r>
      <w:r w:rsidRPr="00990619">
        <w:rPr>
          <w:vertAlign w:val="superscript"/>
        </w:rPr>
        <w:t>th</w:t>
      </w:r>
      <w:r>
        <w:t xml:space="preserve"> percentile was determined to be the 254 kWh level of consumption.   This was determined by a billing system query on all residential customers’ consumption from the 2017 calendar year.  This was imported to Excel, all accounts with incomplete 12 month data were removed.  The data was then sorted in </w:t>
      </w:r>
      <w:r>
        <w:lastRenderedPageBreak/>
        <w:t>ascending order.  There were 4,134 residential customers with complete data from 2017.  The 413</w:t>
      </w:r>
      <w:r w:rsidRPr="00990619">
        <w:rPr>
          <w:vertAlign w:val="superscript"/>
        </w:rPr>
        <w:t>th</w:t>
      </w:r>
      <w:r>
        <w:t xml:space="preserve"> customer would approximate the consumption at the 10% level.  This customer had an annual consumption of 3,048 kWh, or 254 kWh/month.  This was taken as the consumption level for the 10</w:t>
      </w:r>
      <w:r w:rsidRPr="00990619">
        <w:rPr>
          <w:vertAlign w:val="superscript"/>
        </w:rPr>
        <w:t>th</w:t>
      </w:r>
      <w:r>
        <w:t xml:space="preserve"> percentile analysis of bill impacts.  This result is consistent with prior years.</w:t>
      </w:r>
    </w:p>
    <w:p w:rsidR="00634D4C" w:rsidRDefault="00634D4C" w:rsidP="001A0020">
      <w:pPr>
        <w:pStyle w:val="NoSpacing"/>
        <w:spacing w:line="276" w:lineRule="auto"/>
        <w:jc w:val="left"/>
      </w:pPr>
    </w:p>
    <w:p w:rsidR="00656EC6" w:rsidRDefault="00656EC6" w:rsidP="00FD6CD5">
      <w:pPr>
        <w:pStyle w:val="NoSpacing"/>
        <w:jc w:val="left"/>
      </w:pPr>
    </w:p>
    <w:p w:rsidR="00D653E0" w:rsidRDefault="00D653E0" w:rsidP="00FD6CD5">
      <w:pPr>
        <w:pStyle w:val="NoSpacing"/>
        <w:jc w:val="left"/>
      </w:pPr>
      <w:r>
        <w:t>Kenora Hydro notes that there are no rate mitigation measures required for any class as a result of Distribution rate changes in this application as no customer class will increase by more than 10%.</w:t>
      </w:r>
    </w:p>
    <w:p w:rsidR="00FD6CD5" w:rsidRDefault="00FD6CD5" w:rsidP="00FD6CD5">
      <w:pPr>
        <w:pStyle w:val="NoSpacing"/>
        <w:jc w:val="left"/>
      </w:pPr>
    </w:p>
    <w:p w:rsidR="00656EC6" w:rsidRDefault="00656EC6" w:rsidP="00FD6CD5">
      <w:pPr>
        <w:spacing w:line="240" w:lineRule="auto"/>
        <w:rPr>
          <w:b/>
        </w:rPr>
      </w:pPr>
    </w:p>
    <w:p w:rsidR="00F02AAF" w:rsidRDefault="00F02AAF" w:rsidP="00FD6CD5">
      <w:pPr>
        <w:spacing w:line="240" w:lineRule="auto"/>
        <w:rPr>
          <w:b/>
        </w:rPr>
      </w:pPr>
      <w:r w:rsidRPr="001377D4">
        <w:rPr>
          <w:b/>
        </w:rPr>
        <w:t>Specific Exclusions</w:t>
      </w:r>
    </w:p>
    <w:p w:rsidR="00F02AAF" w:rsidRDefault="000045DF" w:rsidP="00C925B3">
      <w:pPr>
        <w:spacing w:line="276" w:lineRule="auto"/>
      </w:pPr>
      <w:r>
        <w:t xml:space="preserve">As noted in the July </w:t>
      </w:r>
      <w:r w:rsidR="00950E8C">
        <w:t>12</w:t>
      </w:r>
      <w:r w:rsidR="00F02AAF">
        <w:t>, 201</w:t>
      </w:r>
      <w:r w:rsidR="00950E8C">
        <w:t>8</w:t>
      </w:r>
      <w:r w:rsidR="00F02AAF">
        <w:t xml:space="preserve"> Filing Requirements, Kenora Hydro confirms that the following specific items have </w:t>
      </w:r>
      <w:r w:rsidR="00F02AAF" w:rsidRPr="0073222C">
        <w:rPr>
          <w:b/>
          <w:u w:val="single"/>
        </w:rPr>
        <w:t>not</w:t>
      </w:r>
      <w:r w:rsidR="00F02AAF">
        <w:t xml:space="preserve"> been included as part of this rate application:</w:t>
      </w:r>
    </w:p>
    <w:p w:rsidR="000A5108" w:rsidRDefault="000A5108" w:rsidP="000A5108">
      <w:pPr>
        <w:pStyle w:val="ListParagraph"/>
        <w:numPr>
          <w:ilvl w:val="0"/>
          <w:numId w:val="17"/>
        </w:numPr>
        <w:spacing w:line="276" w:lineRule="auto"/>
      </w:pPr>
      <w:r>
        <w:t>Rate Harmonization</w:t>
      </w:r>
    </w:p>
    <w:p w:rsidR="000A5108" w:rsidRDefault="000A5108" w:rsidP="000A5108">
      <w:pPr>
        <w:pStyle w:val="ListParagraph"/>
        <w:numPr>
          <w:ilvl w:val="0"/>
          <w:numId w:val="17"/>
        </w:numPr>
        <w:spacing w:line="276" w:lineRule="auto"/>
      </w:pPr>
      <w:r>
        <w:t>Disposition of Account 1555</w:t>
      </w:r>
    </w:p>
    <w:p w:rsidR="000A5108" w:rsidRDefault="000A5108" w:rsidP="000A5108">
      <w:pPr>
        <w:pStyle w:val="ListParagraph"/>
        <w:numPr>
          <w:ilvl w:val="0"/>
          <w:numId w:val="17"/>
        </w:numPr>
        <w:spacing w:line="276" w:lineRule="auto"/>
      </w:pPr>
      <w:r>
        <w:t>Changes to Revenue-to-Cost ratios</w:t>
      </w:r>
    </w:p>
    <w:p w:rsidR="000A5108" w:rsidRDefault="000A5108" w:rsidP="000A5108">
      <w:pPr>
        <w:pStyle w:val="ListParagraph"/>
        <w:numPr>
          <w:ilvl w:val="0"/>
          <w:numId w:val="17"/>
        </w:numPr>
        <w:spacing w:line="276" w:lineRule="auto"/>
      </w:pPr>
      <w:r>
        <w:t>Loss Factor Changes</w:t>
      </w:r>
    </w:p>
    <w:p w:rsidR="000A5108" w:rsidRDefault="000A5108" w:rsidP="000A5108">
      <w:pPr>
        <w:pStyle w:val="ListParagraph"/>
        <w:numPr>
          <w:ilvl w:val="0"/>
          <w:numId w:val="17"/>
        </w:numPr>
        <w:spacing w:line="276" w:lineRule="auto"/>
      </w:pPr>
      <w:r>
        <w:t>Establishing or changing Specific Service Charges</w:t>
      </w:r>
    </w:p>
    <w:p w:rsidR="000A5108" w:rsidRDefault="000A5108" w:rsidP="000A5108">
      <w:pPr>
        <w:pStyle w:val="ListParagraph"/>
        <w:numPr>
          <w:ilvl w:val="0"/>
          <w:numId w:val="17"/>
        </w:numPr>
        <w:spacing w:line="276" w:lineRule="auto"/>
      </w:pPr>
      <w:r>
        <w:t>Loss Carry Forward adjustments to PILS</w:t>
      </w:r>
      <w:r w:rsidR="00950E8C">
        <w:t>/Taxes</w:t>
      </w:r>
    </w:p>
    <w:p w:rsidR="000A5108" w:rsidRDefault="000A5108" w:rsidP="000A5108">
      <w:pPr>
        <w:pStyle w:val="ListParagraph"/>
        <w:numPr>
          <w:ilvl w:val="0"/>
          <w:numId w:val="17"/>
        </w:numPr>
        <w:spacing w:line="276" w:lineRule="auto"/>
      </w:pPr>
      <w:r>
        <w:t xml:space="preserve">Disposition of Group 2 </w:t>
      </w:r>
      <w:r w:rsidR="00950E8C">
        <w:t xml:space="preserve">Deferral and Variance </w:t>
      </w:r>
      <w:r>
        <w:t>Accounts</w:t>
      </w:r>
    </w:p>
    <w:p w:rsidR="00584ACE" w:rsidRDefault="000A5108" w:rsidP="00E132C4">
      <w:pPr>
        <w:pStyle w:val="ListParagraph"/>
        <w:numPr>
          <w:ilvl w:val="0"/>
          <w:numId w:val="17"/>
        </w:numPr>
        <w:spacing w:line="240" w:lineRule="auto"/>
      </w:pPr>
      <w:r>
        <w:t>Loss of Customer Load</w:t>
      </w:r>
    </w:p>
    <w:p w:rsidR="00FD6CD5" w:rsidRDefault="00CA5E40" w:rsidP="00584ACE">
      <w:pPr>
        <w:spacing w:line="276" w:lineRule="auto"/>
      </w:pPr>
      <w:r>
        <w:t>In accordance with Section 3.2.5.2, Kenora Hydro certifies the following:</w:t>
      </w:r>
    </w:p>
    <w:p w:rsidR="00765766" w:rsidRPr="00CA5E40" w:rsidRDefault="00765766" w:rsidP="00E132C4">
      <w:pPr>
        <w:pStyle w:val="NoSpacing"/>
        <w:jc w:val="left"/>
        <w:rPr>
          <w:b/>
          <w:i/>
          <w:u w:val="single"/>
        </w:rPr>
      </w:pPr>
      <w:r w:rsidRPr="00CA5E40">
        <w:rPr>
          <w:b/>
          <w:i/>
          <w:u w:val="single"/>
        </w:rPr>
        <w:t>Certification of Evidence</w:t>
      </w:r>
    </w:p>
    <w:p w:rsidR="00765766" w:rsidRDefault="00765766" w:rsidP="00765766">
      <w:pPr>
        <w:autoSpaceDE w:val="0"/>
        <w:autoSpaceDN w:val="0"/>
        <w:adjustRightInd w:val="0"/>
        <w:spacing w:after="0" w:line="240" w:lineRule="auto"/>
        <w:jc w:val="left"/>
        <w:rPr>
          <w:rFonts w:ascii="Calibri" w:hAnsi="Calibri" w:cs="Calibri"/>
          <w:sz w:val="24"/>
          <w:szCs w:val="24"/>
        </w:rPr>
      </w:pPr>
      <w:r>
        <w:rPr>
          <w:rFonts w:ascii="Calibri" w:hAnsi="Calibri" w:cs="Calibri"/>
          <w:sz w:val="24"/>
          <w:szCs w:val="24"/>
        </w:rPr>
        <w:t>As President of Kenora Hydro</w:t>
      </w:r>
      <w:r w:rsidR="00CA5E40">
        <w:rPr>
          <w:rFonts w:ascii="Calibri" w:hAnsi="Calibri" w:cs="Calibri"/>
          <w:sz w:val="24"/>
          <w:szCs w:val="24"/>
        </w:rPr>
        <w:t xml:space="preserve"> Electric Corporation Ltd. (KHECL)</w:t>
      </w:r>
      <w:r>
        <w:rPr>
          <w:rFonts w:ascii="Calibri" w:hAnsi="Calibri" w:cs="Calibri"/>
          <w:sz w:val="24"/>
          <w:szCs w:val="24"/>
        </w:rPr>
        <w:t>, I certify that, to the best of my knowledge, the evidence</w:t>
      </w:r>
      <w:r w:rsidR="00CA5E40">
        <w:rPr>
          <w:rFonts w:ascii="Calibri" w:hAnsi="Calibri" w:cs="Calibri"/>
          <w:sz w:val="24"/>
          <w:szCs w:val="24"/>
        </w:rPr>
        <w:t xml:space="preserve"> </w:t>
      </w:r>
      <w:r>
        <w:rPr>
          <w:rFonts w:ascii="Calibri" w:hAnsi="Calibri" w:cs="Calibri"/>
          <w:sz w:val="24"/>
          <w:szCs w:val="24"/>
        </w:rPr>
        <w:t xml:space="preserve">filed in </w:t>
      </w:r>
      <w:r w:rsidR="00CA5E40">
        <w:rPr>
          <w:rFonts w:ascii="Calibri" w:hAnsi="Calibri" w:cs="Calibri"/>
          <w:sz w:val="24"/>
          <w:szCs w:val="24"/>
        </w:rPr>
        <w:t>KHECL</w:t>
      </w:r>
      <w:r>
        <w:rPr>
          <w:rFonts w:ascii="Calibri" w:hAnsi="Calibri" w:cs="Calibri"/>
          <w:sz w:val="24"/>
          <w:szCs w:val="24"/>
        </w:rPr>
        <w:t>’s 2018 Incentive Rate-Setting Application is accurate, complete, and consistent with</w:t>
      </w:r>
      <w:r w:rsidR="00CA5E40">
        <w:rPr>
          <w:rFonts w:ascii="Calibri" w:hAnsi="Calibri" w:cs="Calibri"/>
          <w:sz w:val="24"/>
          <w:szCs w:val="24"/>
        </w:rPr>
        <w:t xml:space="preserve"> </w:t>
      </w:r>
      <w:r>
        <w:rPr>
          <w:rFonts w:ascii="Calibri" w:hAnsi="Calibri" w:cs="Calibri"/>
          <w:sz w:val="24"/>
          <w:szCs w:val="24"/>
        </w:rPr>
        <w:t>the requirements of the Chapter 3 Filing Requirements for Electricity Distribution Rate</w:t>
      </w:r>
      <w:r w:rsidR="00CA5E40">
        <w:rPr>
          <w:rFonts w:ascii="Calibri" w:hAnsi="Calibri" w:cs="Calibri"/>
          <w:sz w:val="24"/>
          <w:szCs w:val="24"/>
        </w:rPr>
        <w:t xml:space="preserve"> </w:t>
      </w:r>
      <w:r>
        <w:rPr>
          <w:rFonts w:ascii="Calibri" w:hAnsi="Calibri" w:cs="Calibri"/>
          <w:sz w:val="24"/>
          <w:szCs w:val="24"/>
        </w:rPr>
        <w:t xml:space="preserve">Applications as revised on July </w:t>
      </w:r>
      <w:r w:rsidR="00950E8C">
        <w:rPr>
          <w:rFonts w:ascii="Calibri" w:hAnsi="Calibri" w:cs="Calibri"/>
          <w:sz w:val="24"/>
          <w:szCs w:val="24"/>
        </w:rPr>
        <w:t>12</w:t>
      </w:r>
      <w:r>
        <w:rPr>
          <w:rFonts w:ascii="Calibri" w:hAnsi="Calibri" w:cs="Calibri"/>
          <w:sz w:val="24"/>
          <w:szCs w:val="24"/>
        </w:rPr>
        <w:t>, 201</w:t>
      </w:r>
      <w:r w:rsidR="00950E8C">
        <w:rPr>
          <w:rFonts w:ascii="Calibri" w:hAnsi="Calibri" w:cs="Calibri"/>
          <w:sz w:val="24"/>
          <w:szCs w:val="24"/>
        </w:rPr>
        <w:t>8</w:t>
      </w:r>
      <w:r>
        <w:rPr>
          <w:rFonts w:ascii="Calibri" w:hAnsi="Calibri" w:cs="Calibri"/>
          <w:sz w:val="24"/>
          <w:szCs w:val="24"/>
        </w:rPr>
        <w:t xml:space="preserve">. </w:t>
      </w:r>
      <w:r w:rsidR="00CA5E40">
        <w:rPr>
          <w:rFonts w:ascii="Calibri" w:hAnsi="Calibri" w:cs="Calibri"/>
          <w:sz w:val="24"/>
          <w:szCs w:val="24"/>
        </w:rPr>
        <w:t xml:space="preserve"> </w:t>
      </w:r>
      <w:r>
        <w:rPr>
          <w:rFonts w:ascii="Calibri" w:hAnsi="Calibri" w:cs="Calibri"/>
          <w:sz w:val="24"/>
          <w:szCs w:val="24"/>
        </w:rPr>
        <w:t>I also confirm that internal controls and processes are in</w:t>
      </w:r>
      <w:r w:rsidR="00CA5E40">
        <w:rPr>
          <w:rFonts w:ascii="Calibri" w:hAnsi="Calibri" w:cs="Calibri"/>
          <w:sz w:val="24"/>
          <w:szCs w:val="24"/>
        </w:rPr>
        <w:t xml:space="preserve"> </w:t>
      </w:r>
      <w:r>
        <w:rPr>
          <w:rFonts w:ascii="Calibri" w:hAnsi="Calibri" w:cs="Calibri"/>
          <w:sz w:val="24"/>
          <w:szCs w:val="24"/>
        </w:rPr>
        <w:t>place for the preparation, review, verification and oversight of any account balances that are</w:t>
      </w:r>
      <w:r w:rsidR="00CA5E40">
        <w:rPr>
          <w:rFonts w:ascii="Calibri" w:hAnsi="Calibri" w:cs="Calibri"/>
          <w:sz w:val="24"/>
          <w:szCs w:val="24"/>
        </w:rPr>
        <w:t xml:space="preserve"> </w:t>
      </w:r>
      <w:r>
        <w:rPr>
          <w:rFonts w:ascii="Calibri" w:hAnsi="Calibri" w:cs="Calibri"/>
          <w:sz w:val="24"/>
          <w:szCs w:val="24"/>
        </w:rPr>
        <w:t>being requested for disposal.</w:t>
      </w:r>
    </w:p>
    <w:p w:rsidR="00CA5E40" w:rsidRDefault="00CA5E40" w:rsidP="00765766">
      <w:pPr>
        <w:autoSpaceDE w:val="0"/>
        <w:autoSpaceDN w:val="0"/>
        <w:adjustRightInd w:val="0"/>
        <w:spacing w:after="0" w:line="240" w:lineRule="auto"/>
        <w:jc w:val="left"/>
        <w:rPr>
          <w:rFonts w:ascii="Calibri" w:hAnsi="Calibri" w:cs="Calibri"/>
          <w:sz w:val="24"/>
          <w:szCs w:val="24"/>
        </w:rPr>
      </w:pPr>
    </w:p>
    <w:p w:rsidR="00765766" w:rsidRDefault="00765766" w:rsidP="00765766">
      <w:pPr>
        <w:autoSpaceDE w:val="0"/>
        <w:autoSpaceDN w:val="0"/>
        <w:adjustRightInd w:val="0"/>
        <w:spacing w:after="0" w:line="240" w:lineRule="auto"/>
        <w:jc w:val="left"/>
        <w:rPr>
          <w:rFonts w:ascii="Calibri" w:hAnsi="Calibri" w:cs="Calibri"/>
          <w:sz w:val="24"/>
          <w:szCs w:val="24"/>
        </w:rPr>
      </w:pPr>
      <w:r>
        <w:rPr>
          <w:rFonts w:ascii="Calibri" w:hAnsi="Calibri" w:cs="Calibri"/>
          <w:sz w:val="24"/>
          <w:szCs w:val="24"/>
        </w:rPr>
        <w:t>Respectfully submitted,</w:t>
      </w:r>
    </w:p>
    <w:p w:rsidR="00CA5E40" w:rsidRDefault="001279AA" w:rsidP="00765766">
      <w:pPr>
        <w:autoSpaceDE w:val="0"/>
        <w:autoSpaceDN w:val="0"/>
        <w:adjustRightInd w:val="0"/>
        <w:spacing w:after="0" w:line="240" w:lineRule="auto"/>
        <w:jc w:val="left"/>
        <w:rPr>
          <w:rFonts w:ascii="Calibri" w:hAnsi="Calibri" w:cs="Calibri"/>
          <w:sz w:val="24"/>
          <w:szCs w:val="24"/>
        </w:rPr>
      </w:pPr>
      <w:r w:rsidRPr="00D840D6">
        <w:rPr>
          <w:rFonts w:ascii="Calibri" w:hAnsi="Calibri" w:cs="Calibri"/>
          <w:noProof/>
        </w:rPr>
        <w:drawing>
          <wp:inline distT="0" distB="0" distL="0" distR="0" wp14:anchorId="171534F4" wp14:editId="239D286B">
            <wp:extent cx="1685925" cy="419100"/>
            <wp:effectExtent l="19050" t="0" r="9525" b="0"/>
            <wp:docPr id="13" name="Picture 13" descr="C:\Documents and Settings\jrobertson\Local Settings\Temporary Internet Files\Content.Word\20110615090935102_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Documents and Settings\jrobertson\Local Settings\Temporary Internet Files\Content.Word\20110615090935102_0001.jpg"/>
                    <pic:cNvPicPr>
                      <a:picLocks noChangeAspect="1" noChangeArrowheads="1"/>
                    </pic:cNvPicPr>
                  </pic:nvPicPr>
                  <pic:blipFill>
                    <a:blip r:embed="rId13" cstate="print"/>
                    <a:srcRect/>
                    <a:stretch>
                      <a:fillRect/>
                    </a:stretch>
                  </pic:blipFill>
                  <pic:spPr bwMode="auto">
                    <a:xfrm>
                      <a:off x="0" y="0"/>
                      <a:ext cx="1685925" cy="419100"/>
                    </a:xfrm>
                    <a:prstGeom prst="rect">
                      <a:avLst/>
                    </a:prstGeom>
                    <a:noFill/>
                    <a:ln w="9525">
                      <a:noFill/>
                      <a:miter lim="800000"/>
                      <a:headEnd/>
                      <a:tailEnd/>
                    </a:ln>
                  </pic:spPr>
                </pic:pic>
              </a:graphicData>
            </a:graphic>
          </wp:inline>
        </w:drawing>
      </w:r>
    </w:p>
    <w:p w:rsidR="00CA5E40" w:rsidRDefault="00CA5E40" w:rsidP="00765766">
      <w:pPr>
        <w:autoSpaceDE w:val="0"/>
        <w:autoSpaceDN w:val="0"/>
        <w:adjustRightInd w:val="0"/>
        <w:spacing w:after="0" w:line="240" w:lineRule="auto"/>
        <w:jc w:val="left"/>
        <w:rPr>
          <w:rFonts w:ascii="Calibri" w:hAnsi="Calibri" w:cs="Calibri"/>
          <w:sz w:val="24"/>
          <w:szCs w:val="24"/>
        </w:rPr>
      </w:pPr>
      <w:r>
        <w:rPr>
          <w:rFonts w:ascii="Calibri" w:hAnsi="Calibri" w:cs="Calibri"/>
          <w:sz w:val="24"/>
          <w:szCs w:val="24"/>
        </w:rPr>
        <w:t>David Sinclair</w:t>
      </w:r>
    </w:p>
    <w:p w:rsidR="00CA5E40" w:rsidRDefault="00CA5E40" w:rsidP="00765766">
      <w:pPr>
        <w:autoSpaceDE w:val="0"/>
        <w:autoSpaceDN w:val="0"/>
        <w:adjustRightInd w:val="0"/>
        <w:spacing w:after="0" w:line="240" w:lineRule="auto"/>
        <w:jc w:val="left"/>
        <w:rPr>
          <w:rFonts w:ascii="Calibri" w:hAnsi="Calibri" w:cs="Calibri"/>
          <w:sz w:val="24"/>
          <w:szCs w:val="24"/>
        </w:rPr>
      </w:pPr>
      <w:r>
        <w:rPr>
          <w:rFonts w:ascii="Calibri" w:hAnsi="Calibri" w:cs="Calibri"/>
          <w:sz w:val="24"/>
          <w:szCs w:val="24"/>
        </w:rPr>
        <w:t>President &amp; CEO</w:t>
      </w:r>
    </w:p>
    <w:p w:rsidR="00CA5E40" w:rsidRDefault="00D01616" w:rsidP="00765766">
      <w:pPr>
        <w:autoSpaceDE w:val="0"/>
        <w:autoSpaceDN w:val="0"/>
        <w:adjustRightInd w:val="0"/>
        <w:spacing w:after="0" w:line="240" w:lineRule="auto"/>
        <w:jc w:val="left"/>
        <w:rPr>
          <w:rFonts w:ascii="Calibri" w:hAnsi="Calibri" w:cs="Calibri"/>
          <w:sz w:val="24"/>
          <w:szCs w:val="24"/>
        </w:rPr>
      </w:pPr>
      <w:r>
        <w:rPr>
          <w:rFonts w:ascii="Calibri" w:hAnsi="Calibri" w:cs="Calibri"/>
          <w:sz w:val="24"/>
          <w:szCs w:val="24"/>
        </w:rPr>
        <w:t>Kenora Hydr</w:t>
      </w:r>
    </w:p>
    <w:p w:rsidR="009376F7" w:rsidRDefault="009376F7" w:rsidP="009376F7">
      <w:pPr>
        <w:spacing w:line="276" w:lineRule="auto"/>
        <w:jc w:val="center"/>
        <w:rPr>
          <w:rFonts w:ascii="Calibri" w:hAnsi="Calibri" w:cs="Calibri"/>
          <w:sz w:val="24"/>
          <w:szCs w:val="24"/>
        </w:rPr>
      </w:pPr>
    </w:p>
    <w:p w:rsidR="00CA5E40" w:rsidRDefault="00CA5E40" w:rsidP="009376F7">
      <w:pPr>
        <w:spacing w:line="276" w:lineRule="auto"/>
        <w:jc w:val="center"/>
        <w:rPr>
          <w:sz w:val="32"/>
          <w:szCs w:val="32"/>
        </w:rPr>
      </w:pPr>
    </w:p>
    <w:p w:rsidR="009376F7" w:rsidRDefault="009376F7" w:rsidP="009376F7">
      <w:pPr>
        <w:spacing w:line="276" w:lineRule="auto"/>
        <w:jc w:val="center"/>
        <w:rPr>
          <w:sz w:val="32"/>
          <w:szCs w:val="32"/>
        </w:rPr>
      </w:pPr>
    </w:p>
    <w:p w:rsidR="009376F7" w:rsidRDefault="009376F7" w:rsidP="009376F7">
      <w:pPr>
        <w:spacing w:line="276" w:lineRule="auto"/>
        <w:jc w:val="center"/>
        <w:rPr>
          <w:sz w:val="32"/>
          <w:szCs w:val="32"/>
        </w:rPr>
      </w:pPr>
    </w:p>
    <w:p w:rsidR="009376F7" w:rsidRDefault="009376F7" w:rsidP="009376F7">
      <w:pPr>
        <w:spacing w:line="276" w:lineRule="auto"/>
        <w:jc w:val="center"/>
        <w:rPr>
          <w:sz w:val="32"/>
          <w:szCs w:val="32"/>
        </w:rPr>
      </w:pPr>
    </w:p>
    <w:p w:rsidR="009376F7" w:rsidRDefault="009376F7" w:rsidP="009376F7">
      <w:pPr>
        <w:spacing w:line="276" w:lineRule="auto"/>
        <w:jc w:val="center"/>
        <w:rPr>
          <w:sz w:val="32"/>
          <w:szCs w:val="32"/>
        </w:rPr>
      </w:pPr>
    </w:p>
    <w:p w:rsidR="009376F7" w:rsidRDefault="009376F7" w:rsidP="009376F7">
      <w:pPr>
        <w:spacing w:line="276" w:lineRule="auto"/>
        <w:jc w:val="center"/>
        <w:rPr>
          <w:sz w:val="32"/>
          <w:szCs w:val="32"/>
        </w:rPr>
      </w:pPr>
      <w:r>
        <w:rPr>
          <w:sz w:val="32"/>
          <w:szCs w:val="32"/>
        </w:rPr>
        <w:t>APPENDIX A</w:t>
      </w:r>
    </w:p>
    <w:p w:rsidR="001635A0" w:rsidRDefault="001635A0" w:rsidP="009376F7">
      <w:pPr>
        <w:spacing w:line="276" w:lineRule="auto"/>
        <w:jc w:val="center"/>
        <w:rPr>
          <w:sz w:val="32"/>
          <w:szCs w:val="32"/>
        </w:rPr>
      </w:pPr>
      <w:r>
        <w:rPr>
          <w:sz w:val="32"/>
          <w:szCs w:val="32"/>
        </w:rPr>
        <w:t xml:space="preserve">GLOBAL ADJUSTMENT </w:t>
      </w:r>
    </w:p>
    <w:p w:rsidR="001635A0" w:rsidRDefault="00890A92" w:rsidP="009376F7">
      <w:pPr>
        <w:spacing w:line="276" w:lineRule="auto"/>
        <w:jc w:val="center"/>
        <w:rPr>
          <w:sz w:val="32"/>
          <w:szCs w:val="32"/>
        </w:rPr>
      </w:pPr>
      <w:r>
        <w:rPr>
          <w:sz w:val="32"/>
          <w:szCs w:val="32"/>
        </w:rPr>
        <w:t xml:space="preserve">METHODOLOGY </w:t>
      </w:r>
      <w:r w:rsidR="001635A0">
        <w:rPr>
          <w:sz w:val="32"/>
          <w:szCs w:val="32"/>
        </w:rPr>
        <w:t>DESCRIPTION</w:t>
      </w:r>
    </w:p>
    <w:p w:rsidR="00BE482D" w:rsidRDefault="00BE482D" w:rsidP="009376F7">
      <w:pPr>
        <w:spacing w:line="276" w:lineRule="auto"/>
        <w:jc w:val="center"/>
        <w:rPr>
          <w:sz w:val="32"/>
          <w:szCs w:val="32"/>
        </w:rPr>
      </w:pPr>
    </w:p>
    <w:p w:rsidR="00BE482D" w:rsidRDefault="00BE482D">
      <w:pPr>
        <w:rPr>
          <w:sz w:val="32"/>
          <w:szCs w:val="32"/>
        </w:rPr>
      </w:pPr>
      <w:r>
        <w:rPr>
          <w:sz w:val="32"/>
          <w:szCs w:val="32"/>
        </w:rPr>
        <w:br w:type="page"/>
      </w:r>
    </w:p>
    <w:p w:rsidR="0051256A" w:rsidRDefault="0051256A" w:rsidP="0051256A">
      <w:pPr>
        <w:spacing w:after="0" w:line="276" w:lineRule="auto"/>
        <w:rPr>
          <w:rFonts w:ascii="Arial" w:eastAsia="Times New Roman" w:hAnsi="Arial" w:cs="Arial"/>
          <w:b/>
          <w:sz w:val="24"/>
          <w:szCs w:val="24"/>
        </w:rPr>
      </w:pPr>
      <w:r>
        <w:rPr>
          <w:rFonts w:ascii="Arial" w:eastAsia="Times New Roman" w:hAnsi="Arial" w:cs="Arial"/>
          <w:b/>
          <w:sz w:val="24"/>
          <w:szCs w:val="24"/>
        </w:rPr>
        <w:lastRenderedPageBreak/>
        <w:t xml:space="preserve">Appendix A </w:t>
      </w:r>
    </w:p>
    <w:p w:rsidR="0051256A" w:rsidRDefault="0051256A" w:rsidP="0051256A">
      <w:pPr>
        <w:spacing w:after="0" w:line="276" w:lineRule="auto"/>
        <w:rPr>
          <w:rFonts w:ascii="Arial" w:eastAsia="Times New Roman" w:hAnsi="Arial" w:cs="Arial"/>
          <w:b/>
          <w:sz w:val="24"/>
          <w:szCs w:val="24"/>
        </w:rPr>
      </w:pPr>
      <w:r>
        <w:rPr>
          <w:rFonts w:ascii="Arial" w:eastAsia="Times New Roman" w:hAnsi="Arial" w:cs="Arial"/>
          <w:b/>
          <w:sz w:val="24"/>
          <w:szCs w:val="24"/>
        </w:rPr>
        <w:t xml:space="preserve">GA Methodology Description  </w:t>
      </w:r>
    </w:p>
    <w:p w:rsidR="00DA2581" w:rsidRDefault="00DA2581" w:rsidP="00DA2581">
      <w:pPr>
        <w:spacing w:line="276" w:lineRule="auto"/>
        <w:jc w:val="left"/>
      </w:pPr>
    </w:p>
    <w:p w:rsidR="00DA2581" w:rsidRDefault="00DA2581" w:rsidP="00DA2581">
      <w:pPr>
        <w:spacing w:line="276" w:lineRule="auto"/>
        <w:jc w:val="left"/>
      </w:pPr>
      <w:r>
        <w:t>The full OEB designed model</w:t>
      </w:r>
      <w:r w:rsidR="00A05A32">
        <w:t>, and specific notes on</w:t>
      </w:r>
      <w:r>
        <w:t xml:space="preserve"> the GA </w:t>
      </w:r>
      <w:r>
        <w:t>Analysis Workform</w:t>
      </w:r>
      <w:r>
        <w:t xml:space="preserve"> is included in Appendix B.  Fur</w:t>
      </w:r>
      <w:r w:rsidR="001B3FCE">
        <w:t>ther, please note the following detailed descriptions of the methodology used by Kenora Hydro.</w:t>
      </w:r>
    </w:p>
    <w:p w:rsidR="001B3FCE" w:rsidRPr="00D06EDB" w:rsidRDefault="001B3FCE" w:rsidP="001B3FCE">
      <w:pPr>
        <w:spacing w:line="276" w:lineRule="auto"/>
        <w:jc w:val="left"/>
        <w:rPr>
          <w:b/>
          <w:i/>
          <w:u w:val="single"/>
        </w:rPr>
      </w:pPr>
      <w:r>
        <w:rPr>
          <w:b/>
          <w:i/>
          <w:u w:val="single"/>
        </w:rPr>
        <w:t xml:space="preserve">** PROCESS </w:t>
      </w:r>
      <w:r w:rsidR="00130172">
        <w:rPr>
          <w:b/>
          <w:i/>
          <w:u w:val="single"/>
        </w:rPr>
        <w:t xml:space="preserve">REMAINS UNCHANGED FROM </w:t>
      </w:r>
      <w:r w:rsidR="00336135">
        <w:rPr>
          <w:b/>
          <w:i/>
          <w:u w:val="single"/>
        </w:rPr>
        <w:t>2017</w:t>
      </w:r>
      <w:r w:rsidR="00130172">
        <w:rPr>
          <w:b/>
          <w:i/>
          <w:u w:val="single"/>
        </w:rPr>
        <w:t xml:space="preserve"> IRM FILING</w:t>
      </w:r>
      <w:r>
        <w:rPr>
          <w:b/>
          <w:i/>
          <w:u w:val="single"/>
        </w:rPr>
        <w:t>**</w:t>
      </w:r>
    </w:p>
    <w:p w:rsidR="00DA2581" w:rsidRDefault="00DA2581" w:rsidP="00DA2581">
      <w:pPr>
        <w:spacing w:line="276" w:lineRule="auto"/>
        <w:jc w:val="left"/>
        <w:rPr>
          <w:b/>
        </w:rPr>
      </w:pPr>
      <w:r w:rsidRPr="00D06EDB">
        <w:rPr>
          <w:b/>
        </w:rPr>
        <w:t>GA Rate Used</w:t>
      </w:r>
    </w:p>
    <w:p w:rsidR="00DA2581" w:rsidRDefault="00DA2581" w:rsidP="00DA2581">
      <w:pPr>
        <w:spacing w:line="276" w:lineRule="auto"/>
        <w:jc w:val="left"/>
      </w:pPr>
      <w:r>
        <w:t xml:space="preserve">Kenora Hydro uses the first estimate of GA as provided by IESO to bill all customer classes.  </w:t>
      </w:r>
    </w:p>
    <w:p w:rsidR="00DA2581" w:rsidRPr="00D06EDB" w:rsidRDefault="00DA2581" w:rsidP="00DA2581">
      <w:pPr>
        <w:spacing w:line="276" w:lineRule="auto"/>
        <w:jc w:val="left"/>
        <w:rPr>
          <w:b/>
        </w:rPr>
      </w:pPr>
      <w:r w:rsidRPr="00D06EDB">
        <w:rPr>
          <w:b/>
        </w:rPr>
        <w:t>Monthly Filings to IESO</w:t>
      </w:r>
    </w:p>
    <w:p w:rsidR="00DA2581" w:rsidRDefault="00DA2581" w:rsidP="00DA2581">
      <w:pPr>
        <w:spacing w:line="276" w:lineRule="auto"/>
        <w:jc w:val="left"/>
      </w:pPr>
      <w:r>
        <w:t>On or before the fourth business day of the month, Kenora Hydro submits to the IESO claims for the difference between spot and RPP pricing for RPP customers.</w:t>
      </w:r>
    </w:p>
    <w:p w:rsidR="00DA2581" w:rsidRPr="00AA7AD4" w:rsidRDefault="00DA2581" w:rsidP="00DA2581">
      <w:pPr>
        <w:spacing w:line="276" w:lineRule="auto"/>
        <w:jc w:val="left"/>
        <w:rPr>
          <w:b/>
        </w:rPr>
      </w:pPr>
      <w:r w:rsidRPr="00AA7AD4">
        <w:rPr>
          <w:b/>
        </w:rPr>
        <w:t>Consumption Estimates</w:t>
      </w:r>
    </w:p>
    <w:p w:rsidR="00DA2581" w:rsidRDefault="00DA2581" w:rsidP="00DA2581">
      <w:pPr>
        <w:spacing w:line="276" w:lineRule="auto"/>
        <w:jc w:val="left"/>
      </w:pPr>
      <w:r>
        <w:t xml:space="preserve">Reports are generated from the billing system to produce RPP kWh billed during the filing month.  This RPP kWh is multiplied by the final GA rate from the IESO for the corresponding consumption period.  This process estimates the GA filing claim required for that period. </w:t>
      </w:r>
    </w:p>
    <w:p w:rsidR="00DA2581" w:rsidRDefault="00DA2581" w:rsidP="00DA2581">
      <w:pPr>
        <w:spacing w:line="276" w:lineRule="auto"/>
        <w:jc w:val="left"/>
      </w:pPr>
      <w:r>
        <w:t xml:space="preserve">Inherent in this monthly process is the timing issue that customers are not billed by the calendar month.  Reported kWh for the filing month will contain kWh consumed by customers for a portion of the reporting month, and also consumption from the prior month.  To achieve better matching of kWh consumed and the GA rate in effect at the time of consumption, the GA rate used in the filing calculation is matched to the consumption month.   For example, if the filing month is May, billing data from the May reports includes a large portion of April’s consumption, so the IESO final GA rate from April is used in the calculation for the claim.  The monthly filings require a True-up process to ensure the accuracy of both the monthly RPP kWh consumed and that the corresponding GA rates for that consumption period is correctly claimed for each month of the year.  </w:t>
      </w:r>
    </w:p>
    <w:p w:rsidR="00DA2581" w:rsidRPr="008A59C3" w:rsidRDefault="00DA2581" w:rsidP="00DA2581">
      <w:pPr>
        <w:spacing w:line="276" w:lineRule="auto"/>
        <w:jc w:val="left"/>
        <w:rPr>
          <w:b/>
        </w:rPr>
      </w:pPr>
      <w:r w:rsidRPr="008A59C3">
        <w:rPr>
          <w:b/>
        </w:rPr>
        <w:t>Annual True-Up</w:t>
      </w:r>
    </w:p>
    <w:p w:rsidR="00DA2581" w:rsidRDefault="00DA2581" w:rsidP="00DA2581">
      <w:pPr>
        <w:spacing w:line="276" w:lineRule="auto"/>
        <w:jc w:val="left"/>
      </w:pPr>
      <w:r>
        <w:t xml:space="preserve">Total actual RPP volume for the year is derived using the following process:   </w:t>
      </w:r>
    </w:p>
    <w:p w:rsidR="00DA2581" w:rsidRDefault="00DA2581" w:rsidP="00DA2581">
      <w:pPr>
        <w:pStyle w:val="ListParagraph"/>
        <w:numPr>
          <w:ilvl w:val="0"/>
          <w:numId w:val="26"/>
        </w:numPr>
        <w:spacing w:line="276" w:lineRule="auto"/>
        <w:jc w:val="left"/>
      </w:pPr>
      <w:r>
        <w:t>Actual monthly kWh purchased from the IESO, adding back embedded generation from each month, to determine total kWh sold to Kenora Hydro each month</w:t>
      </w:r>
    </w:p>
    <w:p w:rsidR="00DA2581" w:rsidRDefault="00DA2581" w:rsidP="00DA2581">
      <w:pPr>
        <w:pStyle w:val="ListParagraph"/>
        <w:numPr>
          <w:ilvl w:val="0"/>
          <w:numId w:val="26"/>
        </w:numPr>
        <w:spacing w:line="276" w:lineRule="auto"/>
        <w:jc w:val="left"/>
      </w:pPr>
      <w:r>
        <w:t>An IT billing system query is run to determine the Non-RPP volume supplied to our customers each month</w:t>
      </w:r>
    </w:p>
    <w:p w:rsidR="00DA2581" w:rsidRDefault="00DA2581" w:rsidP="00DA2581">
      <w:pPr>
        <w:pStyle w:val="ListParagraph"/>
        <w:numPr>
          <w:ilvl w:val="0"/>
          <w:numId w:val="26"/>
        </w:numPr>
        <w:spacing w:line="276" w:lineRule="auto"/>
        <w:jc w:val="left"/>
      </w:pPr>
      <w:r>
        <w:t>The IESO kWh purchased less the Non-RPP consumption, results in the RPP consumption for each month of the year</w:t>
      </w:r>
    </w:p>
    <w:p w:rsidR="00DA2581" w:rsidRDefault="00DA2581" w:rsidP="00DA2581">
      <w:pPr>
        <w:spacing w:line="276" w:lineRule="auto"/>
        <w:jc w:val="left"/>
      </w:pPr>
      <w:r>
        <w:t>GA claim recalculation for the year is done as follows:</w:t>
      </w:r>
    </w:p>
    <w:p w:rsidR="00DA2581" w:rsidRDefault="00DA2581" w:rsidP="00DA2581">
      <w:pPr>
        <w:pStyle w:val="ListParagraph"/>
        <w:numPr>
          <w:ilvl w:val="0"/>
          <w:numId w:val="26"/>
        </w:numPr>
        <w:spacing w:line="276" w:lineRule="auto"/>
        <w:jc w:val="left"/>
      </w:pPr>
      <w:r>
        <w:t xml:space="preserve">Each month’s claim is re-calculated based on actual kWh volume for RPP (as determined from above process), and the actual final GA rate charged to Kenora Hydro for the corresponding month of consumption.  </w:t>
      </w:r>
    </w:p>
    <w:p w:rsidR="00DA2581" w:rsidRDefault="00DA2581" w:rsidP="00DA2581">
      <w:pPr>
        <w:pStyle w:val="ListParagraph"/>
        <w:numPr>
          <w:ilvl w:val="0"/>
          <w:numId w:val="26"/>
        </w:numPr>
        <w:spacing w:line="276" w:lineRule="auto"/>
        <w:jc w:val="left"/>
      </w:pPr>
      <w:r>
        <w:t xml:space="preserve">Any difference between the total as claimed during the year, less the total for the year as recalculated in this True-up process, is submitted to the IESO on the monthly filing as soon as complete data is available, typically in February or March.  </w:t>
      </w:r>
    </w:p>
    <w:p w:rsidR="00DA2581" w:rsidRDefault="00DA2581" w:rsidP="00DA2581">
      <w:pPr>
        <w:spacing w:line="276" w:lineRule="auto"/>
        <w:jc w:val="left"/>
      </w:pPr>
      <w:r>
        <w:t>Embedded generation is taken into account when calculating total kWh purchased for the month.</w:t>
      </w:r>
    </w:p>
    <w:p w:rsidR="00DA2581" w:rsidRDefault="00DA2581" w:rsidP="00DA2581">
      <w:pPr>
        <w:spacing w:after="0" w:line="276" w:lineRule="auto"/>
        <w:rPr>
          <w:rFonts w:ascii="Arial" w:eastAsia="Times New Roman" w:hAnsi="Arial" w:cs="Arial"/>
          <w:b/>
          <w:sz w:val="24"/>
          <w:szCs w:val="24"/>
        </w:rPr>
      </w:pPr>
      <w:r>
        <w:t>Accrual accounting is used in the GA settlement process</w:t>
      </w:r>
      <w:r w:rsidR="00720392">
        <w:t>.</w:t>
      </w:r>
    </w:p>
    <w:p w:rsidR="00DA2581" w:rsidRDefault="00DA2581" w:rsidP="0051256A">
      <w:pPr>
        <w:spacing w:after="0" w:line="276" w:lineRule="auto"/>
        <w:rPr>
          <w:rFonts w:ascii="Arial" w:eastAsia="Times New Roman" w:hAnsi="Arial" w:cs="Arial"/>
          <w:b/>
          <w:sz w:val="24"/>
          <w:szCs w:val="24"/>
        </w:rPr>
      </w:pPr>
    </w:p>
    <w:p w:rsidR="00A05A32" w:rsidRDefault="00A05A32">
      <w:pPr>
        <w:rPr>
          <w:rFonts w:ascii="Arial" w:eastAsia="Times New Roman" w:hAnsi="Arial" w:cs="Arial"/>
          <w:b/>
          <w:sz w:val="24"/>
          <w:szCs w:val="24"/>
        </w:rPr>
      </w:pPr>
      <w:r>
        <w:rPr>
          <w:rFonts w:ascii="Arial" w:eastAsia="Times New Roman" w:hAnsi="Arial" w:cs="Arial"/>
          <w:b/>
          <w:sz w:val="24"/>
          <w:szCs w:val="24"/>
        </w:rPr>
        <w:lastRenderedPageBreak/>
        <w:br w:type="page"/>
      </w:r>
    </w:p>
    <w:p w:rsidR="00A05A32" w:rsidRDefault="00A05A32" w:rsidP="00A05A32">
      <w:pPr>
        <w:spacing w:after="0" w:line="276" w:lineRule="auto"/>
        <w:rPr>
          <w:rFonts w:ascii="Arial" w:eastAsia="Times New Roman" w:hAnsi="Arial" w:cs="Arial"/>
          <w:b/>
          <w:sz w:val="24"/>
          <w:szCs w:val="24"/>
        </w:rPr>
      </w:pPr>
      <w:r>
        <w:rPr>
          <w:rFonts w:ascii="Arial" w:eastAsia="Times New Roman" w:hAnsi="Arial" w:cs="Arial"/>
          <w:b/>
          <w:sz w:val="24"/>
          <w:szCs w:val="24"/>
        </w:rPr>
        <w:t xml:space="preserve">GA Methodology Description  </w:t>
      </w:r>
    </w:p>
    <w:p w:rsidR="0051256A" w:rsidRDefault="00723415" w:rsidP="0051256A">
      <w:pPr>
        <w:spacing w:after="0" w:line="276" w:lineRule="auto"/>
        <w:rPr>
          <w:rFonts w:ascii="Arial" w:eastAsia="Times New Roman" w:hAnsi="Arial" w:cs="Arial"/>
          <w:sz w:val="24"/>
          <w:szCs w:val="24"/>
        </w:rPr>
      </w:pPr>
      <w:r>
        <w:rPr>
          <w:rFonts w:ascii="Arial" w:eastAsia="Times New Roman" w:hAnsi="Arial" w:cs="Arial"/>
          <w:b/>
          <w:sz w:val="24"/>
          <w:szCs w:val="24"/>
        </w:rPr>
        <w:t xml:space="preserve">OEB </w:t>
      </w:r>
      <w:r w:rsidR="0051256A">
        <w:rPr>
          <w:rFonts w:ascii="Arial" w:eastAsia="Times New Roman" w:hAnsi="Arial" w:cs="Arial"/>
          <w:b/>
          <w:sz w:val="24"/>
          <w:szCs w:val="24"/>
        </w:rPr>
        <w:t>Questions on Accounts 1588 &amp; 1589</w:t>
      </w:r>
    </w:p>
    <w:p w:rsidR="0051256A" w:rsidRPr="00CF0A8B" w:rsidRDefault="0051256A" w:rsidP="0051256A">
      <w:pPr>
        <w:spacing w:after="0" w:line="276" w:lineRule="auto"/>
        <w:rPr>
          <w:rFonts w:ascii="Arial" w:eastAsia="Times New Roman" w:hAnsi="Arial" w:cs="Arial"/>
          <w:i/>
          <w:sz w:val="24"/>
          <w:szCs w:val="24"/>
        </w:rPr>
      </w:pPr>
    </w:p>
    <w:p w:rsidR="0051256A" w:rsidRDefault="0051256A" w:rsidP="0051256A">
      <w:pPr>
        <w:pStyle w:val="ListParagraph"/>
        <w:numPr>
          <w:ilvl w:val="0"/>
          <w:numId w:val="28"/>
        </w:numPr>
        <w:spacing w:after="0" w:line="276" w:lineRule="auto"/>
        <w:jc w:val="left"/>
        <w:rPr>
          <w:rFonts w:ascii="Arial" w:eastAsia="Times New Roman" w:hAnsi="Arial" w:cs="Arial"/>
          <w:sz w:val="24"/>
          <w:szCs w:val="24"/>
        </w:rPr>
      </w:pPr>
      <w:r>
        <w:rPr>
          <w:rFonts w:ascii="Arial" w:eastAsia="Times New Roman" w:hAnsi="Arial" w:cs="Arial"/>
          <w:sz w:val="24"/>
          <w:szCs w:val="24"/>
        </w:rPr>
        <w:t>In booking expense journal entries for Charge Type (CT) 1142 and CT 148 from the IESO invoice, please confirm which of the following approaches is used:</w:t>
      </w:r>
    </w:p>
    <w:p w:rsidR="0051256A" w:rsidRDefault="0051256A" w:rsidP="0051256A">
      <w:pPr>
        <w:pStyle w:val="ListParagraph"/>
        <w:numPr>
          <w:ilvl w:val="0"/>
          <w:numId w:val="29"/>
        </w:numPr>
        <w:spacing w:after="0" w:line="276" w:lineRule="auto"/>
        <w:jc w:val="left"/>
      </w:pPr>
      <w:r>
        <w:rPr>
          <w:rFonts w:ascii="Arial" w:eastAsia="Times New Roman" w:hAnsi="Arial" w:cs="Arial"/>
          <w:sz w:val="24"/>
          <w:szCs w:val="24"/>
        </w:rPr>
        <w:t>CT 1142 is booked into Account 1588. CT 148 is pro-rated based on RPP/non-RPP consumption and then booked into Account 1588 and 1589 respectively.</w:t>
      </w:r>
    </w:p>
    <w:p w:rsidR="0051256A" w:rsidRDefault="0051256A" w:rsidP="0051256A">
      <w:pPr>
        <w:pStyle w:val="ListParagraph"/>
        <w:numPr>
          <w:ilvl w:val="0"/>
          <w:numId w:val="29"/>
        </w:numPr>
        <w:spacing w:after="0" w:line="276" w:lineRule="auto"/>
        <w:jc w:val="left"/>
        <w:rPr>
          <w:rFonts w:ascii="Arial" w:eastAsia="Times New Roman" w:hAnsi="Arial" w:cs="Arial"/>
          <w:sz w:val="24"/>
          <w:szCs w:val="24"/>
        </w:rPr>
      </w:pPr>
      <w:r w:rsidRPr="005930BC">
        <w:rPr>
          <w:rFonts w:ascii="Arial" w:eastAsia="Times New Roman" w:hAnsi="Arial" w:cs="Arial"/>
          <w:sz w:val="24"/>
          <w:szCs w:val="24"/>
        </w:rPr>
        <w:t xml:space="preserve">CT </w:t>
      </w:r>
      <w:r>
        <w:rPr>
          <w:rFonts w:ascii="Arial" w:eastAsia="Times New Roman" w:hAnsi="Arial" w:cs="Arial"/>
          <w:sz w:val="24"/>
          <w:szCs w:val="24"/>
        </w:rPr>
        <w:t>148 is booked into Account 1589. The portion of CT 1142 equaling RPP minus HOEP for RPP consumption is booked into Account 1588. The portion of CT 1142 equaling GA RPP is credited into Account 1589.</w:t>
      </w:r>
    </w:p>
    <w:p w:rsidR="0051256A" w:rsidRDefault="0051256A" w:rsidP="0051256A">
      <w:pPr>
        <w:pStyle w:val="ListParagraph"/>
        <w:numPr>
          <w:ilvl w:val="0"/>
          <w:numId w:val="29"/>
        </w:numPr>
        <w:spacing w:after="0" w:line="276" w:lineRule="auto"/>
        <w:jc w:val="left"/>
        <w:rPr>
          <w:rFonts w:ascii="Arial" w:eastAsia="Times New Roman" w:hAnsi="Arial" w:cs="Arial"/>
          <w:sz w:val="24"/>
          <w:szCs w:val="24"/>
        </w:rPr>
      </w:pPr>
      <w:r>
        <w:rPr>
          <w:rFonts w:ascii="Arial" w:eastAsia="Times New Roman" w:hAnsi="Arial" w:cs="Arial"/>
          <w:sz w:val="24"/>
          <w:szCs w:val="24"/>
        </w:rPr>
        <w:t>If another approach is used, please explain in detail.</w:t>
      </w:r>
    </w:p>
    <w:p w:rsidR="0051256A" w:rsidRDefault="0051256A" w:rsidP="0051256A">
      <w:pPr>
        <w:spacing w:after="0" w:line="276" w:lineRule="auto"/>
        <w:ind w:left="720" w:firstLine="360"/>
        <w:rPr>
          <w:rFonts w:ascii="Arial" w:eastAsia="Times New Roman" w:hAnsi="Arial" w:cs="Arial"/>
          <w:sz w:val="24"/>
          <w:szCs w:val="24"/>
          <w:u w:val="single"/>
        </w:rPr>
      </w:pPr>
    </w:p>
    <w:p w:rsidR="00481004" w:rsidRPr="00481004" w:rsidRDefault="00481004" w:rsidP="00D2142F">
      <w:pPr>
        <w:spacing w:after="0" w:line="276" w:lineRule="auto"/>
        <w:ind w:left="360"/>
        <w:rPr>
          <w:rFonts w:ascii="Arial" w:hAnsi="Arial" w:cs="Arial"/>
          <w:b/>
          <w:bCs/>
          <w:sz w:val="24"/>
          <w:szCs w:val="24"/>
          <w:u w:val="single"/>
        </w:rPr>
      </w:pPr>
      <w:r w:rsidRPr="00481004">
        <w:rPr>
          <w:rFonts w:ascii="Arial" w:hAnsi="Arial" w:cs="Arial"/>
          <w:b/>
          <w:bCs/>
          <w:sz w:val="24"/>
          <w:szCs w:val="24"/>
          <w:u w:val="single"/>
        </w:rPr>
        <w:t>Kenora Response:</w:t>
      </w:r>
    </w:p>
    <w:p w:rsidR="00481004" w:rsidRDefault="00481004" w:rsidP="00D2142F">
      <w:pPr>
        <w:spacing w:after="0" w:line="276" w:lineRule="auto"/>
        <w:ind w:left="360"/>
        <w:rPr>
          <w:rFonts w:ascii="Arial" w:hAnsi="Arial" w:cs="Arial"/>
          <w:bCs/>
          <w:sz w:val="24"/>
          <w:szCs w:val="24"/>
        </w:rPr>
      </w:pPr>
    </w:p>
    <w:p w:rsidR="0051256A" w:rsidRPr="00D2142F" w:rsidRDefault="0051256A" w:rsidP="00D2142F">
      <w:pPr>
        <w:spacing w:after="0" w:line="276" w:lineRule="auto"/>
        <w:ind w:left="360"/>
        <w:rPr>
          <w:rFonts w:ascii="Arial" w:eastAsia="Times New Roman" w:hAnsi="Arial" w:cs="Arial"/>
          <w:sz w:val="24"/>
          <w:szCs w:val="24"/>
          <w:u w:val="single"/>
        </w:rPr>
      </w:pPr>
      <w:r w:rsidRPr="00D2142F">
        <w:rPr>
          <w:rFonts w:ascii="Arial" w:hAnsi="Arial" w:cs="Arial"/>
          <w:bCs/>
          <w:sz w:val="24"/>
          <w:szCs w:val="24"/>
        </w:rPr>
        <w:t>Kenora Hydro uses the approach detailed in option (b).</w:t>
      </w:r>
    </w:p>
    <w:p w:rsidR="0051256A" w:rsidRDefault="0051256A" w:rsidP="0051256A">
      <w:pPr>
        <w:spacing w:after="0" w:line="276" w:lineRule="auto"/>
        <w:ind w:left="720" w:firstLine="360"/>
        <w:rPr>
          <w:rFonts w:ascii="Arial" w:eastAsia="Times New Roman" w:hAnsi="Arial" w:cs="Arial"/>
          <w:sz w:val="24"/>
          <w:szCs w:val="24"/>
          <w:u w:val="single"/>
        </w:rPr>
      </w:pPr>
    </w:p>
    <w:p w:rsidR="0051256A" w:rsidRDefault="0051256A" w:rsidP="0051256A">
      <w:pPr>
        <w:spacing w:after="0" w:line="276" w:lineRule="auto"/>
        <w:ind w:left="720" w:firstLine="360"/>
        <w:rPr>
          <w:rFonts w:ascii="Arial" w:eastAsia="Times New Roman" w:hAnsi="Arial" w:cs="Arial"/>
          <w:sz w:val="24"/>
          <w:szCs w:val="24"/>
          <w:u w:val="single"/>
        </w:rPr>
      </w:pPr>
    </w:p>
    <w:p w:rsidR="0051256A" w:rsidRPr="00BE05F6" w:rsidRDefault="0051256A" w:rsidP="0051256A">
      <w:pPr>
        <w:pStyle w:val="ListParagraph"/>
        <w:numPr>
          <w:ilvl w:val="0"/>
          <w:numId w:val="28"/>
        </w:numPr>
        <w:spacing w:after="0" w:line="276" w:lineRule="auto"/>
        <w:jc w:val="left"/>
        <w:rPr>
          <w:rFonts w:ascii="Arial" w:eastAsia="Times New Roman" w:hAnsi="Arial" w:cs="Arial"/>
          <w:sz w:val="24"/>
          <w:szCs w:val="24"/>
          <w:u w:val="single"/>
        </w:rPr>
      </w:pPr>
      <w:r w:rsidRPr="00BE05F6">
        <w:rPr>
          <w:rFonts w:ascii="Arial" w:eastAsia="Times New Roman" w:hAnsi="Arial" w:cs="Arial"/>
          <w:sz w:val="24"/>
          <w:szCs w:val="24"/>
          <w:u w:val="single"/>
        </w:rPr>
        <w:t>Questions on CT 1142</w:t>
      </w:r>
    </w:p>
    <w:p w:rsidR="00481004" w:rsidRDefault="0051256A" w:rsidP="00481004">
      <w:pPr>
        <w:pStyle w:val="ListParagraph"/>
        <w:numPr>
          <w:ilvl w:val="1"/>
          <w:numId w:val="28"/>
        </w:numPr>
        <w:spacing w:after="0" w:line="276" w:lineRule="auto"/>
        <w:jc w:val="left"/>
        <w:rPr>
          <w:rFonts w:ascii="Arial" w:eastAsia="Times New Roman" w:hAnsi="Arial" w:cs="Arial"/>
          <w:sz w:val="24"/>
          <w:szCs w:val="24"/>
        </w:rPr>
      </w:pPr>
      <w:r>
        <w:rPr>
          <w:rFonts w:ascii="Arial" w:eastAsia="Times New Roman" w:hAnsi="Arial" w:cs="Arial"/>
          <w:sz w:val="24"/>
          <w:szCs w:val="24"/>
        </w:rPr>
        <w:t>Please describe how the initial RPP related GA is determined for settlement forms submitted by day 4 after the month-end (resulting in CT 1142 on the IESO invoice).</w:t>
      </w:r>
    </w:p>
    <w:p w:rsidR="00481004" w:rsidRDefault="00481004" w:rsidP="00481004">
      <w:pPr>
        <w:pStyle w:val="ListParagraph"/>
        <w:spacing w:after="0" w:line="276" w:lineRule="auto"/>
        <w:ind w:left="1440"/>
        <w:jc w:val="left"/>
        <w:rPr>
          <w:rFonts w:ascii="Arial" w:eastAsia="Times New Roman" w:hAnsi="Arial" w:cs="Arial"/>
          <w:sz w:val="24"/>
          <w:szCs w:val="24"/>
        </w:rPr>
      </w:pPr>
    </w:p>
    <w:p w:rsidR="00481004" w:rsidRPr="00481004" w:rsidRDefault="00481004" w:rsidP="00481004">
      <w:pPr>
        <w:pStyle w:val="ListParagraph"/>
        <w:spacing w:after="0" w:line="276" w:lineRule="auto"/>
        <w:ind w:left="1440" w:hanging="1080"/>
        <w:jc w:val="left"/>
        <w:rPr>
          <w:rFonts w:ascii="Arial" w:eastAsia="Times New Roman" w:hAnsi="Arial" w:cs="Arial"/>
          <w:sz w:val="24"/>
          <w:szCs w:val="24"/>
        </w:rPr>
      </w:pPr>
      <w:r w:rsidRPr="00481004">
        <w:rPr>
          <w:rFonts w:ascii="Arial" w:hAnsi="Arial" w:cs="Arial"/>
          <w:b/>
          <w:bCs/>
          <w:sz w:val="24"/>
          <w:szCs w:val="24"/>
          <w:u w:val="single"/>
        </w:rPr>
        <w:t>Kenora Response:</w:t>
      </w:r>
    </w:p>
    <w:p w:rsidR="00D2142F" w:rsidRDefault="00D2142F" w:rsidP="00D2142F">
      <w:pPr>
        <w:pStyle w:val="ListParagraph"/>
        <w:spacing w:after="0" w:line="276" w:lineRule="auto"/>
        <w:ind w:left="1440"/>
        <w:rPr>
          <w:rFonts w:ascii="Arial" w:eastAsia="Times New Roman" w:hAnsi="Arial" w:cs="Arial"/>
          <w:sz w:val="24"/>
          <w:szCs w:val="24"/>
        </w:rPr>
      </w:pPr>
    </w:p>
    <w:p w:rsidR="0051256A" w:rsidRPr="00D2142F" w:rsidRDefault="0051256A" w:rsidP="00D2142F">
      <w:pPr>
        <w:pStyle w:val="ListParagraph"/>
        <w:spacing w:after="0" w:line="276" w:lineRule="auto"/>
        <w:ind w:left="360"/>
        <w:rPr>
          <w:rFonts w:ascii="Arial" w:eastAsia="Times New Roman" w:hAnsi="Arial" w:cs="Arial"/>
          <w:sz w:val="24"/>
          <w:szCs w:val="24"/>
        </w:rPr>
      </w:pPr>
      <w:r w:rsidRPr="00D2142F">
        <w:rPr>
          <w:rFonts w:ascii="Arial" w:eastAsia="Times New Roman" w:hAnsi="Arial" w:cs="Arial"/>
          <w:sz w:val="24"/>
          <w:szCs w:val="24"/>
        </w:rPr>
        <w:t xml:space="preserve">The kWh sold for RPP customers, pulled from billing system reports, is used to estimate the kWh for the GA on the filing.  Those kWh are made up of primarily the month previous consumption, as there is an approximate lag of a month due to billing timing and processing.  Since the consumption is primarily for the month previous, the GA rate applied to those kWh at this step, is the </w:t>
      </w:r>
      <w:r w:rsidR="00293BFC">
        <w:rPr>
          <w:rFonts w:ascii="Arial" w:eastAsia="Times New Roman" w:hAnsi="Arial" w:cs="Arial"/>
          <w:sz w:val="24"/>
          <w:szCs w:val="24"/>
        </w:rPr>
        <w:t>a</w:t>
      </w:r>
      <w:r w:rsidRPr="00D2142F">
        <w:rPr>
          <w:rFonts w:ascii="Arial" w:eastAsia="Times New Roman" w:hAnsi="Arial" w:cs="Arial"/>
          <w:sz w:val="24"/>
          <w:szCs w:val="24"/>
        </w:rPr>
        <w:t xml:space="preserve">ctual GA rate as posted by the IESO for the prior month.  As an example, for June month filing due the first 4 days into July, the billed kWh pulled will be primarily from May, and the </w:t>
      </w:r>
      <w:r w:rsidR="00EC52A3">
        <w:rPr>
          <w:rFonts w:ascii="Arial" w:eastAsia="Times New Roman" w:hAnsi="Arial" w:cs="Arial"/>
          <w:sz w:val="24"/>
          <w:szCs w:val="24"/>
        </w:rPr>
        <w:t>a</w:t>
      </w:r>
      <w:r w:rsidRPr="00D2142F">
        <w:rPr>
          <w:rFonts w:ascii="Arial" w:eastAsia="Times New Roman" w:hAnsi="Arial" w:cs="Arial"/>
          <w:sz w:val="24"/>
          <w:szCs w:val="24"/>
        </w:rPr>
        <w:t xml:space="preserve">ctual posted GA rate for May will be used.  </w:t>
      </w:r>
      <w:r w:rsidR="00D2142F" w:rsidRPr="00D2142F">
        <w:rPr>
          <w:rFonts w:ascii="Arial" w:eastAsia="Times New Roman" w:hAnsi="Arial" w:cs="Arial"/>
          <w:sz w:val="24"/>
          <w:szCs w:val="24"/>
        </w:rPr>
        <w:t>In our experience, this is producing a more accurate initial GA claim month over month.</w:t>
      </w:r>
      <w:r w:rsidRPr="00D2142F">
        <w:rPr>
          <w:rFonts w:ascii="Arial" w:eastAsia="Times New Roman" w:hAnsi="Arial" w:cs="Arial"/>
          <w:sz w:val="24"/>
          <w:szCs w:val="24"/>
        </w:rPr>
        <w:t xml:space="preserve">  </w:t>
      </w:r>
      <w:r w:rsidR="000C3494">
        <w:rPr>
          <w:rFonts w:ascii="Arial" w:eastAsia="Times New Roman" w:hAnsi="Arial" w:cs="Arial"/>
          <w:sz w:val="24"/>
          <w:szCs w:val="24"/>
        </w:rPr>
        <w:t xml:space="preserve"> All consumption and rate differences are trued up quarterly.</w:t>
      </w:r>
    </w:p>
    <w:p w:rsidR="0051256A" w:rsidRDefault="0051256A" w:rsidP="0051256A">
      <w:pPr>
        <w:spacing w:after="0" w:line="276" w:lineRule="auto"/>
        <w:jc w:val="left"/>
        <w:rPr>
          <w:rFonts w:ascii="Arial" w:eastAsia="Times New Roman" w:hAnsi="Arial" w:cs="Arial"/>
          <w:sz w:val="24"/>
          <w:szCs w:val="24"/>
        </w:rPr>
      </w:pPr>
    </w:p>
    <w:p w:rsidR="0051256A" w:rsidRPr="0051256A" w:rsidRDefault="0051256A" w:rsidP="0051256A">
      <w:pPr>
        <w:spacing w:after="0" w:line="276" w:lineRule="auto"/>
        <w:jc w:val="left"/>
        <w:rPr>
          <w:rFonts w:ascii="Arial" w:eastAsia="Times New Roman" w:hAnsi="Arial" w:cs="Arial"/>
          <w:sz w:val="24"/>
          <w:szCs w:val="24"/>
        </w:rPr>
      </w:pPr>
    </w:p>
    <w:p w:rsidR="0051256A" w:rsidRDefault="0051256A" w:rsidP="0051256A">
      <w:pPr>
        <w:pStyle w:val="ListParagraph"/>
        <w:numPr>
          <w:ilvl w:val="1"/>
          <w:numId w:val="28"/>
        </w:numPr>
        <w:spacing w:after="0" w:line="276" w:lineRule="auto"/>
        <w:jc w:val="left"/>
        <w:rPr>
          <w:rFonts w:ascii="Arial" w:eastAsia="Times New Roman" w:hAnsi="Arial" w:cs="Arial"/>
          <w:sz w:val="24"/>
          <w:szCs w:val="24"/>
        </w:rPr>
      </w:pPr>
      <w:r>
        <w:rPr>
          <w:rFonts w:ascii="Arial" w:eastAsia="Times New Roman" w:hAnsi="Arial" w:cs="Arial"/>
          <w:sz w:val="24"/>
          <w:szCs w:val="24"/>
        </w:rPr>
        <w:lastRenderedPageBreak/>
        <w:t>Please describe the process for truing up CT 1142 to actual RPP kWh, including which data is used for each TOU/Tier 1&amp;2 prices, as well as the timing of the true up.</w:t>
      </w:r>
    </w:p>
    <w:p w:rsidR="00D2142F" w:rsidRDefault="00D2142F" w:rsidP="00D2142F">
      <w:pPr>
        <w:spacing w:after="0" w:line="276" w:lineRule="auto"/>
        <w:jc w:val="left"/>
        <w:rPr>
          <w:rFonts w:ascii="Arial" w:eastAsia="Times New Roman" w:hAnsi="Arial" w:cs="Arial"/>
          <w:sz w:val="24"/>
          <w:szCs w:val="24"/>
        </w:rPr>
      </w:pPr>
    </w:p>
    <w:p w:rsidR="00481004" w:rsidRPr="00481004" w:rsidRDefault="00481004" w:rsidP="00481004">
      <w:pPr>
        <w:pStyle w:val="ListParagraph"/>
        <w:spacing w:after="0" w:line="276" w:lineRule="auto"/>
        <w:ind w:left="1440" w:hanging="1440"/>
        <w:jc w:val="left"/>
        <w:rPr>
          <w:rFonts w:ascii="Arial" w:eastAsia="Times New Roman" w:hAnsi="Arial" w:cs="Arial"/>
          <w:sz w:val="24"/>
          <w:szCs w:val="24"/>
        </w:rPr>
      </w:pPr>
      <w:r w:rsidRPr="00481004">
        <w:rPr>
          <w:rFonts w:ascii="Arial" w:hAnsi="Arial" w:cs="Arial"/>
          <w:b/>
          <w:bCs/>
          <w:sz w:val="24"/>
          <w:szCs w:val="24"/>
          <w:u w:val="single"/>
        </w:rPr>
        <w:t>Kenora Response:</w:t>
      </w:r>
    </w:p>
    <w:p w:rsidR="00D2142F" w:rsidRDefault="00D2142F" w:rsidP="00D2142F">
      <w:pPr>
        <w:spacing w:after="0" w:line="276" w:lineRule="auto"/>
        <w:jc w:val="left"/>
        <w:rPr>
          <w:rFonts w:ascii="Arial" w:eastAsia="Times New Roman" w:hAnsi="Arial" w:cs="Arial"/>
          <w:sz w:val="24"/>
          <w:szCs w:val="24"/>
        </w:rPr>
      </w:pPr>
    </w:p>
    <w:p w:rsidR="00D2142F" w:rsidRDefault="000410DA" w:rsidP="00D2142F">
      <w:pPr>
        <w:spacing w:after="0" w:line="276" w:lineRule="auto"/>
        <w:jc w:val="left"/>
        <w:rPr>
          <w:rFonts w:ascii="Arial" w:eastAsia="Times New Roman" w:hAnsi="Arial" w:cs="Arial"/>
          <w:sz w:val="24"/>
          <w:szCs w:val="24"/>
        </w:rPr>
      </w:pPr>
      <w:r>
        <w:rPr>
          <w:rFonts w:ascii="Arial" w:eastAsia="Times New Roman" w:hAnsi="Arial" w:cs="Arial"/>
          <w:sz w:val="24"/>
          <w:szCs w:val="24"/>
        </w:rPr>
        <w:t xml:space="preserve">Quarterly, a true-up is calculated which takes into account any differences in monthly </w:t>
      </w:r>
      <w:r w:rsidR="009F310C">
        <w:rPr>
          <w:rFonts w:ascii="Arial" w:eastAsia="Times New Roman" w:hAnsi="Arial" w:cs="Arial"/>
          <w:sz w:val="24"/>
          <w:szCs w:val="24"/>
        </w:rPr>
        <w:t xml:space="preserve">RPP vs Non-RPP </w:t>
      </w:r>
      <w:r>
        <w:rPr>
          <w:rFonts w:ascii="Arial" w:eastAsia="Times New Roman" w:hAnsi="Arial" w:cs="Arial"/>
          <w:sz w:val="24"/>
          <w:szCs w:val="24"/>
        </w:rPr>
        <w:t>consumption</w:t>
      </w:r>
      <w:r w:rsidR="009F310C">
        <w:rPr>
          <w:rFonts w:ascii="Arial" w:eastAsia="Times New Roman" w:hAnsi="Arial" w:cs="Arial"/>
          <w:sz w:val="24"/>
          <w:szCs w:val="24"/>
        </w:rPr>
        <w:t>,</w:t>
      </w:r>
      <w:r>
        <w:rPr>
          <w:rFonts w:ascii="Arial" w:eastAsia="Times New Roman" w:hAnsi="Arial" w:cs="Arial"/>
          <w:sz w:val="24"/>
          <w:szCs w:val="24"/>
        </w:rPr>
        <w:t xml:space="preserve"> </w:t>
      </w:r>
      <w:r w:rsidR="009F310C">
        <w:rPr>
          <w:rFonts w:ascii="Arial" w:eastAsia="Times New Roman" w:hAnsi="Arial" w:cs="Arial"/>
          <w:sz w:val="24"/>
          <w:szCs w:val="24"/>
        </w:rPr>
        <w:t xml:space="preserve">also </w:t>
      </w:r>
      <w:r>
        <w:rPr>
          <w:rFonts w:ascii="Arial" w:eastAsia="Times New Roman" w:hAnsi="Arial" w:cs="Arial"/>
          <w:sz w:val="24"/>
          <w:szCs w:val="24"/>
        </w:rPr>
        <w:t>taking into account unbilled adjustments each month</w:t>
      </w:r>
      <w:r w:rsidR="009F310C">
        <w:rPr>
          <w:rFonts w:ascii="Arial" w:eastAsia="Times New Roman" w:hAnsi="Arial" w:cs="Arial"/>
          <w:sz w:val="24"/>
          <w:szCs w:val="24"/>
        </w:rPr>
        <w:t>.  M</w:t>
      </w:r>
      <w:r>
        <w:rPr>
          <w:rFonts w:ascii="Arial" w:eastAsia="Times New Roman" w:hAnsi="Arial" w:cs="Arial"/>
          <w:sz w:val="24"/>
          <w:szCs w:val="24"/>
        </w:rPr>
        <w:t xml:space="preserve">onthly </w:t>
      </w:r>
      <w:r w:rsidR="009F310C">
        <w:rPr>
          <w:rFonts w:ascii="Arial" w:eastAsia="Times New Roman" w:hAnsi="Arial" w:cs="Arial"/>
          <w:sz w:val="24"/>
          <w:szCs w:val="24"/>
        </w:rPr>
        <w:t xml:space="preserve">final IESO </w:t>
      </w:r>
      <w:r>
        <w:rPr>
          <w:rFonts w:ascii="Arial" w:eastAsia="Times New Roman" w:hAnsi="Arial" w:cs="Arial"/>
          <w:sz w:val="24"/>
          <w:szCs w:val="24"/>
        </w:rPr>
        <w:t>GA rates</w:t>
      </w:r>
      <w:r w:rsidR="009F310C">
        <w:rPr>
          <w:rFonts w:ascii="Arial" w:eastAsia="Times New Roman" w:hAnsi="Arial" w:cs="Arial"/>
          <w:sz w:val="24"/>
          <w:szCs w:val="24"/>
        </w:rPr>
        <w:t xml:space="preserve"> are also used in the true-up calculations</w:t>
      </w:r>
      <w:r>
        <w:rPr>
          <w:rFonts w:ascii="Arial" w:eastAsia="Times New Roman" w:hAnsi="Arial" w:cs="Arial"/>
          <w:sz w:val="24"/>
          <w:szCs w:val="24"/>
        </w:rPr>
        <w:t xml:space="preserve">, as they may differ from the estimated rates used in the initial claims.  Any true-up claims will be </w:t>
      </w:r>
      <w:r w:rsidR="009F310C">
        <w:rPr>
          <w:rFonts w:ascii="Arial" w:eastAsia="Times New Roman" w:hAnsi="Arial" w:cs="Arial"/>
          <w:sz w:val="24"/>
          <w:szCs w:val="24"/>
        </w:rPr>
        <w:t>accrued (</w:t>
      </w:r>
      <w:r>
        <w:rPr>
          <w:rFonts w:ascii="Arial" w:eastAsia="Times New Roman" w:hAnsi="Arial" w:cs="Arial"/>
          <w:sz w:val="24"/>
          <w:szCs w:val="24"/>
        </w:rPr>
        <w:t>recorded</w:t>
      </w:r>
      <w:r w:rsidR="009F310C">
        <w:rPr>
          <w:rFonts w:ascii="Arial" w:eastAsia="Times New Roman" w:hAnsi="Arial" w:cs="Arial"/>
          <w:sz w:val="24"/>
          <w:szCs w:val="24"/>
        </w:rPr>
        <w:t>)</w:t>
      </w:r>
      <w:r>
        <w:rPr>
          <w:rFonts w:ascii="Arial" w:eastAsia="Times New Roman" w:hAnsi="Arial" w:cs="Arial"/>
          <w:sz w:val="24"/>
          <w:szCs w:val="24"/>
        </w:rPr>
        <w:t xml:space="preserve"> in the GL in the Quarter to which they belong, to more accurately reflect the balances in 1588 and 1589 at each quarter end.</w:t>
      </w:r>
    </w:p>
    <w:p w:rsidR="00D2142F" w:rsidRDefault="00D2142F" w:rsidP="00D2142F">
      <w:pPr>
        <w:spacing w:after="0" w:line="276" w:lineRule="auto"/>
        <w:jc w:val="left"/>
        <w:rPr>
          <w:rFonts w:ascii="Arial" w:eastAsia="Times New Roman" w:hAnsi="Arial" w:cs="Arial"/>
          <w:sz w:val="24"/>
          <w:szCs w:val="24"/>
        </w:rPr>
      </w:pPr>
    </w:p>
    <w:p w:rsidR="00D2142F" w:rsidRDefault="00D2142F" w:rsidP="00D2142F">
      <w:pPr>
        <w:spacing w:after="0" w:line="276" w:lineRule="auto"/>
        <w:jc w:val="left"/>
        <w:rPr>
          <w:rFonts w:ascii="Arial" w:eastAsia="Times New Roman" w:hAnsi="Arial" w:cs="Arial"/>
          <w:sz w:val="24"/>
          <w:szCs w:val="24"/>
        </w:rPr>
      </w:pPr>
    </w:p>
    <w:p w:rsidR="00D2142F" w:rsidRDefault="0051256A" w:rsidP="00D2142F">
      <w:pPr>
        <w:pStyle w:val="ListParagraph"/>
        <w:numPr>
          <w:ilvl w:val="1"/>
          <w:numId w:val="28"/>
        </w:numPr>
        <w:spacing w:after="0" w:line="276" w:lineRule="auto"/>
        <w:jc w:val="left"/>
        <w:rPr>
          <w:rFonts w:ascii="Arial" w:eastAsia="Times New Roman" w:hAnsi="Arial" w:cs="Arial"/>
          <w:sz w:val="24"/>
          <w:szCs w:val="24"/>
        </w:rPr>
      </w:pPr>
      <w:r>
        <w:rPr>
          <w:rFonts w:ascii="Arial" w:eastAsia="Times New Roman" w:hAnsi="Arial" w:cs="Arial"/>
          <w:sz w:val="24"/>
          <w:szCs w:val="24"/>
        </w:rPr>
        <w:t xml:space="preserve">Has CT 1142 been trued up for with the IESO for all of 2017? </w:t>
      </w:r>
    </w:p>
    <w:p w:rsidR="00D2142F" w:rsidRDefault="00D2142F" w:rsidP="00D2142F">
      <w:pPr>
        <w:spacing w:after="0" w:line="276" w:lineRule="auto"/>
        <w:jc w:val="left"/>
        <w:rPr>
          <w:rFonts w:ascii="Arial" w:eastAsia="Times New Roman" w:hAnsi="Arial" w:cs="Arial"/>
          <w:sz w:val="24"/>
          <w:szCs w:val="24"/>
        </w:rPr>
      </w:pPr>
    </w:p>
    <w:p w:rsidR="00481004" w:rsidRPr="00481004" w:rsidRDefault="00481004" w:rsidP="00481004">
      <w:pPr>
        <w:pStyle w:val="ListParagraph"/>
        <w:spacing w:after="0" w:line="276" w:lineRule="auto"/>
        <w:ind w:left="1440" w:hanging="1440"/>
        <w:jc w:val="left"/>
        <w:rPr>
          <w:rFonts w:ascii="Arial" w:eastAsia="Times New Roman" w:hAnsi="Arial" w:cs="Arial"/>
          <w:sz w:val="24"/>
          <w:szCs w:val="24"/>
        </w:rPr>
      </w:pPr>
      <w:r w:rsidRPr="00481004">
        <w:rPr>
          <w:rFonts w:ascii="Arial" w:hAnsi="Arial" w:cs="Arial"/>
          <w:b/>
          <w:bCs/>
          <w:sz w:val="24"/>
          <w:szCs w:val="24"/>
          <w:u w:val="single"/>
        </w:rPr>
        <w:t>Kenora Response:</w:t>
      </w:r>
    </w:p>
    <w:p w:rsidR="00481004" w:rsidRDefault="00481004" w:rsidP="00D2142F">
      <w:pPr>
        <w:spacing w:after="0" w:line="276" w:lineRule="auto"/>
        <w:jc w:val="left"/>
        <w:rPr>
          <w:rFonts w:ascii="Arial" w:eastAsia="Times New Roman" w:hAnsi="Arial" w:cs="Arial"/>
          <w:sz w:val="24"/>
          <w:szCs w:val="24"/>
        </w:rPr>
      </w:pPr>
    </w:p>
    <w:p w:rsidR="00D2142F" w:rsidRDefault="00C4579B" w:rsidP="00D2142F">
      <w:pPr>
        <w:spacing w:after="0" w:line="276" w:lineRule="auto"/>
        <w:jc w:val="left"/>
        <w:rPr>
          <w:rFonts w:ascii="Arial" w:eastAsia="Times New Roman" w:hAnsi="Arial" w:cs="Arial"/>
          <w:sz w:val="24"/>
          <w:szCs w:val="24"/>
        </w:rPr>
      </w:pPr>
      <w:r>
        <w:rPr>
          <w:rFonts w:ascii="Arial" w:eastAsia="Times New Roman" w:hAnsi="Arial" w:cs="Arial"/>
          <w:sz w:val="24"/>
          <w:szCs w:val="24"/>
        </w:rPr>
        <w:t>Yes, CT 1142</w:t>
      </w:r>
      <w:r w:rsidR="00D2142F">
        <w:rPr>
          <w:rFonts w:ascii="Arial" w:eastAsia="Times New Roman" w:hAnsi="Arial" w:cs="Arial"/>
          <w:sz w:val="24"/>
          <w:szCs w:val="24"/>
        </w:rPr>
        <w:t xml:space="preserve"> has been trued up for all of 2017.</w:t>
      </w:r>
    </w:p>
    <w:p w:rsidR="00057257" w:rsidRDefault="00057257" w:rsidP="00D2142F">
      <w:pPr>
        <w:spacing w:after="0" w:line="276" w:lineRule="auto"/>
        <w:jc w:val="left"/>
        <w:rPr>
          <w:rFonts w:ascii="Arial" w:eastAsia="Times New Roman" w:hAnsi="Arial" w:cs="Arial"/>
          <w:sz w:val="24"/>
          <w:szCs w:val="24"/>
        </w:rPr>
      </w:pPr>
    </w:p>
    <w:p w:rsidR="00D2142F" w:rsidRPr="00D2142F" w:rsidRDefault="00D2142F" w:rsidP="00D2142F">
      <w:pPr>
        <w:spacing w:after="0" w:line="276" w:lineRule="auto"/>
        <w:jc w:val="left"/>
        <w:rPr>
          <w:rFonts w:ascii="Arial" w:eastAsia="Times New Roman" w:hAnsi="Arial" w:cs="Arial"/>
          <w:sz w:val="24"/>
          <w:szCs w:val="24"/>
        </w:rPr>
      </w:pPr>
    </w:p>
    <w:p w:rsidR="0051256A" w:rsidRDefault="0051256A" w:rsidP="0051256A">
      <w:pPr>
        <w:pStyle w:val="ListParagraph"/>
        <w:numPr>
          <w:ilvl w:val="1"/>
          <w:numId w:val="28"/>
        </w:numPr>
        <w:spacing w:after="0" w:line="276" w:lineRule="auto"/>
        <w:jc w:val="left"/>
        <w:rPr>
          <w:rFonts w:ascii="Arial" w:eastAsia="Times New Roman" w:hAnsi="Arial" w:cs="Arial"/>
          <w:sz w:val="24"/>
          <w:szCs w:val="24"/>
        </w:rPr>
      </w:pPr>
      <w:r>
        <w:rPr>
          <w:rFonts w:ascii="Arial" w:eastAsia="Times New Roman" w:hAnsi="Arial" w:cs="Arial"/>
          <w:sz w:val="24"/>
          <w:szCs w:val="24"/>
        </w:rPr>
        <w:t>Which months from 2017 were trued up in 2018?</w:t>
      </w:r>
    </w:p>
    <w:p w:rsidR="00D2142F" w:rsidRDefault="00D2142F" w:rsidP="00D2142F">
      <w:pPr>
        <w:pStyle w:val="ListParagraph"/>
        <w:spacing w:after="0" w:line="276" w:lineRule="auto"/>
        <w:jc w:val="left"/>
        <w:rPr>
          <w:rFonts w:ascii="Arial" w:eastAsia="Times New Roman" w:hAnsi="Arial" w:cs="Arial"/>
          <w:sz w:val="24"/>
          <w:szCs w:val="24"/>
        </w:rPr>
      </w:pPr>
    </w:p>
    <w:p w:rsidR="00481004" w:rsidRPr="00481004" w:rsidRDefault="00481004" w:rsidP="00481004">
      <w:pPr>
        <w:pStyle w:val="ListParagraph"/>
        <w:spacing w:after="0" w:line="276" w:lineRule="auto"/>
        <w:ind w:left="1440" w:hanging="1440"/>
        <w:jc w:val="left"/>
        <w:rPr>
          <w:rFonts w:ascii="Arial" w:eastAsia="Times New Roman" w:hAnsi="Arial" w:cs="Arial"/>
          <w:sz w:val="24"/>
          <w:szCs w:val="24"/>
        </w:rPr>
      </w:pPr>
      <w:r w:rsidRPr="00481004">
        <w:rPr>
          <w:rFonts w:ascii="Arial" w:hAnsi="Arial" w:cs="Arial"/>
          <w:b/>
          <w:bCs/>
          <w:sz w:val="24"/>
          <w:szCs w:val="24"/>
          <w:u w:val="single"/>
        </w:rPr>
        <w:t>Kenora Response:</w:t>
      </w:r>
    </w:p>
    <w:p w:rsidR="00481004" w:rsidRDefault="00481004" w:rsidP="00D2142F">
      <w:pPr>
        <w:pStyle w:val="ListParagraph"/>
        <w:spacing w:after="0" w:line="276" w:lineRule="auto"/>
        <w:ind w:left="0"/>
        <w:rPr>
          <w:rFonts w:ascii="Arial" w:eastAsia="Times New Roman" w:hAnsi="Arial" w:cs="Arial"/>
          <w:sz w:val="24"/>
          <w:szCs w:val="24"/>
        </w:rPr>
      </w:pPr>
    </w:p>
    <w:p w:rsidR="00D2142F" w:rsidRDefault="00D2142F" w:rsidP="00D2142F">
      <w:pPr>
        <w:pStyle w:val="ListParagraph"/>
        <w:spacing w:after="0" w:line="276" w:lineRule="auto"/>
        <w:ind w:left="0"/>
        <w:rPr>
          <w:rFonts w:ascii="Arial" w:eastAsia="Times New Roman" w:hAnsi="Arial" w:cs="Arial"/>
          <w:sz w:val="24"/>
          <w:szCs w:val="24"/>
        </w:rPr>
      </w:pPr>
      <w:r>
        <w:rPr>
          <w:rFonts w:ascii="Arial" w:eastAsia="Times New Roman" w:hAnsi="Arial" w:cs="Arial"/>
          <w:sz w:val="24"/>
          <w:szCs w:val="24"/>
        </w:rPr>
        <w:t xml:space="preserve">The final calculations for true ups for the 2017 year end were performed in 2018 as soon as complete billing data from 2017 was available, however, any and all adjustments and postings of 2017 related true ups were made to the 2017 general ledger.  No 2017 true-ups would be posted in 2018. </w:t>
      </w:r>
    </w:p>
    <w:p w:rsidR="00D2142F" w:rsidRPr="001A2777" w:rsidRDefault="00D2142F" w:rsidP="00D2142F">
      <w:pPr>
        <w:pStyle w:val="ListParagraph"/>
        <w:spacing w:after="0" w:line="276" w:lineRule="auto"/>
        <w:jc w:val="left"/>
        <w:rPr>
          <w:rFonts w:ascii="Arial" w:eastAsia="Times New Roman" w:hAnsi="Arial" w:cs="Arial"/>
          <w:sz w:val="24"/>
          <w:szCs w:val="24"/>
        </w:rPr>
      </w:pPr>
    </w:p>
    <w:p w:rsidR="00D2142F" w:rsidRDefault="0051256A" w:rsidP="00D2142F">
      <w:pPr>
        <w:pStyle w:val="ListParagraph"/>
        <w:numPr>
          <w:ilvl w:val="1"/>
          <w:numId w:val="28"/>
        </w:numPr>
        <w:spacing w:after="0" w:line="276" w:lineRule="auto"/>
        <w:jc w:val="left"/>
        <w:rPr>
          <w:rFonts w:ascii="Arial" w:eastAsia="Times New Roman" w:hAnsi="Arial" w:cs="Arial"/>
          <w:sz w:val="24"/>
          <w:szCs w:val="24"/>
        </w:rPr>
      </w:pPr>
      <w:r>
        <w:rPr>
          <w:rFonts w:ascii="Arial" w:eastAsia="Times New Roman" w:hAnsi="Arial" w:cs="Arial"/>
          <w:sz w:val="24"/>
          <w:szCs w:val="24"/>
        </w:rPr>
        <w:t>Have all of the 2017 related true-up been reflected in the applicant’s DVA Continuity Schedule in this proceeding?</w:t>
      </w:r>
    </w:p>
    <w:p w:rsidR="00D2142F" w:rsidRDefault="00D2142F" w:rsidP="00D2142F">
      <w:pPr>
        <w:spacing w:after="0" w:line="276" w:lineRule="auto"/>
        <w:jc w:val="left"/>
        <w:rPr>
          <w:rFonts w:ascii="Arial" w:eastAsia="Times New Roman" w:hAnsi="Arial" w:cs="Arial"/>
          <w:sz w:val="24"/>
          <w:szCs w:val="24"/>
        </w:rPr>
      </w:pPr>
    </w:p>
    <w:p w:rsidR="00481004" w:rsidRPr="00481004" w:rsidRDefault="00481004" w:rsidP="00481004">
      <w:pPr>
        <w:pStyle w:val="ListParagraph"/>
        <w:spacing w:after="0" w:line="276" w:lineRule="auto"/>
        <w:ind w:left="1440" w:hanging="1440"/>
        <w:jc w:val="left"/>
        <w:rPr>
          <w:rFonts w:ascii="Arial" w:eastAsia="Times New Roman" w:hAnsi="Arial" w:cs="Arial"/>
          <w:sz w:val="24"/>
          <w:szCs w:val="24"/>
        </w:rPr>
      </w:pPr>
      <w:r w:rsidRPr="00481004">
        <w:rPr>
          <w:rFonts w:ascii="Arial" w:hAnsi="Arial" w:cs="Arial"/>
          <w:b/>
          <w:bCs/>
          <w:sz w:val="24"/>
          <w:szCs w:val="24"/>
          <w:u w:val="single"/>
        </w:rPr>
        <w:t>Kenora Response:</w:t>
      </w:r>
    </w:p>
    <w:p w:rsidR="00481004" w:rsidRDefault="00481004" w:rsidP="00D2142F">
      <w:pPr>
        <w:spacing w:after="0" w:line="276" w:lineRule="auto"/>
        <w:jc w:val="left"/>
        <w:rPr>
          <w:rFonts w:ascii="Arial" w:eastAsia="Times New Roman" w:hAnsi="Arial" w:cs="Arial"/>
          <w:sz w:val="24"/>
          <w:szCs w:val="24"/>
        </w:rPr>
      </w:pPr>
    </w:p>
    <w:p w:rsidR="00D2142F" w:rsidRDefault="00D2142F" w:rsidP="00D2142F">
      <w:pPr>
        <w:spacing w:after="0" w:line="276" w:lineRule="auto"/>
        <w:jc w:val="left"/>
        <w:rPr>
          <w:rFonts w:ascii="Arial" w:eastAsia="Times New Roman" w:hAnsi="Arial" w:cs="Arial"/>
          <w:sz w:val="24"/>
          <w:szCs w:val="24"/>
        </w:rPr>
      </w:pPr>
      <w:r>
        <w:rPr>
          <w:rFonts w:ascii="Arial" w:eastAsia="Times New Roman" w:hAnsi="Arial" w:cs="Arial"/>
          <w:sz w:val="24"/>
          <w:szCs w:val="24"/>
        </w:rPr>
        <w:t>Yes, all the 2017 related true-ups are reflected in the Continuity Schedule in this proceeding.</w:t>
      </w:r>
    </w:p>
    <w:p w:rsidR="00D2142F" w:rsidRPr="00D2142F" w:rsidRDefault="00D2142F" w:rsidP="00D2142F">
      <w:pPr>
        <w:spacing w:after="0" w:line="276" w:lineRule="auto"/>
        <w:jc w:val="left"/>
        <w:rPr>
          <w:rFonts w:ascii="Arial" w:eastAsia="Times New Roman" w:hAnsi="Arial" w:cs="Arial"/>
          <w:sz w:val="24"/>
          <w:szCs w:val="24"/>
        </w:rPr>
      </w:pPr>
    </w:p>
    <w:p w:rsidR="0051256A" w:rsidRDefault="0051256A" w:rsidP="0051256A">
      <w:pPr>
        <w:pStyle w:val="ListParagraph"/>
        <w:numPr>
          <w:ilvl w:val="1"/>
          <w:numId w:val="28"/>
        </w:numPr>
        <w:spacing w:after="0" w:line="276" w:lineRule="auto"/>
        <w:jc w:val="left"/>
        <w:rPr>
          <w:rFonts w:ascii="Arial" w:eastAsia="Times New Roman" w:hAnsi="Arial" w:cs="Arial"/>
          <w:sz w:val="24"/>
          <w:szCs w:val="24"/>
        </w:rPr>
      </w:pPr>
      <w:r>
        <w:rPr>
          <w:rFonts w:ascii="Arial" w:eastAsia="Times New Roman" w:hAnsi="Arial" w:cs="Arial"/>
          <w:sz w:val="24"/>
          <w:szCs w:val="24"/>
        </w:rPr>
        <w:t>Please quantify the amount reflected in the DVA Continuity Schedule, and the column where it is included.</w:t>
      </w:r>
    </w:p>
    <w:p w:rsidR="00664ADD" w:rsidRDefault="00664ADD" w:rsidP="00664ADD">
      <w:pPr>
        <w:spacing w:after="0" w:line="276" w:lineRule="auto"/>
        <w:jc w:val="left"/>
        <w:rPr>
          <w:rFonts w:ascii="Arial" w:eastAsia="Times New Roman" w:hAnsi="Arial" w:cs="Arial"/>
          <w:sz w:val="24"/>
          <w:szCs w:val="24"/>
        </w:rPr>
      </w:pPr>
    </w:p>
    <w:p w:rsidR="00481004" w:rsidRPr="00481004" w:rsidRDefault="00481004" w:rsidP="00481004">
      <w:pPr>
        <w:pStyle w:val="ListParagraph"/>
        <w:spacing w:after="0" w:line="276" w:lineRule="auto"/>
        <w:ind w:left="1440" w:hanging="1440"/>
        <w:jc w:val="left"/>
        <w:rPr>
          <w:rFonts w:ascii="Arial" w:eastAsia="Times New Roman" w:hAnsi="Arial" w:cs="Arial"/>
          <w:sz w:val="24"/>
          <w:szCs w:val="24"/>
        </w:rPr>
      </w:pPr>
      <w:r w:rsidRPr="00481004">
        <w:rPr>
          <w:rFonts w:ascii="Arial" w:hAnsi="Arial" w:cs="Arial"/>
          <w:b/>
          <w:bCs/>
          <w:sz w:val="24"/>
          <w:szCs w:val="24"/>
          <w:u w:val="single"/>
        </w:rPr>
        <w:t>Kenora Response:</w:t>
      </w:r>
    </w:p>
    <w:p w:rsidR="00D2142F" w:rsidRDefault="00D2142F" w:rsidP="00D2142F">
      <w:pPr>
        <w:spacing w:after="0" w:line="276" w:lineRule="auto"/>
        <w:jc w:val="left"/>
        <w:rPr>
          <w:rFonts w:ascii="Arial" w:eastAsia="Times New Roman" w:hAnsi="Arial" w:cs="Arial"/>
          <w:sz w:val="24"/>
          <w:szCs w:val="24"/>
        </w:rPr>
      </w:pPr>
    </w:p>
    <w:p w:rsidR="00D2142F" w:rsidRDefault="00057257" w:rsidP="00D2142F">
      <w:pPr>
        <w:spacing w:after="0" w:line="276" w:lineRule="auto"/>
        <w:jc w:val="left"/>
        <w:rPr>
          <w:rFonts w:ascii="Arial" w:eastAsia="Times New Roman" w:hAnsi="Arial" w:cs="Arial"/>
          <w:sz w:val="24"/>
          <w:szCs w:val="24"/>
        </w:rPr>
      </w:pPr>
      <w:r>
        <w:rPr>
          <w:rFonts w:ascii="Arial" w:eastAsia="Times New Roman" w:hAnsi="Arial" w:cs="Arial"/>
          <w:sz w:val="24"/>
          <w:szCs w:val="24"/>
        </w:rPr>
        <w:t xml:space="preserve">The 2017 </w:t>
      </w:r>
      <w:r w:rsidR="003E3A13">
        <w:rPr>
          <w:rFonts w:ascii="Arial" w:eastAsia="Times New Roman" w:hAnsi="Arial" w:cs="Arial"/>
          <w:sz w:val="24"/>
          <w:szCs w:val="24"/>
        </w:rPr>
        <w:t>True-up</w:t>
      </w:r>
      <w:r w:rsidR="007A6A64">
        <w:rPr>
          <w:rFonts w:ascii="Arial" w:eastAsia="Times New Roman" w:hAnsi="Arial" w:cs="Arial"/>
          <w:sz w:val="24"/>
          <w:szCs w:val="24"/>
        </w:rPr>
        <w:t>s at year end were</w:t>
      </w:r>
      <w:r>
        <w:rPr>
          <w:rFonts w:ascii="Arial" w:eastAsia="Times New Roman" w:hAnsi="Arial" w:cs="Arial"/>
          <w:sz w:val="24"/>
          <w:szCs w:val="24"/>
        </w:rPr>
        <w:t>:</w:t>
      </w:r>
    </w:p>
    <w:p w:rsidR="00057257" w:rsidRDefault="00057257" w:rsidP="00D2142F">
      <w:pPr>
        <w:spacing w:after="0" w:line="276" w:lineRule="auto"/>
        <w:jc w:val="left"/>
        <w:rPr>
          <w:rFonts w:ascii="Arial" w:eastAsia="Times New Roman" w:hAnsi="Arial" w:cs="Arial"/>
          <w:sz w:val="24"/>
          <w:szCs w:val="24"/>
        </w:rPr>
      </w:pPr>
    </w:p>
    <w:p w:rsidR="009F310C" w:rsidRDefault="00057257" w:rsidP="00D2142F">
      <w:pPr>
        <w:spacing w:after="0" w:line="276" w:lineRule="auto"/>
        <w:jc w:val="left"/>
        <w:rPr>
          <w:rFonts w:ascii="Arial" w:eastAsia="Times New Roman" w:hAnsi="Arial" w:cs="Arial"/>
          <w:sz w:val="24"/>
          <w:szCs w:val="24"/>
        </w:rPr>
      </w:pPr>
      <w:r>
        <w:rPr>
          <w:rFonts w:ascii="Arial" w:eastAsia="Times New Roman" w:hAnsi="Arial" w:cs="Arial"/>
          <w:sz w:val="24"/>
          <w:szCs w:val="24"/>
        </w:rPr>
        <w:tab/>
      </w:r>
      <w:r w:rsidR="009F310C">
        <w:rPr>
          <w:rFonts w:ascii="Arial" w:eastAsia="Times New Roman" w:hAnsi="Arial" w:cs="Arial"/>
          <w:sz w:val="24"/>
          <w:szCs w:val="24"/>
        </w:rPr>
        <w:t xml:space="preserve">1588 : </w:t>
      </w:r>
      <w:r w:rsidR="00C00B31">
        <w:rPr>
          <w:rFonts w:ascii="Arial" w:eastAsia="Times New Roman" w:hAnsi="Arial" w:cs="Arial"/>
          <w:sz w:val="24"/>
          <w:szCs w:val="24"/>
        </w:rPr>
        <w:t>$95,710 in Column BD, Transactions Debit/(Credit) during 2017.</w:t>
      </w:r>
    </w:p>
    <w:p w:rsidR="009C0371" w:rsidRDefault="009F310C" w:rsidP="00D2142F">
      <w:pPr>
        <w:spacing w:after="0" w:line="276" w:lineRule="auto"/>
        <w:jc w:val="left"/>
        <w:rPr>
          <w:rFonts w:ascii="Arial" w:eastAsia="Times New Roman" w:hAnsi="Arial" w:cs="Arial"/>
          <w:sz w:val="24"/>
          <w:szCs w:val="24"/>
        </w:rPr>
      </w:pPr>
      <w:r>
        <w:rPr>
          <w:rFonts w:ascii="Arial" w:eastAsia="Times New Roman" w:hAnsi="Arial" w:cs="Arial"/>
          <w:sz w:val="24"/>
          <w:szCs w:val="24"/>
        </w:rPr>
        <w:tab/>
      </w:r>
      <w:r w:rsidR="009C0371">
        <w:rPr>
          <w:rFonts w:ascii="Arial" w:eastAsia="Times New Roman" w:hAnsi="Arial" w:cs="Arial"/>
          <w:sz w:val="24"/>
          <w:szCs w:val="24"/>
        </w:rPr>
        <w:t>1589</w:t>
      </w:r>
      <w:r>
        <w:rPr>
          <w:rFonts w:ascii="Arial" w:eastAsia="Times New Roman" w:hAnsi="Arial" w:cs="Arial"/>
          <w:sz w:val="24"/>
          <w:szCs w:val="24"/>
        </w:rPr>
        <w:t xml:space="preserve"> </w:t>
      </w:r>
      <w:r w:rsidR="009C0371">
        <w:rPr>
          <w:rFonts w:ascii="Arial" w:eastAsia="Times New Roman" w:hAnsi="Arial" w:cs="Arial"/>
          <w:sz w:val="24"/>
          <w:szCs w:val="24"/>
        </w:rPr>
        <w:t>:  $</w:t>
      </w:r>
      <w:r w:rsidR="002B3F44">
        <w:rPr>
          <w:rFonts w:ascii="Arial" w:eastAsia="Times New Roman" w:hAnsi="Arial" w:cs="Arial"/>
          <w:sz w:val="24"/>
          <w:szCs w:val="24"/>
        </w:rPr>
        <w:t>(304,795) in Column BD, Transactions Debit/(Credit) during 2017.</w:t>
      </w:r>
    </w:p>
    <w:p w:rsidR="00F40553" w:rsidRDefault="00F40553" w:rsidP="00D2142F">
      <w:pPr>
        <w:spacing w:after="0" w:line="276" w:lineRule="auto"/>
        <w:jc w:val="left"/>
        <w:rPr>
          <w:rFonts w:ascii="Arial" w:eastAsia="Times New Roman" w:hAnsi="Arial" w:cs="Arial"/>
          <w:sz w:val="24"/>
          <w:szCs w:val="24"/>
        </w:rPr>
      </w:pPr>
    </w:p>
    <w:p w:rsidR="0051256A" w:rsidRDefault="0051256A" w:rsidP="0051256A">
      <w:pPr>
        <w:spacing w:after="0" w:line="276" w:lineRule="auto"/>
        <w:rPr>
          <w:rFonts w:ascii="Arial" w:eastAsia="Times New Roman" w:hAnsi="Arial" w:cs="Arial"/>
          <w:sz w:val="24"/>
          <w:szCs w:val="24"/>
        </w:rPr>
      </w:pPr>
    </w:p>
    <w:p w:rsidR="0051256A" w:rsidRPr="00BE05F6" w:rsidRDefault="0051256A" w:rsidP="0051256A">
      <w:pPr>
        <w:pStyle w:val="ListParagraph"/>
        <w:numPr>
          <w:ilvl w:val="0"/>
          <w:numId w:val="28"/>
        </w:numPr>
        <w:spacing w:after="0" w:line="276" w:lineRule="auto"/>
        <w:jc w:val="left"/>
        <w:rPr>
          <w:rFonts w:ascii="Arial" w:eastAsia="Times New Roman" w:hAnsi="Arial" w:cs="Arial"/>
          <w:sz w:val="24"/>
          <w:szCs w:val="24"/>
        </w:rPr>
      </w:pPr>
      <w:r w:rsidRPr="00BE05F6">
        <w:rPr>
          <w:rFonts w:ascii="Arial" w:eastAsia="Times New Roman" w:hAnsi="Arial" w:cs="Arial"/>
          <w:sz w:val="24"/>
          <w:szCs w:val="24"/>
          <w:u w:val="single"/>
        </w:rPr>
        <w:t>Questions on CT 148</w:t>
      </w:r>
    </w:p>
    <w:p w:rsidR="0051256A" w:rsidRDefault="0051256A" w:rsidP="0051256A">
      <w:pPr>
        <w:pStyle w:val="ListParagraph"/>
        <w:numPr>
          <w:ilvl w:val="0"/>
          <w:numId w:val="31"/>
        </w:numPr>
        <w:spacing w:after="0" w:line="276" w:lineRule="auto"/>
        <w:jc w:val="left"/>
        <w:rPr>
          <w:rFonts w:ascii="Arial" w:eastAsia="Times New Roman" w:hAnsi="Arial" w:cs="Arial"/>
          <w:sz w:val="24"/>
          <w:szCs w:val="24"/>
        </w:rPr>
      </w:pPr>
      <w:r w:rsidRPr="005A539A">
        <w:rPr>
          <w:rFonts w:ascii="Arial" w:eastAsia="Times New Roman" w:hAnsi="Arial" w:cs="Arial"/>
          <w:sz w:val="24"/>
          <w:szCs w:val="24"/>
        </w:rPr>
        <w:t>Please describe the process for the initial recording of CT 148 in the accounts (i.e. 1588 and 1589).</w:t>
      </w:r>
    </w:p>
    <w:p w:rsidR="00CF390D" w:rsidRDefault="00CF390D" w:rsidP="00CF390D">
      <w:pPr>
        <w:spacing w:after="0" w:line="276" w:lineRule="auto"/>
        <w:jc w:val="left"/>
        <w:rPr>
          <w:rFonts w:ascii="Arial" w:eastAsia="Times New Roman" w:hAnsi="Arial" w:cs="Arial"/>
          <w:sz w:val="24"/>
          <w:szCs w:val="24"/>
        </w:rPr>
      </w:pPr>
    </w:p>
    <w:p w:rsidR="00481004" w:rsidRPr="00481004" w:rsidRDefault="00481004" w:rsidP="00481004">
      <w:pPr>
        <w:pStyle w:val="ListParagraph"/>
        <w:spacing w:after="0" w:line="276" w:lineRule="auto"/>
        <w:ind w:left="1440" w:hanging="1440"/>
        <w:jc w:val="left"/>
        <w:rPr>
          <w:rFonts w:ascii="Arial" w:eastAsia="Times New Roman" w:hAnsi="Arial" w:cs="Arial"/>
          <w:sz w:val="24"/>
          <w:szCs w:val="24"/>
        </w:rPr>
      </w:pPr>
      <w:r w:rsidRPr="00481004">
        <w:rPr>
          <w:rFonts w:ascii="Arial" w:hAnsi="Arial" w:cs="Arial"/>
          <w:b/>
          <w:bCs/>
          <w:sz w:val="24"/>
          <w:szCs w:val="24"/>
          <w:u w:val="single"/>
        </w:rPr>
        <w:t>Kenora Response:</w:t>
      </w:r>
    </w:p>
    <w:p w:rsidR="00481004" w:rsidRDefault="00481004" w:rsidP="00CF390D">
      <w:pPr>
        <w:spacing w:after="0" w:line="276" w:lineRule="auto"/>
        <w:jc w:val="left"/>
        <w:rPr>
          <w:rFonts w:ascii="Arial" w:eastAsia="Times New Roman" w:hAnsi="Arial" w:cs="Arial"/>
          <w:sz w:val="24"/>
          <w:szCs w:val="24"/>
        </w:rPr>
      </w:pPr>
    </w:p>
    <w:p w:rsidR="00481004" w:rsidRDefault="00481004" w:rsidP="00CF390D">
      <w:pPr>
        <w:spacing w:after="0" w:line="276" w:lineRule="auto"/>
        <w:jc w:val="left"/>
        <w:rPr>
          <w:rFonts w:ascii="Arial" w:eastAsia="Times New Roman" w:hAnsi="Arial" w:cs="Arial"/>
          <w:sz w:val="24"/>
          <w:szCs w:val="24"/>
        </w:rPr>
      </w:pPr>
    </w:p>
    <w:p w:rsidR="00CF390D" w:rsidRDefault="00CF390D" w:rsidP="002B6DDF">
      <w:pPr>
        <w:spacing w:after="0" w:line="276" w:lineRule="auto"/>
        <w:rPr>
          <w:rFonts w:ascii="Arial" w:eastAsia="Times New Roman" w:hAnsi="Arial" w:cs="Arial"/>
          <w:sz w:val="24"/>
          <w:szCs w:val="24"/>
        </w:rPr>
      </w:pPr>
      <w:r>
        <w:rPr>
          <w:rFonts w:ascii="Arial" w:eastAsia="Times New Roman" w:hAnsi="Arial" w:cs="Arial"/>
          <w:sz w:val="24"/>
          <w:szCs w:val="24"/>
        </w:rPr>
        <w:t>CT 148 is recorded as follows:</w:t>
      </w:r>
    </w:p>
    <w:p w:rsidR="00CF390D" w:rsidRDefault="00CF390D" w:rsidP="002B6DDF">
      <w:pPr>
        <w:spacing w:after="0" w:line="276" w:lineRule="auto"/>
        <w:rPr>
          <w:rFonts w:ascii="Arial" w:eastAsia="Times New Roman" w:hAnsi="Arial" w:cs="Arial"/>
          <w:sz w:val="24"/>
          <w:szCs w:val="24"/>
        </w:rPr>
      </w:pPr>
    </w:p>
    <w:p w:rsidR="009E5C3D" w:rsidRDefault="009E5C3D" w:rsidP="002B6DDF">
      <w:pPr>
        <w:spacing w:after="0" w:line="276" w:lineRule="auto"/>
        <w:rPr>
          <w:rFonts w:ascii="Arial" w:eastAsia="Times New Roman" w:hAnsi="Arial" w:cs="Arial"/>
          <w:sz w:val="24"/>
          <w:szCs w:val="24"/>
        </w:rPr>
      </w:pPr>
      <w:r>
        <w:rPr>
          <w:rFonts w:ascii="Arial" w:eastAsia="Times New Roman" w:hAnsi="Arial" w:cs="Arial"/>
          <w:sz w:val="24"/>
          <w:szCs w:val="24"/>
        </w:rPr>
        <w:t xml:space="preserve">The entire amount from line 148 is posted as a debit to Account 4706 ( = 1589).   </w:t>
      </w:r>
      <w:r w:rsidR="00CF390D">
        <w:rPr>
          <w:rFonts w:ascii="Arial" w:eastAsia="Times New Roman" w:hAnsi="Arial" w:cs="Arial"/>
          <w:sz w:val="24"/>
          <w:szCs w:val="24"/>
        </w:rPr>
        <w:t xml:space="preserve">The </w:t>
      </w:r>
      <w:r w:rsidR="00A814F2">
        <w:rPr>
          <w:rFonts w:ascii="Arial" w:eastAsia="Times New Roman" w:hAnsi="Arial" w:cs="Arial"/>
          <w:sz w:val="24"/>
          <w:szCs w:val="24"/>
        </w:rPr>
        <w:t xml:space="preserve">credit </w:t>
      </w:r>
      <w:r w:rsidR="00CF390D">
        <w:rPr>
          <w:rFonts w:ascii="Arial" w:eastAsia="Times New Roman" w:hAnsi="Arial" w:cs="Arial"/>
          <w:sz w:val="24"/>
          <w:szCs w:val="24"/>
        </w:rPr>
        <w:t>claimed for the GA on RPP customers</w:t>
      </w:r>
      <w:r w:rsidR="00A814F2">
        <w:rPr>
          <w:rFonts w:ascii="Arial" w:eastAsia="Times New Roman" w:hAnsi="Arial" w:cs="Arial"/>
          <w:sz w:val="24"/>
          <w:szCs w:val="24"/>
        </w:rPr>
        <w:t xml:space="preserve"> is </w:t>
      </w:r>
      <w:r>
        <w:rPr>
          <w:rFonts w:ascii="Arial" w:eastAsia="Times New Roman" w:hAnsi="Arial" w:cs="Arial"/>
          <w:sz w:val="24"/>
          <w:szCs w:val="24"/>
        </w:rPr>
        <w:t>then credited from Account 4706</w:t>
      </w:r>
      <w:r w:rsidR="00A814F2">
        <w:rPr>
          <w:rFonts w:ascii="Arial" w:eastAsia="Times New Roman" w:hAnsi="Arial" w:cs="Arial"/>
          <w:sz w:val="24"/>
          <w:szCs w:val="24"/>
        </w:rPr>
        <w:t xml:space="preserve">. </w:t>
      </w:r>
      <w:r>
        <w:rPr>
          <w:rFonts w:ascii="Arial" w:eastAsia="Times New Roman" w:hAnsi="Arial" w:cs="Arial"/>
          <w:sz w:val="24"/>
          <w:szCs w:val="24"/>
        </w:rPr>
        <w:t xml:space="preserve"> This leaves only the GA on Non-RPP in Account 4706.  </w:t>
      </w:r>
      <w:r w:rsidR="00A814F2">
        <w:rPr>
          <w:rFonts w:ascii="Arial" w:eastAsia="Times New Roman" w:hAnsi="Arial" w:cs="Arial"/>
          <w:sz w:val="24"/>
          <w:szCs w:val="24"/>
        </w:rPr>
        <w:t xml:space="preserve"> </w:t>
      </w:r>
    </w:p>
    <w:p w:rsidR="009E5C3D" w:rsidRDefault="009E5C3D" w:rsidP="002B6DDF">
      <w:pPr>
        <w:spacing w:after="0" w:line="276" w:lineRule="auto"/>
        <w:rPr>
          <w:rFonts w:ascii="Arial" w:eastAsia="Times New Roman" w:hAnsi="Arial" w:cs="Arial"/>
          <w:sz w:val="24"/>
          <w:szCs w:val="24"/>
        </w:rPr>
      </w:pPr>
    </w:p>
    <w:p w:rsidR="00CF390D" w:rsidRDefault="00A814F2" w:rsidP="002B6DDF">
      <w:pPr>
        <w:spacing w:after="0" w:line="276" w:lineRule="auto"/>
        <w:rPr>
          <w:rFonts w:ascii="Arial" w:eastAsia="Times New Roman" w:hAnsi="Arial" w:cs="Arial"/>
          <w:sz w:val="24"/>
          <w:szCs w:val="24"/>
        </w:rPr>
      </w:pPr>
      <w:r>
        <w:rPr>
          <w:rFonts w:ascii="Arial" w:eastAsia="Times New Roman" w:hAnsi="Arial" w:cs="Arial"/>
          <w:sz w:val="24"/>
          <w:szCs w:val="24"/>
        </w:rPr>
        <w:t xml:space="preserve">The debit </w:t>
      </w:r>
      <w:r w:rsidR="009E5C3D">
        <w:rPr>
          <w:rFonts w:ascii="Arial" w:eastAsia="Times New Roman" w:hAnsi="Arial" w:cs="Arial"/>
          <w:sz w:val="24"/>
          <w:szCs w:val="24"/>
        </w:rPr>
        <w:t xml:space="preserve">amount from the monthly </w:t>
      </w:r>
      <w:r>
        <w:rPr>
          <w:rFonts w:ascii="Arial" w:eastAsia="Times New Roman" w:hAnsi="Arial" w:cs="Arial"/>
          <w:sz w:val="24"/>
          <w:szCs w:val="24"/>
        </w:rPr>
        <w:t xml:space="preserve">claim for the RPP customers </w:t>
      </w:r>
      <w:r w:rsidR="009E5C3D">
        <w:rPr>
          <w:rFonts w:ascii="Arial" w:eastAsia="Times New Roman" w:hAnsi="Arial" w:cs="Arial"/>
          <w:sz w:val="24"/>
          <w:szCs w:val="24"/>
        </w:rPr>
        <w:t xml:space="preserve">kWh </w:t>
      </w:r>
      <w:r>
        <w:rPr>
          <w:rFonts w:ascii="Arial" w:eastAsia="Times New Roman" w:hAnsi="Arial" w:cs="Arial"/>
          <w:sz w:val="24"/>
          <w:szCs w:val="24"/>
        </w:rPr>
        <w:t>is posted to Account 4705 ( = 1588)</w:t>
      </w:r>
      <w:r w:rsidR="009E5C3D">
        <w:rPr>
          <w:rFonts w:ascii="Arial" w:eastAsia="Times New Roman" w:hAnsi="Arial" w:cs="Arial"/>
          <w:sz w:val="24"/>
          <w:szCs w:val="24"/>
        </w:rPr>
        <w:t>.  This increases the power expense for the RPP.</w:t>
      </w:r>
    </w:p>
    <w:p w:rsidR="00CF390D" w:rsidRDefault="00CF390D" w:rsidP="00CF390D">
      <w:pPr>
        <w:spacing w:after="0" w:line="276" w:lineRule="auto"/>
        <w:jc w:val="left"/>
        <w:rPr>
          <w:rFonts w:ascii="Arial" w:eastAsia="Times New Roman" w:hAnsi="Arial" w:cs="Arial"/>
          <w:sz w:val="24"/>
          <w:szCs w:val="24"/>
        </w:rPr>
      </w:pPr>
    </w:p>
    <w:p w:rsidR="00CF390D" w:rsidRPr="00CF390D" w:rsidRDefault="00CF390D" w:rsidP="00CF390D">
      <w:pPr>
        <w:spacing w:after="0" w:line="276" w:lineRule="auto"/>
        <w:jc w:val="left"/>
        <w:rPr>
          <w:rFonts w:ascii="Arial" w:eastAsia="Times New Roman" w:hAnsi="Arial" w:cs="Arial"/>
          <w:sz w:val="24"/>
          <w:szCs w:val="24"/>
        </w:rPr>
      </w:pPr>
    </w:p>
    <w:p w:rsidR="00481004" w:rsidRDefault="0051256A" w:rsidP="00481004">
      <w:pPr>
        <w:pStyle w:val="ListParagraph"/>
        <w:numPr>
          <w:ilvl w:val="0"/>
          <w:numId w:val="31"/>
        </w:numPr>
        <w:spacing w:after="0" w:line="276" w:lineRule="auto"/>
        <w:jc w:val="left"/>
        <w:rPr>
          <w:rFonts w:ascii="Arial" w:eastAsia="Times New Roman" w:hAnsi="Arial" w:cs="Arial"/>
          <w:sz w:val="24"/>
          <w:szCs w:val="24"/>
        </w:rPr>
      </w:pPr>
      <w:r w:rsidRPr="005A539A">
        <w:rPr>
          <w:rFonts w:ascii="Arial" w:eastAsia="Times New Roman" w:hAnsi="Arial" w:cs="Arial"/>
          <w:sz w:val="24"/>
          <w:szCs w:val="24"/>
        </w:rPr>
        <w:t xml:space="preserve">Please describe the process for true up of the GA related cost to ensure that the amounts reflected in Account 1588 are related to RPP GA costs and amounts in 1589 are related to only non-RPP GA costs. </w:t>
      </w:r>
    </w:p>
    <w:p w:rsidR="00481004" w:rsidRDefault="00481004" w:rsidP="00481004">
      <w:pPr>
        <w:pStyle w:val="ListParagraph"/>
        <w:spacing w:after="0" w:line="276" w:lineRule="auto"/>
        <w:ind w:left="1440"/>
        <w:jc w:val="left"/>
        <w:rPr>
          <w:rFonts w:ascii="Arial" w:eastAsia="Times New Roman" w:hAnsi="Arial" w:cs="Arial"/>
          <w:sz w:val="24"/>
          <w:szCs w:val="24"/>
        </w:rPr>
      </w:pPr>
    </w:p>
    <w:p w:rsidR="00481004" w:rsidRPr="00481004" w:rsidRDefault="00481004" w:rsidP="00481004">
      <w:pPr>
        <w:pStyle w:val="ListParagraph"/>
        <w:spacing w:after="0" w:line="276" w:lineRule="auto"/>
        <w:ind w:left="1440" w:hanging="1440"/>
        <w:jc w:val="left"/>
        <w:rPr>
          <w:rFonts w:ascii="Arial" w:eastAsia="Times New Roman" w:hAnsi="Arial" w:cs="Arial"/>
          <w:sz w:val="24"/>
          <w:szCs w:val="24"/>
        </w:rPr>
      </w:pPr>
      <w:r w:rsidRPr="00481004">
        <w:rPr>
          <w:rFonts w:ascii="Arial" w:hAnsi="Arial" w:cs="Arial"/>
          <w:b/>
          <w:bCs/>
          <w:sz w:val="24"/>
          <w:szCs w:val="24"/>
          <w:u w:val="single"/>
        </w:rPr>
        <w:t>Kenora Response:</w:t>
      </w:r>
    </w:p>
    <w:p w:rsidR="00F5142C" w:rsidRDefault="00F5142C" w:rsidP="00F5142C">
      <w:pPr>
        <w:spacing w:after="0" w:line="276" w:lineRule="auto"/>
        <w:jc w:val="left"/>
        <w:rPr>
          <w:rFonts w:ascii="Arial" w:eastAsia="Times New Roman" w:hAnsi="Arial" w:cs="Arial"/>
          <w:sz w:val="24"/>
          <w:szCs w:val="24"/>
        </w:rPr>
      </w:pPr>
    </w:p>
    <w:p w:rsidR="00F5142C" w:rsidRPr="00797983" w:rsidRDefault="00F5142C" w:rsidP="00F5142C">
      <w:pPr>
        <w:spacing w:line="276" w:lineRule="auto"/>
        <w:jc w:val="left"/>
        <w:rPr>
          <w:rFonts w:ascii="Arial" w:hAnsi="Arial" w:cs="Arial"/>
          <w:b/>
          <w:sz w:val="24"/>
          <w:szCs w:val="24"/>
        </w:rPr>
      </w:pPr>
      <w:r w:rsidRPr="00797983">
        <w:rPr>
          <w:rFonts w:ascii="Arial" w:hAnsi="Arial" w:cs="Arial"/>
          <w:b/>
          <w:sz w:val="24"/>
          <w:szCs w:val="24"/>
        </w:rPr>
        <w:t>Annual True-Up</w:t>
      </w:r>
    </w:p>
    <w:p w:rsidR="00F5142C" w:rsidRPr="00797983" w:rsidRDefault="00F5142C" w:rsidP="002B6DDF">
      <w:pPr>
        <w:spacing w:line="276" w:lineRule="auto"/>
        <w:rPr>
          <w:rFonts w:ascii="Arial" w:hAnsi="Arial" w:cs="Arial"/>
          <w:sz w:val="24"/>
          <w:szCs w:val="24"/>
        </w:rPr>
      </w:pPr>
      <w:r w:rsidRPr="00797983">
        <w:rPr>
          <w:rFonts w:ascii="Arial" w:hAnsi="Arial" w:cs="Arial"/>
          <w:sz w:val="24"/>
          <w:szCs w:val="24"/>
        </w:rPr>
        <w:t xml:space="preserve">Total actual RPP volume for the year is derived using the following process:   </w:t>
      </w:r>
    </w:p>
    <w:p w:rsidR="00F5142C" w:rsidRPr="00797983" w:rsidRDefault="00F5142C" w:rsidP="00F5142C">
      <w:pPr>
        <w:pStyle w:val="ListParagraph"/>
        <w:numPr>
          <w:ilvl w:val="0"/>
          <w:numId w:val="26"/>
        </w:numPr>
        <w:spacing w:line="276" w:lineRule="auto"/>
        <w:jc w:val="left"/>
        <w:rPr>
          <w:rFonts w:ascii="Arial" w:hAnsi="Arial" w:cs="Arial"/>
          <w:sz w:val="24"/>
          <w:szCs w:val="24"/>
        </w:rPr>
      </w:pPr>
      <w:r w:rsidRPr="00797983">
        <w:rPr>
          <w:rFonts w:ascii="Arial" w:hAnsi="Arial" w:cs="Arial"/>
          <w:sz w:val="24"/>
          <w:szCs w:val="24"/>
        </w:rPr>
        <w:lastRenderedPageBreak/>
        <w:t>Actual monthly kWh purchased from the IESO, adding back embedded generation from each month, to determine total kWh sold to Kenora Hydro each month</w:t>
      </w:r>
      <w:r w:rsidR="00EC52A3">
        <w:rPr>
          <w:rFonts w:ascii="Arial" w:hAnsi="Arial" w:cs="Arial"/>
          <w:sz w:val="24"/>
          <w:szCs w:val="24"/>
        </w:rPr>
        <w:t>.</w:t>
      </w:r>
    </w:p>
    <w:p w:rsidR="00F5142C" w:rsidRPr="00797983" w:rsidRDefault="00F5142C" w:rsidP="00F5142C">
      <w:pPr>
        <w:pStyle w:val="ListParagraph"/>
        <w:numPr>
          <w:ilvl w:val="0"/>
          <w:numId w:val="26"/>
        </w:numPr>
        <w:spacing w:line="276" w:lineRule="auto"/>
        <w:jc w:val="left"/>
        <w:rPr>
          <w:rFonts w:ascii="Arial" w:hAnsi="Arial" w:cs="Arial"/>
          <w:sz w:val="24"/>
          <w:szCs w:val="24"/>
        </w:rPr>
      </w:pPr>
      <w:r w:rsidRPr="00797983">
        <w:rPr>
          <w:rFonts w:ascii="Arial" w:hAnsi="Arial" w:cs="Arial"/>
          <w:sz w:val="24"/>
          <w:szCs w:val="24"/>
        </w:rPr>
        <w:t>A billing system query is run to determine the Non-RPP volume supplied to our customers each month</w:t>
      </w:r>
      <w:r w:rsidR="00EC52A3">
        <w:rPr>
          <w:rFonts w:ascii="Arial" w:hAnsi="Arial" w:cs="Arial"/>
          <w:sz w:val="24"/>
          <w:szCs w:val="24"/>
        </w:rPr>
        <w:t>.</w:t>
      </w:r>
      <w:r w:rsidR="002B5CB2">
        <w:rPr>
          <w:rFonts w:ascii="Arial" w:hAnsi="Arial" w:cs="Arial"/>
          <w:sz w:val="24"/>
          <w:szCs w:val="24"/>
        </w:rPr>
        <w:t xml:space="preserve">  This report produces the unbilled adjusted kWh consumed each month by our Non-RPP customers.</w:t>
      </w:r>
    </w:p>
    <w:p w:rsidR="00F5142C" w:rsidRPr="00797983" w:rsidRDefault="00F5142C" w:rsidP="00F5142C">
      <w:pPr>
        <w:pStyle w:val="ListParagraph"/>
        <w:numPr>
          <w:ilvl w:val="0"/>
          <w:numId w:val="26"/>
        </w:numPr>
        <w:spacing w:line="276" w:lineRule="auto"/>
        <w:jc w:val="left"/>
        <w:rPr>
          <w:rFonts w:ascii="Arial" w:hAnsi="Arial" w:cs="Arial"/>
          <w:sz w:val="24"/>
          <w:szCs w:val="24"/>
        </w:rPr>
      </w:pPr>
      <w:r w:rsidRPr="00797983">
        <w:rPr>
          <w:rFonts w:ascii="Arial" w:hAnsi="Arial" w:cs="Arial"/>
          <w:sz w:val="24"/>
          <w:szCs w:val="24"/>
        </w:rPr>
        <w:t>The IESO kWh purchased</w:t>
      </w:r>
      <w:r w:rsidR="00EC52A3">
        <w:rPr>
          <w:rFonts w:ascii="Arial" w:hAnsi="Arial" w:cs="Arial"/>
          <w:sz w:val="24"/>
          <w:szCs w:val="24"/>
        </w:rPr>
        <w:t>, plus the embedded generation,</w:t>
      </w:r>
      <w:r w:rsidRPr="00797983">
        <w:rPr>
          <w:rFonts w:ascii="Arial" w:hAnsi="Arial" w:cs="Arial"/>
          <w:sz w:val="24"/>
          <w:szCs w:val="24"/>
        </w:rPr>
        <w:t xml:space="preserve"> less the Non-RPP consumption, results in the RPP consumption for each month of the year</w:t>
      </w:r>
      <w:r w:rsidR="00EC52A3">
        <w:rPr>
          <w:rFonts w:ascii="Arial" w:hAnsi="Arial" w:cs="Arial"/>
          <w:sz w:val="24"/>
          <w:szCs w:val="24"/>
        </w:rPr>
        <w:t>.</w:t>
      </w:r>
    </w:p>
    <w:p w:rsidR="00F5142C" w:rsidRPr="00797983" w:rsidRDefault="00F5142C" w:rsidP="00F5142C">
      <w:pPr>
        <w:spacing w:line="276" w:lineRule="auto"/>
        <w:jc w:val="left"/>
        <w:rPr>
          <w:rFonts w:ascii="Arial" w:hAnsi="Arial" w:cs="Arial"/>
          <w:sz w:val="24"/>
          <w:szCs w:val="24"/>
        </w:rPr>
      </w:pPr>
      <w:r w:rsidRPr="00797983">
        <w:rPr>
          <w:rFonts w:ascii="Arial" w:hAnsi="Arial" w:cs="Arial"/>
          <w:sz w:val="24"/>
          <w:szCs w:val="24"/>
        </w:rPr>
        <w:t>GA claim recalculation for the year is done as follows:</w:t>
      </w:r>
    </w:p>
    <w:p w:rsidR="00F5142C" w:rsidRPr="00797983" w:rsidRDefault="00F5142C" w:rsidP="00F5142C">
      <w:pPr>
        <w:pStyle w:val="ListParagraph"/>
        <w:numPr>
          <w:ilvl w:val="0"/>
          <w:numId w:val="26"/>
        </w:numPr>
        <w:spacing w:line="276" w:lineRule="auto"/>
        <w:jc w:val="left"/>
        <w:rPr>
          <w:rFonts w:ascii="Arial" w:hAnsi="Arial" w:cs="Arial"/>
          <w:sz w:val="24"/>
          <w:szCs w:val="24"/>
        </w:rPr>
      </w:pPr>
      <w:r w:rsidRPr="00797983">
        <w:rPr>
          <w:rFonts w:ascii="Arial" w:hAnsi="Arial" w:cs="Arial"/>
          <w:sz w:val="24"/>
          <w:szCs w:val="24"/>
        </w:rPr>
        <w:t xml:space="preserve">Each month’s claim is re-calculated based on actual kWh volume for RPP (as determined from above process), and the actual final GA rate charged to Kenora Hydro for the corresponding month of consumption.  </w:t>
      </w:r>
    </w:p>
    <w:p w:rsidR="00F5142C" w:rsidRPr="00797983" w:rsidRDefault="00F5142C" w:rsidP="00F5142C">
      <w:pPr>
        <w:pStyle w:val="ListParagraph"/>
        <w:numPr>
          <w:ilvl w:val="0"/>
          <w:numId w:val="26"/>
        </w:numPr>
        <w:spacing w:line="276" w:lineRule="auto"/>
        <w:jc w:val="left"/>
        <w:rPr>
          <w:rFonts w:ascii="Arial" w:hAnsi="Arial" w:cs="Arial"/>
          <w:sz w:val="24"/>
          <w:szCs w:val="24"/>
        </w:rPr>
      </w:pPr>
      <w:r w:rsidRPr="00797983">
        <w:rPr>
          <w:rFonts w:ascii="Arial" w:hAnsi="Arial" w:cs="Arial"/>
          <w:sz w:val="24"/>
          <w:szCs w:val="24"/>
        </w:rPr>
        <w:t xml:space="preserve">Any difference between the total as claimed during the year, less the total for the year as recalculated in this True-up process, is submitted to the IESO on the monthly filing as soon as complete data is available, typically in February or March.  </w:t>
      </w:r>
    </w:p>
    <w:p w:rsidR="00F5142C" w:rsidRDefault="00F5142C" w:rsidP="00F5142C">
      <w:pPr>
        <w:spacing w:after="0" w:line="276" w:lineRule="auto"/>
        <w:jc w:val="left"/>
        <w:rPr>
          <w:rFonts w:ascii="Arial" w:eastAsia="Times New Roman" w:hAnsi="Arial" w:cs="Arial"/>
          <w:sz w:val="24"/>
          <w:szCs w:val="24"/>
        </w:rPr>
      </w:pPr>
    </w:p>
    <w:p w:rsidR="00502603" w:rsidRPr="00F5142C" w:rsidRDefault="00502603" w:rsidP="00F5142C">
      <w:pPr>
        <w:spacing w:after="0" w:line="276" w:lineRule="auto"/>
        <w:jc w:val="left"/>
        <w:rPr>
          <w:rFonts w:ascii="Arial" w:eastAsia="Times New Roman" w:hAnsi="Arial" w:cs="Arial"/>
          <w:sz w:val="24"/>
          <w:szCs w:val="24"/>
        </w:rPr>
      </w:pPr>
    </w:p>
    <w:p w:rsidR="000809FD" w:rsidRPr="000809FD" w:rsidRDefault="000809FD" w:rsidP="000809FD">
      <w:pPr>
        <w:spacing w:after="0" w:line="276" w:lineRule="auto"/>
        <w:jc w:val="left"/>
        <w:rPr>
          <w:rFonts w:ascii="Arial" w:eastAsia="Times New Roman" w:hAnsi="Arial" w:cs="Arial"/>
          <w:sz w:val="24"/>
          <w:szCs w:val="24"/>
        </w:rPr>
      </w:pPr>
    </w:p>
    <w:p w:rsidR="00244F75" w:rsidRDefault="0051256A" w:rsidP="00244F75">
      <w:pPr>
        <w:pStyle w:val="ListParagraph"/>
        <w:numPr>
          <w:ilvl w:val="0"/>
          <w:numId w:val="31"/>
        </w:numPr>
        <w:spacing w:after="0" w:line="276" w:lineRule="auto"/>
        <w:jc w:val="left"/>
        <w:rPr>
          <w:rFonts w:ascii="Arial" w:eastAsia="Times New Roman" w:hAnsi="Arial" w:cs="Arial"/>
          <w:sz w:val="24"/>
          <w:szCs w:val="24"/>
        </w:rPr>
      </w:pPr>
      <w:r>
        <w:rPr>
          <w:rFonts w:ascii="Arial" w:eastAsia="Times New Roman" w:hAnsi="Arial" w:cs="Arial"/>
          <w:sz w:val="24"/>
          <w:szCs w:val="24"/>
        </w:rPr>
        <w:t>What data is used to determine the non-RPP kWh volume that is multiplied with the actual GA per kWh rate (based on CT 148) for recording as expense in Account 1589 for initial recording of the GA expense?</w:t>
      </w:r>
    </w:p>
    <w:p w:rsidR="00244F75" w:rsidRDefault="00244F75" w:rsidP="00244F75">
      <w:pPr>
        <w:spacing w:after="0" w:line="276" w:lineRule="auto"/>
        <w:jc w:val="left"/>
        <w:rPr>
          <w:rFonts w:ascii="Arial" w:eastAsia="Times New Roman" w:hAnsi="Arial" w:cs="Arial"/>
          <w:sz w:val="24"/>
          <w:szCs w:val="24"/>
        </w:rPr>
      </w:pPr>
    </w:p>
    <w:p w:rsidR="00013A44" w:rsidRPr="00481004" w:rsidRDefault="00013A44" w:rsidP="00013A44">
      <w:pPr>
        <w:pStyle w:val="ListParagraph"/>
        <w:spacing w:after="0" w:line="276" w:lineRule="auto"/>
        <w:ind w:left="1440" w:hanging="1440"/>
        <w:jc w:val="left"/>
        <w:rPr>
          <w:rFonts w:ascii="Arial" w:eastAsia="Times New Roman" w:hAnsi="Arial" w:cs="Arial"/>
          <w:sz w:val="24"/>
          <w:szCs w:val="24"/>
        </w:rPr>
      </w:pPr>
      <w:r w:rsidRPr="00481004">
        <w:rPr>
          <w:rFonts w:ascii="Arial" w:hAnsi="Arial" w:cs="Arial"/>
          <w:b/>
          <w:bCs/>
          <w:sz w:val="24"/>
          <w:szCs w:val="24"/>
          <w:u w:val="single"/>
        </w:rPr>
        <w:t>Kenora Response:</w:t>
      </w:r>
    </w:p>
    <w:p w:rsidR="00013A44" w:rsidRDefault="00013A44" w:rsidP="00244F75">
      <w:pPr>
        <w:spacing w:after="0" w:line="276" w:lineRule="auto"/>
        <w:jc w:val="left"/>
        <w:rPr>
          <w:rFonts w:ascii="Arial" w:eastAsia="Times New Roman" w:hAnsi="Arial" w:cs="Arial"/>
          <w:sz w:val="24"/>
          <w:szCs w:val="24"/>
        </w:rPr>
      </w:pPr>
    </w:p>
    <w:p w:rsidR="00013A44" w:rsidRDefault="00013A44" w:rsidP="00244F75">
      <w:pPr>
        <w:spacing w:after="0" w:line="276" w:lineRule="auto"/>
        <w:jc w:val="left"/>
        <w:rPr>
          <w:rFonts w:ascii="Arial" w:eastAsia="Times New Roman" w:hAnsi="Arial" w:cs="Arial"/>
          <w:sz w:val="24"/>
          <w:szCs w:val="24"/>
        </w:rPr>
      </w:pPr>
    </w:p>
    <w:p w:rsidR="00244F75" w:rsidRPr="00244F75" w:rsidRDefault="00244F75" w:rsidP="002B6DDF">
      <w:pPr>
        <w:spacing w:after="0" w:line="276" w:lineRule="auto"/>
        <w:rPr>
          <w:rFonts w:ascii="Arial" w:eastAsia="Times New Roman" w:hAnsi="Arial" w:cs="Arial"/>
          <w:sz w:val="24"/>
          <w:szCs w:val="24"/>
        </w:rPr>
      </w:pPr>
      <w:r>
        <w:rPr>
          <w:rFonts w:ascii="Arial" w:eastAsia="Times New Roman" w:hAnsi="Arial" w:cs="Arial"/>
          <w:sz w:val="24"/>
          <w:szCs w:val="24"/>
        </w:rPr>
        <w:t xml:space="preserve">When the initial calculation of the GA expense claim for RPP customers is made, the </w:t>
      </w:r>
      <w:r w:rsidR="000D6F1D">
        <w:rPr>
          <w:rFonts w:ascii="Arial" w:eastAsia="Times New Roman" w:hAnsi="Arial" w:cs="Arial"/>
          <w:sz w:val="24"/>
          <w:szCs w:val="24"/>
        </w:rPr>
        <w:t xml:space="preserve">RPP </w:t>
      </w:r>
      <w:r>
        <w:rPr>
          <w:rFonts w:ascii="Arial" w:eastAsia="Times New Roman" w:hAnsi="Arial" w:cs="Arial"/>
          <w:sz w:val="24"/>
          <w:szCs w:val="24"/>
        </w:rPr>
        <w:t>data is pulled from the billing system, for actual bille</w:t>
      </w:r>
      <w:r w:rsidR="00F5142C">
        <w:rPr>
          <w:rFonts w:ascii="Arial" w:eastAsia="Times New Roman" w:hAnsi="Arial" w:cs="Arial"/>
          <w:sz w:val="24"/>
          <w:szCs w:val="24"/>
        </w:rPr>
        <w:t xml:space="preserve">d </w:t>
      </w:r>
      <w:r w:rsidR="000D6F1D">
        <w:rPr>
          <w:rFonts w:ascii="Arial" w:eastAsia="Times New Roman" w:hAnsi="Arial" w:cs="Arial"/>
          <w:sz w:val="24"/>
          <w:szCs w:val="24"/>
        </w:rPr>
        <w:t>k</w:t>
      </w:r>
      <w:r w:rsidR="00F5142C">
        <w:rPr>
          <w:rFonts w:ascii="Arial" w:eastAsia="Times New Roman" w:hAnsi="Arial" w:cs="Arial"/>
          <w:sz w:val="24"/>
          <w:szCs w:val="24"/>
        </w:rPr>
        <w:t xml:space="preserve">Wh for the claim month. </w:t>
      </w:r>
      <w:r w:rsidR="000D6F1D">
        <w:rPr>
          <w:rFonts w:ascii="Arial" w:eastAsia="Times New Roman" w:hAnsi="Arial" w:cs="Arial"/>
          <w:sz w:val="24"/>
          <w:szCs w:val="24"/>
        </w:rPr>
        <w:t xml:space="preserve"> </w:t>
      </w:r>
      <w:r w:rsidR="002B3F44">
        <w:rPr>
          <w:rFonts w:ascii="Arial" w:eastAsia="Times New Roman" w:hAnsi="Arial" w:cs="Arial"/>
          <w:sz w:val="24"/>
          <w:szCs w:val="24"/>
        </w:rPr>
        <w:t>T</w:t>
      </w:r>
      <w:r w:rsidR="000D6F1D">
        <w:rPr>
          <w:rFonts w:ascii="Arial" w:eastAsia="Times New Roman" w:hAnsi="Arial" w:cs="Arial"/>
          <w:sz w:val="24"/>
          <w:szCs w:val="24"/>
        </w:rPr>
        <w:t>his kWh is used for the GA claim.  The total GA expense on the IESO invoice is reduced by this claim for the RPP kWh, leaving the GA expense related to the Non-RPP customers to be pos</w:t>
      </w:r>
      <w:r w:rsidR="00BD0E9D">
        <w:rPr>
          <w:rFonts w:ascii="Arial" w:eastAsia="Times New Roman" w:hAnsi="Arial" w:cs="Arial"/>
          <w:sz w:val="24"/>
          <w:szCs w:val="24"/>
        </w:rPr>
        <w:t>ted to the income statement 4706</w:t>
      </w:r>
      <w:r w:rsidR="000D6F1D">
        <w:rPr>
          <w:rFonts w:ascii="Arial" w:eastAsia="Times New Roman" w:hAnsi="Arial" w:cs="Arial"/>
          <w:sz w:val="24"/>
          <w:szCs w:val="24"/>
        </w:rPr>
        <w:t xml:space="preserve"> account ( = 1589).</w:t>
      </w:r>
    </w:p>
    <w:p w:rsidR="000809FD" w:rsidRDefault="000809FD" w:rsidP="000809FD">
      <w:pPr>
        <w:spacing w:after="0" w:line="276" w:lineRule="auto"/>
        <w:jc w:val="left"/>
        <w:rPr>
          <w:rFonts w:ascii="Arial" w:eastAsia="Times New Roman" w:hAnsi="Arial" w:cs="Arial"/>
          <w:sz w:val="24"/>
          <w:szCs w:val="24"/>
        </w:rPr>
      </w:pPr>
    </w:p>
    <w:p w:rsidR="000809FD" w:rsidRDefault="000809FD" w:rsidP="000809FD">
      <w:pPr>
        <w:spacing w:after="0" w:line="276" w:lineRule="auto"/>
        <w:jc w:val="left"/>
        <w:rPr>
          <w:rFonts w:ascii="Arial" w:eastAsia="Times New Roman" w:hAnsi="Arial" w:cs="Arial"/>
          <w:sz w:val="24"/>
          <w:szCs w:val="24"/>
        </w:rPr>
      </w:pPr>
    </w:p>
    <w:p w:rsidR="000809FD" w:rsidRDefault="000809FD" w:rsidP="000809FD">
      <w:pPr>
        <w:spacing w:after="0" w:line="276" w:lineRule="auto"/>
        <w:jc w:val="left"/>
        <w:rPr>
          <w:rFonts w:ascii="Arial" w:eastAsia="Times New Roman" w:hAnsi="Arial" w:cs="Arial"/>
          <w:sz w:val="24"/>
          <w:szCs w:val="24"/>
        </w:rPr>
      </w:pPr>
    </w:p>
    <w:p w:rsidR="000809FD" w:rsidRDefault="000809FD" w:rsidP="000809FD">
      <w:pPr>
        <w:spacing w:after="0" w:line="276" w:lineRule="auto"/>
        <w:jc w:val="left"/>
        <w:rPr>
          <w:rFonts w:ascii="Arial" w:eastAsia="Times New Roman" w:hAnsi="Arial" w:cs="Arial"/>
          <w:sz w:val="24"/>
          <w:szCs w:val="24"/>
        </w:rPr>
      </w:pPr>
    </w:p>
    <w:p w:rsidR="000809FD" w:rsidRPr="000809FD" w:rsidRDefault="000809FD" w:rsidP="000809FD">
      <w:pPr>
        <w:spacing w:after="0" w:line="276" w:lineRule="auto"/>
        <w:jc w:val="left"/>
        <w:rPr>
          <w:rFonts w:ascii="Arial" w:eastAsia="Times New Roman" w:hAnsi="Arial" w:cs="Arial"/>
          <w:sz w:val="24"/>
          <w:szCs w:val="24"/>
        </w:rPr>
      </w:pPr>
    </w:p>
    <w:p w:rsidR="0051256A" w:rsidRDefault="0051256A" w:rsidP="0051256A">
      <w:pPr>
        <w:pStyle w:val="ListParagraph"/>
        <w:numPr>
          <w:ilvl w:val="0"/>
          <w:numId w:val="31"/>
        </w:numPr>
        <w:spacing w:after="0" w:line="276" w:lineRule="auto"/>
        <w:jc w:val="left"/>
        <w:rPr>
          <w:rFonts w:ascii="Arial" w:eastAsia="Times New Roman" w:hAnsi="Arial" w:cs="Arial"/>
          <w:sz w:val="24"/>
          <w:szCs w:val="24"/>
        </w:rPr>
      </w:pPr>
      <w:r>
        <w:rPr>
          <w:rFonts w:ascii="Arial" w:eastAsia="Times New Roman" w:hAnsi="Arial" w:cs="Arial"/>
          <w:sz w:val="24"/>
          <w:szCs w:val="24"/>
        </w:rPr>
        <w:t>Does the utility true up the initial recording of CT 148 in Accounts 1588 and 1589 based on estimated proportions to actuals based on actual consumption proportions for RPP and non-RPP?</w:t>
      </w:r>
    </w:p>
    <w:p w:rsidR="00244F75" w:rsidRDefault="00244F75" w:rsidP="00244F75">
      <w:pPr>
        <w:spacing w:after="0" w:line="276" w:lineRule="auto"/>
        <w:jc w:val="left"/>
        <w:rPr>
          <w:rFonts w:ascii="Arial" w:eastAsia="Times New Roman" w:hAnsi="Arial" w:cs="Arial"/>
          <w:sz w:val="24"/>
          <w:szCs w:val="24"/>
        </w:rPr>
      </w:pPr>
    </w:p>
    <w:p w:rsidR="00013A44" w:rsidRDefault="00013A44" w:rsidP="00244F75">
      <w:pPr>
        <w:spacing w:after="0" w:line="276" w:lineRule="auto"/>
        <w:jc w:val="left"/>
        <w:rPr>
          <w:rFonts w:ascii="Arial" w:eastAsia="Times New Roman" w:hAnsi="Arial" w:cs="Arial"/>
          <w:sz w:val="24"/>
          <w:szCs w:val="24"/>
        </w:rPr>
      </w:pPr>
    </w:p>
    <w:p w:rsidR="00013A44" w:rsidRPr="00481004" w:rsidRDefault="00013A44" w:rsidP="00013A44">
      <w:pPr>
        <w:pStyle w:val="ListParagraph"/>
        <w:spacing w:after="0" w:line="276" w:lineRule="auto"/>
        <w:ind w:left="1440" w:hanging="1440"/>
        <w:jc w:val="left"/>
        <w:rPr>
          <w:rFonts w:ascii="Arial" w:eastAsia="Times New Roman" w:hAnsi="Arial" w:cs="Arial"/>
          <w:sz w:val="24"/>
          <w:szCs w:val="24"/>
        </w:rPr>
      </w:pPr>
      <w:r w:rsidRPr="00481004">
        <w:rPr>
          <w:rFonts w:ascii="Arial" w:hAnsi="Arial" w:cs="Arial"/>
          <w:b/>
          <w:bCs/>
          <w:sz w:val="24"/>
          <w:szCs w:val="24"/>
          <w:u w:val="single"/>
        </w:rPr>
        <w:t>Kenora Response:</w:t>
      </w:r>
    </w:p>
    <w:p w:rsidR="00013A44" w:rsidRDefault="00013A44" w:rsidP="00244F75">
      <w:pPr>
        <w:spacing w:after="0" w:line="276" w:lineRule="auto"/>
        <w:jc w:val="left"/>
        <w:rPr>
          <w:rFonts w:ascii="Arial" w:eastAsia="Times New Roman" w:hAnsi="Arial" w:cs="Arial"/>
          <w:sz w:val="24"/>
          <w:szCs w:val="24"/>
        </w:rPr>
      </w:pPr>
    </w:p>
    <w:p w:rsidR="00244F75" w:rsidRPr="00244F75" w:rsidRDefault="00244F75" w:rsidP="002B6DDF">
      <w:pPr>
        <w:spacing w:after="0" w:line="276" w:lineRule="auto"/>
        <w:rPr>
          <w:rFonts w:ascii="Arial" w:eastAsia="Times New Roman" w:hAnsi="Arial" w:cs="Arial"/>
          <w:sz w:val="24"/>
          <w:szCs w:val="24"/>
        </w:rPr>
      </w:pPr>
      <w:r>
        <w:rPr>
          <w:rFonts w:ascii="Arial" w:eastAsia="Times New Roman" w:hAnsi="Arial" w:cs="Arial"/>
          <w:sz w:val="24"/>
          <w:szCs w:val="24"/>
        </w:rPr>
        <w:t>Yes.  Once complete billing data is available</w:t>
      </w:r>
      <w:r w:rsidR="00BD0E9D">
        <w:rPr>
          <w:rFonts w:ascii="Arial" w:eastAsia="Times New Roman" w:hAnsi="Arial" w:cs="Arial"/>
          <w:sz w:val="24"/>
          <w:szCs w:val="24"/>
        </w:rPr>
        <w:t xml:space="preserve"> for the quarter</w:t>
      </w:r>
      <w:r>
        <w:rPr>
          <w:rFonts w:ascii="Arial" w:eastAsia="Times New Roman" w:hAnsi="Arial" w:cs="Arial"/>
          <w:sz w:val="24"/>
          <w:szCs w:val="24"/>
        </w:rPr>
        <w:t>, a report is generated from the billing system to indicate monthly consumed kWh (adjusted each month for estimated unbilled kWh) for all Non-RPP consumption.  The prior claims are adjusted from the initial volumes used in monthly claims, to reflect this more accurate consumption by Non-</w:t>
      </w:r>
      <w:r w:rsidR="00022876">
        <w:rPr>
          <w:rFonts w:ascii="Arial" w:eastAsia="Times New Roman" w:hAnsi="Arial" w:cs="Arial"/>
          <w:sz w:val="24"/>
          <w:szCs w:val="24"/>
        </w:rPr>
        <w:t>RPP</w:t>
      </w:r>
      <w:r w:rsidR="00BD0E9D">
        <w:rPr>
          <w:rFonts w:ascii="Arial" w:eastAsia="Times New Roman" w:hAnsi="Arial" w:cs="Arial"/>
          <w:sz w:val="24"/>
          <w:szCs w:val="24"/>
        </w:rPr>
        <w:t xml:space="preserve"> by month</w:t>
      </w:r>
      <w:r w:rsidR="00022876">
        <w:rPr>
          <w:rFonts w:ascii="Arial" w:eastAsia="Times New Roman" w:hAnsi="Arial" w:cs="Arial"/>
          <w:sz w:val="24"/>
          <w:szCs w:val="24"/>
        </w:rPr>
        <w:t>.</w:t>
      </w:r>
    </w:p>
    <w:p w:rsidR="000809FD" w:rsidRDefault="000809FD" w:rsidP="000809FD">
      <w:pPr>
        <w:spacing w:after="0" w:line="276" w:lineRule="auto"/>
        <w:jc w:val="left"/>
        <w:rPr>
          <w:rFonts w:ascii="Arial" w:eastAsia="Times New Roman" w:hAnsi="Arial" w:cs="Arial"/>
          <w:sz w:val="24"/>
          <w:szCs w:val="24"/>
        </w:rPr>
      </w:pPr>
    </w:p>
    <w:p w:rsidR="0051256A" w:rsidRDefault="0051256A" w:rsidP="0051256A">
      <w:pPr>
        <w:pStyle w:val="ListParagraph"/>
        <w:numPr>
          <w:ilvl w:val="0"/>
          <w:numId w:val="31"/>
        </w:numPr>
        <w:spacing w:after="0" w:line="276" w:lineRule="auto"/>
        <w:jc w:val="left"/>
        <w:rPr>
          <w:rFonts w:ascii="Arial" w:eastAsia="Times New Roman" w:hAnsi="Arial" w:cs="Arial"/>
          <w:sz w:val="24"/>
          <w:szCs w:val="24"/>
        </w:rPr>
      </w:pPr>
      <w:r>
        <w:rPr>
          <w:rFonts w:ascii="Arial" w:eastAsia="Times New Roman" w:hAnsi="Arial" w:cs="Arial"/>
          <w:sz w:val="24"/>
          <w:szCs w:val="24"/>
        </w:rPr>
        <w:t>Please indicate which months from 2017 were trued up in 2018 for CT 148 proportions between RPP and non-RPP.</w:t>
      </w:r>
    </w:p>
    <w:p w:rsidR="00481004" w:rsidRDefault="00481004" w:rsidP="00022876">
      <w:pPr>
        <w:pStyle w:val="ListParagraph"/>
        <w:spacing w:after="0" w:line="276" w:lineRule="auto"/>
        <w:ind w:left="1440"/>
        <w:jc w:val="left"/>
        <w:rPr>
          <w:rFonts w:ascii="Arial" w:eastAsia="Times New Roman" w:hAnsi="Arial" w:cs="Arial"/>
          <w:sz w:val="24"/>
          <w:szCs w:val="24"/>
        </w:rPr>
      </w:pPr>
    </w:p>
    <w:p w:rsidR="00481004" w:rsidRDefault="00481004" w:rsidP="00022876">
      <w:pPr>
        <w:pStyle w:val="ListParagraph"/>
        <w:spacing w:after="0" w:line="276" w:lineRule="auto"/>
        <w:ind w:left="1440"/>
        <w:jc w:val="left"/>
        <w:rPr>
          <w:rFonts w:ascii="Arial" w:eastAsia="Times New Roman" w:hAnsi="Arial" w:cs="Arial"/>
          <w:sz w:val="24"/>
          <w:szCs w:val="24"/>
        </w:rPr>
      </w:pPr>
    </w:p>
    <w:p w:rsidR="00481004" w:rsidRPr="00481004" w:rsidRDefault="00481004" w:rsidP="00481004">
      <w:pPr>
        <w:pStyle w:val="ListParagraph"/>
        <w:spacing w:after="0" w:line="276" w:lineRule="auto"/>
        <w:ind w:left="1440" w:hanging="1440"/>
        <w:jc w:val="left"/>
        <w:rPr>
          <w:rFonts w:ascii="Arial" w:eastAsia="Times New Roman" w:hAnsi="Arial" w:cs="Arial"/>
          <w:sz w:val="24"/>
          <w:szCs w:val="24"/>
        </w:rPr>
      </w:pPr>
      <w:r w:rsidRPr="00481004">
        <w:rPr>
          <w:rFonts w:ascii="Arial" w:hAnsi="Arial" w:cs="Arial"/>
          <w:b/>
          <w:bCs/>
          <w:sz w:val="24"/>
          <w:szCs w:val="24"/>
          <w:u w:val="single"/>
        </w:rPr>
        <w:t>Kenora Response:</w:t>
      </w:r>
    </w:p>
    <w:p w:rsidR="00481004" w:rsidRDefault="00481004" w:rsidP="00022876">
      <w:pPr>
        <w:pStyle w:val="ListParagraph"/>
        <w:spacing w:after="0" w:line="276" w:lineRule="auto"/>
        <w:ind w:left="1440"/>
        <w:jc w:val="left"/>
        <w:rPr>
          <w:rFonts w:ascii="Arial" w:eastAsia="Times New Roman" w:hAnsi="Arial" w:cs="Arial"/>
          <w:sz w:val="24"/>
          <w:szCs w:val="24"/>
        </w:rPr>
      </w:pPr>
    </w:p>
    <w:p w:rsidR="000809FD" w:rsidRDefault="005D53DC" w:rsidP="000809FD">
      <w:pPr>
        <w:spacing w:after="0" w:line="276" w:lineRule="auto"/>
        <w:jc w:val="left"/>
        <w:rPr>
          <w:rFonts w:ascii="Arial" w:eastAsia="Times New Roman" w:hAnsi="Arial" w:cs="Arial"/>
          <w:sz w:val="24"/>
          <w:szCs w:val="24"/>
        </w:rPr>
      </w:pPr>
      <w:r>
        <w:rPr>
          <w:rFonts w:ascii="Arial" w:eastAsia="Times New Roman" w:hAnsi="Arial" w:cs="Arial"/>
          <w:sz w:val="24"/>
          <w:szCs w:val="24"/>
        </w:rPr>
        <w:t xml:space="preserve">True-ups </w:t>
      </w:r>
      <w:r w:rsidR="003F6A4F">
        <w:rPr>
          <w:rFonts w:ascii="Arial" w:eastAsia="Times New Roman" w:hAnsi="Arial" w:cs="Arial"/>
          <w:sz w:val="24"/>
          <w:szCs w:val="24"/>
        </w:rPr>
        <w:t xml:space="preserve">for the proportions between RPP and non-RPP consumption </w:t>
      </w:r>
      <w:r>
        <w:rPr>
          <w:rFonts w:ascii="Arial" w:eastAsia="Times New Roman" w:hAnsi="Arial" w:cs="Arial"/>
          <w:sz w:val="24"/>
          <w:szCs w:val="24"/>
        </w:rPr>
        <w:t xml:space="preserve">from all </w:t>
      </w:r>
      <w:r w:rsidR="00A47F0C">
        <w:rPr>
          <w:rFonts w:ascii="Arial" w:eastAsia="Times New Roman" w:hAnsi="Arial" w:cs="Arial"/>
          <w:sz w:val="24"/>
          <w:szCs w:val="24"/>
        </w:rPr>
        <w:t xml:space="preserve">months from </w:t>
      </w:r>
      <w:r>
        <w:rPr>
          <w:rFonts w:ascii="Arial" w:eastAsia="Times New Roman" w:hAnsi="Arial" w:cs="Arial"/>
          <w:sz w:val="24"/>
          <w:szCs w:val="24"/>
        </w:rPr>
        <w:t>2017 are calculated early in 2018 and posted back to 2017.  A complete re-calculation of all months are done at year end to ensure accuracy.  The majority of the value of the true-up is the result of Q4.  There are minor adjustments to Q2 and Q3 in the final true-up as well.</w:t>
      </w:r>
    </w:p>
    <w:p w:rsidR="000809FD" w:rsidRDefault="000809FD" w:rsidP="000809FD">
      <w:pPr>
        <w:spacing w:after="0" w:line="276" w:lineRule="auto"/>
        <w:jc w:val="left"/>
        <w:rPr>
          <w:rFonts w:ascii="Arial" w:eastAsia="Times New Roman" w:hAnsi="Arial" w:cs="Arial"/>
          <w:sz w:val="24"/>
          <w:szCs w:val="24"/>
        </w:rPr>
      </w:pPr>
    </w:p>
    <w:p w:rsidR="00481004" w:rsidRPr="00481004" w:rsidRDefault="00481004" w:rsidP="00481004">
      <w:pPr>
        <w:pStyle w:val="ListParagraph"/>
        <w:spacing w:after="0" w:line="276" w:lineRule="auto"/>
        <w:ind w:left="1440" w:hanging="1440"/>
        <w:jc w:val="left"/>
        <w:rPr>
          <w:rFonts w:ascii="Arial" w:eastAsia="Times New Roman" w:hAnsi="Arial" w:cs="Arial"/>
          <w:sz w:val="24"/>
          <w:szCs w:val="24"/>
        </w:rPr>
      </w:pPr>
      <w:r w:rsidRPr="00481004">
        <w:rPr>
          <w:rFonts w:ascii="Arial" w:hAnsi="Arial" w:cs="Arial"/>
          <w:b/>
          <w:bCs/>
          <w:sz w:val="24"/>
          <w:szCs w:val="24"/>
          <w:u w:val="single"/>
        </w:rPr>
        <w:t>Kenora Response:</w:t>
      </w:r>
    </w:p>
    <w:p w:rsidR="000809FD" w:rsidRDefault="000809FD" w:rsidP="000809FD">
      <w:pPr>
        <w:spacing w:after="0" w:line="276" w:lineRule="auto"/>
        <w:jc w:val="left"/>
        <w:rPr>
          <w:rFonts w:ascii="Arial" w:eastAsia="Times New Roman" w:hAnsi="Arial" w:cs="Arial"/>
          <w:sz w:val="24"/>
          <w:szCs w:val="24"/>
        </w:rPr>
      </w:pPr>
    </w:p>
    <w:p w:rsidR="000809FD" w:rsidRPr="000809FD" w:rsidRDefault="000809FD" w:rsidP="000809FD">
      <w:pPr>
        <w:spacing w:after="0" w:line="276" w:lineRule="auto"/>
        <w:jc w:val="left"/>
        <w:rPr>
          <w:rFonts w:ascii="Arial" w:eastAsia="Times New Roman" w:hAnsi="Arial" w:cs="Arial"/>
          <w:sz w:val="24"/>
          <w:szCs w:val="24"/>
        </w:rPr>
      </w:pPr>
    </w:p>
    <w:p w:rsidR="00013A44" w:rsidRDefault="0051256A" w:rsidP="00013A44">
      <w:pPr>
        <w:pStyle w:val="ListParagraph"/>
        <w:numPr>
          <w:ilvl w:val="0"/>
          <w:numId w:val="31"/>
        </w:numPr>
        <w:spacing w:after="0" w:line="276" w:lineRule="auto"/>
        <w:jc w:val="left"/>
        <w:rPr>
          <w:rFonts w:ascii="Arial" w:eastAsia="Times New Roman" w:hAnsi="Arial" w:cs="Arial"/>
          <w:sz w:val="24"/>
          <w:szCs w:val="24"/>
        </w:rPr>
      </w:pPr>
      <w:r>
        <w:rPr>
          <w:rFonts w:ascii="Arial" w:eastAsia="Times New Roman" w:hAnsi="Arial" w:cs="Arial"/>
          <w:sz w:val="24"/>
          <w:szCs w:val="24"/>
        </w:rPr>
        <w:t>Are all true-ups for 2017 consumption reflected in the DVA Continuity Schedule under 2017.</w:t>
      </w:r>
    </w:p>
    <w:p w:rsidR="00013A44" w:rsidRDefault="00013A44" w:rsidP="00013A44">
      <w:pPr>
        <w:pStyle w:val="ListParagraph"/>
        <w:spacing w:after="0" w:line="276" w:lineRule="auto"/>
        <w:ind w:left="1440"/>
        <w:jc w:val="left"/>
        <w:rPr>
          <w:rFonts w:ascii="Arial" w:eastAsia="Times New Roman" w:hAnsi="Arial" w:cs="Arial"/>
          <w:sz w:val="24"/>
          <w:szCs w:val="24"/>
        </w:rPr>
      </w:pPr>
    </w:p>
    <w:p w:rsidR="00481004" w:rsidRPr="00013A44" w:rsidRDefault="00481004" w:rsidP="00013A44">
      <w:pPr>
        <w:pStyle w:val="ListParagraph"/>
        <w:spacing w:after="0" w:line="276" w:lineRule="auto"/>
        <w:ind w:left="1440" w:hanging="1440"/>
        <w:jc w:val="left"/>
        <w:rPr>
          <w:rFonts w:ascii="Arial" w:eastAsia="Times New Roman" w:hAnsi="Arial" w:cs="Arial"/>
          <w:sz w:val="24"/>
          <w:szCs w:val="24"/>
        </w:rPr>
      </w:pPr>
      <w:r w:rsidRPr="00013A44">
        <w:rPr>
          <w:rFonts w:ascii="Arial" w:hAnsi="Arial" w:cs="Arial"/>
          <w:b/>
          <w:bCs/>
          <w:sz w:val="24"/>
          <w:szCs w:val="24"/>
          <w:u w:val="single"/>
        </w:rPr>
        <w:t>Kenora Response:</w:t>
      </w:r>
    </w:p>
    <w:p w:rsidR="00481004" w:rsidRDefault="00481004" w:rsidP="000809FD">
      <w:pPr>
        <w:spacing w:after="0" w:line="276" w:lineRule="auto"/>
        <w:jc w:val="left"/>
        <w:rPr>
          <w:rFonts w:ascii="Arial" w:eastAsia="Times New Roman" w:hAnsi="Arial" w:cs="Arial"/>
          <w:sz w:val="24"/>
          <w:szCs w:val="24"/>
        </w:rPr>
      </w:pPr>
    </w:p>
    <w:p w:rsidR="000809FD" w:rsidRDefault="00022876" w:rsidP="000809FD">
      <w:pPr>
        <w:spacing w:after="0" w:line="276" w:lineRule="auto"/>
        <w:jc w:val="left"/>
        <w:rPr>
          <w:rFonts w:ascii="Arial" w:eastAsia="Times New Roman" w:hAnsi="Arial" w:cs="Arial"/>
          <w:sz w:val="24"/>
          <w:szCs w:val="24"/>
        </w:rPr>
      </w:pPr>
      <w:r>
        <w:rPr>
          <w:rFonts w:ascii="Arial" w:eastAsia="Times New Roman" w:hAnsi="Arial" w:cs="Arial"/>
          <w:sz w:val="24"/>
          <w:szCs w:val="24"/>
        </w:rPr>
        <w:t>Yes.</w:t>
      </w:r>
    </w:p>
    <w:p w:rsidR="00481004" w:rsidRDefault="00481004" w:rsidP="000809FD">
      <w:pPr>
        <w:spacing w:after="0" w:line="276" w:lineRule="auto"/>
        <w:jc w:val="left"/>
        <w:rPr>
          <w:rFonts w:ascii="Arial" w:eastAsia="Times New Roman" w:hAnsi="Arial" w:cs="Arial"/>
          <w:sz w:val="24"/>
          <w:szCs w:val="24"/>
        </w:rPr>
      </w:pPr>
    </w:p>
    <w:p w:rsidR="000809FD" w:rsidRDefault="000809FD" w:rsidP="000809FD">
      <w:pPr>
        <w:spacing w:after="0" w:line="276" w:lineRule="auto"/>
        <w:jc w:val="left"/>
        <w:rPr>
          <w:rFonts w:ascii="Arial" w:eastAsia="Times New Roman" w:hAnsi="Arial" w:cs="Arial"/>
          <w:sz w:val="24"/>
          <w:szCs w:val="24"/>
        </w:rPr>
      </w:pPr>
    </w:p>
    <w:p w:rsidR="000809FD" w:rsidRPr="000809FD" w:rsidRDefault="000809FD" w:rsidP="000809FD">
      <w:pPr>
        <w:spacing w:after="0" w:line="276" w:lineRule="auto"/>
        <w:jc w:val="left"/>
        <w:rPr>
          <w:rFonts w:ascii="Arial" w:eastAsia="Times New Roman" w:hAnsi="Arial" w:cs="Arial"/>
          <w:sz w:val="24"/>
          <w:szCs w:val="24"/>
        </w:rPr>
      </w:pPr>
    </w:p>
    <w:p w:rsidR="0051256A" w:rsidRDefault="0051256A" w:rsidP="0051256A">
      <w:pPr>
        <w:pStyle w:val="ListParagraph"/>
        <w:numPr>
          <w:ilvl w:val="0"/>
          <w:numId w:val="31"/>
        </w:numPr>
        <w:spacing w:after="0" w:line="276" w:lineRule="auto"/>
        <w:jc w:val="left"/>
        <w:rPr>
          <w:rFonts w:ascii="Arial" w:eastAsia="Times New Roman" w:hAnsi="Arial" w:cs="Arial"/>
          <w:sz w:val="24"/>
          <w:szCs w:val="24"/>
        </w:rPr>
      </w:pPr>
      <w:r w:rsidRPr="00BE05F6">
        <w:rPr>
          <w:rFonts w:ascii="Arial" w:eastAsia="Times New Roman" w:hAnsi="Arial" w:cs="Arial"/>
          <w:sz w:val="24"/>
          <w:szCs w:val="24"/>
        </w:rPr>
        <w:t>Please quantify the amount reflected in the DVA Continuity Schedule, and the column where it is included.</w:t>
      </w:r>
    </w:p>
    <w:p w:rsidR="000809FD" w:rsidRDefault="000809FD" w:rsidP="000809FD">
      <w:pPr>
        <w:spacing w:after="0" w:line="276" w:lineRule="auto"/>
        <w:jc w:val="left"/>
        <w:rPr>
          <w:rFonts w:ascii="Arial" w:eastAsia="Times New Roman" w:hAnsi="Arial" w:cs="Arial"/>
          <w:sz w:val="24"/>
          <w:szCs w:val="24"/>
        </w:rPr>
      </w:pPr>
    </w:p>
    <w:p w:rsidR="00481004" w:rsidRPr="00481004" w:rsidRDefault="00481004" w:rsidP="00481004">
      <w:pPr>
        <w:pStyle w:val="ListParagraph"/>
        <w:spacing w:after="0" w:line="276" w:lineRule="auto"/>
        <w:ind w:left="1440" w:hanging="1440"/>
        <w:jc w:val="left"/>
        <w:rPr>
          <w:rFonts w:ascii="Arial" w:eastAsia="Times New Roman" w:hAnsi="Arial" w:cs="Arial"/>
          <w:sz w:val="24"/>
          <w:szCs w:val="24"/>
        </w:rPr>
      </w:pPr>
      <w:r w:rsidRPr="00481004">
        <w:rPr>
          <w:rFonts w:ascii="Arial" w:hAnsi="Arial" w:cs="Arial"/>
          <w:b/>
          <w:bCs/>
          <w:sz w:val="24"/>
          <w:szCs w:val="24"/>
          <w:u w:val="single"/>
        </w:rPr>
        <w:t>Kenora Response:</w:t>
      </w:r>
    </w:p>
    <w:p w:rsidR="000809FD" w:rsidRDefault="000809FD" w:rsidP="000809FD">
      <w:pPr>
        <w:spacing w:after="0" w:line="276" w:lineRule="auto"/>
        <w:jc w:val="left"/>
        <w:rPr>
          <w:rFonts w:ascii="Arial" w:eastAsia="Times New Roman" w:hAnsi="Arial" w:cs="Arial"/>
          <w:sz w:val="24"/>
          <w:szCs w:val="24"/>
        </w:rPr>
      </w:pPr>
    </w:p>
    <w:p w:rsidR="000809FD" w:rsidRDefault="00A47F0C" w:rsidP="000809FD">
      <w:pPr>
        <w:spacing w:after="0" w:line="276" w:lineRule="auto"/>
        <w:jc w:val="left"/>
        <w:rPr>
          <w:rFonts w:ascii="Arial" w:eastAsia="Times New Roman" w:hAnsi="Arial" w:cs="Arial"/>
          <w:sz w:val="24"/>
          <w:szCs w:val="24"/>
        </w:rPr>
      </w:pPr>
      <w:r>
        <w:rPr>
          <w:rFonts w:ascii="Arial" w:eastAsia="Times New Roman" w:hAnsi="Arial" w:cs="Arial"/>
          <w:sz w:val="24"/>
          <w:szCs w:val="24"/>
        </w:rPr>
        <w:t xml:space="preserve">The annual true up to Account </w:t>
      </w:r>
      <w:r w:rsidR="00C4579B">
        <w:rPr>
          <w:rFonts w:ascii="Arial" w:eastAsia="Times New Roman" w:hAnsi="Arial" w:cs="Arial"/>
          <w:sz w:val="24"/>
          <w:szCs w:val="24"/>
        </w:rPr>
        <w:t xml:space="preserve">1589 : </w:t>
      </w:r>
      <w:r w:rsidR="009B5683">
        <w:rPr>
          <w:rFonts w:ascii="Arial" w:eastAsia="Times New Roman" w:hAnsi="Arial" w:cs="Arial"/>
          <w:sz w:val="24"/>
          <w:szCs w:val="24"/>
        </w:rPr>
        <w:t xml:space="preserve">DR </w:t>
      </w:r>
      <w:r w:rsidR="00C4579B">
        <w:rPr>
          <w:rFonts w:ascii="Arial" w:eastAsia="Times New Roman" w:hAnsi="Arial" w:cs="Arial"/>
          <w:sz w:val="24"/>
          <w:szCs w:val="24"/>
        </w:rPr>
        <w:t xml:space="preserve"> $304,795</w:t>
      </w:r>
      <w:r>
        <w:rPr>
          <w:rFonts w:ascii="Arial" w:eastAsia="Times New Roman" w:hAnsi="Arial" w:cs="Arial"/>
          <w:sz w:val="24"/>
          <w:szCs w:val="24"/>
        </w:rPr>
        <w:t>,</w:t>
      </w:r>
      <w:r w:rsidR="00C4579B">
        <w:rPr>
          <w:rFonts w:ascii="Arial" w:eastAsia="Times New Roman" w:hAnsi="Arial" w:cs="Arial"/>
          <w:sz w:val="24"/>
          <w:szCs w:val="24"/>
        </w:rPr>
        <w:t xml:space="preserve"> is included in column BD, Transactions Debit/(Credit) during 2017.</w:t>
      </w:r>
    </w:p>
    <w:p w:rsidR="00C4579B" w:rsidRDefault="00C4579B" w:rsidP="000809FD">
      <w:pPr>
        <w:spacing w:after="0" w:line="276" w:lineRule="auto"/>
        <w:jc w:val="left"/>
        <w:rPr>
          <w:rFonts w:ascii="Arial" w:eastAsia="Times New Roman" w:hAnsi="Arial" w:cs="Arial"/>
          <w:sz w:val="24"/>
          <w:szCs w:val="24"/>
        </w:rPr>
      </w:pPr>
    </w:p>
    <w:p w:rsidR="0051256A" w:rsidRPr="00BE05F6" w:rsidRDefault="0051256A" w:rsidP="0051256A">
      <w:pPr>
        <w:pStyle w:val="ListParagraph"/>
        <w:spacing w:after="0" w:line="276" w:lineRule="auto"/>
        <w:ind w:left="1440"/>
        <w:rPr>
          <w:rFonts w:ascii="Arial" w:eastAsia="Times New Roman" w:hAnsi="Arial" w:cs="Arial"/>
          <w:sz w:val="24"/>
          <w:szCs w:val="24"/>
        </w:rPr>
      </w:pPr>
    </w:p>
    <w:p w:rsidR="0051256A" w:rsidRDefault="0051256A" w:rsidP="0051256A">
      <w:pPr>
        <w:pStyle w:val="ListParagraph"/>
        <w:numPr>
          <w:ilvl w:val="0"/>
          <w:numId w:val="28"/>
        </w:numPr>
        <w:spacing w:after="0" w:line="276" w:lineRule="auto"/>
        <w:jc w:val="left"/>
        <w:rPr>
          <w:rFonts w:ascii="Arial" w:eastAsia="Times New Roman" w:hAnsi="Arial" w:cs="Arial"/>
          <w:sz w:val="24"/>
          <w:szCs w:val="24"/>
        </w:rPr>
      </w:pPr>
      <w:r>
        <w:rPr>
          <w:rFonts w:ascii="Arial" w:eastAsia="Times New Roman" w:hAnsi="Arial" w:cs="Arial"/>
          <w:sz w:val="24"/>
          <w:szCs w:val="24"/>
        </w:rPr>
        <w:t>Questions regarding principal adjustments and reversals on the DVA Continuity Schedule:</w:t>
      </w:r>
    </w:p>
    <w:p w:rsidR="0051256A" w:rsidRDefault="0051256A" w:rsidP="0051256A">
      <w:pPr>
        <w:spacing w:after="0" w:line="276" w:lineRule="auto"/>
        <w:ind w:left="720"/>
        <w:rPr>
          <w:rFonts w:ascii="Arial" w:eastAsia="Times New Roman" w:hAnsi="Arial" w:cs="Arial"/>
          <w:sz w:val="24"/>
          <w:szCs w:val="24"/>
        </w:rPr>
      </w:pPr>
    </w:p>
    <w:p w:rsidR="0051256A" w:rsidRPr="00550838" w:rsidRDefault="0051256A" w:rsidP="0051256A">
      <w:pPr>
        <w:spacing w:after="0" w:line="276" w:lineRule="auto"/>
        <w:ind w:left="720"/>
        <w:rPr>
          <w:rFonts w:ascii="Arial" w:eastAsia="Times New Roman" w:hAnsi="Arial" w:cs="Arial"/>
          <w:sz w:val="24"/>
          <w:szCs w:val="24"/>
          <w:u w:val="single"/>
        </w:rPr>
      </w:pPr>
      <w:r>
        <w:rPr>
          <w:rFonts w:ascii="Arial" w:eastAsia="Times New Roman" w:hAnsi="Arial" w:cs="Arial"/>
          <w:sz w:val="24"/>
          <w:szCs w:val="24"/>
          <w:u w:val="single"/>
        </w:rPr>
        <w:t>Questions on Principal Adjustments - Accounts 1588 and 1589</w:t>
      </w:r>
    </w:p>
    <w:p w:rsidR="0051256A" w:rsidRDefault="0051256A" w:rsidP="0051256A">
      <w:pPr>
        <w:pStyle w:val="ListParagraph"/>
        <w:numPr>
          <w:ilvl w:val="0"/>
          <w:numId w:val="30"/>
        </w:numPr>
        <w:spacing w:after="0" w:line="276" w:lineRule="auto"/>
        <w:jc w:val="left"/>
        <w:rPr>
          <w:rFonts w:ascii="Arial" w:eastAsia="Times New Roman" w:hAnsi="Arial" w:cs="Arial"/>
          <w:sz w:val="24"/>
          <w:szCs w:val="24"/>
        </w:rPr>
      </w:pPr>
      <w:r>
        <w:rPr>
          <w:rFonts w:ascii="Arial" w:eastAsia="Times New Roman" w:hAnsi="Arial" w:cs="Arial"/>
          <w:sz w:val="24"/>
          <w:szCs w:val="24"/>
        </w:rPr>
        <w:t>Did the applicant have principal adjustments in its 2018 rate proceeding which were approved for disposition?</w:t>
      </w:r>
    </w:p>
    <w:p w:rsidR="00E21C93" w:rsidRDefault="00E21C93" w:rsidP="00E21C93">
      <w:pPr>
        <w:pStyle w:val="ListParagraph"/>
        <w:spacing w:after="0" w:line="276" w:lineRule="auto"/>
        <w:ind w:left="1440" w:hanging="1440"/>
        <w:jc w:val="left"/>
        <w:rPr>
          <w:rFonts w:ascii="Arial" w:hAnsi="Arial" w:cs="Arial"/>
          <w:b/>
          <w:bCs/>
          <w:sz w:val="24"/>
          <w:szCs w:val="24"/>
          <w:u w:val="single"/>
        </w:rPr>
      </w:pPr>
    </w:p>
    <w:p w:rsidR="00481004" w:rsidRPr="00481004" w:rsidRDefault="00481004" w:rsidP="00E21C93">
      <w:pPr>
        <w:pStyle w:val="ListParagraph"/>
        <w:spacing w:after="0" w:line="276" w:lineRule="auto"/>
        <w:ind w:left="1440" w:hanging="1440"/>
        <w:jc w:val="left"/>
        <w:rPr>
          <w:rFonts w:ascii="Arial" w:eastAsia="Times New Roman" w:hAnsi="Arial" w:cs="Arial"/>
          <w:sz w:val="24"/>
          <w:szCs w:val="24"/>
        </w:rPr>
      </w:pPr>
      <w:r w:rsidRPr="00481004">
        <w:rPr>
          <w:rFonts w:ascii="Arial" w:hAnsi="Arial" w:cs="Arial"/>
          <w:b/>
          <w:bCs/>
          <w:sz w:val="24"/>
          <w:szCs w:val="24"/>
          <w:u w:val="single"/>
        </w:rPr>
        <w:t>Kenora Response:</w:t>
      </w:r>
    </w:p>
    <w:p w:rsidR="000809FD" w:rsidRDefault="000809FD" w:rsidP="000809FD">
      <w:pPr>
        <w:spacing w:after="0" w:line="276" w:lineRule="auto"/>
        <w:jc w:val="left"/>
        <w:rPr>
          <w:rFonts w:ascii="Arial" w:eastAsia="Times New Roman" w:hAnsi="Arial" w:cs="Arial"/>
          <w:sz w:val="24"/>
          <w:szCs w:val="24"/>
        </w:rPr>
      </w:pPr>
    </w:p>
    <w:p w:rsidR="000809FD" w:rsidRDefault="008251B1" w:rsidP="000809FD">
      <w:pPr>
        <w:spacing w:after="0" w:line="276" w:lineRule="auto"/>
        <w:jc w:val="left"/>
        <w:rPr>
          <w:rFonts w:ascii="Arial" w:eastAsia="Times New Roman" w:hAnsi="Arial" w:cs="Arial"/>
          <w:sz w:val="24"/>
          <w:szCs w:val="24"/>
        </w:rPr>
      </w:pPr>
      <w:r>
        <w:rPr>
          <w:rFonts w:ascii="Arial" w:eastAsia="Times New Roman" w:hAnsi="Arial" w:cs="Arial"/>
          <w:sz w:val="24"/>
          <w:szCs w:val="24"/>
        </w:rPr>
        <w:t>Yes.</w:t>
      </w:r>
    </w:p>
    <w:p w:rsidR="000809FD" w:rsidRDefault="000809FD" w:rsidP="000809FD">
      <w:pPr>
        <w:spacing w:after="0" w:line="276" w:lineRule="auto"/>
        <w:jc w:val="left"/>
        <w:rPr>
          <w:rFonts w:ascii="Arial" w:eastAsia="Times New Roman" w:hAnsi="Arial" w:cs="Arial"/>
          <w:sz w:val="24"/>
          <w:szCs w:val="24"/>
        </w:rPr>
      </w:pPr>
    </w:p>
    <w:p w:rsidR="000809FD" w:rsidRPr="000809FD" w:rsidRDefault="000809FD" w:rsidP="000809FD">
      <w:pPr>
        <w:spacing w:after="0" w:line="276" w:lineRule="auto"/>
        <w:jc w:val="left"/>
        <w:rPr>
          <w:rFonts w:ascii="Arial" w:eastAsia="Times New Roman" w:hAnsi="Arial" w:cs="Arial"/>
          <w:sz w:val="24"/>
          <w:szCs w:val="24"/>
        </w:rPr>
      </w:pPr>
    </w:p>
    <w:p w:rsidR="0051256A" w:rsidRDefault="0051256A" w:rsidP="0051256A">
      <w:pPr>
        <w:pStyle w:val="ListParagraph"/>
        <w:numPr>
          <w:ilvl w:val="0"/>
          <w:numId w:val="30"/>
        </w:numPr>
        <w:spacing w:after="0" w:line="276" w:lineRule="auto"/>
        <w:jc w:val="left"/>
        <w:rPr>
          <w:rFonts w:ascii="Arial" w:eastAsia="Times New Roman" w:hAnsi="Arial" w:cs="Arial"/>
          <w:sz w:val="24"/>
          <w:szCs w:val="24"/>
        </w:rPr>
      </w:pPr>
      <w:r>
        <w:rPr>
          <w:rFonts w:ascii="Arial" w:eastAsia="Times New Roman" w:hAnsi="Arial" w:cs="Arial"/>
          <w:sz w:val="24"/>
          <w:szCs w:val="24"/>
        </w:rPr>
        <w:t>Please provide a break-down of the total amount of principal adjustments that were approved (e.g. true-up of unbilled (for 1589 only), true up of CT 1142, true up of CT 148 etc.).</w:t>
      </w:r>
    </w:p>
    <w:p w:rsidR="008251B1" w:rsidRDefault="008251B1" w:rsidP="008251B1">
      <w:pPr>
        <w:spacing w:after="0" w:line="276" w:lineRule="auto"/>
        <w:jc w:val="left"/>
        <w:rPr>
          <w:rFonts w:ascii="Arial" w:eastAsia="Times New Roman" w:hAnsi="Arial" w:cs="Arial"/>
          <w:sz w:val="24"/>
          <w:szCs w:val="24"/>
        </w:rPr>
      </w:pPr>
    </w:p>
    <w:p w:rsidR="008251B1" w:rsidRDefault="008251B1" w:rsidP="008251B1">
      <w:pPr>
        <w:spacing w:after="0" w:line="276" w:lineRule="auto"/>
        <w:jc w:val="left"/>
        <w:rPr>
          <w:rFonts w:ascii="Arial" w:eastAsia="Times New Roman" w:hAnsi="Arial" w:cs="Arial"/>
          <w:sz w:val="24"/>
          <w:szCs w:val="24"/>
        </w:rPr>
      </w:pPr>
    </w:p>
    <w:p w:rsidR="008251B1" w:rsidRDefault="008251B1" w:rsidP="008251B1">
      <w:pPr>
        <w:spacing w:after="0" w:line="276" w:lineRule="auto"/>
        <w:jc w:val="left"/>
        <w:rPr>
          <w:rFonts w:ascii="Arial" w:eastAsia="Times New Roman" w:hAnsi="Arial" w:cs="Arial"/>
          <w:sz w:val="24"/>
          <w:szCs w:val="24"/>
        </w:rPr>
      </w:pPr>
    </w:p>
    <w:p w:rsidR="008251B1" w:rsidRPr="008251B1" w:rsidRDefault="008251B1" w:rsidP="008251B1">
      <w:pPr>
        <w:spacing w:after="0" w:line="276" w:lineRule="auto"/>
        <w:jc w:val="left"/>
        <w:rPr>
          <w:rFonts w:ascii="Arial" w:eastAsia="Times New Roman" w:hAnsi="Arial" w:cs="Arial"/>
          <w:sz w:val="24"/>
          <w:szCs w:val="24"/>
        </w:rPr>
      </w:pPr>
    </w:p>
    <w:p w:rsidR="00E21C93" w:rsidRDefault="00E21C93" w:rsidP="00E21C93">
      <w:pPr>
        <w:pStyle w:val="ListParagraph"/>
        <w:spacing w:after="0" w:line="276" w:lineRule="auto"/>
        <w:ind w:left="1440"/>
        <w:jc w:val="left"/>
        <w:rPr>
          <w:rFonts w:ascii="Arial" w:hAnsi="Arial" w:cs="Arial"/>
          <w:b/>
          <w:bCs/>
          <w:sz w:val="24"/>
          <w:szCs w:val="24"/>
          <w:u w:val="single"/>
        </w:rPr>
      </w:pPr>
    </w:p>
    <w:p w:rsidR="00481004" w:rsidRPr="00481004" w:rsidRDefault="00481004" w:rsidP="00E21C93">
      <w:pPr>
        <w:pStyle w:val="ListParagraph"/>
        <w:spacing w:after="0" w:line="276" w:lineRule="auto"/>
        <w:ind w:left="1440" w:hanging="1440"/>
        <w:jc w:val="left"/>
        <w:rPr>
          <w:rFonts w:ascii="Arial" w:eastAsia="Times New Roman" w:hAnsi="Arial" w:cs="Arial"/>
          <w:sz w:val="24"/>
          <w:szCs w:val="24"/>
        </w:rPr>
      </w:pPr>
      <w:r w:rsidRPr="00481004">
        <w:rPr>
          <w:rFonts w:ascii="Arial" w:hAnsi="Arial" w:cs="Arial"/>
          <w:b/>
          <w:bCs/>
          <w:sz w:val="24"/>
          <w:szCs w:val="24"/>
          <w:u w:val="single"/>
        </w:rPr>
        <w:t>Kenora Response:</w:t>
      </w:r>
    </w:p>
    <w:p w:rsidR="000809FD" w:rsidRDefault="00254A8E" w:rsidP="000809FD">
      <w:pPr>
        <w:spacing w:after="0" w:line="276" w:lineRule="auto"/>
        <w:jc w:val="left"/>
        <w:rPr>
          <w:rFonts w:ascii="Arial" w:eastAsia="Times New Roman" w:hAnsi="Arial" w:cs="Arial"/>
          <w:sz w:val="24"/>
          <w:szCs w:val="24"/>
        </w:rPr>
      </w:pPr>
      <w:r>
        <w:rPr>
          <w:rFonts w:ascii="Arial" w:eastAsia="Times New Roman" w:hAnsi="Arial" w:cs="Arial"/>
          <w:sz w:val="24"/>
          <w:szCs w:val="24"/>
        </w:rPr>
        <w:t>Principal adjustments approved in 2018 were:</w:t>
      </w:r>
    </w:p>
    <w:p w:rsidR="00254A8E" w:rsidRDefault="00254A8E" w:rsidP="000809FD">
      <w:pPr>
        <w:spacing w:after="0" w:line="276" w:lineRule="auto"/>
        <w:jc w:val="left"/>
        <w:rPr>
          <w:rFonts w:ascii="Arial" w:eastAsia="Times New Roman" w:hAnsi="Arial" w:cs="Arial"/>
          <w:sz w:val="24"/>
          <w:szCs w:val="24"/>
        </w:rPr>
      </w:pPr>
    </w:p>
    <w:p w:rsidR="00A75FA7" w:rsidRDefault="00254A8E" w:rsidP="000809FD">
      <w:pPr>
        <w:spacing w:after="0" w:line="276" w:lineRule="auto"/>
        <w:jc w:val="left"/>
        <w:rPr>
          <w:rFonts w:ascii="Arial" w:eastAsia="Times New Roman" w:hAnsi="Arial" w:cs="Arial"/>
          <w:sz w:val="24"/>
          <w:szCs w:val="24"/>
        </w:rPr>
      </w:pPr>
      <w:r>
        <w:rPr>
          <w:rFonts w:ascii="Arial" w:eastAsia="Times New Roman" w:hAnsi="Arial" w:cs="Arial"/>
          <w:sz w:val="24"/>
          <w:szCs w:val="24"/>
        </w:rPr>
        <w:t xml:space="preserve">1588 : RSVA Power  </w:t>
      </w:r>
      <w:r w:rsidR="009B5683">
        <w:rPr>
          <w:rFonts w:ascii="Arial" w:eastAsia="Times New Roman" w:hAnsi="Arial" w:cs="Arial"/>
          <w:sz w:val="24"/>
          <w:szCs w:val="24"/>
        </w:rPr>
        <w:t>$195,719</w:t>
      </w:r>
    </w:p>
    <w:p w:rsidR="009B5683" w:rsidRDefault="009B5683" w:rsidP="000809FD">
      <w:pPr>
        <w:spacing w:after="0" w:line="276" w:lineRule="auto"/>
        <w:jc w:val="left"/>
        <w:rPr>
          <w:rFonts w:ascii="Arial" w:eastAsia="Times New Roman" w:hAnsi="Arial" w:cs="Arial"/>
          <w:sz w:val="24"/>
          <w:szCs w:val="24"/>
          <w:u w:val="single"/>
        </w:rPr>
      </w:pPr>
      <w:r>
        <w:rPr>
          <w:rFonts w:ascii="Arial" w:eastAsia="Times New Roman" w:hAnsi="Arial" w:cs="Arial"/>
          <w:sz w:val="24"/>
          <w:szCs w:val="24"/>
        </w:rPr>
        <w:t xml:space="preserve">1588 : RSVA Power  </w:t>
      </w:r>
      <w:r w:rsidRPr="009B5683">
        <w:rPr>
          <w:rFonts w:ascii="Arial" w:eastAsia="Times New Roman" w:hAnsi="Arial" w:cs="Arial"/>
          <w:sz w:val="24"/>
          <w:szCs w:val="24"/>
          <w:u w:val="single"/>
        </w:rPr>
        <w:t>$  33,554</w:t>
      </w:r>
    </w:p>
    <w:p w:rsidR="009B5683" w:rsidRPr="009B5683" w:rsidRDefault="009B5683" w:rsidP="000809FD">
      <w:pPr>
        <w:spacing w:after="0" w:line="276" w:lineRule="auto"/>
        <w:jc w:val="left"/>
        <w:rPr>
          <w:rFonts w:ascii="Arial" w:eastAsia="Times New Roman" w:hAnsi="Arial" w:cs="Arial"/>
          <w:sz w:val="24"/>
          <w:szCs w:val="24"/>
          <w:u w:val="double"/>
        </w:rPr>
      </w:pP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 xml:space="preserve"> </w:t>
      </w:r>
      <w:r w:rsidRPr="009B5683">
        <w:rPr>
          <w:rFonts w:ascii="Arial" w:eastAsia="Times New Roman" w:hAnsi="Arial" w:cs="Arial"/>
          <w:sz w:val="24"/>
          <w:szCs w:val="24"/>
          <w:u w:val="double"/>
        </w:rPr>
        <w:t>$229,273</w:t>
      </w:r>
    </w:p>
    <w:p w:rsidR="009B5683" w:rsidRDefault="009B5683" w:rsidP="000809FD">
      <w:pPr>
        <w:spacing w:after="0" w:line="276" w:lineRule="auto"/>
        <w:jc w:val="left"/>
        <w:rPr>
          <w:rFonts w:ascii="Arial" w:eastAsia="Times New Roman" w:hAnsi="Arial" w:cs="Arial"/>
          <w:sz w:val="24"/>
          <w:szCs w:val="24"/>
        </w:rPr>
      </w:pPr>
    </w:p>
    <w:p w:rsidR="00254A8E" w:rsidRDefault="00254A8E" w:rsidP="000809FD">
      <w:pPr>
        <w:spacing w:after="0" w:line="276" w:lineRule="auto"/>
        <w:jc w:val="left"/>
        <w:rPr>
          <w:rFonts w:ascii="Arial" w:eastAsia="Times New Roman" w:hAnsi="Arial" w:cs="Arial"/>
          <w:sz w:val="24"/>
          <w:szCs w:val="24"/>
        </w:rPr>
      </w:pPr>
      <w:r>
        <w:rPr>
          <w:rFonts w:ascii="Arial" w:eastAsia="Times New Roman" w:hAnsi="Arial" w:cs="Arial"/>
          <w:sz w:val="24"/>
          <w:szCs w:val="24"/>
        </w:rPr>
        <w:lastRenderedPageBreak/>
        <w:t>1589 : RSVA Global Adjustment</w:t>
      </w:r>
      <w:r w:rsidR="00A75FA7">
        <w:rPr>
          <w:rFonts w:ascii="Arial" w:eastAsia="Times New Roman" w:hAnsi="Arial" w:cs="Arial"/>
          <w:sz w:val="24"/>
          <w:szCs w:val="24"/>
        </w:rPr>
        <w:t xml:space="preserve">  ($33,554)</w:t>
      </w:r>
      <w:r>
        <w:rPr>
          <w:rFonts w:ascii="Arial" w:eastAsia="Times New Roman" w:hAnsi="Arial" w:cs="Arial"/>
          <w:sz w:val="24"/>
          <w:szCs w:val="24"/>
        </w:rPr>
        <w:t xml:space="preserve">  </w:t>
      </w:r>
    </w:p>
    <w:p w:rsidR="000809FD" w:rsidRPr="000809FD" w:rsidRDefault="000809FD" w:rsidP="000809FD">
      <w:pPr>
        <w:spacing w:after="0" w:line="276" w:lineRule="auto"/>
        <w:jc w:val="left"/>
        <w:rPr>
          <w:rFonts w:ascii="Arial" w:eastAsia="Times New Roman" w:hAnsi="Arial" w:cs="Arial"/>
          <w:sz w:val="24"/>
          <w:szCs w:val="24"/>
        </w:rPr>
      </w:pPr>
    </w:p>
    <w:p w:rsidR="0051256A" w:rsidRDefault="0051256A" w:rsidP="0051256A">
      <w:pPr>
        <w:pStyle w:val="ListParagraph"/>
        <w:numPr>
          <w:ilvl w:val="0"/>
          <w:numId w:val="30"/>
        </w:numPr>
        <w:spacing w:after="0" w:line="276" w:lineRule="auto"/>
        <w:jc w:val="left"/>
        <w:rPr>
          <w:rFonts w:ascii="Arial" w:eastAsia="Times New Roman" w:hAnsi="Arial" w:cs="Arial"/>
          <w:sz w:val="24"/>
          <w:szCs w:val="24"/>
        </w:rPr>
      </w:pPr>
      <w:r>
        <w:rPr>
          <w:rFonts w:ascii="Arial" w:eastAsia="Times New Roman" w:hAnsi="Arial" w:cs="Arial"/>
          <w:sz w:val="24"/>
          <w:szCs w:val="24"/>
        </w:rPr>
        <w:t>Has the applicant reversed the adjustment approved in 2018 in its current proposed amount for disposition?</w:t>
      </w:r>
    </w:p>
    <w:p w:rsidR="00022876" w:rsidRDefault="00022876" w:rsidP="00022876">
      <w:pPr>
        <w:pStyle w:val="ListParagraph"/>
        <w:spacing w:after="0" w:line="276" w:lineRule="auto"/>
        <w:ind w:left="1440"/>
        <w:jc w:val="left"/>
        <w:rPr>
          <w:rFonts w:ascii="Arial" w:eastAsia="Times New Roman" w:hAnsi="Arial" w:cs="Arial"/>
          <w:sz w:val="24"/>
          <w:szCs w:val="24"/>
        </w:rPr>
      </w:pPr>
    </w:p>
    <w:p w:rsidR="00481004" w:rsidRDefault="00481004" w:rsidP="00022876">
      <w:pPr>
        <w:pStyle w:val="ListParagraph"/>
        <w:spacing w:after="0" w:line="276" w:lineRule="auto"/>
        <w:ind w:left="1440"/>
        <w:jc w:val="left"/>
        <w:rPr>
          <w:rFonts w:ascii="Arial" w:eastAsia="Times New Roman" w:hAnsi="Arial" w:cs="Arial"/>
          <w:sz w:val="24"/>
          <w:szCs w:val="24"/>
        </w:rPr>
      </w:pPr>
    </w:p>
    <w:p w:rsidR="00481004" w:rsidRPr="00481004" w:rsidRDefault="00481004" w:rsidP="00481004">
      <w:pPr>
        <w:pStyle w:val="ListParagraph"/>
        <w:spacing w:after="0" w:line="276" w:lineRule="auto"/>
        <w:ind w:left="1440" w:hanging="1440"/>
        <w:jc w:val="left"/>
        <w:rPr>
          <w:rFonts w:ascii="Arial" w:eastAsia="Times New Roman" w:hAnsi="Arial" w:cs="Arial"/>
          <w:sz w:val="24"/>
          <w:szCs w:val="24"/>
        </w:rPr>
      </w:pPr>
      <w:r w:rsidRPr="00481004">
        <w:rPr>
          <w:rFonts w:ascii="Arial" w:hAnsi="Arial" w:cs="Arial"/>
          <w:b/>
          <w:bCs/>
          <w:sz w:val="24"/>
          <w:szCs w:val="24"/>
          <w:u w:val="single"/>
        </w:rPr>
        <w:t>Kenora Response:</w:t>
      </w:r>
    </w:p>
    <w:p w:rsidR="00481004" w:rsidRDefault="00481004" w:rsidP="000809FD">
      <w:pPr>
        <w:spacing w:after="0" w:line="276" w:lineRule="auto"/>
        <w:jc w:val="left"/>
        <w:rPr>
          <w:rFonts w:ascii="Arial" w:eastAsia="Times New Roman" w:hAnsi="Arial" w:cs="Arial"/>
          <w:sz w:val="24"/>
          <w:szCs w:val="24"/>
        </w:rPr>
      </w:pPr>
    </w:p>
    <w:p w:rsidR="00A75FA7" w:rsidRDefault="00A75FA7" w:rsidP="000809FD">
      <w:pPr>
        <w:spacing w:after="0" w:line="276" w:lineRule="auto"/>
        <w:jc w:val="left"/>
        <w:rPr>
          <w:rFonts w:ascii="Arial" w:eastAsia="Times New Roman" w:hAnsi="Arial" w:cs="Arial"/>
          <w:sz w:val="24"/>
          <w:szCs w:val="24"/>
        </w:rPr>
      </w:pPr>
      <w:r>
        <w:rPr>
          <w:rFonts w:ascii="Arial" w:eastAsia="Times New Roman" w:hAnsi="Arial" w:cs="Arial"/>
          <w:sz w:val="24"/>
          <w:szCs w:val="24"/>
        </w:rPr>
        <w:t xml:space="preserve">The </w:t>
      </w:r>
      <w:r w:rsidR="008B6607">
        <w:rPr>
          <w:rFonts w:ascii="Arial" w:eastAsia="Times New Roman" w:hAnsi="Arial" w:cs="Arial"/>
          <w:sz w:val="24"/>
          <w:szCs w:val="24"/>
        </w:rPr>
        <w:t xml:space="preserve">debit adjustment of $33,554 in 1588 and the corresponding </w:t>
      </w:r>
      <w:r>
        <w:rPr>
          <w:rFonts w:ascii="Arial" w:eastAsia="Times New Roman" w:hAnsi="Arial" w:cs="Arial"/>
          <w:sz w:val="24"/>
          <w:szCs w:val="24"/>
        </w:rPr>
        <w:t xml:space="preserve">credit adjustment of ($33,554) in 1589 are </w:t>
      </w:r>
      <w:r w:rsidR="00F077A9">
        <w:rPr>
          <w:rFonts w:ascii="Arial" w:eastAsia="Times New Roman" w:hAnsi="Arial" w:cs="Arial"/>
          <w:sz w:val="24"/>
          <w:szCs w:val="24"/>
        </w:rPr>
        <w:t>not and will not be</w:t>
      </w:r>
      <w:r>
        <w:rPr>
          <w:rFonts w:ascii="Arial" w:eastAsia="Times New Roman" w:hAnsi="Arial" w:cs="Arial"/>
          <w:sz w:val="24"/>
          <w:szCs w:val="24"/>
        </w:rPr>
        <w:t xml:space="preserve"> reversed, as they are a permanent correction of a noted mispost between the two RSVA accounts.  </w:t>
      </w:r>
    </w:p>
    <w:p w:rsidR="00A75FA7" w:rsidRDefault="00A75FA7" w:rsidP="000809FD">
      <w:pPr>
        <w:spacing w:after="0" w:line="276" w:lineRule="auto"/>
        <w:jc w:val="left"/>
        <w:rPr>
          <w:rFonts w:ascii="Arial" w:eastAsia="Times New Roman" w:hAnsi="Arial" w:cs="Arial"/>
          <w:sz w:val="24"/>
          <w:szCs w:val="24"/>
        </w:rPr>
      </w:pPr>
    </w:p>
    <w:p w:rsidR="008B6607" w:rsidRDefault="00A75FA7" w:rsidP="000809FD">
      <w:pPr>
        <w:spacing w:after="0" w:line="276" w:lineRule="auto"/>
        <w:jc w:val="left"/>
        <w:rPr>
          <w:rFonts w:ascii="Arial" w:eastAsia="Times New Roman" w:hAnsi="Arial" w:cs="Arial"/>
          <w:sz w:val="24"/>
          <w:szCs w:val="24"/>
        </w:rPr>
      </w:pPr>
      <w:r>
        <w:rPr>
          <w:rFonts w:ascii="Arial" w:eastAsia="Times New Roman" w:hAnsi="Arial" w:cs="Arial"/>
          <w:sz w:val="24"/>
          <w:szCs w:val="24"/>
        </w:rPr>
        <w:t>T</w:t>
      </w:r>
      <w:r w:rsidR="00254A8E">
        <w:rPr>
          <w:rFonts w:ascii="Arial" w:eastAsia="Times New Roman" w:hAnsi="Arial" w:cs="Arial"/>
          <w:sz w:val="24"/>
          <w:szCs w:val="24"/>
        </w:rPr>
        <w:t xml:space="preserve">he </w:t>
      </w:r>
      <w:r w:rsidR="00BE7294">
        <w:rPr>
          <w:rFonts w:ascii="Arial" w:eastAsia="Times New Roman" w:hAnsi="Arial" w:cs="Arial"/>
          <w:sz w:val="24"/>
          <w:szCs w:val="24"/>
        </w:rPr>
        <w:t xml:space="preserve">debit </w:t>
      </w:r>
      <w:r>
        <w:rPr>
          <w:rFonts w:ascii="Arial" w:eastAsia="Times New Roman" w:hAnsi="Arial" w:cs="Arial"/>
          <w:sz w:val="24"/>
          <w:szCs w:val="24"/>
        </w:rPr>
        <w:t>adjustment of $195,719</w:t>
      </w:r>
      <w:r w:rsidR="007A6A64">
        <w:rPr>
          <w:rFonts w:ascii="Arial" w:eastAsia="Times New Roman" w:hAnsi="Arial" w:cs="Arial"/>
          <w:sz w:val="24"/>
          <w:szCs w:val="24"/>
        </w:rPr>
        <w:t xml:space="preserve">, done to move the </w:t>
      </w:r>
      <w:r w:rsidR="004F1EC5">
        <w:rPr>
          <w:rFonts w:ascii="Arial" w:eastAsia="Times New Roman" w:hAnsi="Arial" w:cs="Arial"/>
          <w:sz w:val="24"/>
          <w:szCs w:val="24"/>
        </w:rPr>
        <w:t xml:space="preserve">additional </w:t>
      </w:r>
      <w:r w:rsidR="007A6A64">
        <w:rPr>
          <w:rFonts w:ascii="Arial" w:eastAsia="Times New Roman" w:hAnsi="Arial" w:cs="Arial"/>
          <w:sz w:val="24"/>
          <w:szCs w:val="24"/>
        </w:rPr>
        <w:t>A/P to IESO from Dec 2016 for the Fixed Rate Settlement,</w:t>
      </w:r>
      <w:r>
        <w:rPr>
          <w:rFonts w:ascii="Arial" w:eastAsia="Times New Roman" w:hAnsi="Arial" w:cs="Arial"/>
          <w:sz w:val="24"/>
          <w:szCs w:val="24"/>
        </w:rPr>
        <w:t xml:space="preserve"> </w:t>
      </w:r>
      <w:r w:rsidR="004F1EC5">
        <w:rPr>
          <w:rFonts w:ascii="Arial" w:eastAsia="Times New Roman" w:hAnsi="Arial" w:cs="Arial"/>
          <w:sz w:val="24"/>
          <w:szCs w:val="24"/>
        </w:rPr>
        <w:t xml:space="preserve">due to unbilled </w:t>
      </w:r>
      <w:r w:rsidR="00B73D75">
        <w:rPr>
          <w:rFonts w:ascii="Arial" w:eastAsia="Times New Roman" w:hAnsi="Arial" w:cs="Arial"/>
          <w:sz w:val="24"/>
          <w:szCs w:val="24"/>
        </w:rPr>
        <w:t xml:space="preserve">revenue </w:t>
      </w:r>
      <w:r w:rsidR="004F1EC5">
        <w:rPr>
          <w:rFonts w:ascii="Arial" w:eastAsia="Times New Roman" w:hAnsi="Arial" w:cs="Arial"/>
          <w:sz w:val="24"/>
          <w:szCs w:val="24"/>
        </w:rPr>
        <w:t xml:space="preserve">adjustments, </w:t>
      </w:r>
      <w:r w:rsidR="00876C1B">
        <w:rPr>
          <w:rFonts w:ascii="Arial" w:eastAsia="Times New Roman" w:hAnsi="Arial" w:cs="Arial"/>
          <w:sz w:val="24"/>
          <w:szCs w:val="24"/>
        </w:rPr>
        <w:t>is</w:t>
      </w:r>
      <w:r w:rsidR="007A6A64">
        <w:rPr>
          <w:rFonts w:ascii="Arial" w:eastAsia="Times New Roman" w:hAnsi="Arial" w:cs="Arial"/>
          <w:sz w:val="24"/>
          <w:szCs w:val="24"/>
        </w:rPr>
        <w:t xml:space="preserve"> reversed in </w:t>
      </w:r>
      <w:r w:rsidR="00F077A9">
        <w:rPr>
          <w:rFonts w:ascii="Arial" w:eastAsia="Times New Roman" w:hAnsi="Arial" w:cs="Arial"/>
          <w:sz w:val="24"/>
          <w:szCs w:val="24"/>
        </w:rPr>
        <w:t xml:space="preserve">the GL in </w:t>
      </w:r>
      <w:r w:rsidR="007A6A64">
        <w:rPr>
          <w:rFonts w:ascii="Arial" w:eastAsia="Times New Roman" w:hAnsi="Arial" w:cs="Arial"/>
          <w:sz w:val="24"/>
          <w:szCs w:val="24"/>
        </w:rPr>
        <w:t>2017</w:t>
      </w:r>
      <w:r w:rsidR="00C17ECE">
        <w:rPr>
          <w:rFonts w:ascii="Arial" w:eastAsia="Times New Roman" w:hAnsi="Arial" w:cs="Arial"/>
          <w:sz w:val="24"/>
          <w:szCs w:val="24"/>
        </w:rPr>
        <w:t xml:space="preserve">.  </w:t>
      </w:r>
    </w:p>
    <w:p w:rsidR="008B6607" w:rsidRDefault="008B6607" w:rsidP="000809FD">
      <w:pPr>
        <w:spacing w:after="0" w:line="276" w:lineRule="auto"/>
        <w:jc w:val="left"/>
        <w:rPr>
          <w:rFonts w:ascii="Arial" w:eastAsia="Times New Roman" w:hAnsi="Arial" w:cs="Arial"/>
          <w:sz w:val="24"/>
          <w:szCs w:val="24"/>
        </w:rPr>
      </w:pPr>
    </w:p>
    <w:p w:rsidR="0051256A" w:rsidRDefault="0051256A" w:rsidP="0051256A">
      <w:pPr>
        <w:pStyle w:val="ListParagraph"/>
        <w:numPr>
          <w:ilvl w:val="0"/>
          <w:numId w:val="30"/>
        </w:numPr>
        <w:spacing w:after="0" w:line="276" w:lineRule="auto"/>
        <w:jc w:val="left"/>
        <w:rPr>
          <w:rFonts w:ascii="Arial" w:eastAsia="Times New Roman" w:hAnsi="Arial" w:cs="Arial"/>
          <w:sz w:val="24"/>
          <w:szCs w:val="24"/>
        </w:rPr>
      </w:pPr>
      <w:r>
        <w:rPr>
          <w:rFonts w:ascii="Arial" w:eastAsia="Times New Roman" w:hAnsi="Arial" w:cs="Arial"/>
          <w:sz w:val="24"/>
          <w:szCs w:val="24"/>
        </w:rPr>
        <w:t>Please provide a breakdown of the amounts shown under principal adjustments in the DVA Continuity Schedule filed in the current proceeding, including the reversals and the new true up amounts regarding 2017 true ups.</w:t>
      </w:r>
    </w:p>
    <w:p w:rsidR="00E21C93" w:rsidRDefault="00E21C93" w:rsidP="00E21C93">
      <w:pPr>
        <w:pStyle w:val="ListParagraph"/>
        <w:spacing w:after="0" w:line="276" w:lineRule="auto"/>
        <w:ind w:left="1440" w:hanging="1440"/>
        <w:jc w:val="left"/>
        <w:rPr>
          <w:rFonts w:ascii="Arial" w:hAnsi="Arial" w:cs="Arial"/>
          <w:b/>
          <w:bCs/>
          <w:sz w:val="24"/>
          <w:szCs w:val="24"/>
          <w:u w:val="single"/>
        </w:rPr>
      </w:pPr>
    </w:p>
    <w:p w:rsidR="00481004" w:rsidRPr="00481004" w:rsidRDefault="00481004" w:rsidP="00E21C93">
      <w:pPr>
        <w:pStyle w:val="ListParagraph"/>
        <w:spacing w:after="0" w:line="276" w:lineRule="auto"/>
        <w:ind w:left="1440" w:hanging="1440"/>
        <w:jc w:val="left"/>
        <w:rPr>
          <w:rFonts w:ascii="Arial" w:eastAsia="Times New Roman" w:hAnsi="Arial" w:cs="Arial"/>
          <w:sz w:val="24"/>
          <w:szCs w:val="24"/>
        </w:rPr>
      </w:pPr>
      <w:r w:rsidRPr="00481004">
        <w:rPr>
          <w:rFonts w:ascii="Arial" w:hAnsi="Arial" w:cs="Arial"/>
          <w:b/>
          <w:bCs/>
          <w:sz w:val="24"/>
          <w:szCs w:val="24"/>
          <w:u w:val="single"/>
        </w:rPr>
        <w:t>Kenora Response:</w:t>
      </w:r>
    </w:p>
    <w:p w:rsidR="000809FD" w:rsidRDefault="000809FD" w:rsidP="000809FD">
      <w:pPr>
        <w:spacing w:after="0" w:line="276" w:lineRule="auto"/>
        <w:jc w:val="left"/>
        <w:rPr>
          <w:rFonts w:ascii="Arial" w:eastAsia="Times New Roman" w:hAnsi="Arial" w:cs="Arial"/>
          <w:sz w:val="24"/>
          <w:szCs w:val="24"/>
        </w:rPr>
      </w:pPr>
    </w:p>
    <w:p w:rsidR="004F1EC5" w:rsidRDefault="004F1EC5" w:rsidP="000809FD">
      <w:pPr>
        <w:spacing w:after="0" w:line="276" w:lineRule="auto"/>
        <w:jc w:val="left"/>
        <w:rPr>
          <w:rFonts w:ascii="Arial" w:eastAsia="Times New Roman" w:hAnsi="Arial" w:cs="Arial"/>
          <w:sz w:val="24"/>
          <w:szCs w:val="24"/>
        </w:rPr>
      </w:pPr>
      <w:r>
        <w:rPr>
          <w:rFonts w:ascii="Arial" w:eastAsia="Times New Roman" w:hAnsi="Arial" w:cs="Arial"/>
          <w:sz w:val="24"/>
          <w:szCs w:val="24"/>
        </w:rPr>
        <w:t>In the current proceeding, the following are adjustments to principal :</w:t>
      </w:r>
    </w:p>
    <w:p w:rsidR="004F1EC5" w:rsidRDefault="004F1EC5" w:rsidP="000809FD">
      <w:pPr>
        <w:spacing w:after="0" w:line="276" w:lineRule="auto"/>
        <w:jc w:val="left"/>
        <w:rPr>
          <w:rFonts w:ascii="Arial" w:eastAsia="Times New Roman" w:hAnsi="Arial" w:cs="Arial"/>
          <w:sz w:val="24"/>
          <w:szCs w:val="24"/>
        </w:rPr>
      </w:pPr>
    </w:p>
    <w:p w:rsidR="004F1EC5" w:rsidRDefault="005F79EE" w:rsidP="000809FD">
      <w:pPr>
        <w:spacing w:after="0" w:line="276" w:lineRule="auto"/>
        <w:jc w:val="left"/>
        <w:rPr>
          <w:rFonts w:ascii="Arial" w:eastAsia="Times New Roman" w:hAnsi="Arial" w:cs="Arial"/>
          <w:sz w:val="24"/>
          <w:szCs w:val="24"/>
        </w:rPr>
      </w:pPr>
      <w:r>
        <w:rPr>
          <w:rFonts w:ascii="Arial" w:eastAsia="Times New Roman" w:hAnsi="Arial" w:cs="Arial"/>
          <w:sz w:val="24"/>
          <w:szCs w:val="24"/>
        </w:rPr>
        <w:t>1588</w:t>
      </w:r>
      <w:r w:rsidR="004F1EC5">
        <w:rPr>
          <w:rFonts w:ascii="Arial" w:eastAsia="Times New Roman" w:hAnsi="Arial" w:cs="Arial"/>
          <w:sz w:val="24"/>
          <w:szCs w:val="24"/>
        </w:rPr>
        <w:t xml:space="preserve"> </w:t>
      </w:r>
      <w:r>
        <w:rPr>
          <w:rFonts w:ascii="Arial" w:eastAsia="Times New Roman" w:hAnsi="Arial" w:cs="Arial"/>
          <w:sz w:val="24"/>
          <w:szCs w:val="24"/>
        </w:rPr>
        <w:t>:</w:t>
      </w:r>
      <w:r w:rsidR="004F1EC5">
        <w:rPr>
          <w:rFonts w:ascii="Arial" w:eastAsia="Times New Roman" w:hAnsi="Arial" w:cs="Arial"/>
          <w:sz w:val="24"/>
          <w:szCs w:val="24"/>
        </w:rPr>
        <w:t xml:space="preserve"> ($34,676)</w:t>
      </w:r>
    </w:p>
    <w:p w:rsidR="00191631" w:rsidRDefault="004F1EC5" w:rsidP="000809FD">
      <w:pPr>
        <w:spacing w:after="0" w:line="276" w:lineRule="auto"/>
        <w:jc w:val="left"/>
        <w:rPr>
          <w:rFonts w:ascii="Arial" w:eastAsia="Times New Roman" w:hAnsi="Arial" w:cs="Arial"/>
          <w:sz w:val="24"/>
          <w:szCs w:val="24"/>
        </w:rPr>
      </w:pPr>
      <w:r>
        <w:rPr>
          <w:rFonts w:ascii="Arial" w:eastAsia="Times New Roman" w:hAnsi="Arial" w:cs="Arial"/>
          <w:sz w:val="24"/>
          <w:szCs w:val="24"/>
        </w:rPr>
        <w:t xml:space="preserve">1589 :  $34,676  </w:t>
      </w:r>
      <w:r w:rsidR="005F79EE">
        <w:rPr>
          <w:rFonts w:ascii="Arial" w:eastAsia="Times New Roman" w:hAnsi="Arial" w:cs="Arial"/>
          <w:sz w:val="24"/>
          <w:szCs w:val="24"/>
        </w:rPr>
        <w:t xml:space="preserve">  </w:t>
      </w:r>
    </w:p>
    <w:p w:rsidR="000809FD" w:rsidRDefault="000809FD" w:rsidP="000809FD">
      <w:pPr>
        <w:spacing w:after="0" w:line="276" w:lineRule="auto"/>
        <w:jc w:val="left"/>
        <w:rPr>
          <w:rFonts w:ascii="Arial" w:eastAsia="Times New Roman" w:hAnsi="Arial" w:cs="Arial"/>
          <w:sz w:val="24"/>
          <w:szCs w:val="24"/>
        </w:rPr>
      </w:pPr>
    </w:p>
    <w:p w:rsidR="00F077A9" w:rsidRDefault="004F1EC5" w:rsidP="000809FD">
      <w:pPr>
        <w:spacing w:after="0" w:line="276" w:lineRule="auto"/>
        <w:jc w:val="left"/>
        <w:rPr>
          <w:rFonts w:ascii="Arial" w:eastAsia="Times New Roman" w:hAnsi="Arial" w:cs="Arial"/>
          <w:sz w:val="24"/>
          <w:szCs w:val="24"/>
        </w:rPr>
      </w:pPr>
      <w:r>
        <w:rPr>
          <w:rFonts w:ascii="Arial" w:eastAsia="Times New Roman" w:hAnsi="Arial" w:cs="Arial"/>
          <w:sz w:val="24"/>
          <w:szCs w:val="24"/>
        </w:rPr>
        <w:t>This adjustment is needed to permanently correct a misallocat</w:t>
      </w:r>
      <w:r w:rsidR="00865936">
        <w:rPr>
          <w:rFonts w:ascii="Arial" w:eastAsia="Times New Roman" w:hAnsi="Arial" w:cs="Arial"/>
          <w:sz w:val="24"/>
          <w:szCs w:val="24"/>
        </w:rPr>
        <w:t xml:space="preserve">ion between the 2 accounts.  </w:t>
      </w:r>
    </w:p>
    <w:p w:rsidR="00F077A9" w:rsidRDefault="00F077A9">
      <w:pPr>
        <w:rPr>
          <w:rFonts w:ascii="Arial" w:eastAsia="Times New Roman" w:hAnsi="Arial" w:cs="Arial"/>
          <w:sz w:val="24"/>
          <w:szCs w:val="24"/>
        </w:rPr>
      </w:pPr>
      <w:r>
        <w:rPr>
          <w:rFonts w:ascii="Arial" w:eastAsia="Times New Roman" w:hAnsi="Arial" w:cs="Arial"/>
          <w:sz w:val="24"/>
          <w:szCs w:val="24"/>
        </w:rPr>
        <w:br w:type="page"/>
      </w:r>
    </w:p>
    <w:p w:rsidR="004F1EC5" w:rsidRPr="000809FD" w:rsidRDefault="004F1EC5" w:rsidP="000809FD">
      <w:pPr>
        <w:spacing w:after="0" w:line="276" w:lineRule="auto"/>
        <w:jc w:val="left"/>
        <w:rPr>
          <w:rFonts w:ascii="Arial" w:eastAsia="Times New Roman" w:hAnsi="Arial" w:cs="Arial"/>
          <w:sz w:val="24"/>
          <w:szCs w:val="24"/>
        </w:rPr>
      </w:pPr>
    </w:p>
    <w:p w:rsidR="0051256A" w:rsidRDefault="0051256A" w:rsidP="0051256A">
      <w:pPr>
        <w:pStyle w:val="ListParagraph"/>
        <w:numPr>
          <w:ilvl w:val="0"/>
          <w:numId w:val="30"/>
        </w:numPr>
        <w:spacing w:after="0" w:line="276" w:lineRule="auto"/>
        <w:jc w:val="left"/>
        <w:rPr>
          <w:rFonts w:ascii="Arial" w:eastAsia="Times New Roman" w:hAnsi="Arial" w:cs="Arial"/>
          <w:sz w:val="24"/>
          <w:szCs w:val="24"/>
        </w:rPr>
      </w:pPr>
      <w:r>
        <w:rPr>
          <w:rFonts w:ascii="Arial" w:eastAsia="Times New Roman" w:hAnsi="Arial" w:cs="Arial"/>
          <w:sz w:val="24"/>
          <w:szCs w:val="24"/>
        </w:rPr>
        <w:t xml:space="preserve">Do the amount calculated in </w:t>
      </w:r>
      <w:r w:rsidRPr="00A235E0">
        <w:rPr>
          <w:rFonts w:ascii="Arial" w:eastAsia="Times New Roman" w:hAnsi="Arial" w:cs="Arial"/>
          <w:sz w:val="24"/>
          <w:szCs w:val="24"/>
        </w:rPr>
        <w:t>part d. above</w:t>
      </w:r>
      <w:r>
        <w:rPr>
          <w:rFonts w:ascii="Arial" w:eastAsia="Times New Roman" w:hAnsi="Arial" w:cs="Arial"/>
          <w:sz w:val="24"/>
          <w:szCs w:val="24"/>
        </w:rPr>
        <w:t xml:space="preserve"> reconcile to the applicant’s principal adjustments shown in the DVA Continuity Schedule for the current proceeding? If not, please provide an explanation.</w:t>
      </w:r>
    </w:p>
    <w:p w:rsidR="000809FD" w:rsidRDefault="000809FD" w:rsidP="000809FD">
      <w:pPr>
        <w:spacing w:after="0" w:line="276" w:lineRule="auto"/>
        <w:jc w:val="left"/>
        <w:rPr>
          <w:rFonts w:ascii="Arial" w:eastAsia="Times New Roman" w:hAnsi="Arial" w:cs="Arial"/>
          <w:sz w:val="24"/>
          <w:szCs w:val="24"/>
        </w:rPr>
      </w:pPr>
    </w:p>
    <w:p w:rsidR="00481004" w:rsidRPr="00481004" w:rsidRDefault="00481004" w:rsidP="00481004">
      <w:pPr>
        <w:pStyle w:val="ListParagraph"/>
        <w:spacing w:after="0" w:line="276" w:lineRule="auto"/>
        <w:ind w:left="1440" w:hanging="1440"/>
        <w:jc w:val="left"/>
        <w:rPr>
          <w:rFonts w:ascii="Arial" w:eastAsia="Times New Roman" w:hAnsi="Arial" w:cs="Arial"/>
          <w:sz w:val="24"/>
          <w:szCs w:val="24"/>
        </w:rPr>
      </w:pPr>
      <w:r w:rsidRPr="00481004">
        <w:rPr>
          <w:rFonts w:ascii="Arial" w:hAnsi="Arial" w:cs="Arial"/>
          <w:b/>
          <w:bCs/>
          <w:sz w:val="24"/>
          <w:szCs w:val="24"/>
          <w:u w:val="single"/>
        </w:rPr>
        <w:t>Kenora Response:</w:t>
      </w:r>
    </w:p>
    <w:p w:rsidR="00EA6884" w:rsidRDefault="00EA6884" w:rsidP="000809FD">
      <w:pPr>
        <w:spacing w:after="0" w:line="276" w:lineRule="auto"/>
        <w:jc w:val="left"/>
        <w:rPr>
          <w:rFonts w:ascii="Arial" w:eastAsia="Times New Roman" w:hAnsi="Arial" w:cs="Arial"/>
          <w:sz w:val="24"/>
          <w:szCs w:val="24"/>
        </w:rPr>
      </w:pPr>
    </w:p>
    <w:p w:rsidR="000809FD" w:rsidRDefault="00865936" w:rsidP="000809FD">
      <w:pPr>
        <w:spacing w:after="0" w:line="276" w:lineRule="auto"/>
        <w:jc w:val="left"/>
        <w:rPr>
          <w:rFonts w:ascii="Arial" w:eastAsia="Times New Roman" w:hAnsi="Arial" w:cs="Arial"/>
          <w:sz w:val="24"/>
          <w:szCs w:val="24"/>
        </w:rPr>
      </w:pPr>
      <w:r>
        <w:rPr>
          <w:rFonts w:ascii="Arial" w:eastAsia="Times New Roman" w:hAnsi="Arial" w:cs="Arial"/>
          <w:sz w:val="24"/>
          <w:szCs w:val="24"/>
        </w:rPr>
        <w:t>Yes.</w:t>
      </w:r>
    </w:p>
    <w:p w:rsidR="000809FD" w:rsidRPr="000809FD" w:rsidRDefault="000809FD" w:rsidP="000809FD">
      <w:pPr>
        <w:spacing w:after="0" w:line="276" w:lineRule="auto"/>
        <w:jc w:val="left"/>
        <w:rPr>
          <w:rFonts w:ascii="Arial" w:eastAsia="Times New Roman" w:hAnsi="Arial" w:cs="Arial"/>
          <w:sz w:val="24"/>
          <w:szCs w:val="24"/>
        </w:rPr>
      </w:pPr>
    </w:p>
    <w:p w:rsidR="0051256A" w:rsidRDefault="0051256A" w:rsidP="0051256A">
      <w:pPr>
        <w:pStyle w:val="ListParagraph"/>
        <w:numPr>
          <w:ilvl w:val="0"/>
          <w:numId w:val="30"/>
        </w:numPr>
        <w:spacing w:after="160" w:line="259" w:lineRule="auto"/>
        <w:jc w:val="left"/>
        <w:rPr>
          <w:rFonts w:ascii="Arial" w:eastAsia="Times New Roman" w:hAnsi="Arial" w:cs="Arial"/>
          <w:sz w:val="24"/>
          <w:szCs w:val="24"/>
        </w:rPr>
      </w:pPr>
      <w:r w:rsidRPr="000306EA">
        <w:rPr>
          <w:rFonts w:ascii="Arial" w:eastAsia="Times New Roman" w:hAnsi="Arial" w:cs="Arial"/>
          <w:sz w:val="24"/>
          <w:szCs w:val="24"/>
        </w:rPr>
        <w:t xml:space="preserve">Please confirm that the principal adjustments </w:t>
      </w:r>
      <w:r>
        <w:rPr>
          <w:rFonts w:ascii="Arial" w:eastAsia="Times New Roman" w:hAnsi="Arial" w:cs="Arial"/>
          <w:sz w:val="24"/>
          <w:szCs w:val="24"/>
        </w:rPr>
        <w:t>shown on the DVA Continuity Schedule a</w:t>
      </w:r>
      <w:r w:rsidRPr="000306EA">
        <w:rPr>
          <w:rFonts w:ascii="Arial" w:eastAsia="Times New Roman" w:hAnsi="Arial" w:cs="Arial"/>
          <w:sz w:val="24"/>
          <w:szCs w:val="24"/>
        </w:rPr>
        <w:t xml:space="preserve">re </w:t>
      </w:r>
      <w:r>
        <w:rPr>
          <w:rFonts w:ascii="Arial" w:eastAsia="Times New Roman" w:hAnsi="Arial" w:cs="Arial"/>
          <w:sz w:val="24"/>
          <w:szCs w:val="24"/>
        </w:rPr>
        <w:t>reflected</w:t>
      </w:r>
      <w:r w:rsidRPr="000306EA">
        <w:rPr>
          <w:rFonts w:ascii="Arial" w:eastAsia="Times New Roman" w:hAnsi="Arial" w:cs="Arial"/>
          <w:sz w:val="24"/>
          <w:szCs w:val="24"/>
        </w:rPr>
        <w:t xml:space="preserve"> in the GL </w:t>
      </w:r>
      <w:r>
        <w:rPr>
          <w:rFonts w:ascii="Arial" w:eastAsia="Times New Roman" w:hAnsi="Arial" w:cs="Arial"/>
          <w:sz w:val="24"/>
          <w:szCs w:val="24"/>
        </w:rPr>
        <w:t>transactions. As an example, the unbilled to actual true-up for 1589 would already be reflected in the applicant’s GL in the normal course of business. However, if a principal adjustment related to proportions between 1588 and 1589 was made, applicant must ensure that the GL reflects the movement between the two accounts.</w:t>
      </w:r>
    </w:p>
    <w:p w:rsidR="00865936" w:rsidRPr="00865936" w:rsidRDefault="00865936" w:rsidP="00865936">
      <w:pPr>
        <w:spacing w:after="160" w:line="259" w:lineRule="auto"/>
        <w:jc w:val="left"/>
        <w:rPr>
          <w:rFonts w:ascii="Arial" w:eastAsia="Times New Roman" w:hAnsi="Arial" w:cs="Arial"/>
          <w:sz w:val="24"/>
          <w:szCs w:val="24"/>
        </w:rPr>
      </w:pPr>
      <w:r>
        <w:rPr>
          <w:rFonts w:ascii="Arial" w:eastAsia="Times New Roman" w:hAnsi="Arial" w:cs="Arial"/>
          <w:sz w:val="24"/>
          <w:szCs w:val="24"/>
        </w:rPr>
        <w:t>.</w:t>
      </w:r>
    </w:p>
    <w:p w:rsidR="00E21C93" w:rsidRDefault="00E21C93" w:rsidP="00E21C93">
      <w:pPr>
        <w:pStyle w:val="ListParagraph"/>
        <w:spacing w:after="160" w:line="259" w:lineRule="auto"/>
        <w:ind w:left="1440"/>
        <w:jc w:val="left"/>
        <w:rPr>
          <w:rFonts w:ascii="Arial" w:eastAsia="Times New Roman" w:hAnsi="Arial" w:cs="Arial"/>
          <w:sz w:val="24"/>
          <w:szCs w:val="24"/>
        </w:rPr>
      </w:pPr>
    </w:p>
    <w:p w:rsidR="00481004" w:rsidRPr="00481004" w:rsidRDefault="00481004" w:rsidP="00E21C93">
      <w:pPr>
        <w:pStyle w:val="ListParagraph"/>
        <w:spacing w:after="0" w:line="276" w:lineRule="auto"/>
        <w:ind w:left="1440" w:hanging="1440"/>
        <w:jc w:val="left"/>
        <w:rPr>
          <w:rFonts w:ascii="Arial" w:eastAsia="Times New Roman" w:hAnsi="Arial" w:cs="Arial"/>
          <w:sz w:val="24"/>
          <w:szCs w:val="24"/>
        </w:rPr>
      </w:pPr>
      <w:r w:rsidRPr="00481004">
        <w:rPr>
          <w:rFonts w:ascii="Arial" w:hAnsi="Arial" w:cs="Arial"/>
          <w:b/>
          <w:bCs/>
          <w:sz w:val="24"/>
          <w:szCs w:val="24"/>
          <w:u w:val="single"/>
        </w:rPr>
        <w:t>Kenora Response:</w:t>
      </w:r>
    </w:p>
    <w:p w:rsidR="00481004" w:rsidRDefault="00481004" w:rsidP="00481004">
      <w:pPr>
        <w:spacing w:after="160" w:line="259" w:lineRule="auto"/>
        <w:jc w:val="left"/>
        <w:rPr>
          <w:rFonts w:ascii="Arial" w:eastAsia="Times New Roman" w:hAnsi="Arial" w:cs="Arial"/>
          <w:sz w:val="24"/>
          <w:szCs w:val="24"/>
        </w:rPr>
      </w:pPr>
    </w:p>
    <w:p w:rsidR="004C1A0F" w:rsidRDefault="004C1A0F" w:rsidP="00865936">
      <w:pPr>
        <w:spacing w:after="160" w:line="259" w:lineRule="auto"/>
        <w:jc w:val="left"/>
        <w:rPr>
          <w:sz w:val="32"/>
          <w:szCs w:val="32"/>
        </w:rPr>
      </w:pPr>
      <w:r>
        <w:rPr>
          <w:rFonts w:ascii="Arial" w:eastAsia="Times New Roman" w:hAnsi="Arial" w:cs="Arial"/>
          <w:sz w:val="24"/>
          <w:szCs w:val="24"/>
        </w:rPr>
        <w:t xml:space="preserve">Kenora confirms that the </w:t>
      </w:r>
      <w:r w:rsidR="002E4DA9">
        <w:rPr>
          <w:rFonts w:ascii="Arial" w:eastAsia="Times New Roman" w:hAnsi="Arial" w:cs="Arial"/>
          <w:sz w:val="24"/>
          <w:szCs w:val="24"/>
        </w:rPr>
        <w:t xml:space="preserve">2018 </w:t>
      </w:r>
      <w:r>
        <w:rPr>
          <w:rFonts w:ascii="Arial" w:eastAsia="Times New Roman" w:hAnsi="Arial" w:cs="Arial"/>
          <w:sz w:val="24"/>
          <w:szCs w:val="24"/>
        </w:rPr>
        <w:t xml:space="preserve">GL reflects the required </w:t>
      </w:r>
      <w:r w:rsidR="000154AD">
        <w:rPr>
          <w:rFonts w:ascii="Arial" w:eastAsia="Times New Roman" w:hAnsi="Arial" w:cs="Arial"/>
          <w:sz w:val="24"/>
          <w:szCs w:val="24"/>
        </w:rPr>
        <w:t xml:space="preserve">permanent </w:t>
      </w:r>
      <w:r>
        <w:rPr>
          <w:rFonts w:ascii="Arial" w:eastAsia="Times New Roman" w:hAnsi="Arial" w:cs="Arial"/>
          <w:sz w:val="24"/>
          <w:szCs w:val="24"/>
        </w:rPr>
        <w:t>movement between 1588 and 1589 of $3</w:t>
      </w:r>
      <w:r w:rsidR="00865936">
        <w:rPr>
          <w:rFonts w:ascii="Arial" w:eastAsia="Times New Roman" w:hAnsi="Arial" w:cs="Arial"/>
          <w:sz w:val="24"/>
          <w:szCs w:val="24"/>
        </w:rPr>
        <w:t>4</w:t>
      </w:r>
      <w:r>
        <w:rPr>
          <w:rFonts w:ascii="Arial" w:eastAsia="Times New Roman" w:hAnsi="Arial" w:cs="Arial"/>
          <w:sz w:val="24"/>
          <w:szCs w:val="24"/>
        </w:rPr>
        <w:t>,</w:t>
      </w:r>
      <w:r w:rsidR="00865936">
        <w:rPr>
          <w:rFonts w:ascii="Arial" w:eastAsia="Times New Roman" w:hAnsi="Arial" w:cs="Arial"/>
          <w:sz w:val="24"/>
          <w:szCs w:val="24"/>
        </w:rPr>
        <w:t>676</w:t>
      </w:r>
      <w:r>
        <w:rPr>
          <w:rFonts w:ascii="Arial" w:eastAsia="Times New Roman" w:hAnsi="Arial" w:cs="Arial"/>
          <w:sz w:val="24"/>
          <w:szCs w:val="24"/>
        </w:rPr>
        <w:t xml:space="preserve"> as stated in Pa</w:t>
      </w:r>
      <w:r w:rsidR="008D7CC2">
        <w:rPr>
          <w:rFonts w:ascii="Arial" w:eastAsia="Times New Roman" w:hAnsi="Arial" w:cs="Arial"/>
          <w:sz w:val="24"/>
          <w:szCs w:val="24"/>
        </w:rPr>
        <w:t>rt b) to correct a posing error detected after closing 2017 G/L.</w:t>
      </w:r>
    </w:p>
    <w:p w:rsidR="004C1A0F" w:rsidRDefault="004C1A0F" w:rsidP="009376F7">
      <w:pPr>
        <w:spacing w:line="276" w:lineRule="auto"/>
        <w:jc w:val="center"/>
        <w:rPr>
          <w:sz w:val="32"/>
          <w:szCs w:val="32"/>
        </w:rPr>
      </w:pPr>
    </w:p>
    <w:p w:rsidR="004C1A0F" w:rsidRDefault="004C1A0F" w:rsidP="009376F7">
      <w:pPr>
        <w:spacing w:line="276" w:lineRule="auto"/>
        <w:jc w:val="center"/>
        <w:rPr>
          <w:sz w:val="32"/>
          <w:szCs w:val="32"/>
        </w:rPr>
      </w:pPr>
    </w:p>
    <w:p w:rsidR="004C1A0F" w:rsidRDefault="004C1A0F" w:rsidP="009376F7">
      <w:pPr>
        <w:spacing w:line="276" w:lineRule="auto"/>
        <w:jc w:val="center"/>
        <w:rPr>
          <w:sz w:val="32"/>
          <w:szCs w:val="32"/>
        </w:rPr>
      </w:pPr>
    </w:p>
    <w:p w:rsidR="004C1A0F" w:rsidRDefault="004C1A0F" w:rsidP="009376F7">
      <w:pPr>
        <w:spacing w:line="276" w:lineRule="auto"/>
        <w:jc w:val="center"/>
        <w:rPr>
          <w:sz w:val="32"/>
          <w:szCs w:val="32"/>
        </w:rPr>
      </w:pPr>
    </w:p>
    <w:p w:rsidR="004C1A0F" w:rsidRDefault="004C1A0F" w:rsidP="009376F7">
      <w:pPr>
        <w:spacing w:line="276" w:lineRule="auto"/>
        <w:jc w:val="center"/>
        <w:rPr>
          <w:sz w:val="32"/>
          <w:szCs w:val="32"/>
        </w:rPr>
      </w:pPr>
    </w:p>
    <w:p w:rsidR="00ED47DE" w:rsidRDefault="00ED47DE" w:rsidP="009376F7">
      <w:pPr>
        <w:spacing w:line="276" w:lineRule="auto"/>
        <w:jc w:val="center"/>
        <w:rPr>
          <w:sz w:val="32"/>
          <w:szCs w:val="32"/>
        </w:rPr>
      </w:pPr>
    </w:p>
    <w:p w:rsidR="00ED47DE" w:rsidRDefault="00ED47DE" w:rsidP="009376F7">
      <w:pPr>
        <w:spacing w:line="276" w:lineRule="auto"/>
        <w:jc w:val="center"/>
        <w:rPr>
          <w:sz w:val="32"/>
          <w:szCs w:val="32"/>
        </w:rPr>
      </w:pPr>
    </w:p>
    <w:p w:rsidR="00ED47DE" w:rsidRDefault="00ED47DE" w:rsidP="009376F7">
      <w:pPr>
        <w:spacing w:line="276" w:lineRule="auto"/>
        <w:jc w:val="center"/>
        <w:rPr>
          <w:sz w:val="32"/>
          <w:szCs w:val="32"/>
        </w:rPr>
      </w:pPr>
    </w:p>
    <w:p w:rsidR="00120FD2" w:rsidRDefault="00120FD2" w:rsidP="00ED47DE">
      <w:pPr>
        <w:spacing w:line="276" w:lineRule="auto"/>
        <w:jc w:val="center"/>
        <w:rPr>
          <w:sz w:val="32"/>
          <w:szCs w:val="32"/>
        </w:rPr>
      </w:pPr>
    </w:p>
    <w:p w:rsidR="00120FD2" w:rsidRDefault="00120FD2" w:rsidP="00ED47DE">
      <w:pPr>
        <w:spacing w:line="276" w:lineRule="auto"/>
        <w:jc w:val="center"/>
        <w:rPr>
          <w:sz w:val="32"/>
          <w:szCs w:val="32"/>
        </w:rPr>
      </w:pPr>
    </w:p>
    <w:p w:rsidR="00120FD2" w:rsidRDefault="00120FD2" w:rsidP="00ED47DE">
      <w:pPr>
        <w:spacing w:line="276" w:lineRule="auto"/>
        <w:jc w:val="center"/>
        <w:rPr>
          <w:sz w:val="32"/>
          <w:szCs w:val="32"/>
        </w:rPr>
      </w:pPr>
    </w:p>
    <w:p w:rsidR="00120FD2" w:rsidRDefault="00120FD2" w:rsidP="00ED47DE">
      <w:pPr>
        <w:spacing w:line="276" w:lineRule="auto"/>
        <w:jc w:val="center"/>
        <w:rPr>
          <w:sz w:val="32"/>
          <w:szCs w:val="32"/>
        </w:rPr>
      </w:pPr>
    </w:p>
    <w:p w:rsidR="00120FD2" w:rsidRDefault="00120FD2" w:rsidP="00ED47DE">
      <w:pPr>
        <w:spacing w:line="276" w:lineRule="auto"/>
        <w:jc w:val="center"/>
        <w:rPr>
          <w:sz w:val="32"/>
          <w:szCs w:val="32"/>
        </w:rPr>
      </w:pPr>
    </w:p>
    <w:p w:rsidR="00120FD2" w:rsidRDefault="00120FD2" w:rsidP="00ED47DE">
      <w:pPr>
        <w:spacing w:line="276" w:lineRule="auto"/>
        <w:jc w:val="center"/>
        <w:rPr>
          <w:sz w:val="32"/>
          <w:szCs w:val="32"/>
        </w:rPr>
      </w:pPr>
    </w:p>
    <w:p w:rsidR="00120FD2" w:rsidRDefault="00120FD2" w:rsidP="00ED47DE">
      <w:pPr>
        <w:spacing w:line="276" w:lineRule="auto"/>
        <w:jc w:val="center"/>
        <w:rPr>
          <w:sz w:val="32"/>
          <w:szCs w:val="32"/>
        </w:rPr>
      </w:pPr>
    </w:p>
    <w:p w:rsidR="00ED47DE" w:rsidRDefault="00ED47DE" w:rsidP="00ED47DE">
      <w:pPr>
        <w:spacing w:line="276" w:lineRule="auto"/>
        <w:jc w:val="center"/>
        <w:rPr>
          <w:sz w:val="32"/>
          <w:szCs w:val="32"/>
        </w:rPr>
      </w:pPr>
      <w:r>
        <w:rPr>
          <w:sz w:val="32"/>
          <w:szCs w:val="32"/>
        </w:rPr>
        <w:t>APPENDIX B</w:t>
      </w:r>
    </w:p>
    <w:p w:rsidR="00120FD2" w:rsidRDefault="00120FD2" w:rsidP="00ED47DE">
      <w:pPr>
        <w:spacing w:line="276" w:lineRule="auto"/>
        <w:jc w:val="center"/>
        <w:rPr>
          <w:sz w:val="32"/>
          <w:szCs w:val="32"/>
        </w:rPr>
      </w:pPr>
      <w:r>
        <w:rPr>
          <w:sz w:val="32"/>
          <w:szCs w:val="32"/>
        </w:rPr>
        <w:t>GA Analysis Workform</w:t>
      </w:r>
    </w:p>
    <w:p w:rsidR="00120FD2" w:rsidRDefault="00120FD2" w:rsidP="00ED47DE">
      <w:pPr>
        <w:spacing w:line="276" w:lineRule="auto"/>
        <w:jc w:val="center"/>
        <w:rPr>
          <w:sz w:val="32"/>
          <w:szCs w:val="32"/>
        </w:rPr>
      </w:pPr>
    </w:p>
    <w:p w:rsidR="00120FD2" w:rsidRDefault="00120FD2">
      <w:pPr>
        <w:rPr>
          <w:sz w:val="32"/>
          <w:szCs w:val="32"/>
        </w:rPr>
      </w:pPr>
      <w:r>
        <w:rPr>
          <w:sz w:val="32"/>
          <w:szCs w:val="32"/>
        </w:rPr>
        <w:br w:type="page"/>
      </w:r>
    </w:p>
    <w:p w:rsidR="00120FD2" w:rsidRDefault="00CF6960" w:rsidP="00CF6960">
      <w:pPr>
        <w:spacing w:line="276" w:lineRule="auto"/>
        <w:jc w:val="left"/>
        <w:rPr>
          <w:sz w:val="32"/>
          <w:szCs w:val="32"/>
        </w:rPr>
      </w:pPr>
      <w:r>
        <w:rPr>
          <w:sz w:val="32"/>
          <w:szCs w:val="32"/>
        </w:rPr>
        <w:lastRenderedPageBreak/>
        <w:t>Notes on GA Analysis Workform :</w:t>
      </w:r>
    </w:p>
    <w:p w:rsidR="00CF6960" w:rsidRPr="00D65552" w:rsidRDefault="00CF6960" w:rsidP="00CF6960">
      <w:pPr>
        <w:pStyle w:val="ListParagraph"/>
        <w:numPr>
          <w:ilvl w:val="0"/>
          <w:numId w:val="27"/>
        </w:numPr>
        <w:spacing w:line="276" w:lineRule="auto"/>
        <w:jc w:val="left"/>
        <w:rPr>
          <w:b/>
          <w:i/>
          <w:u w:val="single"/>
        </w:rPr>
      </w:pPr>
      <w:r>
        <w:t xml:space="preserve">The billing system allows a data pull for consumption which includes the unbilled portion of consumption by month.  As a result, there was no data available or purpose in attempting to break out the unbilled and reverse of prior month unbilled amounts by month in the table, columns G and H.  The Non-RPP Class B consumption inputs have already included the impact of reversing and including the monthly unbilled consumption.  </w:t>
      </w:r>
    </w:p>
    <w:p w:rsidR="00CF6960" w:rsidRPr="00C32BD5" w:rsidRDefault="00CF6960" w:rsidP="00CF6960">
      <w:pPr>
        <w:pStyle w:val="ListParagraph"/>
        <w:numPr>
          <w:ilvl w:val="0"/>
          <w:numId w:val="27"/>
        </w:numPr>
        <w:spacing w:line="276" w:lineRule="auto"/>
        <w:jc w:val="left"/>
        <w:rPr>
          <w:b/>
          <w:i/>
          <w:u w:val="single"/>
        </w:rPr>
      </w:pPr>
      <w:r>
        <w:t>All settlement true-ups have been noted in their respective years in the tables.</w:t>
      </w:r>
    </w:p>
    <w:p w:rsidR="00CF6960" w:rsidRPr="00B315D1" w:rsidRDefault="00CF6960" w:rsidP="00CF6960">
      <w:pPr>
        <w:pStyle w:val="ListParagraph"/>
        <w:numPr>
          <w:ilvl w:val="0"/>
          <w:numId w:val="27"/>
        </w:numPr>
        <w:spacing w:line="276" w:lineRule="auto"/>
        <w:jc w:val="left"/>
        <w:rPr>
          <w:b/>
          <w:i/>
          <w:u w:val="single"/>
        </w:rPr>
      </w:pPr>
      <w:r>
        <w:t xml:space="preserve">Cell K59 on the table indicates the </w:t>
      </w:r>
      <w:r w:rsidR="00B315D1">
        <w:t xml:space="preserve">expected change in </w:t>
      </w:r>
      <w:r>
        <w:t xml:space="preserve">GA </w:t>
      </w:r>
      <w:r w:rsidR="00B315D1">
        <w:t>RSVA 1589 for the year</w:t>
      </w:r>
      <w:r>
        <w:t>.  The change expected in Account 1589 from this worksheet was $23,221.  The actual change experienced in Account 1589 was ($42,790).  The adjustment shown in Cell D75, $34,676, corrects a posting in 2017 to reallocate between 1588 and 1589. This entry should not have been made, and this adjustment corrects for that entry.  This correction is made in Kenora Hydro’s GL in 2018 to permanently correct this error.  The impact of this on Account 1589 is included at Cell D75.</w:t>
      </w:r>
    </w:p>
    <w:p w:rsidR="00B315D1" w:rsidRPr="00234BB9" w:rsidRDefault="00B315D1" w:rsidP="00CF6960">
      <w:pPr>
        <w:pStyle w:val="ListParagraph"/>
        <w:numPr>
          <w:ilvl w:val="0"/>
          <w:numId w:val="27"/>
        </w:numPr>
        <w:spacing w:line="276" w:lineRule="auto"/>
        <w:jc w:val="left"/>
        <w:rPr>
          <w:b/>
          <w:i/>
          <w:u w:val="single"/>
        </w:rPr>
      </w:pPr>
      <w:r>
        <w:t>The resulting Unresolved Difference in this account is -0.8%.  No further investigation was performed on this account as the difference is less than 1%.</w:t>
      </w:r>
    </w:p>
    <w:p w:rsidR="00234BB9" w:rsidRPr="000F0E41" w:rsidRDefault="00234BB9" w:rsidP="00B315D1">
      <w:pPr>
        <w:pStyle w:val="ListParagraph"/>
        <w:spacing w:line="276" w:lineRule="auto"/>
        <w:ind w:left="768"/>
        <w:jc w:val="left"/>
        <w:rPr>
          <w:b/>
          <w:i/>
          <w:u w:val="single"/>
        </w:rPr>
      </w:pPr>
    </w:p>
    <w:p w:rsidR="00120FD2" w:rsidRDefault="00120FD2" w:rsidP="00ED47DE">
      <w:pPr>
        <w:spacing w:line="276" w:lineRule="auto"/>
        <w:jc w:val="center"/>
        <w:rPr>
          <w:sz w:val="32"/>
          <w:szCs w:val="32"/>
        </w:rPr>
      </w:pPr>
    </w:p>
    <w:p w:rsidR="00120FD2" w:rsidRDefault="00120FD2" w:rsidP="00ED47DE">
      <w:pPr>
        <w:spacing w:line="276" w:lineRule="auto"/>
        <w:jc w:val="center"/>
        <w:rPr>
          <w:sz w:val="32"/>
          <w:szCs w:val="32"/>
        </w:rPr>
      </w:pPr>
    </w:p>
    <w:p w:rsidR="00120FD2" w:rsidRDefault="00120FD2" w:rsidP="00ED47DE">
      <w:pPr>
        <w:spacing w:line="276" w:lineRule="auto"/>
        <w:jc w:val="center"/>
        <w:rPr>
          <w:sz w:val="32"/>
          <w:szCs w:val="32"/>
        </w:rPr>
      </w:pPr>
    </w:p>
    <w:p w:rsidR="00120FD2" w:rsidRDefault="00120FD2" w:rsidP="00ED47DE">
      <w:pPr>
        <w:spacing w:line="276" w:lineRule="auto"/>
        <w:jc w:val="center"/>
        <w:rPr>
          <w:sz w:val="32"/>
          <w:szCs w:val="32"/>
        </w:rPr>
      </w:pPr>
    </w:p>
    <w:p w:rsidR="00120FD2" w:rsidRDefault="00120FD2" w:rsidP="00ED47DE">
      <w:pPr>
        <w:spacing w:line="276" w:lineRule="auto"/>
        <w:jc w:val="center"/>
        <w:rPr>
          <w:sz w:val="32"/>
          <w:szCs w:val="32"/>
        </w:rPr>
      </w:pPr>
    </w:p>
    <w:p w:rsidR="00120FD2" w:rsidRDefault="00120FD2" w:rsidP="00ED47DE">
      <w:pPr>
        <w:spacing w:line="276" w:lineRule="auto"/>
        <w:jc w:val="center"/>
        <w:rPr>
          <w:sz w:val="32"/>
          <w:szCs w:val="32"/>
        </w:rPr>
      </w:pPr>
      <w:bookmarkStart w:id="0" w:name="_GoBack"/>
      <w:bookmarkEnd w:id="0"/>
    </w:p>
    <w:p w:rsidR="00F57004" w:rsidRDefault="00F57004">
      <w:pPr>
        <w:rPr>
          <w:sz w:val="32"/>
          <w:szCs w:val="32"/>
        </w:rPr>
      </w:pPr>
      <w:r>
        <w:rPr>
          <w:sz w:val="32"/>
          <w:szCs w:val="32"/>
        </w:rPr>
        <w:br w:type="page"/>
      </w:r>
    </w:p>
    <w:p w:rsidR="00F57004" w:rsidRDefault="00F57004" w:rsidP="00ED47DE">
      <w:pPr>
        <w:spacing w:line="276" w:lineRule="auto"/>
        <w:jc w:val="center"/>
        <w:rPr>
          <w:sz w:val="32"/>
          <w:szCs w:val="32"/>
        </w:rPr>
      </w:pPr>
    </w:p>
    <w:p w:rsidR="00F57004" w:rsidRDefault="00F57004" w:rsidP="00ED47DE">
      <w:pPr>
        <w:spacing w:line="276" w:lineRule="auto"/>
        <w:jc w:val="center"/>
        <w:rPr>
          <w:sz w:val="32"/>
          <w:szCs w:val="32"/>
        </w:rPr>
      </w:pPr>
    </w:p>
    <w:p w:rsidR="00F57004" w:rsidRDefault="00F57004" w:rsidP="00ED47DE">
      <w:pPr>
        <w:spacing w:line="276" w:lineRule="auto"/>
        <w:jc w:val="center"/>
        <w:rPr>
          <w:sz w:val="32"/>
          <w:szCs w:val="32"/>
        </w:rPr>
      </w:pPr>
    </w:p>
    <w:p w:rsidR="00F57004" w:rsidRDefault="00F57004" w:rsidP="00ED47DE">
      <w:pPr>
        <w:spacing w:line="276" w:lineRule="auto"/>
        <w:jc w:val="center"/>
        <w:rPr>
          <w:sz w:val="32"/>
          <w:szCs w:val="32"/>
        </w:rPr>
      </w:pPr>
    </w:p>
    <w:p w:rsidR="00F57004" w:rsidRDefault="00F57004" w:rsidP="00ED47DE">
      <w:pPr>
        <w:spacing w:line="276" w:lineRule="auto"/>
        <w:jc w:val="center"/>
        <w:rPr>
          <w:sz w:val="32"/>
          <w:szCs w:val="32"/>
        </w:rPr>
      </w:pPr>
    </w:p>
    <w:p w:rsidR="00F57004" w:rsidRDefault="00F57004" w:rsidP="00ED47DE">
      <w:pPr>
        <w:spacing w:line="276" w:lineRule="auto"/>
        <w:jc w:val="center"/>
        <w:rPr>
          <w:sz w:val="32"/>
          <w:szCs w:val="32"/>
        </w:rPr>
      </w:pPr>
    </w:p>
    <w:p w:rsidR="00F57004" w:rsidRDefault="00F57004" w:rsidP="00ED47DE">
      <w:pPr>
        <w:spacing w:line="276" w:lineRule="auto"/>
        <w:jc w:val="center"/>
        <w:rPr>
          <w:sz w:val="32"/>
          <w:szCs w:val="32"/>
        </w:rPr>
      </w:pPr>
    </w:p>
    <w:p w:rsidR="00120FD2" w:rsidRDefault="007B17BA" w:rsidP="00ED47DE">
      <w:pPr>
        <w:spacing w:line="276" w:lineRule="auto"/>
        <w:jc w:val="center"/>
        <w:rPr>
          <w:sz w:val="32"/>
          <w:szCs w:val="32"/>
        </w:rPr>
      </w:pPr>
      <w:r>
        <w:rPr>
          <w:sz w:val="32"/>
          <w:szCs w:val="32"/>
        </w:rPr>
        <w:t>APPENDIX C</w:t>
      </w:r>
    </w:p>
    <w:p w:rsidR="00120FD2" w:rsidRDefault="00120FD2" w:rsidP="00ED47DE">
      <w:pPr>
        <w:spacing w:line="276" w:lineRule="auto"/>
        <w:jc w:val="center"/>
        <w:rPr>
          <w:sz w:val="32"/>
          <w:szCs w:val="32"/>
        </w:rPr>
      </w:pPr>
      <w:r>
        <w:rPr>
          <w:sz w:val="32"/>
          <w:szCs w:val="32"/>
        </w:rPr>
        <w:t>KENORA 2019 IRM RATE GENERATOR</w:t>
      </w:r>
    </w:p>
    <w:p w:rsidR="00120FD2" w:rsidRPr="009376F7" w:rsidRDefault="00120FD2" w:rsidP="00ED47DE">
      <w:pPr>
        <w:spacing w:line="276" w:lineRule="auto"/>
        <w:jc w:val="center"/>
        <w:rPr>
          <w:sz w:val="32"/>
          <w:szCs w:val="32"/>
        </w:rPr>
      </w:pPr>
    </w:p>
    <w:p w:rsidR="00120FD2" w:rsidRDefault="00D1288F">
      <w:pPr>
        <w:rPr>
          <w:sz w:val="32"/>
          <w:szCs w:val="32"/>
        </w:rPr>
      </w:pPr>
      <w:r>
        <w:rPr>
          <w:sz w:val="32"/>
          <w:szCs w:val="32"/>
        </w:rPr>
        <w:t xml:space="preserve">     </w:t>
      </w:r>
    </w:p>
    <w:sectPr w:rsidR="00120FD2" w:rsidSect="00C95344">
      <w:headerReference w:type="default" r:id="rId14"/>
      <w:footerReference w:type="default" r:id="rId15"/>
      <w:footerReference w:type="first" r:id="rId16"/>
      <w:pgSz w:w="12240" w:h="15840"/>
      <w:pgMar w:top="1440" w:right="1440" w:bottom="634" w:left="1440" w:header="720" w:footer="720" w:gutter="0"/>
      <w:pgBorders w:offsetFrom="page">
        <w:top w:val="threeDEngrave" w:sz="24" w:space="24" w:color="auto"/>
        <w:left w:val="threeDEngrave" w:sz="24" w:space="24" w:color="auto"/>
        <w:bottom w:val="threeDEmboss" w:sz="24" w:space="24" w:color="auto"/>
        <w:right w:val="threeDEmboss" w:sz="24" w:space="24" w:color="auto"/>
      </w:pgBorders>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6337" w:rsidRDefault="000A6337" w:rsidP="009E593B">
      <w:pPr>
        <w:spacing w:after="0" w:line="240" w:lineRule="auto"/>
      </w:pPr>
      <w:r>
        <w:separator/>
      </w:r>
    </w:p>
  </w:endnote>
  <w:endnote w:type="continuationSeparator" w:id="0">
    <w:p w:rsidR="000A6337" w:rsidRDefault="000A6337" w:rsidP="009E59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080315"/>
      <w:docPartObj>
        <w:docPartGallery w:val="Page Numbers (Bottom of Page)"/>
        <w:docPartUnique/>
      </w:docPartObj>
    </w:sdtPr>
    <w:sdtEndPr/>
    <w:sdtContent>
      <w:p w:rsidR="000A6337" w:rsidRDefault="000A6337">
        <w:pPr>
          <w:pStyle w:val="Footer"/>
          <w:jc w:val="right"/>
        </w:pPr>
      </w:p>
      <w:p w:rsidR="000A6337" w:rsidRDefault="000A6337" w:rsidP="00360EC8">
        <w:pPr>
          <w:pStyle w:val="Footer"/>
          <w:pBdr>
            <w:top w:val="double" w:sz="4" w:space="1" w:color="95B3D7" w:themeColor="accent1" w:themeTint="99"/>
          </w:pBdr>
          <w:jc w:val="right"/>
        </w:pPr>
      </w:p>
      <w:p w:rsidR="000A6337" w:rsidRDefault="00870D45" w:rsidP="00360EC8">
        <w:pPr>
          <w:pStyle w:val="Footer"/>
          <w:pBdr>
            <w:top w:val="double" w:sz="4" w:space="1" w:color="95B3D7" w:themeColor="accent1" w:themeTint="99"/>
          </w:pBdr>
          <w:jc w:val="right"/>
        </w:pPr>
        <w:r>
          <w:fldChar w:fldCharType="begin"/>
        </w:r>
        <w:r>
          <w:instrText xml:space="preserve"> PAGE   \* MERGEFORMAT </w:instrText>
        </w:r>
        <w:r>
          <w:fldChar w:fldCharType="separate"/>
        </w:r>
        <w:r w:rsidR="001F0807">
          <w:rPr>
            <w:noProof/>
          </w:rPr>
          <w:t>23</w:t>
        </w:r>
        <w:r>
          <w:rPr>
            <w:noProof/>
          </w:rPr>
          <w:fldChar w:fldCharType="end"/>
        </w:r>
      </w:p>
    </w:sdtContent>
  </w:sdt>
  <w:p w:rsidR="000A6337" w:rsidRDefault="000A633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080313"/>
      <w:docPartObj>
        <w:docPartGallery w:val="Page Numbers (Bottom of Page)"/>
        <w:docPartUnique/>
      </w:docPartObj>
    </w:sdtPr>
    <w:sdtEndPr/>
    <w:sdtContent>
      <w:p w:rsidR="000A6337" w:rsidRDefault="001F0807">
        <w:pPr>
          <w:pStyle w:val="Footer"/>
          <w:jc w:val="right"/>
        </w:pPr>
      </w:p>
    </w:sdtContent>
  </w:sdt>
  <w:p w:rsidR="000A6337" w:rsidRDefault="000A63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6337" w:rsidRDefault="000A6337" w:rsidP="009E593B">
      <w:pPr>
        <w:spacing w:after="0" w:line="240" w:lineRule="auto"/>
      </w:pPr>
      <w:r>
        <w:separator/>
      </w:r>
    </w:p>
  </w:footnote>
  <w:footnote w:type="continuationSeparator" w:id="0">
    <w:p w:rsidR="000A6337" w:rsidRDefault="000A6337" w:rsidP="009E59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6337" w:rsidRDefault="000A6337" w:rsidP="009E593B">
    <w:pPr>
      <w:pStyle w:val="Header"/>
      <w:jc w:val="right"/>
      <w:rPr>
        <w:sz w:val="16"/>
        <w:szCs w:val="16"/>
      </w:rPr>
    </w:pPr>
    <w:r>
      <w:tab/>
    </w:r>
    <w:r>
      <w:tab/>
    </w:r>
    <w:r w:rsidRPr="00775148">
      <w:rPr>
        <w:sz w:val="16"/>
        <w:szCs w:val="16"/>
      </w:rPr>
      <w:t>Kenora Hydro Electric Corporation Ltd.</w:t>
    </w:r>
  </w:p>
  <w:p w:rsidR="000A6337" w:rsidRDefault="000A6337" w:rsidP="009E593B">
    <w:pPr>
      <w:pStyle w:val="Header"/>
      <w:jc w:val="right"/>
      <w:rPr>
        <w:sz w:val="16"/>
        <w:szCs w:val="16"/>
      </w:rPr>
    </w:pPr>
    <w:r>
      <w:rPr>
        <w:sz w:val="16"/>
        <w:szCs w:val="16"/>
      </w:rPr>
      <w:t>EB-201</w:t>
    </w:r>
    <w:r w:rsidR="009E621A">
      <w:rPr>
        <w:sz w:val="16"/>
        <w:szCs w:val="16"/>
      </w:rPr>
      <w:t>8</w:t>
    </w:r>
    <w:r>
      <w:rPr>
        <w:sz w:val="16"/>
        <w:szCs w:val="16"/>
      </w:rPr>
      <w:t>-</w:t>
    </w:r>
    <w:r w:rsidR="00513F6B">
      <w:rPr>
        <w:sz w:val="16"/>
        <w:szCs w:val="16"/>
      </w:rPr>
      <w:t>00</w:t>
    </w:r>
    <w:r w:rsidR="009E621A">
      <w:rPr>
        <w:sz w:val="16"/>
        <w:szCs w:val="16"/>
      </w:rPr>
      <w:t>46</w:t>
    </w:r>
  </w:p>
  <w:p w:rsidR="000A6337" w:rsidRDefault="000A6337" w:rsidP="009E593B">
    <w:pPr>
      <w:pStyle w:val="Header"/>
      <w:jc w:val="right"/>
      <w:rPr>
        <w:sz w:val="16"/>
        <w:szCs w:val="16"/>
      </w:rPr>
    </w:pPr>
    <w:r>
      <w:rPr>
        <w:sz w:val="16"/>
        <w:szCs w:val="16"/>
      </w:rPr>
      <w:t>201</w:t>
    </w:r>
    <w:r w:rsidR="009E621A">
      <w:rPr>
        <w:sz w:val="16"/>
        <w:szCs w:val="16"/>
      </w:rPr>
      <w:t>9</w:t>
    </w:r>
    <w:r w:rsidR="00513F6B">
      <w:rPr>
        <w:sz w:val="16"/>
        <w:szCs w:val="16"/>
      </w:rPr>
      <w:t xml:space="preserve"> Annual IR Index</w:t>
    </w:r>
  </w:p>
  <w:p w:rsidR="000A6337" w:rsidRDefault="000A6337" w:rsidP="00FE75D0">
    <w:pPr>
      <w:pStyle w:val="Header"/>
      <w:jc w:val="right"/>
      <w:rPr>
        <w:sz w:val="16"/>
        <w:szCs w:val="16"/>
      </w:rPr>
    </w:pPr>
    <w:r>
      <w:rPr>
        <w:sz w:val="16"/>
        <w:szCs w:val="16"/>
      </w:rPr>
      <w:t xml:space="preserve">Filed </w:t>
    </w:r>
    <w:r w:rsidR="009E621A">
      <w:rPr>
        <w:sz w:val="16"/>
        <w:szCs w:val="16"/>
      </w:rPr>
      <w:t>November 5</w:t>
    </w:r>
    <w:r w:rsidR="00672103">
      <w:rPr>
        <w:sz w:val="16"/>
        <w:szCs w:val="16"/>
      </w:rPr>
      <w:t>, 201</w:t>
    </w:r>
    <w:r w:rsidR="009E621A">
      <w:rPr>
        <w:sz w:val="16"/>
        <w:szCs w:val="16"/>
      </w:rPr>
      <w:t>8</w:t>
    </w:r>
  </w:p>
  <w:p w:rsidR="000A6337" w:rsidRDefault="000A6337" w:rsidP="00FE75D0">
    <w:pPr>
      <w:pStyle w:val="Header"/>
      <w:pBdr>
        <w:bottom w:val="double" w:sz="4" w:space="1" w:color="95B3D7" w:themeColor="accent1" w:themeTint="99"/>
      </w:pBdr>
      <w:jc w:val="right"/>
      <w:rPr>
        <w:sz w:val="16"/>
        <w:szCs w:val="16"/>
      </w:rPr>
    </w:pPr>
  </w:p>
  <w:p w:rsidR="000A6337" w:rsidRDefault="000A6337" w:rsidP="009E593B">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BD21375_"/>
      </v:shape>
    </w:pict>
  </w:numPicBullet>
  <w:abstractNum w:abstractNumId="0" w15:restartNumberingAfterBreak="0">
    <w:nsid w:val="097874D6"/>
    <w:multiLevelType w:val="hybridMultilevel"/>
    <w:tmpl w:val="1C043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C345FD"/>
    <w:multiLevelType w:val="hybridMultilevel"/>
    <w:tmpl w:val="709C6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F9721B"/>
    <w:multiLevelType w:val="hybridMultilevel"/>
    <w:tmpl w:val="AADE93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B814FE"/>
    <w:multiLevelType w:val="hybridMultilevel"/>
    <w:tmpl w:val="E3A61A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7326DB3"/>
    <w:multiLevelType w:val="hybridMultilevel"/>
    <w:tmpl w:val="68700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7140E9"/>
    <w:multiLevelType w:val="hybridMultilevel"/>
    <w:tmpl w:val="7F0A3DB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874BB1"/>
    <w:multiLevelType w:val="hybridMultilevel"/>
    <w:tmpl w:val="CB4013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504599"/>
    <w:multiLevelType w:val="hybridMultilevel"/>
    <w:tmpl w:val="85C6A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934B3C"/>
    <w:multiLevelType w:val="hybridMultilevel"/>
    <w:tmpl w:val="E89EA9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FA03B61"/>
    <w:multiLevelType w:val="hybridMultilevel"/>
    <w:tmpl w:val="76981A38"/>
    <w:lvl w:ilvl="0" w:tplc="D7EE4BF8">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CB4951"/>
    <w:multiLevelType w:val="hybridMultilevel"/>
    <w:tmpl w:val="C35C54C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E259B8"/>
    <w:multiLevelType w:val="hybridMultilevel"/>
    <w:tmpl w:val="718A553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D5348F8"/>
    <w:multiLevelType w:val="hybridMultilevel"/>
    <w:tmpl w:val="F922548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31363B7"/>
    <w:multiLevelType w:val="hybridMultilevel"/>
    <w:tmpl w:val="9C7E3B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9965A6"/>
    <w:multiLevelType w:val="hybridMultilevel"/>
    <w:tmpl w:val="B2666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CA7C69"/>
    <w:multiLevelType w:val="hybridMultilevel"/>
    <w:tmpl w:val="C8BC55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8D0BD4"/>
    <w:multiLevelType w:val="hybridMultilevel"/>
    <w:tmpl w:val="A19C72F6"/>
    <w:lvl w:ilvl="0" w:tplc="CE485EC8">
      <w:start w:val="2012"/>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8DA2738"/>
    <w:multiLevelType w:val="hybridMultilevel"/>
    <w:tmpl w:val="A0403BE0"/>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4FC803E4"/>
    <w:multiLevelType w:val="hybridMultilevel"/>
    <w:tmpl w:val="041C0AD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DD0188"/>
    <w:multiLevelType w:val="hybridMultilevel"/>
    <w:tmpl w:val="C43E1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EC0C64"/>
    <w:multiLevelType w:val="hybridMultilevel"/>
    <w:tmpl w:val="282C7B2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45B0166"/>
    <w:multiLevelType w:val="hybridMultilevel"/>
    <w:tmpl w:val="4436434E"/>
    <w:lvl w:ilvl="0" w:tplc="9A986532">
      <w:start w:val="1"/>
      <w:numFmt w:val="lowerLetter"/>
      <w:lvlText w:val="%1."/>
      <w:lvlJc w:val="left"/>
      <w:pPr>
        <w:ind w:left="1080" w:hanging="360"/>
      </w:pPr>
      <w:rPr>
        <w:rFonts w:ascii="Arial" w:hAnsi="Arial" w:cs="Arial" w:hint="default"/>
        <w:sz w:val="24"/>
        <w:szCs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D350ACE"/>
    <w:multiLevelType w:val="hybridMultilevel"/>
    <w:tmpl w:val="73F602E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CD11F3"/>
    <w:multiLevelType w:val="hybridMultilevel"/>
    <w:tmpl w:val="A0A6ACF0"/>
    <w:lvl w:ilvl="0" w:tplc="04090019">
      <w:start w:val="1"/>
      <w:numFmt w:val="lowerLetter"/>
      <w:lvlText w:val="%1."/>
      <w:lvlJc w:val="left"/>
      <w:pPr>
        <w:ind w:left="144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AB57699"/>
    <w:multiLevelType w:val="hybridMultilevel"/>
    <w:tmpl w:val="518AB3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ABD26B2"/>
    <w:multiLevelType w:val="hybridMultilevel"/>
    <w:tmpl w:val="7C6242C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6EAF6DE8"/>
    <w:multiLevelType w:val="hybridMultilevel"/>
    <w:tmpl w:val="3534859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7" w15:restartNumberingAfterBreak="0">
    <w:nsid w:val="7608750B"/>
    <w:multiLevelType w:val="hybridMultilevel"/>
    <w:tmpl w:val="DEB428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6336148"/>
    <w:multiLevelType w:val="hybridMultilevel"/>
    <w:tmpl w:val="BAACF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9882A35"/>
    <w:multiLevelType w:val="hybridMultilevel"/>
    <w:tmpl w:val="F9CA6DA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294CE6"/>
    <w:multiLevelType w:val="hybridMultilevel"/>
    <w:tmpl w:val="96B2C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14"/>
  </w:num>
  <w:num w:numId="4">
    <w:abstractNumId w:val="27"/>
  </w:num>
  <w:num w:numId="5">
    <w:abstractNumId w:val="8"/>
  </w:num>
  <w:num w:numId="6">
    <w:abstractNumId w:val="3"/>
  </w:num>
  <w:num w:numId="7">
    <w:abstractNumId w:val="24"/>
  </w:num>
  <w:num w:numId="8">
    <w:abstractNumId w:val="16"/>
  </w:num>
  <w:num w:numId="9">
    <w:abstractNumId w:val="19"/>
  </w:num>
  <w:num w:numId="10">
    <w:abstractNumId w:val="7"/>
  </w:num>
  <w:num w:numId="11">
    <w:abstractNumId w:val="9"/>
  </w:num>
  <w:num w:numId="12">
    <w:abstractNumId w:val="20"/>
  </w:num>
  <w:num w:numId="13">
    <w:abstractNumId w:val="17"/>
  </w:num>
  <w:num w:numId="14">
    <w:abstractNumId w:val="29"/>
  </w:num>
  <w:num w:numId="15">
    <w:abstractNumId w:val="11"/>
  </w:num>
  <w:num w:numId="16">
    <w:abstractNumId w:val="30"/>
  </w:num>
  <w:num w:numId="17">
    <w:abstractNumId w:val="22"/>
  </w:num>
  <w:num w:numId="18">
    <w:abstractNumId w:val="15"/>
  </w:num>
  <w:num w:numId="19">
    <w:abstractNumId w:val="5"/>
  </w:num>
  <w:num w:numId="20">
    <w:abstractNumId w:val="2"/>
  </w:num>
  <w:num w:numId="21">
    <w:abstractNumId w:val="6"/>
  </w:num>
  <w:num w:numId="22">
    <w:abstractNumId w:val="0"/>
  </w:num>
  <w:num w:numId="23">
    <w:abstractNumId w:val="12"/>
  </w:num>
  <w:num w:numId="24">
    <w:abstractNumId w:val="18"/>
  </w:num>
  <w:num w:numId="25">
    <w:abstractNumId w:val="10"/>
  </w:num>
  <w:num w:numId="26">
    <w:abstractNumId w:val="28"/>
  </w:num>
  <w:num w:numId="27">
    <w:abstractNumId w:val="26"/>
  </w:num>
  <w:num w:numId="28">
    <w:abstractNumId w:val="13"/>
  </w:num>
  <w:num w:numId="29">
    <w:abstractNumId w:val="21"/>
  </w:num>
  <w:num w:numId="30">
    <w:abstractNumId w:val="25"/>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3A2"/>
    <w:rsid w:val="000039B2"/>
    <w:rsid w:val="00003E82"/>
    <w:rsid w:val="00003FA0"/>
    <w:rsid w:val="000045DF"/>
    <w:rsid w:val="0001063C"/>
    <w:rsid w:val="00010C91"/>
    <w:rsid w:val="00013A44"/>
    <w:rsid w:val="000154AD"/>
    <w:rsid w:val="00020D4B"/>
    <w:rsid w:val="00022876"/>
    <w:rsid w:val="000321B7"/>
    <w:rsid w:val="000410DA"/>
    <w:rsid w:val="0005133F"/>
    <w:rsid w:val="00056B87"/>
    <w:rsid w:val="00057257"/>
    <w:rsid w:val="00064ECD"/>
    <w:rsid w:val="000715D2"/>
    <w:rsid w:val="000741F9"/>
    <w:rsid w:val="00074624"/>
    <w:rsid w:val="00075236"/>
    <w:rsid w:val="000809FD"/>
    <w:rsid w:val="00093B90"/>
    <w:rsid w:val="000A0EC9"/>
    <w:rsid w:val="000A2FB0"/>
    <w:rsid w:val="000A5108"/>
    <w:rsid w:val="000A6337"/>
    <w:rsid w:val="000B4A2F"/>
    <w:rsid w:val="000C16F4"/>
    <w:rsid w:val="000C3494"/>
    <w:rsid w:val="000C41DF"/>
    <w:rsid w:val="000C7209"/>
    <w:rsid w:val="000C7C28"/>
    <w:rsid w:val="000D3814"/>
    <w:rsid w:val="000D4AA5"/>
    <w:rsid w:val="000D6F1D"/>
    <w:rsid w:val="000E0A8E"/>
    <w:rsid w:val="000E5C5D"/>
    <w:rsid w:val="000F0E41"/>
    <w:rsid w:val="000F471F"/>
    <w:rsid w:val="00112297"/>
    <w:rsid w:val="00120FD2"/>
    <w:rsid w:val="001215DF"/>
    <w:rsid w:val="001266B2"/>
    <w:rsid w:val="001279AA"/>
    <w:rsid w:val="00130172"/>
    <w:rsid w:val="00130C1E"/>
    <w:rsid w:val="001325CA"/>
    <w:rsid w:val="001330E9"/>
    <w:rsid w:val="001377D4"/>
    <w:rsid w:val="001438C4"/>
    <w:rsid w:val="00144FDC"/>
    <w:rsid w:val="00147F0B"/>
    <w:rsid w:val="001544F2"/>
    <w:rsid w:val="001610FE"/>
    <w:rsid w:val="00161D9D"/>
    <w:rsid w:val="001635A0"/>
    <w:rsid w:val="0016761F"/>
    <w:rsid w:val="00191631"/>
    <w:rsid w:val="001A0020"/>
    <w:rsid w:val="001A3ED3"/>
    <w:rsid w:val="001B1C4C"/>
    <w:rsid w:val="001B22ED"/>
    <w:rsid w:val="001B3FCE"/>
    <w:rsid w:val="001D44E0"/>
    <w:rsid w:val="001D55F0"/>
    <w:rsid w:val="001F0807"/>
    <w:rsid w:val="0020215B"/>
    <w:rsid w:val="00202C86"/>
    <w:rsid w:val="00221A19"/>
    <w:rsid w:val="00227093"/>
    <w:rsid w:val="00234BB9"/>
    <w:rsid w:val="002446B7"/>
    <w:rsid w:val="00244F75"/>
    <w:rsid w:val="00252847"/>
    <w:rsid w:val="00254A8E"/>
    <w:rsid w:val="00255B32"/>
    <w:rsid w:val="00257E91"/>
    <w:rsid w:val="002607E1"/>
    <w:rsid w:val="00273E80"/>
    <w:rsid w:val="0027430E"/>
    <w:rsid w:val="00293BFC"/>
    <w:rsid w:val="00295B96"/>
    <w:rsid w:val="002A4005"/>
    <w:rsid w:val="002B3F44"/>
    <w:rsid w:val="002B5669"/>
    <w:rsid w:val="002B5CB2"/>
    <w:rsid w:val="002B5DA9"/>
    <w:rsid w:val="002B6DDF"/>
    <w:rsid w:val="002C4ECE"/>
    <w:rsid w:val="002D512C"/>
    <w:rsid w:val="002D5F55"/>
    <w:rsid w:val="002D7E83"/>
    <w:rsid w:val="002E064A"/>
    <w:rsid w:val="002E083C"/>
    <w:rsid w:val="002E4DA9"/>
    <w:rsid w:val="002F5A7F"/>
    <w:rsid w:val="00301C9C"/>
    <w:rsid w:val="00302176"/>
    <w:rsid w:val="0030688C"/>
    <w:rsid w:val="00310565"/>
    <w:rsid w:val="0031385F"/>
    <w:rsid w:val="00336135"/>
    <w:rsid w:val="00350ACF"/>
    <w:rsid w:val="00350CFB"/>
    <w:rsid w:val="003519A0"/>
    <w:rsid w:val="00360EC8"/>
    <w:rsid w:val="00365B90"/>
    <w:rsid w:val="00374366"/>
    <w:rsid w:val="0037664D"/>
    <w:rsid w:val="00377E90"/>
    <w:rsid w:val="00382114"/>
    <w:rsid w:val="003857C8"/>
    <w:rsid w:val="003936D7"/>
    <w:rsid w:val="003A134E"/>
    <w:rsid w:val="003A23F9"/>
    <w:rsid w:val="003A6245"/>
    <w:rsid w:val="003A79A1"/>
    <w:rsid w:val="003B0146"/>
    <w:rsid w:val="003B1D8D"/>
    <w:rsid w:val="003B27EB"/>
    <w:rsid w:val="003B5A6A"/>
    <w:rsid w:val="003C572C"/>
    <w:rsid w:val="003D1581"/>
    <w:rsid w:val="003E3A13"/>
    <w:rsid w:val="003E3DA6"/>
    <w:rsid w:val="003F6A4F"/>
    <w:rsid w:val="003F76B0"/>
    <w:rsid w:val="0040093F"/>
    <w:rsid w:val="00401048"/>
    <w:rsid w:val="00405511"/>
    <w:rsid w:val="00412928"/>
    <w:rsid w:val="00430069"/>
    <w:rsid w:val="004309FF"/>
    <w:rsid w:val="004343F8"/>
    <w:rsid w:val="0044068B"/>
    <w:rsid w:val="004462BC"/>
    <w:rsid w:val="004527DE"/>
    <w:rsid w:val="00452846"/>
    <w:rsid w:val="00470181"/>
    <w:rsid w:val="00470CD5"/>
    <w:rsid w:val="004715E6"/>
    <w:rsid w:val="00480EE5"/>
    <w:rsid w:val="00481004"/>
    <w:rsid w:val="00481367"/>
    <w:rsid w:val="00482C01"/>
    <w:rsid w:val="004923C6"/>
    <w:rsid w:val="0049698D"/>
    <w:rsid w:val="004B1953"/>
    <w:rsid w:val="004B4D04"/>
    <w:rsid w:val="004B5A55"/>
    <w:rsid w:val="004B7C61"/>
    <w:rsid w:val="004C1A0F"/>
    <w:rsid w:val="004D3589"/>
    <w:rsid w:val="004E2926"/>
    <w:rsid w:val="004F1EC5"/>
    <w:rsid w:val="004F3027"/>
    <w:rsid w:val="004F379B"/>
    <w:rsid w:val="00501D17"/>
    <w:rsid w:val="00502603"/>
    <w:rsid w:val="0050485C"/>
    <w:rsid w:val="0051256A"/>
    <w:rsid w:val="00513F6B"/>
    <w:rsid w:val="00514200"/>
    <w:rsid w:val="005156E0"/>
    <w:rsid w:val="00517562"/>
    <w:rsid w:val="0052368E"/>
    <w:rsid w:val="005259AB"/>
    <w:rsid w:val="0053257F"/>
    <w:rsid w:val="00544C16"/>
    <w:rsid w:val="00547D9F"/>
    <w:rsid w:val="00550062"/>
    <w:rsid w:val="00554567"/>
    <w:rsid w:val="00560F5D"/>
    <w:rsid w:val="00563749"/>
    <w:rsid w:val="005649E5"/>
    <w:rsid w:val="0057489E"/>
    <w:rsid w:val="00580782"/>
    <w:rsid w:val="00584728"/>
    <w:rsid w:val="00584ACE"/>
    <w:rsid w:val="00594DF5"/>
    <w:rsid w:val="00596CEA"/>
    <w:rsid w:val="005A18F3"/>
    <w:rsid w:val="005B0505"/>
    <w:rsid w:val="005B0DD5"/>
    <w:rsid w:val="005C5322"/>
    <w:rsid w:val="005C59EC"/>
    <w:rsid w:val="005C6D0E"/>
    <w:rsid w:val="005D53DC"/>
    <w:rsid w:val="005D6399"/>
    <w:rsid w:val="005E6DE5"/>
    <w:rsid w:val="005F57CB"/>
    <w:rsid w:val="005F72A5"/>
    <w:rsid w:val="005F79EE"/>
    <w:rsid w:val="006019A1"/>
    <w:rsid w:val="00613BBD"/>
    <w:rsid w:val="00614FD7"/>
    <w:rsid w:val="00617C8A"/>
    <w:rsid w:val="00630742"/>
    <w:rsid w:val="00631D8E"/>
    <w:rsid w:val="0063452B"/>
    <w:rsid w:val="0063477F"/>
    <w:rsid w:val="00634D4C"/>
    <w:rsid w:val="006404D7"/>
    <w:rsid w:val="00643462"/>
    <w:rsid w:val="00646D6C"/>
    <w:rsid w:val="00650CAC"/>
    <w:rsid w:val="00656EC6"/>
    <w:rsid w:val="00664ADD"/>
    <w:rsid w:val="00666655"/>
    <w:rsid w:val="006675A3"/>
    <w:rsid w:val="00667CC8"/>
    <w:rsid w:val="00670CCD"/>
    <w:rsid w:val="00672103"/>
    <w:rsid w:val="00684729"/>
    <w:rsid w:val="006861C2"/>
    <w:rsid w:val="0069179C"/>
    <w:rsid w:val="00693D53"/>
    <w:rsid w:val="006A76C6"/>
    <w:rsid w:val="006B5D92"/>
    <w:rsid w:val="006C21DD"/>
    <w:rsid w:val="006C6151"/>
    <w:rsid w:val="006C7E02"/>
    <w:rsid w:val="006E34C0"/>
    <w:rsid w:val="006E7DD5"/>
    <w:rsid w:val="007112C9"/>
    <w:rsid w:val="007175EF"/>
    <w:rsid w:val="00720392"/>
    <w:rsid w:val="00723415"/>
    <w:rsid w:val="0072452A"/>
    <w:rsid w:val="00727F0A"/>
    <w:rsid w:val="0073222C"/>
    <w:rsid w:val="007449FD"/>
    <w:rsid w:val="007510F7"/>
    <w:rsid w:val="00751A5A"/>
    <w:rsid w:val="007536D6"/>
    <w:rsid w:val="00755498"/>
    <w:rsid w:val="00764F0D"/>
    <w:rsid w:val="00765766"/>
    <w:rsid w:val="0077160A"/>
    <w:rsid w:val="007716B1"/>
    <w:rsid w:val="00772234"/>
    <w:rsid w:val="00775148"/>
    <w:rsid w:val="0078264A"/>
    <w:rsid w:val="00784A11"/>
    <w:rsid w:val="007856FE"/>
    <w:rsid w:val="00797983"/>
    <w:rsid w:val="007A59F1"/>
    <w:rsid w:val="007A6A64"/>
    <w:rsid w:val="007B103E"/>
    <w:rsid w:val="007B17BA"/>
    <w:rsid w:val="007B73C5"/>
    <w:rsid w:val="007C024E"/>
    <w:rsid w:val="007C4E02"/>
    <w:rsid w:val="007D6C59"/>
    <w:rsid w:val="007E00BB"/>
    <w:rsid w:val="007E16CE"/>
    <w:rsid w:val="00802C68"/>
    <w:rsid w:val="00814A33"/>
    <w:rsid w:val="00822239"/>
    <w:rsid w:val="008229B6"/>
    <w:rsid w:val="0082334C"/>
    <w:rsid w:val="008251B1"/>
    <w:rsid w:val="008313D3"/>
    <w:rsid w:val="00833AA0"/>
    <w:rsid w:val="0083566F"/>
    <w:rsid w:val="00836C63"/>
    <w:rsid w:val="00843A78"/>
    <w:rsid w:val="00854794"/>
    <w:rsid w:val="0086036C"/>
    <w:rsid w:val="00865936"/>
    <w:rsid w:val="00870D45"/>
    <w:rsid w:val="00876C1B"/>
    <w:rsid w:val="008817CF"/>
    <w:rsid w:val="00890A92"/>
    <w:rsid w:val="008A4927"/>
    <w:rsid w:val="008A4B3F"/>
    <w:rsid w:val="008A59C3"/>
    <w:rsid w:val="008B13CB"/>
    <w:rsid w:val="008B167F"/>
    <w:rsid w:val="008B1911"/>
    <w:rsid w:val="008B6607"/>
    <w:rsid w:val="008B7016"/>
    <w:rsid w:val="008C1848"/>
    <w:rsid w:val="008C1B0D"/>
    <w:rsid w:val="008C1EEA"/>
    <w:rsid w:val="008C3E38"/>
    <w:rsid w:val="008C41AF"/>
    <w:rsid w:val="008C5812"/>
    <w:rsid w:val="008D0EBA"/>
    <w:rsid w:val="008D1C98"/>
    <w:rsid w:val="008D34F2"/>
    <w:rsid w:val="008D70FD"/>
    <w:rsid w:val="008D7CC2"/>
    <w:rsid w:val="00905259"/>
    <w:rsid w:val="00933527"/>
    <w:rsid w:val="009376F7"/>
    <w:rsid w:val="00950E8C"/>
    <w:rsid w:val="00952E07"/>
    <w:rsid w:val="009560A4"/>
    <w:rsid w:val="00960E7A"/>
    <w:rsid w:val="009633A2"/>
    <w:rsid w:val="009734E3"/>
    <w:rsid w:val="00975170"/>
    <w:rsid w:val="00975D7D"/>
    <w:rsid w:val="00990619"/>
    <w:rsid w:val="00992079"/>
    <w:rsid w:val="00994614"/>
    <w:rsid w:val="009A18EC"/>
    <w:rsid w:val="009B5683"/>
    <w:rsid w:val="009C0371"/>
    <w:rsid w:val="009D04AF"/>
    <w:rsid w:val="009D13A5"/>
    <w:rsid w:val="009D30E7"/>
    <w:rsid w:val="009D44C6"/>
    <w:rsid w:val="009E593B"/>
    <w:rsid w:val="009E5C3D"/>
    <w:rsid w:val="009E621A"/>
    <w:rsid w:val="009F1920"/>
    <w:rsid w:val="009F272A"/>
    <w:rsid w:val="009F2BF8"/>
    <w:rsid w:val="009F310C"/>
    <w:rsid w:val="00A0035A"/>
    <w:rsid w:val="00A01537"/>
    <w:rsid w:val="00A04257"/>
    <w:rsid w:val="00A05477"/>
    <w:rsid w:val="00A05A32"/>
    <w:rsid w:val="00A06890"/>
    <w:rsid w:val="00A10342"/>
    <w:rsid w:val="00A34C0D"/>
    <w:rsid w:val="00A35536"/>
    <w:rsid w:val="00A36066"/>
    <w:rsid w:val="00A368FB"/>
    <w:rsid w:val="00A47F0C"/>
    <w:rsid w:val="00A75DAF"/>
    <w:rsid w:val="00A75FA7"/>
    <w:rsid w:val="00A814F2"/>
    <w:rsid w:val="00A86CA9"/>
    <w:rsid w:val="00A86F84"/>
    <w:rsid w:val="00A900EF"/>
    <w:rsid w:val="00A90F54"/>
    <w:rsid w:val="00AA7AD4"/>
    <w:rsid w:val="00AB32B9"/>
    <w:rsid w:val="00AC1CE5"/>
    <w:rsid w:val="00AC2AB8"/>
    <w:rsid w:val="00AD7934"/>
    <w:rsid w:val="00AE33D4"/>
    <w:rsid w:val="00AE6FF7"/>
    <w:rsid w:val="00B003DB"/>
    <w:rsid w:val="00B02F6C"/>
    <w:rsid w:val="00B056A6"/>
    <w:rsid w:val="00B214C0"/>
    <w:rsid w:val="00B259C4"/>
    <w:rsid w:val="00B25C03"/>
    <w:rsid w:val="00B30091"/>
    <w:rsid w:val="00B31250"/>
    <w:rsid w:val="00B315D1"/>
    <w:rsid w:val="00B32336"/>
    <w:rsid w:val="00B50725"/>
    <w:rsid w:val="00B5225E"/>
    <w:rsid w:val="00B62570"/>
    <w:rsid w:val="00B626C7"/>
    <w:rsid w:val="00B675F0"/>
    <w:rsid w:val="00B715FA"/>
    <w:rsid w:val="00B726EC"/>
    <w:rsid w:val="00B73D75"/>
    <w:rsid w:val="00B90AAF"/>
    <w:rsid w:val="00B924EB"/>
    <w:rsid w:val="00B92BD7"/>
    <w:rsid w:val="00BA1BBC"/>
    <w:rsid w:val="00BA6D81"/>
    <w:rsid w:val="00BB2A80"/>
    <w:rsid w:val="00BB4DBD"/>
    <w:rsid w:val="00BB4ECE"/>
    <w:rsid w:val="00BB4FF6"/>
    <w:rsid w:val="00BB74F5"/>
    <w:rsid w:val="00BC7D7F"/>
    <w:rsid w:val="00BD0D0F"/>
    <w:rsid w:val="00BD0DDC"/>
    <w:rsid w:val="00BD0E9D"/>
    <w:rsid w:val="00BD2D33"/>
    <w:rsid w:val="00BD544A"/>
    <w:rsid w:val="00BE0EFF"/>
    <w:rsid w:val="00BE2BBB"/>
    <w:rsid w:val="00BE482D"/>
    <w:rsid w:val="00BE7294"/>
    <w:rsid w:val="00BF180E"/>
    <w:rsid w:val="00BF36E0"/>
    <w:rsid w:val="00BF50F6"/>
    <w:rsid w:val="00C00B31"/>
    <w:rsid w:val="00C120D7"/>
    <w:rsid w:val="00C14BA8"/>
    <w:rsid w:val="00C151F0"/>
    <w:rsid w:val="00C17ECE"/>
    <w:rsid w:val="00C31D6B"/>
    <w:rsid w:val="00C32BD5"/>
    <w:rsid w:val="00C41530"/>
    <w:rsid w:val="00C4579B"/>
    <w:rsid w:val="00C53D35"/>
    <w:rsid w:val="00C62718"/>
    <w:rsid w:val="00C70FEE"/>
    <w:rsid w:val="00C925B3"/>
    <w:rsid w:val="00C95344"/>
    <w:rsid w:val="00CA1757"/>
    <w:rsid w:val="00CA28AE"/>
    <w:rsid w:val="00CA5E40"/>
    <w:rsid w:val="00CB4BBF"/>
    <w:rsid w:val="00CC3663"/>
    <w:rsid w:val="00CC59B1"/>
    <w:rsid w:val="00CD5F35"/>
    <w:rsid w:val="00CE2F89"/>
    <w:rsid w:val="00CE4A85"/>
    <w:rsid w:val="00CE7D00"/>
    <w:rsid w:val="00CF0850"/>
    <w:rsid w:val="00CF2825"/>
    <w:rsid w:val="00CF390D"/>
    <w:rsid w:val="00CF6263"/>
    <w:rsid w:val="00CF6960"/>
    <w:rsid w:val="00CF6C8C"/>
    <w:rsid w:val="00CF7AA0"/>
    <w:rsid w:val="00D01616"/>
    <w:rsid w:val="00D01B9C"/>
    <w:rsid w:val="00D06EDB"/>
    <w:rsid w:val="00D1288F"/>
    <w:rsid w:val="00D2142F"/>
    <w:rsid w:val="00D45C57"/>
    <w:rsid w:val="00D46D7F"/>
    <w:rsid w:val="00D51F8D"/>
    <w:rsid w:val="00D54486"/>
    <w:rsid w:val="00D63A3E"/>
    <w:rsid w:val="00D64C6C"/>
    <w:rsid w:val="00D653E0"/>
    <w:rsid w:val="00D65552"/>
    <w:rsid w:val="00D66213"/>
    <w:rsid w:val="00D67634"/>
    <w:rsid w:val="00D70785"/>
    <w:rsid w:val="00D71F87"/>
    <w:rsid w:val="00D8790F"/>
    <w:rsid w:val="00DA24C3"/>
    <w:rsid w:val="00DA2581"/>
    <w:rsid w:val="00DB3F0D"/>
    <w:rsid w:val="00DB706C"/>
    <w:rsid w:val="00DC0E75"/>
    <w:rsid w:val="00DC586E"/>
    <w:rsid w:val="00DC6E7C"/>
    <w:rsid w:val="00DD06DE"/>
    <w:rsid w:val="00DD2198"/>
    <w:rsid w:val="00DE0116"/>
    <w:rsid w:val="00DE0FAD"/>
    <w:rsid w:val="00DE55E9"/>
    <w:rsid w:val="00DF26B3"/>
    <w:rsid w:val="00E00A2C"/>
    <w:rsid w:val="00E0535B"/>
    <w:rsid w:val="00E132C4"/>
    <w:rsid w:val="00E1357B"/>
    <w:rsid w:val="00E14A18"/>
    <w:rsid w:val="00E21C93"/>
    <w:rsid w:val="00E454C8"/>
    <w:rsid w:val="00E46786"/>
    <w:rsid w:val="00E47477"/>
    <w:rsid w:val="00E577F7"/>
    <w:rsid w:val="00E6120C"/>
    <w:rsid w:val="00E64D70"/>
    <w:rsid w:val="00E75E3A"/>
    <w:rsid w:val="00E76675"/>
    <w:rsid w:val="00E778FC"/>
    <w:rsid w:val="00E77E1F"/>
    <w:rsid w:val="00E80FD4"/>
    <w:rsid w:val="00E85EA4"/>
    <w:rsid w:val="00EA6884"/>
    <w:rsid w:val="00EB1A36"/>
    <w:rsid w:val="00EB5861"/>
    <w:rsid w:val="00EC4606"/>
    <w:rsid w:val="00EC52A3"/>
    <w:rsid w:val="00EC67DD"/>
    <w:rsid w:val="00EC69E3"/>
    <w:rsid w:val="00ED13E7"/>
    <w:rsid w:val="00ED2E1F"/>
    <w:rsid w:val="00ED47DE"/>
    <w:rsid w:val="00ED56F6"/>
    <w:rsid w:val="00EE20B2"/>
    <w:rsid w:val="00EF482F"/>
    <w:rsid w:val="00F02AAF"/>
    <w:rsid w:val="00F077A9"/>
    <w:rsid w:val="00F1046F"/>
    <w:rsid w:val="00F11516"/>
    <w:rsid w:val="00F12D28"/>
    <w:rsid w:val="00F1335B"/>
    <w:rsid w:val="00F13793"/>
    <w:rsid w:val="00F14590"/>
    <w:rsid w:val="00F15B82"/>
    <w:rsid w:val="00F363C1"/>
    <w:rsid w:val="00F3641E"/>
    <w:rsid w:val="00F40553"/>
    <w:rsid w:val="00F41738"/>
    <w:rsid w:val="00F42599"/>
    <w:rsid w:val="00F43C18"/>
    <w:rsid w:val="00F50098"/>
    <w:rsid w:val="00F50ECB"/>
    <w:rsid w:val="00F5142C"/>
    <w:rsid w:val="00F55D60"/>
    <w:rsid w:val="00F57004"/>
    <w:rsid w:val="00F64939"/>
    <w:rsid w:val="00F713AA"/>
    <w:rsid w:val="00F73B57"/>
    <w:rsid w:val="00F825EA"/>
    <w:rsid w:val="00F87CF6"/>
    <w:rsid w:val="00FB11E2"/>
    <w:rsid w:val="00FB6AC6"/>
    <w:rsid w:val="00FC0F88"/>
    <w:rsid w:val="00FC195E"/>
    <w:rsid w:val="00FC4EFF"/>
    <w:rsid w:val="00FC6748"/>
    <w:rsid w:val="00FC677A"/>
    <w:rsid w:val="00FD13ED"/>
    <w:rsid w:val="00FD6CD5"/>
    <w:rsid w:val="00FE75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64B581B-32CB-46E8-B0F9-01E5A113A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40"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761F"/>
  </w:style>
  <w:style w:type="paragraph" w:styleId="Heading1">
    <w:name w:val="heading 1"/>
    <w:basedOn w:val="Normal"/>
    <w:next w:val="Normal"/>
    <w:link w:val="Heading1Char"/>
    <w:uiPriority w:val="9"/>
    <w:qFormat/>
    <w:rsid w:val="00F12D2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633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3A2"/>
    <w:rPr>
      <w:rFonts w:ascii="Tahoma" w:hAnsi="Tahoma" w:cs="Tahoma"/>
      <w:sz w:val="16"/>
      <w:szCs w:val="16"/>
    </w:rPr>
  </w:style>
  <w:style w:type="paragraph" w:styleId="NoSpacing">
    <w:name w:val="No Spacing"/>
    <w:uiPriority w:val="1"/>
    <w:qFormat/>
    <w:rsid w:val="009633A2"/>
    <w:pPr>
      <w:spacing w:after="0" w:line="240" w:lineRule="auto"/>
    </w:pPr>
  </w:style>
  <w:style w:type="character" w:styleId="Hyperlink">
    <w:name w:val="Hyperlink"/>
    <w:basedOn w:val="DefaultParagraphFont"/>
    <w:uiPriority w:val="99"/>
    <w:unhideWhenUsed/>
    <w:rsid w:val="00B214C0"/>
    <w:rPr>
      <w:color w:val="0000FF" w:themeColor="hyperlink"/>
      <w:u w:val="single"/>
    </w:rPr>
  </w:style>
  <w:style w:type="paragraph" w:styleId="ListParagraph">
    <w:name w:val="List Paragraph"/>
    <w:basedOn w:val="Normal"/>
    <w:uiPriority w:val="34"/>
    <w:qFormat/>
    <w:rsid w:val="004B1953"/>
    <w:pPr>
      <w:ind w:left="720"/>
      <w:contextualSpacing/>
    </w:pPr>
  </w:style>
  <w:style w:type="paragraph" w:styleId="Header">
    <w:name w:val="header"/>
    <w:basedOn w:val="Normal"/>
    <w:link w:val="HeaderChar"/>
    <w:uiPriority w:val="99"/>
    <w:unhideWhenUsed/>
    <w:rsid w:val="009E59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593B"/>
  </w:style>
  <w:style w:type="paragraph" w:styleId="Footer">
    <w:name w:val="footer"/>
    <w:basedOn w:val="Normal"/>
    <w:link w:val="FooterChar"/>
    <w:uiPriority w:val="99"/>
    <w:unhideWhenUsed/>
    <w:rsid w:val="009E59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593B"/>
  </w:style>
  <w:style w:type="table" w:styleId="TableGrid">
    <w:name w:val="Table Grid"/>
    <w:basedOn w:val="TableNormal"/>
    <w:uiPriority w:val="59"/>
    <w:rsid w:val="00F12D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12D28"/>
    <w:rPr>
      <w:rFonts w:asciiTheme="majorHAnsi" w:eastAsiaTheme="majorEastAsia" w:hAnsiTheme="majorHAnsi" w:cstheme="majorBidi"/>
      <w:color w:val="365F91" w:themeColor="accent1" w:themeShade="BF"/>
      <w:sz w:val="32"/>
      <w:szCs w:val="32"/>
    </w:rPr>
  </w:style>
  <w:style w:type="paragraph" w:styleId="FootnoteText">
    <w:name w:val="footnote text"/>
    <w:basedOn w:val="Normal"/>
    <w:link w:val="FootnoteTextChar"/>
    <w:uiPriority w:val="99"/>
    <w:semiHidden/>
    <w:unhideWhenUsed/>
    <w:rsid w:val="0051256A"/>
    <w:pPr>
      <w:spacing w:after="0" w:line="240" w:lineRule="auto"/>
      <w:jc w:val="left"/>
    </w:pPr>
    <w:rPr>
      <w:sz w:val="20"/>
      <w:szCs w:val="20"/>
    </w:rPr>
  </w:style>
  <w:style w:type="character" w:customStyle="1" w:styleId="FootnoteTextChar">
    <w:name w:val="Footnote Text Char"/>
    <w:basedOn w:val="DefaultParagraphFont"/>
    <w:link w:val="FootnoteText"/>
    <w:uiPriority w:val="99"/>
    <w:semiHidden/>
    <w:rsid w:val="0051256A"/>
    <w:rPr>
      <w:sz w:val="20"/>
      <w:szCs w:val="20"/>
    </w:rPr>
  </w:style>
  <w:style w:type="character" w:styleId="FootnoteReference">
    <w:name w:val="footnote reference"/>
    <w:basedOn w:val="DefaultParagraphFont"/>
    <w:uiPriority w:val="99"/>
    <w:semiHidden/>
    <w:unhideWhenUsed/>
    <w:rsid w:val="0051256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3218181">
      <w:bodyDiv w:val="1"/>
      <w:marLeft w:val="0"/>
      <w:marRight w:val="0"/>
      <w:marTop w:val="0"/>
      <w:marBottom w:val="0"/>
      <w:divBdr>
        <w:top w:val="none" w:sz="0" w:space="0" w:color="auto"/>
        <w:left w:val="none" w:sz="0" w:space="0" w:color="auto"/>
        <w:bottom w:val="none" w:sz="0" w:space="0" w:color="auto"/>
        <w:right w:val="none" w:sz="0" w:space="0" w:color="auto"/>
      </w:divBdr>
    </w:div>
    <w:div w:id="258485480">
      <w:bodyDiv w:val="1"/>
      <w:marLeft w:val="0"/>
      <w:marRight w:val="0"/>
      <w:marTop w:val="0"/>
      <w:marBottom w:val="0"/>
      <w:divBdr>
        <w:top w:val="none" w:sz="0" w:space="0" w:color="auto"/>
        <w:left w:val="none" w:sz="0" w:space="0" w:color="auto"/>
        <w:bottom w:val="none" w:sz="0" w:space="0" w:color="auto"/>
        <w:right w:val="none" w:sz="0" w:space="0" w:color="auto"/>
      </w:divBdr>
    </w:div>
    <w:div w:id="261686936">
      <w:bodyDiv w:val="1"/>
      <w:marLeft w:val="0"/>
      <w:marRight w:val="0"/>
      <w:marTop w:val="0"/>
      <w:marBottom w:val="0"/>
      <w:divBdr>
        <w:top w:val="none" w:sz="0" w:space="0" w:color="auto"/>
        <w:left w:val="none" w:sz="0" w:space="0" w:color="auto"/>
        <w:bottom w:val="none" w:sz="0" w:space="0" w:color="auto"/>
        <w:right w:val="none" w:sz="0" w:space="0" w:color="auto"/>
      </w:divBdr>
    </w:div>
    <w:div w:id="1013262904">
      <w:bodyDiv w:val="1"/>
      <w:marLeft w:val="0"/>
      <w:marRight w:val="0"/>
      <w:marTop w:val="0"/>
      <w:marBottom w:val="0"/>
      <w:divBdr>
        <w:top w:val="none" w:sz="0" w:space="0" w:color="auto"/>
        <w:left w:val="none" w:sz="0" w:space="0" w:color="auto"/>
        <w:bottom w:val="none" w:sz="0" w:space="0" w:color="auto"/>
        <w:right w:val="none" w:sz="0" w:space="0" w:color="auto"/>
      </w:divBdr>
    </w:div>
    <w:div w:id="1698432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sinclair@kenora.c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robertson@kenora.c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4.tiff"/><Relationship Id="rId4" Type="http://schemas.openxmlformats.org/officeDocument/2006/relationships/settings" Target="settings.xml"/><Relationship Id="rId9" Type="http://schemas.openxmlformats.org/officeDocument/2006/relationships/image" Target="media/image3.emf"/><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B24822-5903-413F-84D9-F47A14C1E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3969</Words>
  <Characters>22627</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City of Kenora</Company>
  <LinksUpToDate>false</LinksUpToDate>
  <CharactersWithSpaces>26543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jrobertson</dc:creator>
  <cp:keywords/>
  <dc:description/>
  <cp:lastModifiedBy>Janice Robertson</cp:lastModifiedBy>
  <cp:revision>2</cp:revision>
  <cp:lastPrinted>2018-11-05T13:56:00Z</cp:lastPrinted>
  <dcterms:created xsi:type="dcterms:W3CDTF">2018-11-05T16:29:00Z</dcterms:created>
  <dcterms:modified xsi:type="dcterms:W3CDTF">2018-11-05T16:29:00Z</dcterms:modified>
</cp:coreProperties>
</file>