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997" w:rsidRDefault="00761997" w:rsidP="00761997">
      <w:pPr>
        <w:pStyle w:val="Default"/>
        <w:jc w:val="center"/>
        <w:rPr>
          <w:sz w:val="28"/>
          <w:szCs w:val="28"/>
        </w:rPr>
      </w:pPr>
      <w:r>
        <w:rPr>
          <w:b/>
          <w:bCs/>
          <w:sz w:val="28"/>
          <w:szCs w:val="28"/>
        </w:rPr>
        <w:t>Entegrus Powerlines Inc. (Entegr</w:t>
      </w:r>
      <w:r w:rsidR="00273D52">
        <w:rPr>
          <w:b/>
          <w:bCs/>
          <w:sz w:val="28"/>
          <w:szCs w:val="28"/>
        </w:rPr>
        <w:t>u</w:t>
      </w:r>
      <w:r>
        <w:rPr>
          <w:b/>
          <w:bCs/>
          <w:sz w:val="28"/>
          <w:szCs w:val="28"/>
        </w:rPr>
        <w:t>s)</w:t>
      </w:r>
    </w:p>
    <w:p w:rsidR="00761997" w:rsidRDefault="00761997" w:rsidP="00761997">
      <w:pPr>
        <w:pStyle w:val="Default"/>
        <w:jc w:val="center"/>
        <w:rPr>
          <w:sz w:val="23"/>
          <w:szCs w:val="23"/>
        </w:rPr>
      </w:pPr>
      <w:r>
        <w:rPr>
          <w:b/>
          <w:bCs/>
          <w:sz w:val="23"/>
          <w:szCs w:val="23"/>
        </w:rPr>
        <w:t>2019 IRM Application</w:t>
      </w:r>
    </w:p>
    <w:p w:rsidR="00761997" w:rsidRDefault="00761997" w:rsidP="00761997">
      <w:pPr>
        <w:pStyle w:val="Default"/>
        <w:jc w:val="center"/>
        <w:rPr>
          <w:sz w:val="23"/>
          <w:szCs w:val="23"/>
        </w:rPr>
      </w:pPr>
      <w:r>
        <w:rPr>
          <w:b/>
          <w:bCs/>
          <w:sz w:val="23"/>
          <w:szCs w:val="23"/>
        </w:rPr>
        <w:t>EB-2018-0024</w:t>
      </w:r>
    </w:p>
    <w:p w:rsidR="00761997" w:rsidRDefault="00761997" w:rsidP="00761997">
      <w:pPr>
        <w:pStyle w:val="Default"/>
        <w:jc w:val="center"/>
        <w:rPr>
          <w:sz w:val="23"/>
          <w:szCs w:val="23"/>
        </w:rPr>
      </w:pPr>
      <w:r>
        <w:rPr>
          <w:b/>
          <w:bCs/>
          <w:sz w:val="23"/>
          <w:szCs w:val="23"/>
        </w:rPr>
        <w:t>Application Analysis</w:t>
      </w:r>
    </w:p>
    <w:p w:rsidR="00761997" w:rsidRDefault="00C4356A" w:rsidP="00761997">
      <w:pPr>
        <w:jc w:val="center"/>
      </w:pPr>
      <w:r>
        <w:rPr>
          <w:b/>
          <w:bCs/>
          <w:sz w:val="23"/>
          <w:szCs w:val="23"/>
        </w:rPr>
        <w:t>November 7</w:t>
      </w:r>
      <w:r w:rsidR="00761997">
        <w:rPr>
          <w:b/>
          <w:bCs/>
          <w:sz w:val="23"/>
          <w:szCs w:val="23"/>
        </w:rPr>
        <w:t>, 2018</w:t>
      </w:r>
    </w:p>
    <w:p w:rsidR="00AE0975" w:rsidRDefault="00AE0975">
      <w:pPr>
        <w:rPr>
          <w:rFonts w:ascii="Arial" w:hAnsi="Arial" w:cs="Arial"/>
          <w:b/>
        </w:rPr>
      </w:pPr>
    </w:p>
    <w:p w:rsidR="006A1A2C" w:rsidRPr="00761997" w:rsidRDefault="006A1A2C">
      <w:pPr>
        <w:rPr>
          <w:rFonts w:ascii="Arial" w:hAnsi="Arial" w:cs="Arial"/>
          <w:b/>
          <w:sz w:val="28"/>
        </w:rPr>
      </w:pPr>
      <w:r w:rsidRPr="00761997">
        <w:rPr>
          <w:rFonts w:ascii="Arial" w:hAnsi="Arial" w:cs="Arial"/>
          <w:b/>
          <w:sz w:val="28"/>
        </w:rPr>
        <w:t>Entegrus</w:t>
      </w:r>
      <w:r w:rsidR="00761997" w:rsidRPr="00761997">
        <w:rPr>
          <w:rFonts w:ascii="Arial" w:hAnsi="Arial" w:cs="Arial"/>
          <w:b/>
          <w:sz w:val="28"/>
        </w:rPr>
        <w:t xml:space="preserve"> </w:t>
      </w:r>
      <w:r w:rsidRPr="00761997">
        <w:rPr>
          <w:rFonts w:ascii="Arial" w:hAnsi="Arial" w:cs="Arial"/>
          <w:b/>
          <w:sz w:val="28"/>
        </w:rPr>
        <w:t>-</w:t>
      </w:r>
      <w:r w:rsidR="00761997" w:rsidRPr="00761997">
        <w:rPr>
          <w:rFonts w:ascii="Arial" w:hAnsi="Arial" w:cs="Arial"/>
          <w:b/>
          <w:sz w:val="28"/>
        </w:rPr>
        <w:t xml:space="preserve"> </w:t>
      </w:r>
      <w:r w:rsidRPr="00761997">
        <w:rPr>
          <w:rFonts w:ascii="Arial" w:hAnsi="Arial" w:cs="Arial"/>
          <w:b/>
          <w:sz w:val="28"/>
        </w:rPr>
        <w:t>Main Rate Zone</w:t>
      </w:r>
    </w:p>
    <w:p w:rsidR="00761997" w:rsidRPr="00414863" w:rsidRDefault="00761997" w:rsidP="00761997">
      <w:pPr>
        <w:pStyle w:val="Default"/>
        <w:rPr>
          <w:b/>
          <w:bCs/>
          <w:sz w:val="22"/>
          <w:szCs w:val="22"/>
        </w:rPr>
      </w:pPr>
      <w:r w:rsidRPr="00414863">
        <w:rPr>
          <w:b/>
          <w:bCs/>
          <w:sz w:val="22"/>
          <w:szCs w:val="22"/>
        </w:rPr>
        <w:t>Staff Question #</w:t>
      </w:r>
      <w:r>
        <w:rPr>
          <w:b/>
          <w:bCs/>
          <w:sz w:val="22"/>
          <w:szCs w:val="22"/>
        </w:rPr>
        <w:t>1</w:t>
      </w:r>
    </w:p>
    <w:p w:rsidR="00552C87" w:rsidRDefault="00552C87" w:rsidP="00552C87">
      <w:pPr>
        <w:rPr>
          <w:rFonts w:ascii="Arial" w:hAnsi="Arial" w:cs="Arial"/>
        </w:rPr>
      </w:pPr>
      <w:r>
        <w:rPr>
          <w:rFonts w:ascii="Arial" w:hAnsi="Arial" w:cs="Arial"/>
          <w:b/>
        </w:rPr>
        <w:t>Ref: Manager’s Summary Attachment C – Entegrus-Main’s IESO Settlement Process</w:t>
      </w:r>
    </w:p>
    <w:p w:rsidR="00552C87" w:rsidRDefault="00552C87" w:rsidP="00552C87">
      <w:pPr>
        <w:rPr>
          <w:rFonts w:ascii="Arial" w:hAnsi="Arial" w:cs="Arial"/>
        </w:rPr>
      </w:pPr>
      <w:r>
        <w:rPr>
          <w:rFonts w:ascii="Arial" w:hAnsi="Arial" w:cs="Arial"/>
        </w:rPr>
        <w:t>The Applicant has indicated on page 2 of 6:</w:t>
      </w:r>
    </w:p>
    <w:p w:rsidR="00552C87" w:rsidRDefault="00552C87" w:rsidP="00552C87">
      <w:pPr>
        <w:rPr>
          <w:rFonts w:ascii="Arial" w:hAnsi="Arial" w:cs="Arial"/>
        </w:rPr>
      </w:pPr>
      <w:r>
        <w:rPr>
          <w:rFonts w:ascii="Arial" w:hAnsi="Arial" w:cs="Arial"/>
          <w:i/>
        </w:rPr>
        <w:t>“</w:t>
      </w:r>
      <w:r w:rsidR="00C31E31">
        <w:rPr>
          <w:rFonts w:ascii="Arial" w:hAnsi="Arial" w:cs="Arial"/>
          <w:i/>
        </w:rPr>
        <w:t>Due to cycle billing, this [</w:t>
      </w:r>
      <w:r w:rsidRPr="00C31E31">
        <w:rPr>
          <w:rFonts w:ascii="Arial" w:hAnsi="Arial" w:cs="Arial"/>
        </w:rPr>
        <w:t>determining actual consumption</w:t>
      </w:r>
      <w:r w:rsidR="00C31E31">
        <w:rPr>
          <w:rFonts w:ascii="Arial" w:hAnsi="Arial" w:cs="Arial"/>
          <w:i/>
        </w:rPr>
        <w:t>]</w:t>
      </w:r>
      <w:r>
        <w:rPr>
          <w:rFonts w:ascii="Arial" w:hAnsi="Arial" w:cs="Arial"/>
          <w:i/>
        </w:rPr>
        <w:t xml:space="preserve"> reconciliation process typically happens within three months of the actual customer consumption”</w:t>
      </w:r>
    </w:p>
    <w:p w:rsidR="00552C87" w:rsidRDefault="00552C87" w:rsidP="00552C87">
      <w:pPr>
        <w:rPr>
          <w:rFonts w:ascii="Arial" w:hAnsi="Arial" w:cs="Arial"/>
        </w:rPr>
      </w:pPr>
      <w:r>
        <w:rPr>
          <w:rFonts w:ascii="Arial" w:hAnsi="Arial" w:cs="Arial"/>
        </w:rPr>
        <w:t>However, on page 3 of 6, the applicant also states:</w:t>
      </w:r>
    </w:p>
    <w:p w:rsidR="00552C87" w:rsidRPr="00C31E31" w:rsidRDefault="00552C87" w:rsidP="00552C87">
      <w:pPr>
        <w:rPr>
          <w:rFonts w:ascii="Arial" w:hAnsi="Arial" w:cs="Arial"/>
        </w:rPr>
      </w:pPr>
      <w:r>
        <w:rPr>
          <w:rFonts w:ascii="Arial" w:hAnsi="Arial" w:cs="Arial"/>
          <w:i/>
        </w:rPr>
        <w:t xml:space="preserve">“Starting in 2016, Entegrus-Main commenced calculating the required December RPP / GA </w:t>
      </w:r>
      <w:r w:rsidR="00C31E31">
        <w:rPr>
          <w:rFonts w:ascii="Arial" w:hAnsi="Arial" w:cs="Arial"/>
          <w:i/>
        </w:rPr>
        <w:t>true-up once all volumes and prices were definitively known in January. Entegrus-Main subsequently records the true-up in the general ledger prior to closing the fiscal year”</w:t>
      </w:r>
    </w:p>
    <w:p w:rsidR="00552C87" w:rsidRDefault="00552C87" w:rsidP="00552C87">
      <w:pPr>
        <w:pStyle w:val="ListParagraph"/>
        <w:numPr>
          <w:ilvl w:val="0"/>
          <w:numId w:val="1"/>
        </w:numPr>
        <w:rPr>
          <w:rFonts w:ascii="Arial" w:hAnsi="Arial" w:cs="Arial"/>
        </w:rPr>
      </w:pPr>
      <w:r>
        <w:rPr>
          <w:rFonts w:ascii="Arial" w:hAnsi="Arial" w:cs="Arial"/>
        </w:rPr>
        <w:t>Please</w:t>
      </w:r>
      <w:r w:rsidR="00C31E31">
        <w:rPr>
          <w:rFonts w:ascii="Arial" w:hAnsi="Arial" w:cs="Arial"/>
        </w:rPr>
        <w:t xml:space="preserve"> rec</w:t>
      </w:r>
      <w:r w:rsidR="00B11A66">
        <w:rPr>
          <w:rFonts w:ascii="Arial" w:hAnsi="Arial" w:cs="Arial"/>
        </w:rPr>
        <w:t>oncile the above statements regarding the timeline for when</w:t>
      </w:r>
      <w:r w:rsidR="00C31E31">
        <w:rPr>
          <w:rFonts w:ascii="Arial" w:hAnsi="Arial" w:cs="Arial"/>
        </w:rPr>
        <w:t xml:space="preserve"> actual consumption </w:t>
      </w:r>
      <w:r w:rsidR="00B11A66">
        <w:rPr>
          <w:rFonts w:ascii="Arial" w:hAnsi="Arial" w:cs="Arial"/>
        </w:rPr>
        <w:t>data becomes available for a particular month.</w:t>
      </w:r>
    </w:p>
    <w:p w:rsidR="00273D52" w:rsidRDefault="00273D52" w:rsidP="00552C87">
      <w:pPr>
        <w:pStyle w:val="ListParagraph"/>
        <w:numPr>
          <w:ilvl w:val="0"/>
          <w:numId w:val="1"/>
        </w:numPr>
        <w:rPr>
          <w:rFonts w:ascii="Arial" w:hAnsi="Arial" w:cs="Arial"/>
        </w:rPr>
      </w:pPr>
      <w:r>
        <w:rPr>
          <w:rFonts w:ascii="Arial" w:hAnsi="Arial" w:cs="Arial"/>
        </w:rPr>
        <w:t>Please explain the source of the actual consumption data and explain how Entegrus-Main obtains all actual December volumes and prices before the end of January.</w:t>
      </w:r>
    </w:p>
    <w:p w:rsidR="00C31E31" w:rsidRDefault="00B11A66" w:rsidP="00552C87">
      <w:pPr>
        <w:pStyle w:val="ListParagraph"/>
        <w:numPr>
          <w:ilvl w:val="0"/>
          <w:numId w:val="1"/>
        </w:numPr>
        <w:rPr>
          <w:rFonts w:ascii="Arial" w:hAnsi="Arial" w:cs="Arial"/>
        </w:rPr>
      </w:pPr>
      <w:r>
        <w:rPr>
          <w:rFonts w:ascii="Arial" w:hAnsi="Arial" w:cs="Arial"/>
        </w:rPr>
        <w:t>Please confirm the date that actual consumption data was retrieved for the month of December 2017, the</w:t>
      </w:r>
      <w:r w:rsidR="00F64C5B">
        <w:rPr>
          <w:rFonts w:ascii="Arial" w:hAnsi="Arial" w:cs="Arial"/>
        </w:rPr>
        <w:t xml:space="preserve"> posting</w:t>
      </w:r>
      <w:r>
        <w:rPr>
          <w:rFonts w:ascii="Arial" w:hAnsi="Arial" w:cs="Arial"/>
        </w:rPr>
        <w:t xml:space="preserve"> date </w:t>
      </w:r>
      <w:r w:rsidR="00F64C5B">
        <w:rPr>
          <w:rFonts w:ascii="Arial" w:hAnsi="Arial" w:cs="Arial"/>
        </w:rPr>
        <w:t>of</w:t>
      </w:r>
      <w:r>
        <w:rPr>
          <w:rFonts w:ascii="Arial" w:hAnsi="Arial" w:cs="Arial"/>
        </w:rPr>
        <w:t xml:space="preserve"> the consumption variance </w:t>
      </w:r>
      <w:r w:rsidR="007A6329">
        <w:rPr>
          <w:rFonts w:ascii="Arial" w:hAnsi="Arial" w:cs="Arial"/>
        </w:rPr>
        <w:t>true-up</w:t>
      </w:r>
      <w:r>
        <w:rPr>
          <w:rFonts w:ascii="Arial" w:hAnsi="Arial" w:cs="Arial"/>
        </w:rPr>
        <w:t xml:space="preserve"> adjustments</w:t>
      </w:r>
      <w:r w:rsidR="00F64C5B">
        <w:rPr>
          <w:rFonts w:ascii="Arial" w:hAnsi="Arial" w:cs="Arial"/>
        </w:rPr>
        <w:t xml:space="preserve"> (ie. which day in the general ledger is the </w:t>
      </w:r>
      <w:r w:rsidR="007A6329">
        <w:rPr>
          <w:rFonts w:ascii="Arial" w:hAnsi="Arial" w:cs="Arial"/>
        </w:rPr>
        <w:t xml:space="preserve">true-up </w:t>
      </w:r>
      <w:r w:rsidR="00F64C5B">
        <w:rPr>
          <w:rFonts w:ascii="Arial" w:hAnsi="Arial" w:cs="Arial"/>
        </w:rPr>
        <w:t>adjustment reflected on)</w:t>
      </w:r>
      <w:r>
        <w:rPr>
          <w:rFonts w:ascii="Arial" w:hAnsi="Arial" w:cs="Arial"/>
        </w:rPr>
        <w:t>, as well as the date that the 2017 fiscal year was closed.</w:t>
      </w:r>
    </w:p>
    <w:p w:rsidR="00035409" w:rsidRPr="00035409" w:rsidRDefault="00035409" w:rsidP="00035409">
      <w:pPr>
        <w:pStyle w:val="ListParagraph"/>
        <w:numPr>
          <w:ilvl w:val="0"/>
          <w:numId w:val="1"/>
        </w:numPr>
        <w:rPr>
          <w:rFonts w:ascii="Arial" w:hAnsi="Arial" w:cs="Arial"/>
        </w:rPr>
      </w:pPr>
      <w:r w:rsidRPr="00035409">
        <w:rPr>
          <w:rFonts w:ascii="Arial" w:hAnsi="Arial" w:cs="Arial"/>
        </w:rPr>
        <w:t xml:space="preserve">Were there any journal entries made subsequent to closing the 2017 fiscal year that weren’t reflected in 2017? </w:t>
      </w:r>
      <w:r w:rsidR="004D3C81">
        <w:rPr>
          <w:rFonts w:ascii="Arial" w:hAnsi="Arial" w:cs="Arial"/>
        </w:rPr>
        <w:t>Please quantify applicable entries and update the continuity schedules and GA Analysis Workforms accordingly, i</w:t>
      </w:r>
      <w:r w:rsidRPr="00035409">
        <w:rPr>
          <w:rFonts w:ascii="Arial" w:hAnsi="Arial" w:cs="Arial"/>
        </w:rPr>
        <w:t xml:space="preserve">n relation to: </w:t>
      </w:r>
    </w:p>
    <w:p w:rsidR="00035409" w:rsidRPr="00035409" w:rsidRDefault="00035409" w:rsidP="000067AF">
      <w:pPr>
        <w:pStyle w:val="ListParagraph"/>
        <w:numPr>
          <w:ilvl w:val="1"/>
          <w:numId w:val="1"/>
        </w:numPr>
        <w:rPr>
          <w:rFonts w:ascii="Arial" w:hAnsi="Arial" w:cs="Arial"/>
        </w:rPr>
      </w:pPr>
      <w:r w:rsidRPr="00035409">
        <w:rPr>
          <w:rFonts w:ascii="Arial" w:hAnsi="Arial" w:cs="Arial"/>
        </w:rPr>
        <w:t xml:space="preserve">RPP settlement true ups pertaining to any month prior to 2018 related to GA costs, and/or revenue amounts based on </w:t>
      </w:r>
      <w:r w:rsidRPr="00035409">
        <w:rPr>
          <w:rFonts w:ascii="Arial" w:hAnsi="Arial" w:cs="Arial"/>
        </w:rPr>
        <w:lastRenderedPageBreak/>
        <w:t xml:space="preserve">volumes for RPP by TOU or 2 Tier price points and for non-RPP? </w:t>
      </w:r>
    </w:p>
    <w:p w:rsidR="00035409" w:rsidRPr="00035409" w:rsidRDefault="00035409" w:rsidP="000067AF">
      <w:pPr>
        <w:pStyle w:val="ListParagraph"/>
        <w:numPr>
          <w:ilvl w:val="1"/>
          <w:numId w:val="1"/>
        </w:numPr>
        <w:rPr>
          <w:rFonts w:ascii="Arial" w:hAnsi="Arial" w:cs="Arial"/>
        </w:rPr>
      </w:pPr>
      <w:r w:rsidRPr="00035409">
        <w:rPr>
          <w:rFonts w:ascii="Arial" w:hAnsi="Arial" w:cs="Arial"/>
        </w:rPr>
        <w:t xml:space="preserve">Differences between the Power or GA Unbilled Revenue vs actual Power or GA revenue billed in January/February relating to any month prior to 2018? </w:t>
      </w:r>
    </w:p>
    <w:p w:rsidR="00035409" w:rsidRDefault="00035409" w:rsidP="000067AF">
      <w:pPr>
        <w:pStyle w:val="ListParagraph"/>
        <w:numPr>
          <w:ilvl w:val="1"/>
          <w:numId w:val="1"/>
        </w:numPr>
        <w:rPr>
          <w:rFonts w:ascii="Arial" w:hAnsi="Arial" w:cs="Arial"/>
        </w:rPr>
      </w:pPr>
      <w:r w:rsidRPr="00035409">
        <w:rPr>
          <w:rFonts w:ascii="Arial" w:hAnsi="Arial" w:cs="Arial"/>
        </w:rPr>
        <w:t>Transfers for GA amounts between accounts 1588 and 1589 pertainin</w:t>
      </w:r>
      <w:r>
        <w:rPr>
          <w:rFonts w:ascii="Arial" w:hAnsi="Arial" w:cs="Arial"/>
        </w:rPr>
        <w:t>g to volumes for RPP by TOU or two-t</w:t>
      </w:r>
      <w:r w:rsidRPr="00035409">
        <w:rPr>
          <w:rFonts w:ascii="Arial" w:hAnsi="Arial" w:cs="Arial"/>
        </w:rPr>
        <w:t>ier price points and for non-RPP?</w:t>
      </w:r>
    </w:p>
    <w:p w:rsidR="00761997" w:rsidRPr="00414863" w:rsidRDefault="00761997" w:rsidP="00761997">
      <w:pPr>
        <w:pStyle w:val="Default"/>
        <w:rPr>
          <w:b/>
          <w:bCs/>
          <w:sz w:val="22"/>
          <w:szCs w:val="22"/>
        </w:rPr>
      </w:pPr>
      <w:r w:rsidRPr="00414863">
        <w:rPr>
          <w:b/>
          <w:bCs/>
          <w:sz w:val="22"/>
          <w:szCs w:val="22"/>
        </w:rPr>
        <w:t>Staff Question #</w:t>
      </w:r>
      <w:r>
        <w:rPr>
          <w:b/>
          <w:bCs/>
          <w:sz w:val="22"/>
          <w:szCs w:val="22"/>
        </w:rPr>
        <w:t>2</w:t>
      </w:r>
    </w:p>
    <w:p w:rsidR="006A1A2C" w:rsidRDefault="006A1A2C">
      <w:pPr>
        <w:rPr>
          <w:rFonts w:ascii="Arial" w:hAnsi="Arial" w:cs="Arial"/>
        </w:rPr>
      </w:pPr>
      <w:r>
        <w:rPr>
          <w:rFonts w:ascii="Arial" w:hAnsi="Arial" w:cs="Arial"/>
          <w:b/>
        </w:rPr>
        <w:t xml:space="preserve">Ref: </w:t>
      </w:r>
      <w:r w:rsidR="00600147">
        <w:rPr>
          <w:rFonts w:ascii="Arial" w:hAnsi="Arial" w:cs="Arial"/>
          <w:b/>
        </w:rPr>
        <w:t>Manager’s Summary Page 13</w:t>
      </w:r>
    </w:p>
    <w:p w:rsidR="00195C7A" w:rsidRDefault="00195C7A">
      <w:pPr>
        <w:rPr>
          <w:rFonts w:ascii="Arial" w:hAnsi="Arial" w:cs="Arial"/>
        </w:rPr>
      </w:pPr>
      <w:r>
        <w:rPr>
          <w:rFonts w:ascii="Arial" w:hAnsi="Arial" w:cs="Arial"/>
        </w:rPr>
        <w:t>The Applicant has indicated that during 2017, 24,300,393 kWh were billed to Hydro One Networks Inc. as part of a short-term load transfer arrangement.</w:t>
      </w:r>
      <w:r w:rsidR="00600147">
        <w:rPr>
          <w:rFonts w:ascii="Arial" w:hAnsi="Arial" w:cs="Arial"/>
        </w:rPr>
        <w:t xml:space="preserve"> Furthermore, the Applicant has included this consumption as a Class A customer for the period of July-December 2017.</w:t>
      </w:r>
    </w:p>
    <w:p w:rsidR="00FE60A1" w:rsidRPr="00FE60A1" w:rsidRDefault="003B40DA" w:rsidP="00BD708A">
      <w:pPr>
        <w:pStyle w:val="ListParagraph"/>
        <w:numPr>
          <w:ilvl w:val="0"/>
          <w:numId w:val="32"/>
        </w:numPr>
        <w:rPr>
          <w:rFonts w:ascii="Arial" w:hAnsi="Arial" w:cs="Arial"/>
        </w:rPr>
      </w:pPr>
      <w:r w:rsidRPr="00BD708A">
        <w:rPr>
          <w:rFonts w:ascii="Arial" w:hAnsi="Arial" w:cs="Arial"/>
        </w:rPr>
        <w:t xml:space="preserve">Please confirm </w:t>
      </w:r>
      <w:r w:rsidR="00FE60A1" w:rsidRPr="00BD708A">
        <w:rPr>
          <w:rFonts w:ascii="Arial" w:hAnsi="Arial" w:cs="Arial"/>
        </w:rPr>
        <w:t>whether or not Hydro One qualifies as a Class A cu</w:t>
      </w:r>
      <w:r w:rsidR="00FE60A1" w:rsidRPr="00FE60A1">
        <w:rPr>
          <w:rFonts w:ascii="Arial" w:hAnsi="Arial" w:cs="Arial"/>
        </w:rPr>
        <w:t>stomer through the ICI program.</w:t>
      </w:r>
      <w:r w:rsidR="00FE60A1">
        <w:rPr>
          <w:rFonts w:ascii="Arial" w:hAnsi="Arial" w:cs="Arial"/>
        </w:rPr>
        <w:t xml:space="preserve"> If not, should Hydro One be treated as a Class B customer? If so, how would this impact </w:t>
      </w:r>
      <w:r w:rsidR="00D20BF2">
        <w:rPr>
          <w:rFonts w:ascii="Arial" w:hAnsi="Arial" w:cs="Arial"/>
        </w:rPr>
        <w:t xml:space="preserve">Entegrus’ </w:t>
      </w:r>
      <w:r w:rsidR="00FE60A1">
        <w:rPr>
          <w:rFonts w:ascii="Arial" w:hAnsi="Arial" w:cs="Arial"/>
        </w:rPr>
        <w:t xml:space="preserve">RPP settlements with the IESO? </w:t>
      </w:r>
      <w:r w:rsidR="00D20BF2">
        <w:rPr>
          <w:rFonts w:ascii="Arial" w:hAnsi="Arial" w:cs="Arial"/>
        </w:rPr>
        <w:t>Please provide detail calculations showing the impact to the 2017 RPP Settlements charge type 142/1142 and to accounts 1588 and 1589 if Hydro One was treated as a Class  B customer.</w:t>
      </w:r>
      <w:r w:rsidR="00FE60A1">
        <w:rPr>
          <w:rFonts w:ascii="Arial" w:hAnsi="Arial" w:cs="Arial"/>
        </w:rPr>
        <w:t xml:space="preserve"> </w:t>
      </w:r>
    </w:p>
    <w:p w:rsidR="00FE60A1" w:rsidRDefault="00FE60A1" w:rsidP="00BD708A">
      <w:pPr>
        <w:pStyle w:val="ListParagraph"/>
        <w:numPr>
          <w:ilvl w:val="0"/>
          <w:numId w:val="32"/>
        </w:numPr>
        <w:rPr>
          <w:rFonts w:ascii="Arial" w:hAnsi="Arial" w:cs="Arial"/>
        </w:rPr>
      </w:pPr>
      <w:r>
        <w:rPr>
          <w:rFonts w:ascii="Arial" w:hAnsi="Arial" w:cs="Arial"/>
        </w:rPr>
        <w:t>Please confirm whether or not Hydro One has their own customer specific peak demand factor.</w:t>
      </w:r>
    </w:p>
    <w:p w:rsidR="00FE60A1" w:rsidRPr="00BD708A" w:rsidRDefault="00FE60A1" w:rsidP="00BD708A">
      <w:pPr>
        <w:pStyle w:val="ListParagraph"/>
        <w:numPr>
          <w:ilvl w:val="0"/>
          <w:numId w:val="32"/>
        </w:numPr>
        <w:rPr>
          <w:rFonts w:ascii="Arial" w:hAnsi="Arial" w:cs="Arial"/>
        </w:rPr>
      </w:pPr>
      <w:r>
        <w:rPr>
          <w:rFonts w:ascii="Arial" w:hAnsi="Arial" w:cs="Arial"/>
        </w:rPr>
        <w:t>Please confirm what GA rate that Entegrus invoice</w:t>
      </w:r>
      <w:r w:rsidR="00D20BF2">
        <w:rPr>
          <w:rFonts w:ascii="Arial" w:hAnsi="Arial" w:cs="Arial"/>
        </w:rPr>
        <w:t>s</w:t>
      </w:r>
      <w:r>
        <w:rPr>
          <w:rFonts w:ascii="Arial" w:hAnsi="Arial" w:cs="Arial"/>
        </w:rPr>
        <w:t xml:space="preserve"> Hydro One.</w:t>
      </w:r>
    </w:p>
    <w:p w:rsidR="003B40DA" w:rsidRDefault="003B40DA">
      <w:pPr>
        <w:rPr>
          <w:rFonts w:ascii="Arial" w:hAnsi="Arial" w:cs="Arial"/>
        </w:rPr>
      </w:pPr>
    </w:p>
    <w:p w:rsidR="00B14288" w:rsidRPr="00761997" w:rsidRDefault="00761997" w:rsidP="00761997">
      <w:pPr>
        <w:pStyle w:val="Default"/>
        <w:rPr>
          <w:b/>
          <w:bCs/>
          <w:sz w:val="22"/>
          <w:szCs w:val="22"/>
        </w:rPr>
      </w:pPr>
      <w:r w:rsidRPr="00761997">
        <w:rPr>
          <w:b/>
          <w:bCs/>
          <w:sz w:val="22"/>
          <w:szCs w:val="22"/>
        </w:rPr>
        <w:t>Staff Question #3</w:t>
      </w:r>
    </w:p>
    <w:p w:rsidR="00B14288" w:rsidRPr="00761997" w:rsidRDefault="00B14288" w:rsidP="00761997">
      <w:pPr>
        <w:pStyle w:val="Default"/>
        <w:rPr>
          <w:b/>
          <w:bCs/>
          <w:sz w:val="22"/>
          <w:szCs w:val="22"/>
        </w:rPr>
      </w:pPr>
      <w:r w:rsidRPr="00761997">
        <w:rPr>
          <w:b/>
          <w:bCs/>
          <w:sz w:val="22"/>
          <w:szCs w:val="22"/>
        </w:rPr>
        <w:t xml:space="preserve">Ref: </w:t>
      </w:r>
      <w:r w:rsidR="004A5E07" w:rsidRPr="00761997">
        <w:rPr>
          <w:b/>
          <w:bCs/>
          <w:sz w:val="22"/>
          <w:szCs w:val="22"/>
        </w:rPr>
        <w:t>GA Analysis Workform, Note 5 Reconciling Items</w:t>
      </w:r>
    </w:p>
    <w:p w:rsidR="00761997" w:rsidRDefault="00761997" w:rsidP="00B14288">
      <w:pPr>
        <w:rPr>
          <w:rFonts w:ascii="Arial" w:hAnsi="Arial" w:cs="Arial"/>
        </w:rPr>
      </w:pPr>
    </w:p>
    <w:p w:rsidR="00B14288" w:rsidRDefault="00B14288" w:rsidP="00B14288">
      <w:pPr>
        <w:rPr>
          <w:rFonts w:ascii="Arial" w:hAnsi="Arial" w:cs="Arial"/>
        </w:rPr>
      </w:pPr>
      <w:r>
        <w:rPr>
          <w:rFonts w:ascii="Arial" w:hAnsi="Arial" w:cs="Arial"/>
        </w:rPr>
        <w:t xml:space="preserve">The Applicant has indicated that </w:t>
      </w:r>
      <w:r w:rsidR="004A5E07">
        <w:rPr>
          <w:rFonts w:ascii="Arial" w:hAnsi="Arial" w:cs="Arial"/>
        </w:rPr>
        <w:t>an amount of $163,204 has been recorded as a result of differences in Global Adjustment charges from the IESO that pertained to prior periods.</w:t>
      </w:r>
    </w:p>
    <w:p w:rsidR="004A5E07" w:rsidRDefault="004A5E07" w:rsidP="004A5E07">
      <w:pPr>
        <w:pStyle w:val="ListParagraph"/>
        <w:numPr>
          <w:ilvl w:val="0"/>
          <w:numId w:val="2"/>
        </w:numPr>
        <w:rPr>
          <w:rFonts w:ascii="Arial" w:hAnsi="Arial" w:cs="Arial"/>
        </w:rPr>
      </w:pPr>
      <w:r>
        <w:rPr>
          <w:rFonts w:ascii="Arial" w:hAnsi="Arial" w:cs="Arial"/>
        </w:rPr>
        <w:t xml:space="preserve">Please </w:t>
      </w:r>
      <w:r w:rsidR="00D20BF2">
        <w:rPr>
          <w:rFonts w:ascii="Arial" w:hAnsi="Arial" w:cs="Arial"/>
        </w:rPr>
        <w:t xml:space="preserve">itemize, detail and explain what these adjustments relate to, </w:t>
      </w:r>
      <w:r>
        <w:rPr>
          <w:rFonts w:ascii="Arial" w:hAnsi="Arial" w:cs="Arial"/>
        </w:rPr>
        <w:t xml:space="preserve">which </w:t>
      </w:r>
      <w:r w:rsidR="006A3F67">
        <w:rPr>
          <w:rFonts w:ascii="Arial" w:hAnsi="Arial" w:cs="Arial"/>
        </w:rPr>
        <w:t>month/</w:t>
      </w:r>
      <w:r>
        <w:rPr>
          <w:rFonts w:ascii="Arial" w:hAnsi="Arial" w:cs="Arial"/>
        </w:rPr>
        <w:t>yea</w:t>
      </w:r>
      <w:r w:rsidR="00826464">
        <w:rPr>
          <w:rFonts w:ascii="Arial" w:hAnsi="Arial" w:cs="Arial"/>
        </w:rPr>
        <w:t>r these adjustments pertain to</w:t>
      </w:r>
      <w:r>
        <w:rPr>
          <w:rFonts w:ascii="Arial" w:hAnsi="Arial" w:cs="Arial"/>
        </w:rPr>
        <w:t xml:space="preserve"> and</w:t>
      </w:r>
      <w:r w:rsidR="00826464">
        <w:rPr>
          <w:rFonts w:ascii="Arial" w:hAnsi="Arial" w:cs="Arial"/>
        </w:rPr>
        <w:t xml:space="preserve">, </w:t>
      </w:r>
      <w:r w:rsidR="006A3F67">
        <w:rPr>
          <w:rFonts w:ascii="Arial" w:hAnsi="Arial" w:cs="Arial"/>
        </w:rPr>
        <w:t xml:space="preserve">in the analysis </w:t>
      </w:r>
      <w:r>
        <w:rPr>
          <w:rFonts w:ascii="Arial" w:hAnsi="Arial" w:cs="Arial"/>
        </w:rPr>
        <w:t>break out the adjustments by year.</w:t>
      </w:r>
    </w:p>
    <w:p w:rsidR="00826464" w:rsidRDefault="00826464" w:rsidP="004A5E07">
      <w:pPr>
        <w:pStyle w:val="ListParagraph"/>
        <w:numPr>
          <w:ilvl w:val="0"/>
          <w:numId w:val="2"/>
        </w:numPr>
        <w:rPr>
          <w:rFonts w:ascii="Arial" w:hAnsi="Arial" w:cs="Arial"/>
        </w:rPr>
      </w:pPr>
      <w:r>
        <w:rPr>
          <w:rFonts w:ascii="Arial" w:hAnsi="Arial" w:cs="Arial"/>
        </w:rPr>
        <w:lastRenderedPageBreak/>
        <w:t xml:space="preserve">Please confirm </w:t>
      </w:r>
      <w:r w:rsidR="006A3F67">
        <w:rPr>
          <w:rFonts w:ascii="Arial" w:hAnsi="Arial" w:cs="Arial"/>
        </w:rPr>
        <w:t>whether or not</w:t>
      </w:r>
      <w:r w:rsidR="00224B18">
        <w:rPr>
          <w:rFonts w:ascii="Arial" w:hAnsi="Arial" w:cs="Arial"/>
        </w:rPr>
        <w:t xml:space="preserve"> the amount of</w:t>
      </w:r>
      <w:r>
        <w:rPr>
          <w:rFonts w:ascii="Arial" w:hAnsi="Arial" w:cs="Arial"/>
        </w:rPr>
        <w:t xml:space="preserve"> $163,204 was a credit received from the IESO. If this amount was an additional charge, rather than a credit, please reverse the direction of the reconciling item.</w:t>
      </w:r>
    </w:p>
    <w:p w:rsidR="00224B18" w:rsidRPr="00224B18" w:rsidRDefault="00826464" w:rsidP="00224B18">
      <w:pPr>
        <w:pStyle w:val="ListParagraph"/>
        <w:numPr>
          <w:ilvl w:val="0"/>
          <w:numId w:val="2"/>
        </w:numPr>
        <w:rPr>
          <w:rFonts w:ascii="Arial" w:hAnsi="Arial" w:cs="Arial"/>
        </w:rPr>
      </w:pPr>
      <w:r>
        <w:rPr>
          <w:rFonts w:ascii="Arial" w:hAnsi="Arial" w:cs="Arial"/>
        </w:rPr>
        <w:t xml:space="preserve">Please confirm </w:t>
      </w:r>
      <w:r w:rsidR="006A3F67">
        <w:rPr>
          <w:rFonts w:ascii="Arial" w:hAnsi="Arial" w:cs="Arial"/>
        </w:rPr>
        <w:t xml:space="preserve">which group of customers </w:t>
      </w:r>
      <w:r>
        <w:rPr>
          <w:rFonts w:ascii="Arial" w:hAnsi="Arial" w:cs="Arial"/>
        </w:rPr>
        <w:t xml:space="preserve">that the </w:t>
      </w:r>
      <w:r w:rsidR="006A3F67">
        <w:rPr>
          <w:rFonts w:ascii="Arial" w:hAnsi="Arial" w:cs="Arial"/>
        </w:rPr>
        <w:t xml:space="preserve">GA adjustment </w:t>
      </w:r>
      <w:r w:rsidR="00224B18">
        <w:rPr>
          <w:rFonts w:ascii="Arial" w:hAnsi="Arial" w:cs="Arial"/>
        </w:rPr>
        <w:t>amount of $163,204 pertains</w:t>
      </w:r>
      <w:r w:rsidR="006A3F67">
        <w:rPr>
          <w:rFonts w:ascii="Arial" w:hAnsi="Arial" w:cs="Arial"/>
        </w:rPr>
        <w:t xml:space="preserve"> to, RPP or </w:t>
      </w:r>
      <w:r w:rsidR="00224B18">
        <w:rPr>
          <w:rFonts w:ascii="Arial" w:hAnsi="Arial" w:cs="Arial"/>
        </w:rPr>
        <w:t>Non-RPP customers.</w:t>
      </w:r>
      <w:r w:rsidR="006A3F67">
        <w:rPr>
          <w:rFonts w:ascii="Arial" w:hAnsi="Arial" w:cs="Arial"/>
        </w:rPr>
        <w:t xml:space="preserve"> </w:t>
      </w:r>
    </w:p>
    <w:p w:rsidR="004A5E07" w:rsidRDefault="00826464" w:rsidP="004A5E07">
      <w:pPr>
        <w:pStyle w:val="ListParagraph"/>
        <w:numPr>
          <w:ilvl w:val="0"/>
          <w:numId w:val="2"/>
        </w:numPr>
        <w:rPr>
          <w:rFonts w:ascii="Arial" w:hAnsi="Arial" w:cs="Arial"/>
        </w:rPr>
      </w:pPr>
      <w:r>
        <w:rPr>
          <w:rFonts w:ascii="Arial" w:hAnsi="Arial" w:cs="Arial"/>
        </w:rPr>
        <w:t>Please explain the process for how the Applicant determined what portion</w:t>
      </w:r>
      <w:r w:rsidR="00224B18">
        <w:rPr>
          <w:rFonts w:ascii="Arial" w:hAnsi="Arial" w:cs="Arial"/>
        </w:rPr>
        <w:t xml:space="preserve"> of the GA adjustments pertained to RPP customers (and ultimately booked in Account 1588) versus Non-RPP customers (and ultimately booked in Account 1589).</w:t>
      </w:r>
    </w:p>
    <w:p w:rsidR="00224B18" w:rsidRPr="004A5E07" w:rsidRDefault="00224B18" w:rsidP="004A5E07">
      <w:pPr>
        <w:pStyle w:val="ListParagraph"/>
        <w:numPr>
          <w:ilvl w:val="0"/>
          <w:numId w:val="2"/>
        </w:numPr>
        <w:rPr>
          <w:rFonts w:ascii="Arial" w:hAnsi="Arial" w:cs="Arial"/>
        </w:rPr>
      </w:pPr>
      <w:r>
        <w:rPr>
          <w:rFonts w:ascii="Arial" w:hAnsi="Arial" w:cs="Arial"/>
        </w:rPr>
        <w:t xml:space="preserve">If any portion of the $163,204 relates to RPP customers and has not been allocated to </w:t>
      </w:r>
      <w:r w:rsidR="00264BC2">
        <w:rPr>
          <w:rFonts w:ascii="Arial" w:hAnsi="Arial" w:cs="Arial"/>
        </w:rPr>
        <w:t>Account 1588, please record</w:t>
      </w:r>
      <w:r>
        <w:rPr>
          <w:rFonts w:ascii="Arial" w:hAnsi="Arial" w:cs="Arial"/>
        </w:rPr>
        <w:t xml:space="preserve"> the necessary adjustments in the DVA Continuity Schedule</w:t>
      </w:r>
      <w:r w:rsidR="006A3F67">
        <w:rPr>
          <w:rFonts w:ascii="Arial" w:hAnsi="Arial" w:cs="Arial"/>
        </w:rPr>
        <w:t xml:space="preserve"> and confirm that Entregrus will settle this amount with the IESO. In addition, please update the </w:t>
      </w:r>
      <w:r>
        <w:rPr>
          <w:rFonts w:ascii="Arial" w:hAnsi="Arial" w:cs="Arial"/>
        </w:rPr>
        <w:t>GA Analysis Workform</w:t>
      </w:r>
      <w:r w:rsidR="006A3F67">
        <w:rPr>
          <w:rFonts w:ascii="Arial" w:hAnsi="Arial" w:cs="Arial"/>
        </w:rPr>
        <w:t xml:space="preserve"> to include only the non-RPP portion of the </w:t>
      </w:r>
      <w:r w:rsidR="007216B0">
        <w:rPr>
          <w:rFonts w:ascii="Arial" w:hAnsi="Arial" w:cs="Arial"/>
        </w:rPr>
        <w:t>$163,204 in account 1589.</w:t>
      </w:r>
    </w:p>
    <w:p w:rsidR="001E0FA9" w:rsidRPr="00761997" w:rsidRDefault="001E0FA9" w:rsidP="001E0FA9">
      <w:pPr>
        <w:pStyle w:val="Default"/>
        <w:rPr>
          <w:b/>
          <w:bCs/>
          <w:sz w:val="22"/>
          <w:szCs w:val="22"/>
        </w:rPr>
      </w:pPr>
      <w:r w:rsidRPr="00761997">
        <w:rPr>
          <w:b/>
          <w:bCs/>
          <w:sz w:val="22"/>
          <w:szCs w:val="22"/>
        </w:rPr>
        <w:t>S</w:t>
      </w:r>
      <w:r>
        <w:rPr>
          <w:b/>
          <w:bCs/>
          <w:sz w:val="22"/>
          <w:szCs w:val="22"/>
        </w:rPr>
        <w:t>taff Question #4</w:t>
      </w:r>
    </w:p>
    <w:p w:rsidR="00D24222" w:rsidRDefault="001E0FA9" w:rsidP="001E0FA9">
      <w:pPr>
        <w:pStyle w:val="Default"/>
        <w:rPr>
          <w:b/>
          <w:bCs/>
          <w:sz w:val="22"/>
          <w:szCs w:val="22"/>
        </w:rPr>
      </w:pPr>
      <w:r w:rsidRPr="00761997">
        <w:rPr>
          <w:b/>
          <w:bCs/>
          <w:sz w:val="22"/>
          <w:szCs w:val="22"/>
        </w:rPr>
        <w:t xml:space="preserve">Ref: </w:t>
      </w:r>
      <w:r>
        <w:rPr>
          <w:b/>
          <w:bCs/>
          <w:sz w:val="22"/>
          <w:szCs w:val="22"/>
        </w:rPr>
        <w:t>Continuity Schedule</w:t>
      </w:r>
      <w:r w:rsidR="00D24222">
        <w:rPr>
          <w:b/>
          <w:bCs/>
          <w:sz w:val="22"/>
          <w:szCs w:val="22"/>
        </w:rPr>
        <w:t xml:space="preserve"> – OEB Approved Disposition during 2016</w:t>
      </w:r>
    </w:p>
    <w:p w:rsidR="00D24222" w:rsidRDefault="00D24222" w:rsidP="001E0FA9">
      <w:pPr>
        <w:pStyle w:val="Default"/>
        <w:rPr>
          <w:bCs/>
          <w:sz w:val="22"/>
          <w:szCs w:val="22"/>
        </w:rPr>
      </w:pPr>
    </w:p>
    <w:p w:rsidR="00D24222" w:rsidRPr="00B73A18" w:rsidRDefault="00D24222" w:rsidP="00B73A18">
      <w:pPr>
        <w:pStyle w:val="Default"/>
        <w:numPr>
          <w:ilvl w:val="0"/>
          <w:numId w:val="16"/>
        </w:numPr>
        <w:rPr>
          <w:bCs/>
          <w:sz w:val="22"/>
          <w:szCs w:val="22"/>
        </w:rPr>
      </w:pPr>
      <w:r>
        <w:rPr>
          <w:bCs/>
          <w:sz w:val="22"/>
          <w:szCs w:val="22"/>
        </w:rPr>
        <w:t>Provide an explanation for the credit entry in Account 1595 (2016) of $4,003,963.</w:t>
      </w:r>
    </w:p>
    <w:p w:rsidR="00D24222" w:rsidRDefault="00D24222" w:rsidP="001E0FA9">
      <w:pPr>
        <w:pStyle w:val="Default"/>
        <w:rPr>
          <w:bCs/>
          <w:sz w:val="22"/>
          <w:szCs w:val="22"/>
        </w:rPr>
      </w:pPr>
    </w:p>
    <w:p w:rsidR="00D24222" w:rsidRPr="00761997" w:rsidRDefault="00D24222" w:rsidP="00D24222">
      <w:pPr>
        <w:pStyle w:val="Default"/>
        <w:rPr>
          <w:b/>
          <w:bCs/>
          <w:sz w:val="22"/>
          <w:szCs w:val="22"/>
        </w:rPr>
      </w:pPr>
      <w:r w:rsidRPr="00761997">
        <w:rPr>
          <w:b/>
          <w:bCs/>
          <w:sz w:val="22"/>
          <w:szCs w:val="22"/>
        </w:rPr>
        <w:t>S</w:t>
      </w:r>
      <w:r>
        <w:rPr>
          <w:b/>
          <w:bCs/>
          <w:sz w:val="22"/>
          <w:szCs w:val="22"/>
        </w:rPr>
        <w:t>taff Question #5</w:t>
      </w:r>
    </w:p>
    <w:p w:rsidR="00D24222" w:rsidRDefault="00D24222" w:rsidP="00D24222">
      <w:pPr>
        <w:pStyle w:val="Default"/>
        <w:rPr>
          <w:b/>
          <w:bCs/>
          <w:sz w:val="22"/>
          <w:szCs w:val="22"/>
        </w:rPr>
      </w:pPr>
      <w:r w:rsidRPr="00761997">
        <w:rPr>
          <w:b/>
          <w:bCs/>
          <w:sz w:val="22"/>
          <w:szCs w:val="22"/>
        </w:rPr>
        <w:t xml:space="preserve">Ref: </w:t>
      </w:r>
      <w:r>
        <w:rPr>
          <w:b/>
          <w:bCs/>
          <w:sz w:val="22"/>
          <w:szCs w:val="22"/>
        </w:rPr>
        <w:t>Continuity Schedule – Principal Adjustments during 2016</w:t>
      </w:r>
    </w:p>
    <w:p w:rsidR="00D24222" w:rsidRDefault="00D24222" w:rsidP="00D24222">
      <w:pPr>
        <w:pStyle w:val="Default"/>
        <w:rPr>
          <w:bCs/>
          <w:sz w:val="22"/>
          <w:szCs w:val="22"/>
        </w:rPr>
      </w:pPr>
    </w:p>
    <w:p w:rsidR="00D24222" w:rsidRDefault="00D24222" w:rsidP="00D24222">
      <w:pPr>
        <w:pStyle w:val="Default"/>
        <w:numPr>
          <w:ilvl w:val="0"/>
          <w:numId w:val="15"/>
        </w:numPr>
        <w:rPr>
          <w:bCs/>
          <w:sz w:val="22"/>
          <w:szCs w:val="22"/>
        </w:rPr>
      </w:pPr>
      <w:r>
        <w:rPr>
          <w:bCs/>
          <w:sz w:val="22"/>
          <w:szCs w:val="22"/>
        </w:rPr>
        <w:t xml:space="preserve">Provide an explanation </w:t>
      </w:r>
      <w:r w:rsidR="007216B0">
        <w:rPr>
          <w:bCs/>
          <w:sz w:val="22"/>
          <w:szCs w:val="22"/>
        </w:rPr>
        <w:t xml:space="preserve">and justification </w:t>
      </w:r>
      <w:r>
        <w:rPr>
          <w:bCs/>
          <w:sz w:val="22"/>
          <w:szCs w:val="22"/>
        </w:rPr>
        <w:t xml:space="preserve">for </w:t>
      </w:r>
      <w:r w:rsidR="007216B0">
        <w:rPr>
          <w:bCs/>
          <w:sz w:val="22"/>
          <w:szCs w:val="22"/>
        </w:rPr>
        <w:t xml:space="preserve">what </w:t>
      </w:r>
      <w:r>
        <w:rPr>
          <w:bCs/>
          <w:sz w:val="22"/>
          <w:szCs w:val="22"/>
        </w:rPr>
        <w:t xml:space="preserve">the </w:t>
      </w:r>
      <w:r w:rsidR="00B73A18">
        <w:rPr>
          <w:bCs/>
          <w:sz w:val="22"/>
          <w:szCs w:val="22"/>
        </w:rPr>
        <w:t>credit</w:t>
      </w:r>
      <w:r>
        <w:rPr>
          <w:bCs/>
          <w:sz w:val="22"/>
          <w:szCs w:val="22"/>
        </w:rPr>
        <w:t xml:space="preserve"> entries in Accounts 1588 and 1589 of $18,303 and $117,104 </w:t>
      </w:r>
      <w:r w:rsidR="007216B0">
        <w:rPr>
          <w:bCs/>
          <w:sz w:val="22"/>
          <w:szCs w:val="22"/>
        </w:rPr>
        <w:t xml:space="preserve">relate to, </w:t>
      </w:r>
      <w:r>
        <w:rPr>
          <w:bCs/>
          <w:sz w:val="22"/>
          <w:szCs w:val="22"/>
        </w:rPr>
        <w:t xml:space="preserve">respectively. </w:t>
      </w:r>
    </w:p>
    <w:p w:rsidR="00B73A18" w:rsidRDefault="00B73A18" w:rsidP="00B73A18">
      <w:pPr>
        <w:pStyle w:val="Default"/>
        <w:ind w:left="720"/>
        <w:rPr>
          <w:bCs/>
          <w:sz w:val="22"/>
          <w:szCs w:val="22"/>
        </w:rPr>
      </w:pPr>
    </w:p>
    <w:p w:rsidR="00C4356A" w:rsidRDefault="00C4356A" w:rsidP="00F82D05">
      <w:pPr>
        <w:pStyle w:val="Default"/>
        <w:rPr>
          <w:bCs/>
          <w:sz w:val="22"/>
          <w:szCs w:val="22"/>
        </w:rPr>
      </w:pPr>
    </w:p>
    <w:p w:rsidR="00F82D05" w:rsidRDefault="00F82D05" w:rsidP="00F82D05">
      <w:pPr>
        <w:pStyle w:val="Default"/>
        <w:rPr>
          <w:bCs/>
          <w:sz w:val="22"/>
          <w:szCs w:val="22"/>
        </w:rPr>
      </w:pPr>
    </w:p>
    <w:p w:rsidR="00F82D05" w:rsidRDefault="00F82D05" w:rsidP="00F82D05">
      <w:pPr>
        <w:pStyle w:val="Default"/>
        <w:rPr>
          <w:bCs/>
          <w:sz w:val="22"/>
          <w:szCs w:val="22"/>
        </w:rPr>
      </w:pPr>
    </w:p>
    <w:p w:rsidR="00F82D05" w:rsidRPr="00B73A18" w:rsidRDefault="00F82D05" w:rsidP="00F82D05">
      <w:pPr>
        <w:pStyle w:val="Default"/>
        <w:rPr>
          <w:bCs/>
          <w:sz w:val="22"/>
          <w:szCs w:val="22"/>
        </w:rPr>
      </w:pPr>
    </w:p>
    <w:p w:rsidR="00D24222" w:rsidRPr="00761997" w:rsidRDefault="00D24222" w:rsidP="00D24222">
      <w:pPr>
        <w:pStyle w:val="Default"/>
        <w:rPr>
          <w:b/>
          <w:bCs/>
          <w:sz w:val="22"/>
          <w:szCs w:val="22"/>
        </w:rPr>
      </w:pPr>
      <w:r w:rsidRPr="00761997">
        <w:rPr>
          <w:b/>
          <w:bCs/>
          <w:sz w:val="22"/>
          <w:szCs w:val="22"/>
        </w:rPr>
        <w:t>S</w:t>
      </w:r>
      <w:r w:rsidR="00B73A18">
        <w:rPr>
          <w:b/>
          <w:bCs/>
          <w:sz w:val="22"/>
          <w:szCs w:val="22"/>
        </w:rPr>
        <w:t>taff Question #6</w:t>
      </w:r>
    </w:p>
    <w:p w:rsidR="00D24222" w:rsidRDefault="00D24222" w:rsidP="00D24222">
      <w:pPr>
        <w:pStyle w:val="Default"/>
        <w:rPr>
          <w:b/>
          <w:bCs/>
          <w:sz w:val="22"/>
          <w:szCs w:val="22"/>
        </w:rPr>
      </w:pPr>
      <w:r w:rsidRPr="00761997">
        <w:rPr>
          <w:b/>
          <w:bCs/>
          <w:sz w:val="22"/>
          <w:szCs w:val="22"/>
        </w:rPr>
        <w:t xml:space="preserve">Ref: </w:t>
      </w:r>
      <w:r>
        <w:rPr>
          <w:b/>
          <w:bCs/>
          <w:sz w:val="22"/>
          <w:szCs w:val="22"/>
        </w:rPr>
        <w:t>Continuity Schedule – Principal Adjustments</w:t>
      </w:r>
      <w:r w:rsidR="00B73A18">
        <w:rPr>
          <w:b/>
          <w:bCs/>
          <w:sz w:val="22"/>
          <w:szCs w:val="22"/>
        </w:rPr>
        <w:t xml:space="preserve"> during 2017</w:t>
      </w:r>
    </w:p>
    <w:p w:rsidR="001E0FA9" w:rsidRDefault="001E0FA9" w:rsidP="00AC0592">
      <w:pPr>
        <w:pStyle w:val="Default"/>
        <w:rPr>
          <w:b/>
          <w:bCs/>
          <w:sz w:val="22"/>
          <w:szCs w:val="22"/>
        </w:rPr>
      </w:pPr>
    </w:p>
    <w:p w:rsidR="00B73A18" w:rsidRPr="00B73A18" w:rsidRDefault="00B73A18" w:rsidP="00B73A18">
      <w:pPr>
        <w:pStyle w:val="Default"/>
        <w:numPr>
          <w:ilvl w:val="0"/>
          <w:numId w:val="17"/>
        </w:numPr>
        <w:rPr>
          <w:bCs/>
          <w:sz w:val="22"/>
          <w:szCs w:val="22"/>
        </w:rPr>
      </w:pPr>
      <w:r>
        <w:rPr>
          <w:bCs/>
          <w:sz w:val="22"/>
          <w:szCs w:val="22"/>
        </w:rPr>
        <w:t>Provide an explanation</w:t>
      </w:r>
      <w:r w:rsidR="007216B0">
        <w:rPr>
          <w:bCs/>
          <w:sz w:val="22"/>
          <w:szCs w:val="22"/>
        </w:rPr>
        <w:t xml:space="preserve"> and justification </w:t>
      </w:r>
      <w:r>
        <w:rPr>
          <w:bCs/>
          <w:sz w:val="22"/>
          <w:szCs w:val="22"/>
        </w:rPr>
        <w:t xml:space="preserve">for </w:t>
      </w:r>
      <w:r w:rsidR="007216B0">
        <w:rPr>
          <w:bCs/>
          <w:sz w:val="22"/>
          <w:szCs w:val="22"/>
        </w:rPr>
        <w:t xml:space="preserve">what </w:t>
      </w:r>
      <w:r>
        <w:rPr>
          <w:bCs/>
          <w:sz w:val="22"/>
          <w:szCs w:val="22"/>
        </w:rPr>
        <w:t>the debit entry in Account 1595 (2017) of $1,371,570</w:t>
      </w:r>
      <w:r w:rsidR="007216B0">
        <w:rPr>
          <w:bCs/>
          <w:sz w:val="22"/>
          <w:szCs w:val="22"/>
        </w:rPr>
        <w:t xml:space="preserve"> relates to</w:t>
      </w:r>
      <w:r>
        <w:rPr>
          <w:bCs/>
          <w:sz w:val="22"/>
          <w:szCs w:val="22"/>
        </w:rPr>
        <w:t>.</w:t>
      </w:r>
    </w:p>
    <w:p w:rsidR="00B73A18" w:rsidRDefault="00B73A18" w:rsidP="00AC0592">
      <w:pPr>
        <w:pStyle w:val="Default"/>
        <w:rPr>
          <w:b/>
          <w:bCs/>
          <w:sz w:val="22"/>
          <w:szCs w:val="22"/>
        </w:rPr>
      </w:pPr>
    </w:p>
    <w:p w:rsidR="001E0FA9" w:rsidRDefault="001E0FA9" w:rsidP="00AC0592">
      <w:pPr>
        <w:pStyle w:val="Default"/>
        <w:rPr>
          <w:b/>
          <w:bCs/>
          <w:sz w:val="22"/>
          <w:szCs w:val="22"/>
        </w:rPr>
      </w:pPr>
    </w:p>
    <w:p w:rsidR="00B73A18" w:rsidRPr="00761997" w:rsidRDefault="00B73A18" w:rsidP="00B73A18">
      <w:pPr>
        <w:pStyle w:val="Default"/>
        <w:rPr>
          <w:b/>
          <w:bCs/>
          <w:sz w:val="22"/>
          <w:szCs w:val="22"/>
        </w:rPr>
      </w:pPr>
      <w:r w:rsidRPr="00761997">
        <w:rPr>
          <w:b/>
          <w:bCs/>
          <w:sz w:val="22"/>
          <w:szCs w:val="22"/>
        </w:rPr>
        <w:t>S</w:t>
      </w:r>
      <w:r>
        <w:rPr>
          <w:b/>
          <w:bCs/>
          <w:sz w:val="22"/>
          <w:szCs w:val="22"/>
        </w:rPr>
        <w:t>taff Question #7</w:t>
      </w:r>
    </w:p>
    <w:p w:rsidR="00B73A18" w:rsidRDefault="00B73A18" w:rsidP="00B73A18">
      <w:pPr>
        <w:pStyle w:val="Default"/>
        <w:rPr>
          <w:b/>
          <w:bCs/>
          <w:sz w:val="22"/>
          <w:szCs w:val="22"/>
        </w:rPr>
      </w:pPr>
      <w:r w:rsidRPr="00761997">
        <w:rPr>
          <w:b/>
          <w:bCs/>
          <w:sz w:val="22"/>
          <w:szCs w:val="22"/>
        </w:rPr>
        <w:t xml:space="preserve">Ref: </w:t>
      </w:r>
      <w:r>
        <w:rPr>
          <w:b/>
          <w:bCs/>
          <w:sz w:val="22"/>
          <w:szCs w:val="22"/>
        </w:rPr>
        <w:t>Continuity Schedule – Principal Adjustments during 2017</w:t>
      </w:r>
    </w:p>
    <w:p w:rsidR="00B73A18" w:rsidRDefault="00B73A18" w:rsidP="00B73A18">
      <w:pPr>
        <w:pStyle w:val="Default"/>
        <w:rPr>
          <w:bCs/>
          <w:sz w:val="22"/>
          <w:szCs w:val="22"/>
        </w:rPr>
      </w:pPr>
    </w:p>
    <w:p w:rsidR="00B73A18" w:rsidRDefault="00B73A18" w:rsidP="00B73A18">
      <w:pPr>
        <w:pStyle w:val="Default"/>
        <w:numPr>
          <w:ilvl w:val="0"/>
          <w:numId w:val="18"/>
        </w:numPr>
        <w:rPr>
          <w:bCs/>
          <w:sz w:val="22"/>
          <w:szCs w:val="22"/>
        </w:rPr>
      </w:pPr>
      <w:r>
        <w:rPr>
          <w:bCs/>
          <w:sz w:val="22"/>
          <w:szCs w:val="22"/>
        </w:rPr>
        <w:t xml:space="preserve">Provide an explanation </w:t>
      </w:r>
      <w:r w:rsidR="007216B0">
        <w:rPr>
          <w:bCs/>
          <w:sz w:val="22"/>
          <w:szCs w:val="22"/>
        </w:rPr>
        <w:t xml:space="preserve">and justification </w:t>
      </w:r>
      <w:r>
        <w:rPr>
          <w:bCs/>
          <w:sz w:val="22"/>
          <w:szCs w:val="22"/>
        </w:rPr>
        <w:t xml:space="preserve">for </w:t>
      </w:r>
      <w:r w:rsidR="007216B0">
        <w:rPr>
          <w:bCs/>
          <w:sz w:val="22"/>
          <w:szCs w:val="22"/>
        </w:rPr>
        <w:t xml:space="preserve">what </w:t>
      </w:r>
      <w:r>
        <w:rPr>
          <w:bCs/>
          <w:sz w:val="22"/>
          <w:szCs w:val="22"/>
        </w:rPr>
        <w:t>the debit entries in Accounts 1588 and 1589 of $18,303 and $97,238</w:t>
      </w:r>
      <w:r w:rsidR="007216B0">
        <w:rPr>
          <w:bCs/>
          <w:sz w:val="22"/>
          <w:szCs w:val="22"/>
        </w:rPr>
        <w:t xml:space="preserve"> relate to</w:t>
      </w:r>
      <w:r w:rsidR="00884901">
        <w:rPr>
          <w:bCs/>
          <w:sz w:val="22"/>
          <w:szCs w:val="22"/>
        </w:rPr>
        <w:t>, respectively</w:t>
      </w:r>
      <w:r>
        <w:rPr>
          <w:bCs/>
          <w:sz w:val="22"/>
          <w:szCs w:val="22"/>
        </w:rPr>
        <w:t xml:space="preserve">. </w:t>
      </w:r>
    </w:p>
    <w:p w:rsidR="001E0FA9" w:rsidRDefault="001E0FA9" w:rsidP="00AC0592">
      <w:pPr>
        <w:pStyle w:val="Default"/>
        <w:rPr>
          <w:b/>
          <w:bCs/>
          <w:sz w:val="22"/>
          <w:szCs w:val="22"/>
        </w:rPr>
      </w:pPr>
    </w:p>
    <w:p w:rsidR="00B73A18" w:rsidRPr="00761997" w:rsidRDefault="00B73A18" w:rsidP="00B73A18">
      <w:pPr>
        <w:pStyle w:val="Default"/>
        <w:rPr>
          <w:b/>
          <w:bCs/>
          <w:sz w:val="22"/>
          <w:szCs w:val="22"/>
        </w:rPr>
      </w:pPr>
      <w:r w:rsidRPr="00761997">
        <w:rPr>
          <w:b/>
          <w:bCs/>
          <w:sz w:val="22"/>
          <w:szCs w:val="22"/>
        </w:rPr>
        <w:lastRenderedPageBreak/>
        <w:t>S</w:t>
      </w:r>
      <w:r>
        <w:rPr>
          <w:b/>
          <w:bCs/>
          <w:sz w:val="22"/>
          <w:szCs w:val="22"/>
        </w:rPr>
        <w:t>taff Question #8</w:t>
      </w:r>
    </w:p>
    <w:p w:rsidR="00B73A18" w:rsidRDefault="00B73A18" w:rsidP="00B73A18">
      <w:pPr>
        <w:pStyle w:val="Default"/>
        <w:rPr>
          <w:b/>
          <w:bCs/>
          <w:sz w:val="22"/>
          <w:szCs w:val="22"/>
        </w:rPr>
      </w:pPr>
      <w:r w:rsidRPr="00761997">
        <w:rPr>
          <w:b/>
          <w:bCs/>
          <w:sz w:val="22"/>
          <w:szCs w:val="22"/>
        </w:rPr>
        <w:t xml:space="preserve">Ref: </w:t>
      </w:r>
      <w:r>
        <w:rPr>
          <w:b/>
          <w:bCs/>
          <w:sz w:val="22"/>
          <w:szCs w:val="22"/>
        </w:rPr>
        <w:t>Continuity Schedule – Interest Adjustments during 2017</w:t>
      </w:r>
    </w:p>
    <w:p w:rsidR="00B73A18" w:rsidRDefault="00B73A18" w:rsidP="00B73A18">
      <w:pPr>
        <w:pStyle w:val="Default"/>
        <w:rPr>
          <w:bCs/>
          <w:sz w:val="22"/>
          <w:szCs w:val="22"/>
        </w:rPr>
      </w:pPr>
    </w:p>
    <w:p w:rsidR="001E0FA9" w:rsidRPr="00B73A18" w:rsidRDefault="00B73A18" w:rsidP="00B73A18">
      <w:pPr>
        <w:pStyle w:val="Default"/>
        <w:numPr>
          <w:ilvl w:val="0"/>
          <w:numId w:val="19"/>
        </w:numPr>
        <w:rPr>
          <w:b/>
          <w:bCs/>
          <w:sz w:val="22"/>
          <w:szCs w:val="22"/>
        </w:rPr>
      </w:pPr>
      <w:r w:rsidRPr="00B73A18">
        <w:rPr>
          <w:bCs/>
          <w:sz w:val="22"/>
          <w:szCs w:val="22"/>
        </w:rPr>
        <w:t xml:space="preserve">Provide an explanation </w:t>
      </w:r>
      <w:r w:rsidR="007216B0">
        <w:rPr>
          <w:bCs/>
          <w:sz w:val="22"/>
          <w:szCs w:val="22"/>
        </w:rPr>
        <w:t xml:space="preserve">and justification </w:t>
      </w:r>
      <w:r w:rsidRPr="00B73A18">
        <w:rPr>
          <w:bCs/>
          <w:sz w:val="22"/>
          <w:szCs w:val="22"/>
        </w:rPr>
        <w:t xml:space="preserve">for </w:t>
      </w:r>
      <w:r w:rsidR="007216B0">
        <w:rPr>
          <w:bCs/>
          <w:sz w:val="22"/>
          <w:szCs w:val="22"/>
        </w:rPr>
        <w:t xml:space="preserve">what </w:t>
      </w:r>
      <w:r w:rsidRPr="00B73A18">
        <w:rPr>
          <w:bCs/>
          <w:sz w:val="22"/>
          <w:szCs w:val="22"/>
        </w:rPr>
        <w:t xml:space="preserve">the debit entries in Account 1595 (2013), </w:t>
      </w:r>
      <w:r>
        <w:rPr>
          <w:bCs/>
          <w:sz w:val="22"/>
          <w:szCs w:val="22"/>
        </w:rPr>
        <w:t>Account</w:t>
      </w:r>
      <w:r w:rsidRPr="00B73A18">
        <w:rPr>
          <w:bCs/>
          <w:sz w:val="22"/>
          <w:szCs w:val="22"/>
        </w:rPr>
        <w:t xml:space="preserve"> 1595 (2015)</w:t>
      </w:r>
      <w:r>
        <w:rPr>
          <w:bCs/>
          <w:sz w:val="22"/>
          <w:szCs w:val="22"/>
        </w:rPr>
        <w:t xml:space="preserve"> and Account</w:t>
      </w:r>
      <w:r w:rsidRPr="00B73A18">
        <w:rPr>
          <w:bCs/>
          <w:sz w:val="22"/>
          <w:szCs w:val="22"/>
        </w:rPr>
        <w:t xml:space="preserve"> 1</w:t>
      </w:r>
      <w:r>
        <w:rPr>
          <w:bCs/>
          <w:sz w:val="22"/>
          <w:szCs w:val="22"/>
        </w:rPr>
        <w:t>595 (2016</w:t>
      </w:r>
      <w:r w:rsidRPr="00B73A18">
        <w:rPr>
          <w:bCs/>
          <w:sz w:val="22"/>
          <w:szCs w:val="22"/>
        </w:rPr>
        <w:t>)</w:t>
      </w:r>
      <w:r>
        <w:rPr>
          <w:b/>
          <w:bCs/>
          <w:sz w:val="22"/>
          <w:szCs w:val="22"/>
        </w:rPr>
        <w:t xml:space="preserve"> </w:t>
      </w:r>
      <w:r>
        <w:rPr>
          <w:bCs/>
          <w:sz w:val="22"/>
          <w:szCs w:val="22"/>
        </w:rPr>
        <w:t>of $3,747, $10,460 and $19,221 respectively.</w:t>
      </w:r>
    </w:p>
    <w:p w:rsidR="00B73A18" w:rsidRPr="00B73A18" w:rsidRDefault="00B73A18" w:rsidP="00B73A18">
      <w:pPr>
        <w:pStyle w:val="Default"/>
        <w:numPr>
          <w:ilvl w:val="0"/>
          <w:numId w:val="19"/>
        </w:numPr>
        <w:rPr>
          <w:b/>
          <w:bCs/>
          <w:sz w:val="22"/>
          <w:szCs w:val="22"/>
        </w:rPr>
      </w:pPr>
      <w:r w:rsidRPr="00B73A18">
        <w:rPr>
          <w:bCs/>
          <w:sz w:val="22"/>
          <w:szCs w:val="22"/>
        </w:rPr>
        <w:t xml:space="preserve">Provide an explanation </w:t>
      </w:r>
      <w:r w:rsidR="007216B0">
        <w:rPr>
          <w:bCs/>
          <w:sz w:val="22"/>
          <w:szCs w:val="22"/>
        </w:rPr>
        <w:t xml:space="preserve">and justification </w:t>
      </w:r>
      <w:r w:rsidRPr="00B73A18">
        <w:rPr>
          <w:bCs/>
          <w:sz w:val="22"/>
          <w:szCs w:val="22"/>
        </w:rPr>
        <w:t xml:space="preserve">for </w:t>
      </w:r>
      <w:r w:rsidR="007216B0">
        <w:rPr>
          <w:bCs/>
          <w:sz w:val="22"/>
          <w:szCs w:val="22"/>
        </w:rPr>
        <w:t xml:space="preserve">what </w:t>
      </w:r>
      <w:r w:rsidRPr="00B73A18">
        <w:rPr>
          <w:bCs/>
          <w:sz w:val="22"/>
          <w:szCs w:val="22"/>
        </w:rPr>
        <w:t xml:space="preserve">the </w:t>
      </w:r>
      <w:r>
        <w:rPr>
          <w:bCs/>
          <w:sz w:val="22"/>
          <w:szCs w:val="22"/>
        </w:rPr>
        <w:t>credit</w:t>
      </w:r>
      <w:r w:rsidRPr="00B73A18">
        <w:rPr>
          <w:bCs/>
          <w:sz w:val="22"/>
          <w:szCs w:val="22"/>
        </w:rPr>
        <w:t xml:space="preserve"> entr</w:t>
      </w:r>
      <w:r>
        <w:rPr>
          <w:bCs/>
          <w:sz w:val="22"/>
          <w:szCs w:val="22"/>
        </w:rPr>
        <w:t>y</w:t>
      </w:r>
      <w:r w:rsidRPr="00B73A18">
        <w:rPr>
          <w:bCs/>
          <w:sz w:val="22"/>
          <w:szCs w:val="22"/>
        </w:rPr>
        <w:t xml:space="preserve"> in Account 1</w:t>
      </w:r>
      <w:r>
        <w:rPr>
          <w:bCs/>
          <w:sz w:val="22"/>
          <w:szCs w:val="22"/>
        </w:rPr>
        <w:t>595 (2017</w:t>
      </w:r>
      <w:r w:rsidRPr="00B73A18">
        <w:rPr>
          <w:bCs/>
          <w:sz w:val="22"/>
          <w:szCs w:val="22"/>
        </w:rPr>
        <w:t>)</w:t>
      </w:r>
      <w:r>
        <w:rPr>
          <w:bCs/>
          <w:sz w:val="22"/>
          <w:szCs w:val="22"/>
        </w:rPr>
        <w:t xml:space="preserve"> in the amount of </w:t>
      </w:r>
      <w:r w:rsidR="007216B0">
        <w:rPr>
          <w:bCs/>
          <w:sz w:val="22"/>
          <w:szCs w:val="22"/>
        </w:rPr>
        <w:t xml:space="preserve">relates to </w:t>
      </w:r>
      <w:r>
        <w:rPr>
          <w:bCs/>
          <w:sz w:val="22"/>
          <w:szCs w:val="22"/>
        </w:rPr>
        <w:t>$6,378.</w:t>
      </w:r>
    </w:p>
    <w:p w:rsidR="00B73A18" w:rsidRDefault="00B73A18" w:rsidP="00B73A18">
      <w:pPr>
        <w:pStyle w:val="Default"/>
        <w:rPr>
          <w:b/>
          <w:bCs/>
          <w:sz w:val="22"/>
          <w:szCs w:val="22"/>
        </w:rPr>
      </w:pPr>
    </w:p>
    <w:p w:rsidR="00B73A18" w:rsidRPr="00761997" w:rsidRDefault="00B73A18" w:rsidP="00B73A18">
      <w:pPr>
        <w:pStyle w:val="Default"/>
        <w:rPr>
          <w:b/>
          <w:bCs/>
          <w:sz w:val="22"/>
          <w:szCs w:val="22"/>
        </w:rPr>
      </w:pPr>
      <w:r w:rsidRPr="00761997">
        <w:rPr>
          <w:b/>
          <w:bCs/>
          <w:sz w:val="22"/>
          <w:szCs w:val="22"/>
        </w:rPr>
        <w:t>S</w:t>
      </w:r>
      <w:r>
        <w:rPr>
          <w:b/>
          <w:bCs/>
          <w:sz w:val="22"/>
          <w:szCs w:val="22"/>
        </w:rPr>
        <w:t>taff Question #9</w:t>
      </w:r>
    </w:p>
    <w:p w:rsidR="00B73A18" w:rsidRDefault="00B73A18" w:rsidP="00B73A18">
      <w:pPr>
        <w:pStyle w:val="Default"/>
        <w:rPr>
          <w:b/>
          <w:bCs/>
          <w:sz w:val="22"/>
          <w:szCs w:val="22"/>
        </w:rPr>
      </w:pPr>
      <w:r w:rsidRPr="00761997">
        <w:rPr>
          <w:b/>
          <w:bCs/>
          <w:sz w:val="22"/>
          <w:szCs w:val="22"/>
        </w:rPr>
        <w:t xml:space="preserve">Ref: </w:t>
      </w:r>
      <w:r>
        <w:rPr>
          <w:b/>
          <w:bCs/>
          <w:sz w:val="22"/>
          <w:szCs w:val="22"/>
        </w:rPr>
        <w:t>Continuity Schedule – Interest Disposition during 2018 – instructed by OEB</w:t>
      </w:r>
    </w:p>
    <w:p w:rsidR="00B73A18" w:rsidRDefault="00B73A18" w:rsidP="00B73A18">
      <w:pPr>
        <w:pStyle w:val="Default"/>
        <w:rPr>
          <w:bCs/>
          <w:sz w:val="22"/>
          <w:szCs w:val="22"/>
        </w:rPr>
      </w:pPr>
    </w:p>
    <w:p w:rsidR="00B73A18" w:rsidRPr="00B73A18" w:rsidRDefault="00B73A18" w:rsidP="00B73A18">
      <w:pPr>
        <w:pStyle w:val="Default"/>
        <w:rPr>
          <w:bCs/>
          <w:sz w:val="22"/>
          <w:szCs w:val="22"/>
        </w:rPr>
      </w:pPr>
      <w:r>
        <w:rPr>
          <w:bCs/>
          <w:sz w:val="22"/>
          <w:szCs w:val="22"/>
        </w:rPr>
        <w:t>The amounts entered into column BN do not match the amounts provided in the OEB’s decision and order (EB-2017-0033).  Please explain.</w:t>
      </w:r>
    </w:p>
    <w:p w:rsidR="00B73A18" w:rsidRDefault="00B73A18" w:rsidP="00B73A18">
      <w:pPr>
        <w:pStyle w:val="Default"/>
        <w:rPr>
          <w:b/>
          <w:bCs/>
          <w:sz w:val="22"/>
          <w:szCs w:val="22"/>
        </w:rPr>
      </w:pPr>
    </w:p>
    <w:p w:rsidR="00B73A18" w:rsidRPr="00761997" w:rsidRDefault="00B73A18" w:rsidP="00B73A18">
      <w:pPr>
        <w:pStyle w:val="Default"/>
        <w:rPr>
          <w:b/>
          <w:bCs/>
          <w:sz w:val="22"/>
          <w:szCs w:val="22"/>
        </w:rPr>
      </w:pPr>
      <w:r w:rsidRPr="00761997">
        <w:rPr>
          <w:b/>
          <w:bCs/>
          <w:sz w:val="22"/>
          <w:szCs w:val="22"/>
        </w:rPr>
        <w:t>S</w:t>
      </w:r>
      <w:r>
        <w:rPr>
          <w:b/>
          <w:bCs/>
          <w:sz w:val="22"/>
          <w:szCs w:val="22"/>
        </w:rPr>
        <w:t>taff Question #10</w:t>
      </w:r>
    </w:p>
    <w:p w:rsidR="00B73A18" w:rsidRDefault="00B73A18" w:rsidP="00B73A18">
      <w:pPr>
        <w:pStyle w:val="Default"/>
        <w:rPr>
          <w:b/>
          <w:bCs/>
          <w:sz w:val="22"/>
          <w:szCs w:val="22"/>
        </w:rPr>
      </w:pPr>
      <w:r w:rsidRPr="00761997">
        <w:rPr>
          <w:b/>
          <w:bCs/>
          <w:sz w:val="22"/>
          <w:szCs w:val="22"/>
        </w:rPr>
        <w:t xml:space="preserve">Ref: </w:t>
      </w:r>
      <w:r w:rsidR="007216B0">
        <w:rPr>
          <w:b/>
          <w:bCs/>
          <w:sz w:val="22"/>
          <w:szCs w:val="22"/>
        </w:rPr>
        <w:t xml:space="preserve">2019 IRM Rate Generator Model, Tab 3, </w:t>
      </w:r>
      <w:r>
        <w:rPr>
          <w:b/>
          <w:bCs/>
          <w:sz w:val="22"/>
          <w:szCs w:val="22"/>
        </w:rPr>
        <w:t>Continuity Schedule</w:t>
      </w:r>
    </w:p>
    <w:p w:rsidR="00B73A18" w:rsidRDefault="00B73A18" w:rsidP="00B73A18">
      <w:pPr>
        <w:pStyle w:val="Default"/>
        <w:rPr>
          <w:b/>
          <w:bCs/>
          <w:sz w:val="22"/>
          <w:szCs w:val="22"/>
        </w:rPr>
      </w:pPr>
    </w:p>
    <w:p w:rsidR="00B73A18" w:rsidRPr="00B73A18" w:rsidRDefault="00B73A18" w:rsidP="00B73A18">
      <w:pPr>
        <w:pStyle w:val="Default"/>
        <w:rPr>
          <w:bCs/>
          <w:sz w:val="22"/>
          <w:szCs w:val="22"/>
        </w:rPr>
      </w:pPr>
      <w:r>
        <w:rPr>
          <w:bCs/>
          <w:sz w:val="22"/>
          <w:szCs w:val="22"/>
        </w:rPr>
        <w:t xml:space="preserve">If necessary, </w:t>
      </w:r>
      <w:r w:rsidR="007216B0">
        <w:rPr>
          <w:bCs/>
          <w:sz w:val="22"/>
          <w:szCs w:val="22"/>
        </w:rPr>
        <w:t xml:space="preserve">with respect to the interrogatory questions asked and answered, </w:t>
      </w:r>
      <w:r>
        <w:rPr>
          <w:bCs/>
          <w:sz w:val="22"/>
          <w:szCs w:val="22"/>
        </w:rPr>
        <w:t xml:space="preserve">provide an updated 2019 </w:t>
      </w:r>
      <w:r w:rsidR="007216B0">
        <w:rPr>
          <w:bCs/>
          <w:sz w:val="22"/>
          <w:szCs w:val="22"/>
        </w:rPr>
        <w:t xml:space="preserve">IRM rate generator model for Tab 3, </w:t>
      </w:r>
      <w:r>
        <w:rPr>
          <w:bCs/>
          <w:sz w:val="22"/>
          <w:szCs w:val="22"/>
        </w:rPr>
        <w:t>continuity schedule.</w:t>
      </w:r>
    </w:p>
    <w:p w:rsidR="00B73A18" w:rsidRDefault="00B73A18" w:rsidP="00B73A18">
      <w:pPr>
        <w:pStyle w:val="Default"/>
        <w:rPr>
          <w:b/>
          <w:bCs/>
          <w:sz w:val="22"/>
          <w:szCs w:val="22"/>
        </w:rPr>
      </w:pPr>
    </w:p>
    <w:p w:rsidR="00A959D7" w:rsidRPr="00A200DE" w:rsidRDefault="00A959D7" w:rsidP="00A959D7">
      <w:pPr>
        <w:pStyle w:val="Default"/>
        <w:rPr>
          <w:b/>
          <w:bCs/>
          <w:sz w:val="22"/>
          <w:szCs w:val="23"/>
        </w:rPr>
      </w:pPr>
      <w:r w:rsidRPr="00A200DE">
        <w:rPr>
          <w:b/>
          <w:bCs/>
          <w:sz w:val="22"/>
          <w:szCs w:val="23"/>
        </w:rPr>
        <w:t>Staff Question #</w:t>
      </w:r>
      <w:r>
        <w:rPr>
          <w:b/>
          <w:bCs/>
          <w:sz w:val="22"/>
          <w:szCs w:val="23"/>
        </w:rPr>
        <w:t>11</w:t>
      </w:r>
    </w:p>
    <w:p w:rsidR="00A959D7" w:rsidRPr="00A200DE" w:rsidRDefault="00A959D7" w:rsidP="00A959D7">
      <w:pPr>
        <w:pStyle w:val="Default"/>
        <w:rPr>
          <w:sz w:val="22"/>
          <w:szCs w:val="23"/>
        </w:rPr>
      </w:pPr>
    </w:p>
    <w:p w:rsidR="00A959D7" w:rsidRPr="00A200DE" w:rsidRDefault="00A959D7" w:rsidP="00A959D7">
      <w:pPr>
        <w:pStyle w:val="Default"/>
        <w:rPr>
          <w:sz w:val="22"/>
          <w:szCs w:val="23"/>
        </w:rPr>
      </w:pPr>
      <w:r w:rsidRPr="00A200DE">
        <w:rPr>
          <w:b/>
          <w:bCs/>
          <w:sz w:val="22"/>
          <w:szCs w:val="23"/>
        </w:rPr>
        <w:t xml:space="preserve">Ref: Tab 6.1a GA Allocation – cell D20 Total Non-RPP Class B consumption </w:t>
      </w:r>
    </w:p>
    <w:p w:rsidR="00A959D7" w:rsidRPr="00A200DE" w:rsidRDefault="00A959D7" w:rsidP="00A959D7">
      <w:pPr>
        <w:pStyle w:val="Default"/>
        <w:rPr>
          <w:sz w:val="22"/>
          <w:szCs w:val="23"/>
        </w:rPr>
      </w:pPr>
      <w:r w:rsidRPr="00A200DE">
        <w:rPr>
          <w:b/>
          <w:bCs/>
          <w:sz w:val="22"/>
          <w:szCs w:val="23"/>
        </w:rPr>
        <w:t xml:space="preserve">Ref: Tab 6.2a CBR B_Allocation – cell D20 Total Class B consumption less WMP </w:t>
      </w:r>
    </w:p>
    <w:p w:rsidR="00A959D7" w:rsidRDefault="00A959D7" w:rsidP="00A959D7">
      <w:pPr>
        <w:rPr>
          <w:sz w:val="23"/>
          <w:szCs w:val="23"/>
        </w:rPr>
      </w:pPr>
    </w:p>
    <w:p w:rsidR="00A959D7" w:rsidRPr="00A200DE" w:rsidRDefault="00A959D7" w:rsidP="00A959D7">
      <w:pPr>
        <w:rPr>
          <w:rFonts w:ascii="Arial" w:hAnsi="Arial" w:cs="Arial"/>
          <w:szCs w:val="23"/>
        </w:rPr>
      </w:pPr>
      <w:r w:rsidRPr="00A200DE">
        <w:rPr>
          <w:rFonts w:ascii="Arial" w:hAnsi="Arial" w:cs="Arial"/>
          <w:szCs w:val="23"/>
        </w:rPr>
        <w:t>OEB staff is unable to reconcile the data entered in cells D20 in Tab 6.1a and Tab 6.2a. Below is a table that staff prepared showing the “Validation of Data used in class B GA and CBR Allocations”. Staff notes a discrepancy for the 2017 consumption figure that is used in the “GA allocation” and “CBR B Allocation” of 2019 IRM rate model as below.</w:t>
      </w:r>
    </w:p>
    <w:p w:rsidR="00B73A18" w:rsidRDefault="00A959D7" w:rsidP="00B73A18">
      <w:pPr>
        <w:pStyle w:val="Default"/>
        <w:rPr>
          <w:b/>
          <w:bCs/>
          <w:sz w:val="22"/>
          <w:szCs w:val="22"/>
        </w:rPr>
      </w:pPr>
      <w:r>
        <w:rPr>
          <w:noProof/>
        </w:rPr>
        <mc:AlternateContent>
          <mc:Choice Requires="wps">
            <w:drawing>
              <wp:anchor distT="0" distB="0" distL="114300" distR="114300" simplePos="0" relativeHeight="251659264" behindDoc="0" locked="0" layoutInCell="1" allowOverlap="1" wp14:anchorId="68C7FBB0" wp14:editId="5B0F743D">
                <wp:simplePos x="0" y="0"/>
                <wp:positionH relativeFrom="column">
                  <wp:posOffset>5251450</wp:posOffset>
                </wp:positionH>
                <wp:positionV relativeFrom="paragraph">
                  <wp:posOffset>1055370</wp:posOffset>
                </wp:positionV>
                <wp:extent cx="547688" cy="214312"/>
                <wp:effectExtent l="0" t="0" r="24130" b="14605"/>
                <wp:wrapNone/>
                <wp:docPr id="6" name="Oval 6"/>
                <wp:cNvGraphicFramePr/>
                <a:graphic xmlns:a="http://schemas.openxmlformats.org/drawingml/2006/main">
                  <a:graphicData uri="http://schemas.microsoft.com/office/word/2010/wordprocessingShape">
                    <wps:wsp>
                      <wps:cNvSpPr/>
                      <wps:spPr>
                        <a:xfrm>
                          <a:off x="0" y="0"/>
                          <a:ext cx="547688" cy="214312"/>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26B02E9" id="Oval 6" o:spid="_x0000_s1026" style="position:absolute;margin-left:413.5pt;margin-top:83.1pt;width:43.15pt;height:16.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" filled="f" strokecolor="red" strokeweight="1pt">
                <v:stroke joinstyle="miter"/>
              </v:oval>
            </w:pict>
          </mc:Fallback>
        </mc:AlternateContent>
      </w:r>
      <w:r>
        <w:rPr>
          <w:noProof/>
        </w:rPr>
        <w:drawing>
          <wp:inline distT="0" distB="0" distL="0" distR="0" wp14:anchorId="7AEB382D" wp14:editId="2CD70565">
            <wp:extent cx="5943600" cy="16973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697355"/>
                    </a:xfrm>
                    <a:prstGeom prst="rect">
                      <a:avLst/>
                    </a:prstGeom>
                  </pic:spPr>
                </pic:pic>
              </a:graphicData>
            </a:graphic>
          </wp:inline>
        </w:drawing>
      </w:r>
    </w:p>
    <w:p w:rsidR="00A959D7" w:rsidRDefault="00A959D7" w:rsidP="00B73A18">
      <w:pPr>
        <w:pStyle w:val="Default"/>
        <w:rPr>
          <w:b/>
          <w:bCs/>
          <w:sz w:val="22"/>
          <w:szCs w:val="22"/>
        </w:rPr>
      </w:pPr>
    </w:p>
    <w:p w:rsidR="00A959D7" w:rsidRDefault="00A959D7" w:rsidP="00B73A18">
      <w:pPr>
        <w:pStyle w:val="Default"/>
        <w:rPr>
          <w:b/>
          <w:bCs/>
          <w:sz w:val="22"/>
          <w:szCs w:val="22"/>
        </w:rPr>
      </w:pPr>
      <w:r>
        <w:rPr>
          <w:noProof/>
        </w:rPr>
        <mc:AlternateContent>
          <mc:Choice Requires="wps">
            <w:drawing>
              <wp:anchor distT="0" distB="0" distL="114300" distR="114300" simplePos="0" relativeHeight="251661312" behindDoc="0" locked="0" layoutInCell="1" allowOverlap="1" wp14:anchorId="4FF6AEA9" wp14:editId="4597615C">
                <wp:simplePos x="0" y="0"/>
                <wp:positionH relativeFrom="column">
                  <wp:posOffset>4457700</wp:posOffset>
                </wp:positionH>
                <wp:positionV relativeFrom="paragraph">
                  <wp:posOffset>1692910</wp:posOffset>
                </wp:positionV>
                <wp:extent cx="547688" cy="214312"/>
                <wp:effectExtent l="0" t="0" r="24130" b="14605"/>
                <wp:wrapNone/>
                <wp:docPr id="4" name="Oval 4"/>
                <wp:cNvGraphicFramePr/>
                <a:graphic xmlns:a="http://schemas.openxmlformats.org/drawingml/2006/main">
                  <a:graphicData uri="http://schemas.microsoft.com/office/word/2010/wordprocessingShape">
                    <wps:wsp>
                      <wps:cNvSpPr/>
                      <wps:spPr>
                        <a:xfrm>
                          <a:off x="0" y="0"/>
                          <a:ext cx="547688" cy="214312"/>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0A84BD" id="Oval 4" o:spid="_x0000_s1026" style="position:absolute;margin-left:351pt;margin-top:133.3pt;width:43.15pt;height:16.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" filled="f" strokecolor="red" strokeweight="1pt">
                <v:stroke joinstyle="miter"/>
              </v:oval>
            </w:pict>
          </mc:Fallback>
        </mc:AlternateContent>
      </w:r>
      <w:r>
        <w:rPr>
          <w:noProof/>
        </w:rPr>
        <w:drawing>
          <wp:inline distT="0" distB="0" distL="0" distR="0" wp14:anchorId="5B7EE9B3" wp14:editId="2ED86BB8">
            <wp:extent cx="5943600" cy="23094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309495"/>
                    </a:xfrm>
                    <a:prstGeom prst="rect">
                      <a:avLst/>
                    </a:prstGeom>
                  </pic:spPr>
                </pic:pic>
              </a:graphicData>
            </a:graphic>
          </wp:inline>
        </w:drawing>
      </w:r>
    </w:p>
    <w:p w:rsidR="004D6674" w:rsidRDefault="004D6674" w:rsidP="00B73A18">
      <w:pPr>
        <w:pStyle w:val="Default"/>
        <w:rPr>
          <w:b/>
          <w:bCs/>
          <w:sz w:val="22"/>
          <w:szCs w:val="22"/>
        </w:rPr>
      </w:pPr>
    </w:p>
    <w:p w:rsidR="00A959D7" w:rsidRPr="00A200DE" w:rsidRDefault="00A959D7" w:rsidP="00A959D7">
      <w:pPr>
        <w:rPr>
          <w:rFonts w:ascii="Arial" w:hAnsi="Arial" w:cs="Arial"/>
          <w:b/>
        </w:rPr>
      </w:pPr>
      <w:r w:rsidRPr="00A200DE">
        <w:rPr>
          <w:rFonts w:ascii="Arial" w:hAnsi="Arial" w:cs="Arial"/>
          <w:b/>
        </w:rPr>
        <w:t>Table 1 – confirmation of 2017 consumptions</w:t>
      </w:r>
    </w:p>
    <w:p w:rsidR="00A959D7" w:rsidRDefault="00A959D7" w:rsidP="00B73A18">
      <w:pPr>
        <w:pStyle w:val="Default"/>
        <w:rPr>
          <w:b/>
          <w:bCs/>
          <w:sz w:val="22"/>
          <w:szCs w:val="22"/>
        </w:rPr>
      </w:pPr>
      <w:r>
        <w:rPr>
          <w:noProof/>
        </w:rPr>
        <w:drawing>
          <wp:inline distT="0" distB="0" distL="0" distR="0" wp14:anchorId="3FA936B4" wp14:editId="59A46E75">
            <wp:extent cx="5263287" cy="28582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69141" cy="2861436"/>
                    </a:xfrm>
                    <a:prstGeom prst="rect">
                      <a:avLst/>
                    </a:prstGeom>
                  </pic:spPr>
                </pic:pic>
              </a:graphicData>
            </a:graphic>
          </wp:inline>
        </w:drawing>
      </w:r>
    </w:p>
    <w:p w:rsidR="00A959D7" w:rsidRPr="009E1A6A" w:rsidRDefault="00A959D7" w:rsidP="00A959D7">
      <w:pPr>
        <w:pStyle w:val="Default"/>
        <w:numPr>
          <w:ilvl w:val="0"/>
          <w:numId w:val="20"/>
        </w:numPr>
        <w:spacing w:after="61"/>
        <w:ind w:left="270" w:hanging="270"/>
        <w:rPr>
          <w:sz w:val="22"/>
          <w:szCs w:val="22"/>
        </w:rPr>
      </w:pPr>
      <w:r w:rsidRPr="009E1A6A">
        <w:rPr>
          <w:sz w:val="22"/>
          <w:szCs w:val="22"/>
        </w:rPr>
        <w:t>Using Table 1, please provide a calculation for the 201</w:t>
      </w:r>
      <w:r>
        <w:rPr>
          <w:sz w:val="22"/>
          <w:szCs w:val="22"/>
        </w:rPr>
        <w:t>7</w:t>
      </w:r>
      <w:r w:rsidRPr="009E1A6A">
        <w:rPr>
          <w:sz w:val="22"/>
          <w:szCs w:val="22"/>
        </w:rPr>
        <w:t xml:space="preserve"> consumptions </w:t>
      </w:r>
      <w:r w:rsidR="003201A1">
        <w:rPr>
          <w:sz w:val="22"/>
          <w:szCs w:val="22"/>
        </w:rPr>
        <w:t xml:space="preserve">inputted into the above referenced tabs </w:t>
      </w:r>
      <w:r w:rsidRPr="009E1A6A">
        <w:rPr>
          <w:sz w:val="22"/>
          <w:szCs w:val="22"/>
        </w:rPr>
        <w:t>and explain any discrepancies.</w:t>
      </w:r>
    </w:p>
    <w:p w:rsidR="00A959D7" w:rsidRPr="009E1A6A" w:rsidRDefault="00A959D7" w:rsidP="00A959D7">
      <w:pPr>
        <w:pStyle w:val="Default"/>
        <w:numPr>
          <w:ilvl w:val="0"/>
          <w:numId w:val="20"/>
        </w:numPr>
        <w:spacing w:after="61"/>
        <w:ind w:left="270" w:hanging="270"/>
        <w:rPr>
          <w:sz w:val="22"/>
          <w:szCs w:val="22"/>
        </w:rPr>
      </w:pPr>
      <w:r w:rsidRPr="009E1A6A">
        <w:rPr>
          <w:sz w:val="22"/>
          <w:szCs w:val="22"/>
        </w:rPr>
        <w:t xml:space="preserve">Please </w:t>
      </w:r>
      <w:r>
        <w:rPr>
          <w:sz w:val="22"/>
          <w:szCs w:val="22"/>
        </w:rPr>
        <w:t xml:space="preserve">confirm whether or not Entegrus (Main) agrees with the updated quantities per the Table 1 calculations for 2017. If not please explain why Entegrus (Main) believes the values it used in its 2019 IRM Rate Generator Model are appropriate. Otherwise please update the 2019 IRM Rate Generator Model accordingly. </w:t>
      </w:r>
    </w:p>
    <w:p w:rsidR="00A959D7" w:rsidRDefault="00A959D7" w:rsidP="00B73A18">
      <w:pPr>
        <w:pStyle w:val="Default"/>
        <w:rPr>
          <w:b/>
          <w:bCs/>
          <w:sz w:val="22"/>
          <w:szCs w:val="22"/>
        </w:rPr>
      </w:pPr>
    </w:p>
    <w:p w:rsidR="00696803" w:rsidRPr="00761997" w:rsidRDefault="00696803" w:rsidP="00696803">
      <w:pPr>
        <w:pStyle w:val="Default"/>
        <w:rPr>
          <w:b/>
          <w:bCs/>
          <w:sz w:val="22"/>
          <w:szCs w:val="22"/>
        </w:rPr>
      </w:pPr>
      <w:r w:rsidRPr="00761997">
        <w:rPr>
          <w:b/>
          <w:bCs/>
          <w:sz w:val="22"/>
          <w:szCs w:val="22"/>
        </w:rPr>
        <w:t>S</w:t>
      </w:r>
      <w:r>
        <w:rPr>
          <w:b/>
          <w:bCs/>
          <w:sz w:val="22"/>
          <w:szCs w:val="22"/>
        </w:rPr>
        <w:t>taff Question #12</w:t>
      </w:r>
    </w:p>
    <w:p w:rsidR="00696803" w:rsidRPr="00761997" w:rsidRDefault="00696803" w:rsidP="00696803">
      <w:pPr>
        <w:pStyle w:val="Default"/>
        <w:rPr>
          <w:b/>
          <w:bCs/>
          <w:sz w:val="22"/>
          <w:szCs w:val="22"/>
        </w:rPr>
      </w:pPr>
      <w:r w:rsidRPr="00761997">
        <w:rPr>
          <w:b/>
          <w:bCs/>
          <w:sz w:val="22"/>
          <w:szCs w:val="22"/>
        </w:rPr>
        <w:t xml:space="preserve">Ref: </w:t>
      </w:r>
      <w:r>
        <w:rPr>
          <w:b/>
          <w:bCs/>
          <w:sz w:val="22"/>
          <w:szCs w:val="22"/>
        </w:rPr>
        <w:t>Tab 6 – Customer #18</w:t>
      </w:r>
    </w:p>
    <w:p w:rsidR="00696803" w:rsidRDefault="00696803" w:rsidP="00696803"/>
    <w:p w:rsidR="00696803" w:rsidRPr="000067AF" w:rsidRDefault="00696803" w:rsidP="00696803">
      <w:pPr>
        <w:rPr>
          <w:rFonts w:ascii="Arial" w:hAnsi="Arial" w:cs="Arial"/>
        </w:rPr>
      </w:pPr>
      <w:r w:rsidRPr="000067AF">
        <w:rPr>
          <w:rFonts w:ascii="Arial" w:hAnsi="Arial" w:cs="Arial"/>
        </w:rPr>
        <w:t xml:space="preserve">Please explain why </w:t>
      </w:r>
      <w:r w:rsidR="00722D6F">
        <w:rPr>
          <w:rFonts w:ascii="Arial" w:hAnsi="Arial" w:cs="Arial"/>
        </w:rPr>
        <w:t xml:space="preserve">cells </w:t>
      </w:r>
      <w:r w:rsidRPr="000067AF">
        <w:rPr>
          <w:rFonts w:ascii="Arial" w:hAnsi="Arial" w:cs="Arial"/>
        </w:rPr>
        <w:t>F81 and F82 have been left blank</w:t>
      </w:r>
      <w:r w:rsidR="00722D6F">
        <w:rPr>
          <w:rFonts w:ascii="Arial" w:hAnsi="Arial" w:cs="Arial"/>
        </w:rPr>
        <w:t>.</w:t>
      </w:r>
    </w:p>
    <w:p w:rsidR="00A959D7" w:rsidRDefault="00A959D7" w:rsidP="00B73A18">
      <w:pPr>
        <w:pStyle w:val="Default"/>
        <w:rPr>
          <w:b/>
          <w:bCs/>
          <w:sz w:val="22"/>
          <w:szCs w:val="22"/>
        </w:rPr>
      </w:pPr>
    </w:p>
    <w:p w:rsidR="00AC0592" w:rsidRPr="00761997" w:rsidRDefault="00AC0592" w:rsidP="00AC0592">
      <w:pPr>
        <w:pStyle w:val="Default"/>
        <w:rPr>
          <w:b/>
          <w:bCs/>
          <w:sz w:val="22"/>
          <w:szCs w:val="22"/>
        </w:rPr>
      </w:pPr>
      <w:r w:rsidRPr="00761997">
        <w:rPr>
          <w:b/>
          <w:bCs/>
          <w:sz w:val="22"/>
          <w:szCs w:val="22"/>
        </w:rPr>
        <w:t>S</w:t>
      </w:r>
      <w:r w:rsidR="001E5400">
        <w:rPr>
          <w:b/>
          <w:bCs/>
          <w:sz w:val="22"/>
          <w:szCs w:val="22"/>
        </w:rPr>
        <w:t>taff Question #1</w:t>
      </w:r>
      <w:r w:rsidR="00C4356A">
        <w:rPr>
          <w:b/>
          <w:bCs/>
          <w:sz w:val="22"/>
          <w:szCs w:val="22"/>
        </w:rPr>
        <w:t>3</w:t>
      </w:r>
    </w:p>
    <w:p w:rsidR="00AC0592" w:rsidRPr="00761997" w:rsidRDefault="00AC0592" w:rsidP="00AC0592">
      <w:pPr>
        <w:pStyle w:val="Default"/>
        <w:rPr>
          <w:b/>
          <w:bCs/>
          <w:sz w:val="22"/>
          <w:szCs w:val="22"/>
        </w:rPr>
      </w:pPr>
      <w:r w:rsidRPr="00761997">
        <w:rPr>
          <w:b/>
          <w:bCs/>
          <w:sz w:val="22"/>
          <w:szCs w:val="22"/>
        </w:rPr>
        <w:t xml:space="preserve">Ref: </w:t>
      </w:r>
      <w:r>
        <w:rPr>
          <w:b/>
          <w:bCs/>
          <w:sz w:val="22"/>
          <w:szCs w:val="22"/>
        </w:rPr>
        <w:t>Tab 8 - Streetlighting</w:t>
      </w:r>
    </w:p>
    <w:p w:rsidR="00AC0592" w:rsidRDefault="00AC0592" w:rsidP="00AE0975">
      <w:pPr>
        <w:rPr>
          <w:rFonts w:ascii="Arial" w:hAnsi="Arial" w:cs="Arial"/>
          <w:b/>
          <w:sz w:val="28"/>
        </w:rPr>
      </w:pPr>
    </w:p>
    <w:p w:rsidR="00AC0592" w:rsidRPr="00AC0592" w:rsidRDefault="00AC0592" w:rsidP="00AC0592">
      <w:pPr>
        <w:pStyle w:val="NoSpacing"/>
        <w:rPr>
          <w:rFonts w:ascii="Arial" w:hAnsi="Arial" w:cs="Arial"/>
          <w:sz w:val="22"/>
          <w:lang w:val="en-US"/>
        </w:rPr>
      </w:pPr>
      <w:r w:rsidRPr="00AC0592">
        <w:rPr>
          <w:rFonts w:ascii="Arial" w:hAnsi="Arial" w:cs="Arial"/>
          <w:sz w:val="22"/>
          <w:lang w:val="en-US"/>
        </w:rPr>
        <w:t>Entegrus Main Rate Zone applied for disposition of a debit balance of $152,720 in lost revenues associated with new CDM program savings in 2016, including persisting savings from 2014 to 2015 in 2016 and carrying charges.  Actual conservation savings were compared against Entegrus’ forecasted conservation savings of 7,138,571 kWh included in the load forecast, which was set out in the 2016 cost of service application.</w:t>
      </w:r>
    </w:p>
    <w:p w:rsidR="00AC0592" w:rsidRDefault="00AC0592" w:rsidP="00AC0592">
      <w:pPr>
        <w:rPr>
          <w:rFonts w:ascii="Arial" w:hAnsi="Arial" w:cs="Arial"/>
        </w:rPr>
      </w:pPr>
    </w:p>
    <w:p w:rsidR="00AC0592" w:rsidRPr="00AC0592" w:rsidRDefault="00AC0592" w:rsidP="00AC0592">
      <w:pPr>
        <w:pStyle w:val="ListParagraph"/>
        <w:numPr>
          <w:ilvl w:val="0"/>
          <w:numId w:val="5"/>
        </w:numPr>
        <w:rPr>
          <w:rFonts w:ascii="Arial" w:hAnsi="Arial" w:cs="Arial"/>
        </w:rPr>
      </w:pPr>
      <w:r w:rsidRPr="00AC0592">
        <w:rPr>
          <w:rFonts w:ascii="Arial" w:hAnsi="Arial" w:cs="Arial"/>
        </w:rPr>
        <w:lastRenderedPageBreak/>
        <w:t xml:space="preserve">For the streetlight savings in 2014 and 2015, it appears that the gross demand savings are determined by comparing the billed kW from one month to the previous month.  </w:t>
      </w:r>
    </w:p>
    <w:p w:rsidR="00AC0592" w:rsidRPr="00AC0592" w:rsidRDefault="00AC0592" w:rsidP="00AC0592">
      <w:pPr>
        <w:pStyle w:val="ListParagraph"/>
        <w:numPr>
          <w:ilvl w:val="1"/>
          <w:numId w:val="6"/>
        </w:numPr>
        <w:rPr>
          <w:rFonts w:ascii="Arial" w:hAnsi="Arial" w:cs="Arial"/>
        </w:rPr>
      </w:pPr>
      <w:r w:rsidRPr="00AC0592">
        <w:rPr>
          <w:rFonts w:ascii="Arial" w:hAnsi="Arial" w:cs="Arial"/>
        </w:rPr>
        <w:t xml:space="preserve">Did Entegrus use the Board-approved load profile to convert </w:t>
      </w:r>
      <w:r w:rsidR="00CD2249">
        <w:rPr>
          <w:rFonts w:ascii="Arial" w:hAnsi="Arial" w:cs="Arial"/>
        </w:rPr>
        <w:t xml:space="preserve">2014 and 2015 </w:t>
      </w:r>
      <w:r w:rsidRPr="00AC0592">
        <w:rPr>
          <w:rFonts w:ascii="Arial" w:hAnsi="Arial" w:cs="Arial"/>
        </w:rPr>
        <w:t xml:space="preserve">energy savings to demand savings? </w:t>
      </w:r>
    </w:p>
    <w:p w:rsidR="00AC0592" w:rsidRPr="00AC0592" w:rsidRDefault="00AC0592" w:rsidP="00AC0592">
      <w:pPr>
        <w:pStyle w:val="ListParagraph"/>
        <w:numPr>
          <w:ilvl w:val="1"/>
          <w:numId w:val="6"/>
        </w:numPr>
        <w:rPr>
          <w:rFonts w:ascii="Arial" w:hAnsi="Arial" w:cs="Arial"/>
        </w:rPr>
      </w:pPr>
      <w:r w:rsidRPr="00AC0592">
        <w:rPr>
          <w:rFonts w:ascii="Arial" w:hAnsi="Arial" w:cs="Arial"/>
        </w:rPr>
        <w:t xml:space="preserve">How was the baseline savings determined in 2014 and 2015 for the projects?  </w:t>
      </w:r>
    </w:p>
    <w:p w:rsidR="00CD2249" w:rsidRDefault="00AC0592" w:rsidP="00AC0592">
      <w:pPr>
        <w:pStyle w:val="ListParagraph"/>
        <w:numPr>
          <w:ilvl w:val="1"/>
          <w:numId w:val="6"/>
        </w:numPr>
        <w:rPr>
          <w:rFonts w:ascii="Arial" w:hAnsi="Arial" w:cs="Arial"/>
        </w:rPr>
      </w:pPr>
      <w:r w:rsidRPr="00AC0592">
        <w:rPr>
          <w:rFonts w:ascii="Arial" w:hAnsi="Arial" w:cs="Arial"/>
        </w:rPr>
        <w:t xml:space="preserve">Please explain how the monthly demand billed kW amounts were determined.  </w:t>
      </w:r>
    </w:p>
    <w:p w:rsidR="00AC0592" w:rsidRPr="00AC0592" w:rsidRDefault="00AC0592" w:rsidP="00AC0592">
      <w:pPr>
        <w:pStyle w:val="ListParagraph"/>
        <w:numPr>
          <w:ilvl w:val="1"/>
          <w:numId w:val="6"/>
        </w:numPr>
        <w:rPr>
          <w:rFonts w:ascii="Arial" w:hAnsi="Arial" w:cs="Arial"/>
        </w:rPr>
      </w:pPr>
      <w:r w:rsidRPr="00AC0592">
        <w:rPr>
          <w:rFonts w:ascii="Arial" w:hAnsi="Arial" w:cs="Arial"/>
        </w:rPr>
        <w:t>Please provide the detailed calculations in excel format to estimate monthly demand billed kW, including the number of installations and replacements and the change in kW billed, pre- and post-installation, in order to determine the baseline kW and demand billed kW.</w:t>
      </w:r>
    </w:p>
    <w:p w:rsidR="00AC0592" w:rsidRPr="00AC0592" w:rsidRDefault="00AC0592" w:rsidP="00AC0592">
      <w:pPr>
        <w:pStyle w:val="ListParagraph"/>
        <w:numPr>
          <w:ilvl w:val="1"/>
          <w:numId w:val="6"/>
        </w:numPr>
        <w:spacing w:line="276" w:lineRule="auto"/>
        <w:rPr>
          <w:rFonts w:ascii="Arial" w:hAnsi="Arial" w:cs="Arial"/>
        </w:rPr>
      </w:pPr>
      <w:r w:rsidRPr="00AC0592">
        <w:rPr>
          <w:rFonts w:ascii="Arial" w:hAnsi="Arial" w:cs="Arial"/>
        </w:rPr>
        <w:t xml:space="preserve">Please confirm whether you have received reports from municipalities that confirm the number of lightbulbs replaced.  </w:t>
      </w:r>
    </w:p>
    <w:p w:rsidR="00AC0592" w:rsidRPr="00AC0592" w:rsidRDefault="00AC0592" w:rsidP="00AC0592">
      <w:pPr>
        <w:pStyle w:val="ListParagraph"/>
        <w:ind w:left="1440"/>
        <w:rPr>
          <w:rFonts w:ascii="Arial" w:hAnsi="Arial" w:cs="Arial"/>
        </w:rPr>
      </w:pPr>
    </w:p>
    <w:p w:rsidR="00AC0592" w:rsidRPr="00AC0592" w:rsidRDefault="00AC0592" w:rsidP="00AC0592">
      <w:pPr>
        <w:pStyle w:val="ListParagraph"/>
        <w:rPr>
          <w:rFonts w:ascii="Arial" w:hAnsi="Arial" w:cs="Arial"/>
        </w:rPr>
      </w:pPr>
    </w:p>
    <w:p w:rsidR="00AC0592" w:rsidRPr="00AC0592" w:rsidRDefault="00AC0592" w:rsidP="00AC0592">
      <w:pPr>
        <w:pStyle w:val="ListParagraph"/>
        <w:numPr>
          <w:ilvl w:val="0"/>
          <w:numId w:val="5"/>
        </w:numPr>
        <w:rPr>
          <w:rFonts w:ascii="Arial" w:hAnsi="Arial" w:cs="Arial"/>
        </w:rPr>
      </w:pPr>
      <w:r w:rsidRPr="00AC0592">
        <w:rPr>
          <w:rFonts w:ascii="Arial" w:hAnsi="Arial" w:cs="Arial"/>
        </w:rPr>
        <w:t xml:space="preserve">In 2016, the gross kW streetlight savings reductions appear to be determined from actual bills to customers.  </w:t>
      </w:r>
    </w:p>
    <w:p w:rsidR="00AC0592" w:rsidRPr="00AC0592" w:rsidRDefault="00AC0592" w:rsidP="00AC0592">
      <w:pPr>
        <w:pStyle w:val="ListParagraph"/>
        <w:numPr>
          <w:ilvl w:val="1"/>
          <w:numId w:val="7"/>
        </w:numPr>
        <w:rPr>
          <w:rFonts w:ascii="Arial" w:hAnsi="Arial" w:cs="Arial"/>
        </w:rPr>
      </w:pPr>
      <w:r w:rsidRPr="00AC0592">
        <w:rPr>
          <w:rFonts w:ascii="Arial" w:hAnsi="Arial" w:cs="Arial"/>
        </w:rPr>
        <w:t xml:space="preserve">Did Entegrus use the Board-approved load profile to convert </w:t>
      </w:r>
      <w:r w:rsidR="00CD2249">
        <w:rPr>
          <w:rFonts w:ascii="Arial" w:hAnsi="Arial" w:cs="Arial"/>
        </w:rPr>
        <w:t xml:space="preserve">2016 </w:t>
      </w:r>
      <w:r w:rsidRPr="00AC0592">
        <w:rPr>
          <w:rFonts w:ascii="Arial" w:hAnsi="Arial" w:cs="Arial"/>
        </w:rPr>
        <w:t>energy savings to demand savings?</w:t>
      </w:r>
    </w:p>
    <w:p w:rsidR="00CD2249" w:rsidRDefault="00AC0592" w:rsidP="00AC0592">
      <w:pPr>
        <w:pStyle w:val="ListParagraph"/>
        <w:numPr>
          <w:ilvl w:val="1"/>
          <w:numId w:val="7"/>
        </w:numPr>
        <w:rPr>
          <w:rFonts w:ascii="Arial" w:hAnsi="Arial" w:cs="Arial"/>
        </w:rPr>
      </w:pPr>
      <w:r w:rsidRPr="00AC0592">
        <w:rPr>
          <w:rFonts w:ascii="Arial" w:hAnsi="Arial" w:cs="Arial"/>
        </w:rPr>
        <w:t xml:space="preserve">Please discuss how you calculated gross kW reduction for the streetlight project.  </w:t>
      </w:r>
    </w:p>
    <w:p w:rsidR="00AC0592" w:rsidRPr="00AC0592" w:rsidRDefault="00AC0592" w:rsidP="00AC0592">
      <w:pPr>
        <w:pStyle w:val="ListParagraph"/>
        <w:numPr>
          <w:ilvl w:val="1"/>
          <w:numId w:val="7"/>
        </w:numPr>
        <w:rPr>
          <w:rFonts w:ascii="Arial" w:hAnsi="Arial" w:cs="Arial"/>
        </w:rPr>
      </w:pPr>
      <w:r w:rsidRPr="00AC0592">
        <w:rPr>
          <w:rFonts w:ascii="Arial" w:hAnsi="Arial" w:cs="Arial"/>
        </w:rPr>
        <w:t>Please provide the detailed calculations in excel format to estimate monthly demand billed kW, including the number of installations and replacements and the change in kW billed, pre- and post-installation, in order to determine the baseline kW and demand billed kW.  In particular, please explain why gross kW reduction increased in July and August 2016, and confirm whether savings were appropriately calculated from the baseline.</w:t>
      </w:r>
    </w:p>
    <w:p w:rsidR="00AC0592" w:rsidRPr="00AC0592" w:rsidRDefault="00AC0592" w:rsidP="00AC0592">
      <w:pPr>
        <w:pStyle w:val="ListParagraph"/>
        <w:numPr>
          <w:ilvl w:val="1"/>
          <w:numId w:val="7"/>
        </w:numPr>
        <w:spacing w:line="276" w:lineRule="auto"/>
        <w:rPr>
          <w:rFonts w:ascii="Arial" w:hAnsi="Arial" w:cs="Arial"/>
        </w:rPr>
      </w:pPr>
      <w:r w:rsidRPr="00AC0592">
        <w:rPr>
          <w:rFonts w:ascii="Arial" w:hAnsi="Arial" w:cs="Arial"/>
        </w:rPr>
        <w:t xml:space="preserve">Please confirm whether you have received reports from municipalities that confirm the number of lightbulbs replaced.  </w:t>
      </w:r>
    </w:p>
    <w:p w:rsidR="00AC0592" w:rsidRPr="00AC0592" w:rsidRDefault="00AC0592" w:rsidP="00AC0592">
      <w:pPr>
        <w:pStyle w:val="ListParagraph"/>
        <w:ind w:left="1440"/>
        <w:rPr>
          <w:rFonts w:ascii="Arial" w:hAnsi="Arial" w:cs="Arial"/>
        </w:rPr>
      </w:pPr>
    </w:p>
    <w:p w:rsidR="00AC0592" w:rsidRPr="00AC0592" w:rsidRDefault="00AC0592" w:rsidP="00AC0592">
      <w:pPr>
        <w:pStyle w:val="ListParagraph"/>
        <w:numPr>
          <w:ilvl w:val="0"/>
          <w:numId w:val="5"/>
        </w:numPr>
        <w:rPr>
          <w:rFonts w:ascii="Arial" w:hAnsi="Arial" w:cs="Arial"/>
        </w:rPr>
      </w:pPr>
      <w:r w:rsidRPr="00AC0592">
        <w:rPr>
          <w:rFonts w:ascii="Arial" w:hAnsi="Arial" w:cs="Arial"/>
        </w:rPr>
        <w:t xml:space="preserve">Please confirm appropriateness of the net-to-gross (NTG) ratios to calculate net savings for the 2014, 2015 and 2016 streetlight projects.  It appears that a higher NTG ratio applied for the energy savings verified by the IESO for streetlights.  </w:t>
      </w:r>
    </w:p>
    <w:p w:rsidR="00AC0592" w:rsidRPr="00AC0592" w:rsidRDefault="00AC0592" w:rsidP="00AC0592">
      <w:pPr>
        <w:pStyle w:val="ListParagraph"/>
        <w:rPr>
          <w:rFonts w:ascii="Arial" w:hAnsi="Arial" w:cs="Arial"/>
        </w:rPr>
      </w:pPr>
    </w:p>
    <w:p w:rsidR="00AC0592" w:rsidRPr="00AC0592" w:rsidRDefault="00AC0592" w:rsidP="00AC0592">
      <w:pPr>
        <w:pStyle w:val="ListParagraph"/>
        <w:rPr>
          <w:rFonts w:ascii="Arial" w:hAnsi="Arial" w:cs="Arial"/>
        </w:rPr>
      </w:pPr>
      <w:r w:rsidRPr="00AC0592">
        <w:rPr>
          <w:rFonts w:ascii="Arial" w:hAnsi="Arial" w:cs="Arial"/>
        </w:rPr>
        <w:t>If the NTG ratios are appropriate, please provide the calculations or specific reference source to show support for the assumptions used.</w:t>
      </w:r>
    </w:p>
    <w:p w:rsidR="00AC0592" w:rsidRPr="00AC0592" w:rsidRDefault="00AC0592" w:rsidP="00AC0592">
      <w:pPr>
        <w:rPr>
          <w:rFonts w:ascii="Arial" w:hAnsi="Arial" w:cs="Arial"/>
        </w:rPr>
      </w:pPr>
    </w:p>
    <w:p w:rsidR="00AC0592" w:rsidRPr="00AC0592" w:rsidRDefault="00AC0592" w:rsidP="00AC0592">
      <w:pPr>
        <w:pStyle w:val="Default"/>
        <w:rPr>
          <w:b/>
          <w:bCs/>
          <w:sz w:val="22"/>
          <w:szCs w:val="22"/>
        </w:rPr>
      </w:pPr>
      <w:r w:rsidRPr="00AC0592">
        <w:rPr>
          <w:b/>
          <w:bCs/>
          <w:sz w:val="22"/>
          <w:szCs w:val="22"/>
        </w:rPr>
        <w:t>S</w:t>
      </w:r>
      <w:r w:rsidR="001E5400">
        <w:rPr>
          <w:b/>
          <w:bCs/>
          <w:sz w:val="22"/>
          <w:szCs w:val="22"/>
        </w:rPr>
        <w:t>taff Question #1</w:t>
      </w:r>
      <w:r w:rsidR="00C4356A">
        <w:rPr>
          <w:b/>
          <w:bCs/>
          <w:sz w:val="22"/>
          <w:szCs w:val="22"/>
        </w:rPr>
        <w:t>4</w:t>
      </w:r>
    </w:p>
    <w:p w:rsidR="00AC0592" w:rsidRDefault="00AC0592" w:rsidP="00AC0592">
      <w:pPr>
        <w:pStyle w:val="Default"/>
        <w:rPr>
          <w:b/>
          <w:bCs/>
          <w:sz w:val="22"/>
          <w:szCs w:val="22"/>
        </w:rPr>
      </w:pPr>
      <w:r w:rsidRPr="00AC0592">
        <w:rPr>
          <w:b/>
          <w:bCs/>
          <w:sz w:val="22"/>
          <w:szCs w:val="22"/>
        </w:rPr>
        <w:t>Ref:</w:t>
      </w:r>
      <w:r w:rsidRPr="00AC0592">
        <w:rPr>
          <w:b/>
          <w:bCs/>
          <w:sz w:val="22"/>
          <w:szCs w:val="22"/>
        </w:rPr>
        <w:tab/>
        <w:t>Tab 5 2015-2020 LRAM</w:t>
      </w:r>
    </w:p>
    <w:p w:rsidR="00AC0592" w:rsidRPr="00AC0592" w:rsidRDefault="00AC0592" w:rsidP="00AC0592">
      <w:pPr>
        <w:pStyle w:val="Default"/>
        <w:rPr>
          <w:b/>
          <w:bCs/>
          <w:sz w:val="22"/>
          <w:szCs w:val="22"/>
        </w:rPr>
      </w:pPr>
    </w:p>
    <w:p w:rsidR="00AC0592" w:rsidRPr="00AC0592" w:rsidRDefault="00AC0592" w:rsidP="00AC0592">
      <w:pPr>
        <w:pStyle w:val="ListParagraph"/>
        <w:numPr>
          <w:ilvl w:val="0"/>
          <w:numId w:val="8"/>
        </w:numPr>
        <w:rPr>
          <w:rFonts w:ascii="Arial" w:eastAsia="Times New Roman" w:hAnsi="Arial" w:cs="Arial"/>
          <w:bCs/>
        </w:rPr>
      </w:pPr>
      <w:r w:rsidRPr="00AC0592">
        <w:rPr>
          <w:rFonts w:ascii="Arial" w:hAnsi="Arial" w:cs="Arial"/>
        </w:rPr>
        <w:t xml:space="preserve">For the rate class allocations in Table 5-a, please confirm accuracy of the -100% allocation of the “Process and Systems Upgrades Initiatives - Project Incentive Initiative” savings to the Standby Power class, while also 100% of these savings are allocated to the </w:t>
      </w:r>
      <w:r w:rsidRPr="00AC0592">
        <w:rPr>
          <w:rFonts w:ascii="Arial" w:eastAsia="Times New Roman" w:hAnsi="Arial" w:cs="Arial"/>
          <w:bCs/>
        </w:rPr>
        <w:t>GS 50 to 4,999 kW.  If this is correct, please confirm the rationale for these allocations.</w:t>
      </w:r>
    </w:p>
    <w:p w:rsidR="00AC0592" w:rsidRPr="00AC0592" w:rsidRDefault="00AC0592" w:rsidP="00AC0592">
      <w:pPr>
        <w:pStyle w:val="ListParagraph"/>
        <w:rPr>
          <w:rFonts w:ascii="Arial" w:eastAsia="Times New Roman" w:hAnsi="Arial" w:cs="Arial"/>
          <w:bCs/>
        </w:rPr>
      </w:pPr>
    </w:p>
    <w:p w:rsidR="00AC0592" w:rsidRPr="00AC0592" w:rsidRDefault="00AC0592" w:rsidP="00AC0592">
      <w:pPr>
        <w:pStyle w:val="ListParagraph"/>
        <w:numPr>
          <w:ilvl w:val="0"/>
          <w:numId w:val="8"/>
        </w:numPr>
        <w:rPr>
          <w:rFonts w:ascii="Arial" w:eastAsia="Times New Roman" w:hAnsi="Arial" w:cs="Arial"/>
          <w:bCs/>
        </w:rPr>
      </w:pPr>
      <w:r w:rsidRPr="00AC0592">
        <w:rPr>
          <w:rFonts w:ascii="Arial" w:eastAsia="Times New Roman" w:hAnsi="Arial" w:cs="Arial"/>
          <w:bCs/>
        </w:rPr>
        <w:t>Please confirm whether there are missing allocations in cells Z168 and AA 168 of Tab 5, in order for the streetlight savings associated with the retrofit program to be appropriately deducted in the workform.</w:t>
      </w:r>
    </w:p>
    <w:p w:rsidR="00AC0592" w:rsidRDefault="00AC0592" w:rsidP="00AC0592">
      <w:pPr>
        <w:pStyle w:val="ListParagraph"/>
        <w:rPr>
          <w:rFonts w:ascii="Arial" w:eastAsia="Times New Roman" w:hAnsi="Arial" w:cs="Arial"/>
          <w:bCs/>
        </w:rPr>
      </w:pPr>
    </w:p>
    <w:p w:rsidR="00AC0592" w:rsidRPr="00AC0592" w:rsidRDefault="00AC0592" w:rsidP="00AC0592">
      <w:pPr>
        <w:pStyle w:val="Default"/>
        <w:rPr>
          <w:b/>
          <w:bCs/>
          <w:sz w:val="22"/>
          <w:szCs w:val="22"/>
        </w:rPr>
      </w:pPr>
      <w:r w:rsidRPr="00AC0592">
        <w:rPr>
          <w:b/>
          <w:bCs/>
          <w:sz w:val="22"/>
          <w:szCs w:val="22"/>
        </w:rPr>
        <w:t>S</w:t>
      </w:r>
      <w:r w:rsidR="00C4356A">
        <w:rPr>
          <w:b/>
          <w:bCs/>
          <w:sz w:val="22"/>
          <w:szCs w:val="22"/>
        </w:rPr>
        <w:t>taff Question #15</w:t>
      </w:r>
    </w:p>
    <w:p w:rsidR="00AC0592" w:rsidRPr="00AC0592" w:rsidRDefault="00AC0592" w:rsidP="00AC0592">
      <w:pPr>
        <w:pStyle w:val="Default"/>
        <w:rPr>
          <w:b/>
          <w:bCs/>
          <w:sz w:val="22"/>
          <w:szCs w:val="22"/>
        </w:rPr>
      </w:pPr>
      <w:r w:rsidRPr="00AC0592">
        <w:rPr>
          <w:b/>
          <w:bCs/>
          <w:sz w:val="22"/>
          <w:szCs w:val="22"/>
        </w:rPr>
        <w:t>Ref:</w:t>
      </w:r>
      <w:r w:rsidRPr="00AC0592">
        <w:rPr>
          <w:b/>
          <w:bCs/>
          <w:sz w:val="22"/>
          <w:szCs w:val="22"/>
        </w:rPr>
        <w:tab/>
        <w:t>Tab 6 Carrying Charges</w:t>
      </w:r>
    </w:p>
    <w:p w:rsidR="00AC0592" w:rsidRPr="00AC0592" w:rsidRDefault="00AC0592" w:rsidP="00AC0592">
      <w:pPr>
        <w:pStyle w:val="ListParagraph"/>
        <w:numPr>
          <w:ilvl w:val="0"/>
          <w:numId w:val="9"/>
        </w:numPr>
        <w:spacing w:after="0" w:line="240" w:lineRule="auto"/>
        <w:rPr>
          <w:rFonts w:ascii="Arial" w:hAnsi="Arial" w:cs="Arial"/>
        </w:rPr>
      </w:pPr>
      <w:r w:rsidRPr="00AC0592">
        <w:rPr>
          <w:rFonts w:ascii="Arial" w:hAnsi="Arial" w:cs="Arial"/>
        </w:rPr>
        <w:t>Please update the Q4 2018 interest rate in Table 6 to reflect the OEB’s most recently approved prescribed interest rate for deferral and variance accounts.</w:t>
      </w:r>
    </w:p>
    <w:p w:rsidR="00AC0592" w:rsidRPr="00AC0592" w:rsidRDefault="00AC0592" w:rsidP="00AC0592">
      <w:pPr>
        <w:rPr>
          <w:rFonts w:ascii="Arial" w:hAnsi="Arial" w:cs="Arial"/>
        </w:rPr>
      </w:pPr>
    </w:p>
    <w:p w:rsidR="00AC0592" w:rsidRPr="00AC0592" w:rsidRDefault="00AC0592" w:rsidP="00AC0592">
      <w:pPr>
        <w:pStyle w:val="Default"/>
        <w:rPr>
          <w:b/>
          <w:bCs/>
          <w:sz w:val="22"/>
          <w:szCs w:val="22"/>
        </w:rPr>
      </w:pPr>
      <w:r w:rsidRPr="00AC0592">
        <w:rPr>
          <w:b/>
          <w:bCs/>
          <w:sz w:val="22"/>
          <w:szCs w:val="22"/>
        </w:rPr>
        <w:t>S</w:t>
      </w:r>
      <w:r w:rsidR="00C4356A">
        <w:rPr>
          <w:b/>
          <w:bCs/>
          <w:sz w:val="22"/>
          <w:szCs w:val="22"/>
        </w:rPr>
        <w:t>taff Question #16</w:t>
      </w:r>
    </w:p>
    <w:p w:rsidR="00AC0592" w:rsidRPr="00AC0592" w:rsidRDefault="00AC0592" w:rsidP="00AC0592">
      <w:pPr>
        <w:pStyle w:val="ListParagraph"/>
        <w:numPr>
          <w:ilvl w:val="0"/>
          <w:numId w:val="10"/>
        </w:numPr>
        <w:rPr>
          <w:rFonts w:ascii="Arial" w:hAnsi="Arial" w:cs="Arial"/>
        </w:rPr>
      </w:pPr>
      <w:r w:rsidRPr="00AC0592">
        <w:rPr>
          <w:rFonts w:ascii="Arial" w:hAnsi="Arial" w:cs="Arial"/>
        </w:rPr>
        <w:t>Please file an excel copy of the 2017 Final Results Report for the Entegrus (Main Rate Zone) if available.</w:t>
      </w:r>
    </w:p>
    <w:p w:rsidR="00AC0592" w:rsidRPr="00AC0592" w:rsidRDefault="00AC0592" w:rsidP="00AC0592">
      <w:pPr>
        <w:pStyle w:val="ListParagraph"/>
        <w:numPr>
          <w:ilvl w:val="0"/>
          <w:numId w:val="10"/>
        </w:numPr>
        <w:rPr>
          <w:rFonts w:ascii="Arial" w:hAnsi="Arial" w:cs="Arial"/>
        </w:rPr>
      </w:pPr>
      <w:r w:rsidRPr="00AC0592">
        <w:rPr>
          <w:rFonts w:ascii="Arial" w:hAnsi="Arial" w:cs="Arial"/>
        </w:rPr>
        <w:t>Please file an excel copy of the 2014 Persistence Savings Report for the Entegrus Main Rate Zone.</w:t>
      </w:r>
    </w:p>
    <w:p w:rsidR="00AC0592" w:rsidRPr="00AC0592" w:rsidRDefault="00AC0592" w:rsidP="00AC0592">
      <w:pPr>
        <w:pStyle w:val="ListParagraph"/>
        <w:numPr>
          <w:ilvl w:val="0"/>
          <w:numId w:val="10"/>
        </w:numPr>
        <w:rPr>
          <w:rFonts w:ascii="Arial" w:hAnsi="Arial" w:cs="Arial"/>
        </w:rPr>
      </w:pPr>
      <w:r w:rsidRPr="00AC0592">
        <w:rPr>
          <w:rFonts w:ascii="Arial" w:hAnsi="Arial" w:cs="Arial"/>
        </w:rPr>
        <w:t xml:space="preserve">Please confirm any changes to the LRAMVA workform in “Table A-2.  Updates to LRAMVA Disposition (Tab 2)” and file an updated LRAMVA work form.  </w:t>
      </w:r>
    </w:p>
    <w:p w:rsidR="00AC0592" w:rsidRPr="00AC0592" w:rsidRDefault="00AC0592" w:rsidP="00AC0592">
      <w:pPr>
        <w:rPr>
          <w:rFonts w:ascii="Arial" w:hAnsi="Arial" w:cs="Arial"/>
        </w:rPr>
      </w:pPr>
    </w:p>
    <w:p w:rsidR="00AC0592" w:rsidRDefault="00AC0592" w:rsidP="00AE0975">
      <w:pPr>
        <w:rPr>
          <w:rFonts w:ascii="Arial" w:hAnsi="Arial" w:cs="Arial"/>
          <w:b/>
          <w:sz w:val="28"/>
        </w:rPr>
      </w:pPr>
    </w:p>
    <w:p w:rsidR="00C4356A" w:rsidRDefault="00C4356A" w:rsidP="00AE0975">
      <w:pPr>
        <w:rPr>
          <w:rFonts w:ascii="Arial" w:hAnsi="Arial" w:cs="Arial"/>
          <w:b/>
          <w:sz w:val="28"/>
        </w:rPr>
      </w:pPr>
    </w:p>
    <w:p w:rsidR="00C4356A" w:rsidRDefault="00C4356A" w:rsidP="00AE0975">
      <w:pPr>
        <w:rPr>
          <w:rFonts w:ascii="Arial" w:hAnsi="Arial" w:cs="Arial"/>
          <w:b/>
          <w:sz w:val="28"/>
        </w:rPr>
      </w:pPr>
    </w:p>
    <w:p w:rsidR="00C4356A" w:rsidRDefault="00C4356A" w:rsidP="00AE0975">
      <w:pPr>
        <w:rPr>
          <w:rFonts w:ascii="Arial" w:hAnsi="Arial" w:cs="Arial"/>
          <w:b/>
          <w:sz w:val="28"/>
        </w:rPr>
      </w:pPr>
    </w:p>
    <w:p w:rsidR="00AE0975" w:rsidRPr="00761997" w:rsidRDefault="00AE0975" w:rsidP="00AE0975">
      <w:pPr>
        <w:rPr>
          <w:rFonts w:ascii="Arial" w:hAnsi="Arial" w:cs="Arial"/>
          <w:b/>
          <w:sz w:val="28"/>
        </w:rPr>
      </w:pPr>
      <w:r w:rsidRPr="00406178">
        <w:rPr>
          <w:rFonts w:ascii="Arial" w:hAnsi="Arial" w:cs="Arial"/>
          <w:b/>
          <w:sz w:val="28"/>
        </w:rPr>
        <w:t>Entegrus</w:t>
      </w:r>
      <w:r w:rsidR="00761997" w:rsidRPr="00406178">
        <w:rPr>
          <w:rFonts w:ascii="Arial" w:hAnsi="Arial" w:cs="Arial"/>
          <w:b/>
          <w:sz w:val="28"/>
        </w:rPr>
        <w:t xml:space="preserve"> </w:t>
      </w:r>
      <w:r w:rsidRPr="00406178">
        <w:rPr>
          <w:rFonts w:ascii="Arial" w:hAnsi="Arial" w:cs="Arial"/>
          <w:b/>
          <w:sz w:val="28"/>
        </w:rPr>
        <w:t>- St. Thomas Rate Zone</w:t>
      </w:r>
    </w:p>
    <w:p w:rsidR="00CF3AAD" w:rsidRPr="00761997" w:rsidRDefault="00761997" w:rsidP="00761997">
      <w:pPr>
        <w:pStyle w:val="Default"/>
        <w:rPr>
          <w:b/>
          <w:bCs/>
          <w:sz w:val="22"/>
          <w:szCs w:val="22"/>
        </w:rPr>
      </w:pPr>
      <w:r w:rsidRPr="00761997">
        <w:rPr>
          <w:b/>
          <w:bCs/>
          <w:sz w:val="22"/>
          <w:szCs w:val="22"/>
        </w:rPr>
        <w:t>Staff Question #1</w:t>
      </w:r>
    </w:p>
    <w:p w:rsidR="00CF3AAD" w:rsidRDefault="00CF3AAD" w:rsidP="00761997">
      <w:pPr>
        <w:pStyle w:val="Default"/>
        <w:rPr>
          <w:b/>
          <w:bCs/>
          <w:sz w:val="22"/>
          <w:szCs w:val="22"/>
        </w:rPr>
      </w:pPr>
      <w:r w:rsidRPr="00761997">
        <w:rPr>
          <w:b/>
          <w:bCs/>
          <w:sz w:val="22"/>
          <w:szCs w:val="22"/>
        </w:rPr>
        <w:t>Ref: 1595 Analysis Workform</w:t>
      </w:r>
    </w:p>
    <w:p w:rsidR="00761997" w:rsidRPr="00761997" w:rsidRDefault="00761997" w:rsidP="00761997">
      <w:pPr>
        <w:pStyle w:val="Default"/>
        <w:rPr>
          <w:b/>
          <w:bCs/>
          <w:sz w:val="22"/>
          <w:szCs w:val="22"/>
        </w:rPr>
      </w:pPr>
    </w:p>
    <w:p w:rsidR="00CF3AAD" w:rsidRDefault="00CF3AAD" w:rsidP="00CF3AAD">
      <w:pPr>
        <w:rPr>
          <w:rFonts w:ascii="Arial" w:hAnsi="Arial" w:cs="Arial"/>
        </w:rPr>
      </w:pPr>
      <w:r>
        <w:rPr>
          <w:rFonts w:ascii="Arial" w:hAnsi="Arial" w:cs="Arial"/>
        </w:rPr>
        <w:lastRenderedPageBreak/>
        <w:t>In the 1595 Analysis Wo</w:t>
      </w:r>
      <w:r w:rsidR="00761997">
        <w:rPr>
          <w:rFonts w:ascii="Arial" w:hAnsi="Arial" w:cs="Arial"/>
        </w:rPr>
        <w:t>r</w:t>
      </w:r>
      <w:r>
        <w:rPr>
          <w:rFonts w:ascii="Arial" w:hAnsi="Arial" w:cs="Arial"/>
        </w:rPr>
        <w:t>kform, the Applicant shows that a significant portion of the residual balance in Account 1595 (2014) pertains to the Residential and General Service 50 to 5,000 kW Rate Classes ($38,965 and $281,369, respectively).</w:t>
      </w:r>
    </w:p>
    <w:p w:rsidR="00CF3AAD" w:rsidRDefault="00BB7755" w:rsidP="00CF3AAD">
      <w:pPr>
        <w:pStyle w:val="ListParagraph"/>
        <w:numPr>
          <w:ilvl w:val="0"/>
          <w:numId w:val="3"/>
        </w:numPr>
        <w:rPr>
          <w:rFonts w:ascii="Arial" w:hAnsi="Arial" w:cs="Arial"/>
        </w:rPr>
      </w:pPr>
      <w:r>
        <w:rPr>
          <w:rFonts w:ascii="Arial" w:hAnsi="Arial" w:cs="Arial"/>
        </w:rPr>
        <w:t xml:space="preserve">Please </w:t>
      </w:r>
      <w:r w:rsidR="00CD2249">
        <w:rPr>
          <w:rFonts w:ascii="Arial" w:hAnsi="Arial" w:cs="Arial"/>
        </w:rPr>
        <w:t xml:space="preserve">explain the </w:t>
      </w:r>
      <w:r w:rsidR="00CF3AAD">
        <w:rPr>
          <w:rFonts w:ascii="Arial" w:hAnsi="Arial" w:cs="Arial"/>
        </w:rPr>
        <w:t xml:space="preserve">circumstances or events </w:t>
      </w:r>
      <w:r>
        <w:rPr>
          <w:rFonts w:ascii="Arial" w:hAnsi="Arial" w:cs="Arial"/>
        </w:rPr>
        <w:t>that caused the kWh or kW used in the denominator for the GA rate rider in these customer classes to vary so substantially from the consumption figures in which the rider was applied against.</w:t>
      </w:r>
    </w:p>
    <w:p w:rsidR="00016A09" w:rsidRDefault="00016A09" w:rsidP="00761997">
      <w:pPr>
        <w:pStyle w:val="Default"/>
        <w:rPr>
          <w:b/>
          <w:bCs/>
          <w:sz w:val="22"/>
          <w:szCs w:val="22"/>
        </w:rPr>
      </w:pPr>
    </w:p>
    <w:p w:rsidR="00016A09" w:rsidRDefault="00016A09" w:rsidP="00761997">
      <w:pPr>
        <w:pStyle w:val="Default"/>
        <w:rPr>
          <w:b/>
          <w:bCs/>
          <w:sz w:val="22"/>
          <w:szCs w:val="22"/>
        </w:rPr>
      </w:pPr>
    </w:p>
    <w:p w:rsidR="00BB7755" w:rsidRPr="00761997" w:rsidRDefault="00761997" w:rsidP="00761997">
      <w:pPr>
        <w:pStyle w:val="Default"/>
        <w:rPr>
          <w:b/>
          <w:bCs/>
          <w:sz w:val="22"/>
          <w:szCs w:val="22"/>
        </w:rPr>
      </w:pPr>
      <w:r w:rsidRPr="00761997">
        <w:rPr>
          <w:b/>
          <w:bCs/>
          <w:sz w:val="22"/>
          <w:szCs w:val="22"/>
        </w:rPr>
        <w:t>Staff Question #2</w:t>
      </w:r>
    </w:p>
    <w:p w:rsidR="00BB7755" w:rsidRDefault="00BB7755" w:rsidP="00761997">
      <w:pPr>
        <w:pStyle w:val="Default"/>
        <w:rPr>
          <w:b/>
          <w:bCs/>
          <w:sz w:val="22"/>
          <w:szCs w:val="22"/>
        </w:rPr>
      </w:pPr>
      <w:r w:rsidRPr="00761997">
        <w:rPr>
          <w:b/>
          <w:bCs/>
          <w:sz w:val="22"/>
          <w:szCs w:val="22"/>
        </w:rPr>
        <w:t>Ref: GA Analysis Workform</w:t>
      </w:r>
    </w:p>
    <w:p w:rsidR="00761997" w:rsidRPr="00761997" w:rsidRDefault="00761997" w:rsidP="00761997">
      <w:pPr>
        <w:pStyle w:val="Default"/>
        <w:rPr>
          <w:b/>
          <w:bCs/>
          <w:sz w:val="22"/>
          <w:szCs w:val="22"/>
        </w:rPr>
      </w:pPr>
    </w:p>
    <w:p w:rsidR="00BB7755" w:rsidRDefault="00BB7755" w:rsidP="00BB7755">
      <w:pPr>
        <w:rPr>
          <w:rFonts w:ascii="Arial" w:hAnsi="Arial" w:cs="Arial"/>
        </w:rPr>
      </w:pPr>
      <w:r>
        <w:rPr>
          <w:rFonts w:ascii="Arial" w:hAnsi="Arial" w:cs="Arial"/>
        </w:rPr>
        <w:t>In the 2015 GA Analysis Workform, reconciling item 1b in the amount of ($57,067) is described as an adjustment for 2015 that was recorded in the general ledger of 2017. However, the Applicant has recorded an adjustment in reconciling item 1a for $57,067 for 2016.</w:t>
      </w:r>
    </w:p>
    <w:p w:rsidR="00BB7755" w:rsidRDefault="00BB7755" w:rsidP="00BB7755">
      <w:pPr>
        <w:pStyle w:val="ListParagraph"/>
        <w:numPr>
          <w:ilvl w:val="0"/>
          <w:numId w:val="4"/>
        </w:numPr>
        <w:rPr>
          <w:rFonts w:ascii="Arial" w:hAnsi="Arial" w:cs="Arial"/>
        </w:rPr>
      </w:pPr>
      <w:r>
        <w:rPr>
          <w:rFonts w:ascii="Arial" w:hAnsi="Arial" w:cs="Arial"/>
        </w:rPr>
        <w:t>Please confirm that this reclassification entry was recorded in the 2017 general ledger</w:t>
      </w:r>
      <w:r w:rsidR="00CD2249">
        <w:rPr>
          <w:rFonts w:ascii="Arial" w:hAnsi="Arial" w:cs="Arial"/>
        </w:rPr>
        <w:t>.</w:t>
      </w:r>
    </w:p>
    <w:p w:rsidR="00BB7755" w:rsidRDefault="00BB7755" w:rsidP="00BB7755">
      <w:pPr>
        <w:pStyle w:val="ListParagraph"/>
        <w:numPr>
          <w:ilvl w:val="0"/>
          <w:numId w:val="4"/>
        </w:numPr>
        <w:rPr>
          <w:rFonts w:ascii="Arial" w:hAnsi="Arial" w:cs="Arial"/>
        </w:rPr>
      </w:pPr>
      <w:r>
        <w:rPr>
          <w:rFonts w:ascii="Arial" w:hAnsi="Arial" w:cs="Arial"/>
        </w:rPr>
        <w:t>If the above is confirmed, please adjust the 2016 GA Analysis Workform to remove the amounts in item 1a, as the 2016 GA transactions do not require a reconciliation for items that did not affect the 2016 general ledger</w:t>
      </w:r>
      <w:r w:rsidR="00456AD6">
        <w:rPr>
          <w:rFonts w:ascii="Arial" w:hAnsi="Arial" w:cs="Arial"/>
        </w:rPr>
        <w:t>.</w:t>
      </w:r>
    </w:p>
    <w:p w:rsidR="00456AD6" w:rsidRDefault="00456AD6" w:rsidP="00BB7755">
      <w:pPr>
        <w:pStyle w:val="ListParagraph"/>
        <w:numPr>
          <w:ilvl w:val="0"/>
          <w:numId w:val="4"/>
        </w:numPr>
        <w:rPr>
          <w:rFonts w:ascii="Arial" w:hAnsi="Arial" w:cs="Arial"/>
        </w:rPr>
      </w:pPr>
      <w:r>
        <w:rPr>
          <w:rFonts w:ascii="Arial" w:hAnsi="Arial" w:cs="Arial"/>
        </w:rPr>
        <w:t>Please confirm that there are no entries made in the 2016 general ledger that pertain to prior years, and that no amount should be reported in item 1a in the 2016 GA Analysis Workform.</w:t>
      </w:r>
    </w:p>
    <w:p w:rsidR="00C4356A" w:rsidRDefault="00C4356A" w:rsidP="0019308E">
      <w:pPr>
        <w:pStyle w:val="Default"/>
        <w:rPr>
          <w:b/>
          <w:bCs/>
          <w:sz w:val="22"/>
          <w:szCs w:val="22"/>
        </w:rPr>
      </w:pPr>
    </w:p>
    <w:p w:rsidR="0019308E" w:rsidRPr="00761997" w:rsidRDefault="0019308E" w:rsidP="0019308E">
      <w:pPr>
        <w:pStyle w:val="Default"/>
        <w:rPr>
          <w:b/>
          <w:bCs/>
          <w:sz w:val="22"/>
          <w:szCs w:val="22"/>
        </w:rPr>
      </w:pPr>
      <w:r>
        <w:rPr>
          <w:b/>
          <w:bCs/>
          <w:sz w:val="22"/>
          <w:szCs w:val="22"/>
        </w:rPr>
        <w:t>Staff Question #3</w:t>
      </w:r>
    </w:p>
    <w:p w:rsidR="0019308E" w:rsidRDefault="0019308E" w:rsidP="0019308E">
      <w:pPr>
        <w:pStyle w:val="Default"/>
        <w:rPr>
          <w:b/>
          <w:bCs/>
          <w:sz w:val="22"/>
          <w:szCs w:val="22"/>
        </w:rPr>
      </w:pPr>
      <w:r w:rsidRPr="00761997">
        <w:rPr>
          <w:b/>
          <w:bCs/>
          <w:sz w:val="22"/>
          <w:szCs w:val="22"/>
        </w:rPr>
        <w:t>Ref: GA Analysis Workform</w:t>
      </w:r>
    </w:p>
    <w:p w:rsidR="0019308E" w:rsidRPr="00761997" w:rsidRDefault="0019308E" w:rsidP="0019308E">
      <w:pPr>
        <w:pStyle w:val="Default"/>
        <w:rPr>
          <w:b/>
          <w:bCs/>
          <w:sz w:val="22"/>
          <w:szCs w:val="22"/>
        </w:rPr>
      </w:pPr>
    </w:p>
    <w:p w:rsidR="0019308E" w:rsidRDefault="0019308E" w:rsidP="0019308E">
      <w:pPr>
        <w:rPr>
          <w:rFonts w:ascii="Arial" w:hAnsi="Arial" w:cs="Arial"/>
        </w:rPr>
      </w:pPr>
      <w:r>
        <w:rPr>
          <w:rFonts w:ascii="Arial" w:hAnsi="Arial" w:cs="Arial"/>
        </w:rPr>
        <w:t>In the 2016 GA Analysis Workform, reconciling item 9 in the amount of ($30,733) is described as an adjustment for i</w:t>
      </w:r>
      <w:r w:rsidRPr="00DF7521">
        <w:rPr>
          <w:rFonts w:ascii="Arial" w:hAnsi="Arial" w:cs="Arial"/>
        </w:rPr>
        <w:t xml:space="preserve">nterval customers that were billed on final GA rate effective July 1, 2016. </w:t>
      </w:r>
    </w:p>
    <w:p w:rsidR="0019308E" w:rsidRPr="0019308E" w:rsidRDefault="0019308E" w:rsidP="0019308E">
      <w:pPr>
        <w:pStyle w:val="ListParagraph"/>
        <w:numPr>
          <w:ilvl w:val="0"/>
          <w:numId w:val="27"/>
        </w:numPr>
        <w:rPr>
          <w:rFonts w:ascii="Arial" w:hAnsi="Arial" w:cs="Arial"/>
        </w:rPr>
      </w:pPr>
      <w:r>
        <w:rPr>
          <w:rFonts w:ascii="Arial" w:hAnsi="Arial" w:cs="Arial"/>
        </w:rPr>
        <w:t xml:space="preserve">Please complete the GA </w:t>
      </w:r>
      <w:r w:rsidR="00CD2249">
        <w:rPr>
          <w:rFonts w:ascii="Arial" w:hAnsi="Arial" w:cs="Arial"/>
        </w:rPr>
        <w:t xml:space="preserve">Analysis </w:t>
      </w:r>
      <w:r>
        <w:rPr>
          <w:rFonts w:ascii="Arial" w:hAnsi="Arial" w:cs="Arial"/>
        </w:rPr>
        <w:t>Workform for 2016 for customers that were billed on the 1</w:t>
      </w:r>
      <w:r w:rsidRPr="0019308E">
        <w:rPr>
          <w:rFonts w:ascii="Arial" w:hAnsi="Arial" w:cs="Arial"/>
          <w:vertAlign w:val="superscript"/>
        </w:rPr>
        <w:t>st</w:t>
      </w:r>
      <w:r>
        <w:rPr>
          <w:rFonts w:ascii="Arial" w:hAnsi="Arial" w:cs="Arial"/>
        </w:rPr>
        <w:t xml:space="preserve"> estimate only.  Note: Reconciling Item 9 of ($30,733) should be removed.</w:t>
      </w:r>
    </w:p>
    <w:p w:rsidR="003D24BC" w:rsidRDefault="003D24BC" w:rsidP="003D24BC">
      <w:pPr>
        <w:pStyle w:val="Default"/>
        <w:rPr>
          <w:b/>
          <w:bCs/>
          <w:sz w:val="22"/>
          <w:szCs w:val="22"/>
        </w:rPr>
      </w:pPr>
    </w:p>
    <w:p w:rsidR="00A03910" w:rsidRDefault="00A03910" w:rsidP="003D24BC">
      <w:pPr>
        <w:pStyle w:val="Default"/>
        <w:rPr>
          <w:b/>
          <w:bCs/>
          <w:sz w:val="22"/>
          <w:szCs w:val="22"/>
        </w:rPr>
      </w:pPr>
    </w:p>
    <w:p w:rsidR="003D24BC" w:rsidRPr="00761997" w:rsidRDefault="003D24BC" w:rsidP="003D24BC">
      <w:pPr>
        <w:pStyle w:val="Default"/>
        <w:rPr>
          <w:b/>
          <w:bCs/>
          <w:sz w:val="22"/>
          <w:szCs w:val="22"/>
        </w:rPr>
      </w:pPr>
      <w:r>
        <w:rPr>
          <w:b/>
          <w:bCs/>
          <w:sz w:val="22"/>
          <w:szCs w:val="22"/>
        </w:rPr>
        <w:t>Staff Question #</w:t>
      </w:r>
      <w:r w:rsidR="00406178">
        <w:rPr>
          <w:b/>
          <w:bCs/>
          <w:sz w:val="22"/>
          <w:szCs w:val="22"/>
        </w:rPr>
        <w:t>4</w:t>
      </w:r>
    </w:p>
    <w:p w:rsidR="003D24BC" w:rsidRDefault="003D24BC" w:rsidP="003D24BC">
      <w:pPr>
        <w:pStyle w:val="Default"/>
        <w:rPr>
          <w:b/>
          <w:bCs/>
          <w:sz w:val="22"/>
          <w:szCs w:val="22"/>
        </w:rPr>
      </w:pPr>
      <w:r w:rsidRPr="00761997">
        <w:rPr>
          <w:b/>
          <w:bCs/>
          <w:sz w:val="22"/>
          <w:szCs w:val="22"/>
        </w:rPr>
        <w:t xml:space="preserve">Ref: </w:t>
      </w:r>
      <w:r>
        <w:rPr>
          <w:b/>
          <w:bCs/>
          <w:sz w:val="22"/>
          <w:szCs w:val="22"/>
        </w:rPr>
        <w:t>Manager’s Summary, Page 6 of 7</w:t>
      </w:r>
    </w:p>
    <w:p w:rsidR="003D24BC" w:rsidRDefault="003D24BC" w:rsidP="003D24BC">
      <w:pPr>
        <w:autoSpaceDE w:val="0"/>
        <w:autoSpaceDN w:val="0"/>
        <w:adjustRightInd w:val="0"/>
        <w:spacing w:after="0" w:line="240" w:lineRule="auto"/>
        <w:rPr>
          <w:rFonts w:ascii="Arial" w:hAnsi="Arial" w:cs="Arial"/>
        </w:rPr>
      </w:pPr>
    </w:p>
    <w:p w:rsidR="003D24BC" w:rsidRDefault="003D24BC" w:rsidP="003D24BC">
      <w:pPr>
        <w:autoSpaceDE w:val="0"/>
        <w:autoSpaceDN w:val="0"/>
        <w:adjustRightInd w:val="0"/>
        <w:spacing w:after="0" w:line="240" w:lineRule="auto"/>
        <w:rPr>
          <w:rFonts w:ascii="Arial" w:hAnsi="Arial" w:cs="Arial"/>
        </w:rPr>
      </w:pPr>
      <w:r w:rsidRPr="003D24BC">
        <w:rPr>
          <w:rFonts w:ascii="Arial" w:hAnsi="Arial" w:cs="Arial"/>
        </w:rPr>
        <w:t>In July 2016, Entegrus</w:t>
      </w:r>
      <w:r>
        <w:rPr>
          <w:rFonts w:ascii="Arial" w:hAnsi="Arial" w:cs="Arial"/>
        </w:rPr>
        <w:t xml:space="preserve"> </w:t>
      </w:r>
      <w:r w:rsidRPr="003D24BC">
        <w:rPr>
          <w:rFonts w:ascii="Arial" w:hAnsi="Arial" w:cs="Arial"/>
        </w:rPr>
        <w:t>-</w:t>
      </w:r>
      <w:r>
        <w:rPr>
          <w:rFonts w:ascii="Arial" w:hAnsi="Arial" w:cs="Arial"/>
        </w:rPr>
        <w:t xml:space="preserve"> </w:t>
      </w:r>
      <w:r w:rsidRPr="003D24BC">
        <w:rPr>
          <w:rFonts w:ascii="Arial" w:hAnsi="Arial" w:cs="Arial"/>
        </w:rPr>
        <w:t>St. Thomas commenced billing General Service &gt; 50 kW interval customers on the IESO</w:t>
      </w:r>
      <w:r>
        <w:rPr>
          <w:rFonts w:ascii="Arial" w:hAnsi="Arial" w:cs="Arial"/>
        </w:rPr>
        <w:t xml:space="preserve"> </w:t>
      </w:r>
      <w:r w:rsidRPr="003D24BC">
        <w:rPr>
          <w:rFonts w:ascii="Arial" w:hAnsi="Arial" w:cs="Arial"/>
        </w:rPr>
        <w:t>published Actual rate, instead of the IESO published 1st Estimate</w:t>
      </w:r>
      <w:r w:rsidR="000E0A44">
        <w:rPr>
          <w:rFonts w:ascii="Arial" w:hAnsi="Arial" w:cs="Arial"/>
        </w:rPr>
        <w:t xml:space="preserve"> that it bills the other customers in the General Service &gt; 50 kW customer classification</w:t>
      </w:r>
      <w:r w:rsidRPr="003D24BC">
        <w:rPr>
          <w:rFonts w:ascii="Arial" w:hAnsi="Arial" w:cs="Arial"/>
        </w:rPr>
        <w:t>. To facilitate appropriate allocation</w:t>
      </w:r>
      <w:r>
        <w:rPr>
          <w:rFonts w:ascii="Arial" w:hAnsi="Arial" w:cs="Arial"/>
        </w:rPr>
        <w:t xml:space="preserve"> </w:t>
      </w:r>
      <w:r w:rsidRPr="003D24BC">
        <w:rPr>
          <w:rFonts w:ascii="Arial" w:hAnsi="Arial" w:cs="Arial"/>
        </w:rPr>
        <w:t>and rate rider calculation of the GA disposition, Entegrus</w:t>
      </w:r>
      <w:r>
        <w:rPr>
          <w:rFonts w:ascii="Arial" w:hAnsi="Arial" w:cs="Arial"/>
        </w:rPr>
        <w:t xml:space="preserve"> </w:t>
      </w:r>
      <w:r w:rsidRPr="003D24BC">
        <w:rPr>
          <w:rFonts w:ascii="Arial" w:hAnsi="Arial" w:cs="Arial"/>
        </w:rPr>
        <w:t>-</w:t>
      </w:r>
      <w:r>
        <w:rPr>
          <w:rFonts w:ascii="Arial" w:hAnsi="Arial" w:cs="Arial"/>
        </w:rPr>
        <w:t xml:space="preserve"> </w:t>
      </w:r>
      <w:r w:rsidRPr="003D24BC">
        <w:rPr>
          <w:rFonts w:ascii="Arial" w:hAnsi="Arial" w:cs="Arial"/>
        </w:rPr>
        <w:t>St. Thomas has treated these 24 customers as Class A</w:t>
      </w:r>
      <w:r>
        <w:rPr>
          <w:rFonts w:ascii="Arial" w:hAnsi="Arial" w:cs="Arial"/>
        </w:rPr>
        <w:t xml:space="preserve"> </w:t>
      </w:r>
      <w:r w:rsidRPr="003D24BC">
        <w:rPr>
          <w:rFonts w:ascii="Arial" w:hAnsi="Arial" w:cs="Arial"/>
        </w:rPr>
        <w:t>customers within the model.</w:t>
      </w:r>
    </w:p>
    <w:p w:rsidR="008F675C" w:rsidRDefault="008F675C" w:rsidP="008F675C">
      <w:pPr>
        <w:pStyle w:val="ListParagraph"/>
        <w:numPr>
          <w:ilvl w:val="0"/>
          <w:numId w:val="23"/>
        </w:numPr>
        <w:rPr>
          <w:rFonts w:ascii="Arial" w:hAnsi="Arial" w:cs="Arial"/>
        </w:rPr>
      </w:pPr>
      <w:r>
        <w:rPr>
          <w:rFonts w:ascii="Arial" w:hAnsi="Arial" w:cs="Arial"/>
        </w:rPr>
        <w:t xml:space="preserve">Please explain why these 24 customers are paying the IESO published actual rate if the O.Reg 429/04 section 16(3) discusses that the same GA rate </w:t>
      </w:r>
      <w:r w:rsidRPr="008F675C">
        <w:rPr>
          <w:rFonts w:ascii="Arial" w:hAnsi="Arial" w:cs="Arial"/>
        </w:rPr>
        <w:t>is to be used for all non-RPP Class B customers within a customer class.</w:t>
      </w:r>
    </w:p>
    <w:p w:rsidR="008F675C" w:rsidRDefault="008F675C" w:rsidP="008F675C">
      <w:pPr>
        <w:pStyle w:val="ListParagraph"/>
        <w:numPr>
          <w:ilvl w:val="0"/>
          <w:numId w:val="23"/>
        </w:numPr>
        <w:rPr>
          <w:rFonts w:ascii="Arial" w:hAnsi="Arial" w:cs="Arial"/>
        </w:rPr>
      </w:pPr>
      <w:r>
        <w:rPr>
          <w:rFonts w:ascii="Arial" w:hAnsi="Arial" w:cs="Arial"/>
        </w:rPr>
        <w:t>As of October 2018, a</w:t>
      </w:r>
      <w:r w:rsidR="00FC5B9B">
        <w:rPr>
          <w:rFonts w:ascii="Arial" w:hAnsi="Arial" w:cs="Arial"/>
        </w:rPr>
        <w:t>re these customers still paying the IESO published actual rate?</w:t>
      </w:r>
      <w:r>
        <w:rPr>
          <w:rFonts w:ascii="Arial" w:hAnsi="Arial" w:cs="Arial"/>
        </w:rPr>
        <w:t xml:space="preserve"> If not, when w</w:t>
      </w:r>
      <w:r w:rsidR="000E0A44">
        <w:rPr>
          <w:rFonts w:ascii="Arial" w:hAnsi="Arial" w:cs="Arial"/>
        </w:rPr>
        <w:t>ill</w:t>
      </w:r>
      <w:r>
        <w:rPr>
          <w:rFonts w:ascii="Arial" w:hAnsi="Arial" w:cs="Arial"/>
        </w:rPr>
        <w:t xml:space="preserve"> they </w:t>
      </w:r>
      <w:r w:rsidR="000E0A44">
        <w:rPr>
          <w:rFonts w:ascii="Arial" w:hAnsi="Arial" w:cs="Arial"/>
        </w:rPr>
        <w:t xml:space="preserve">be </w:t>
      </w:r>
      <w:r>
        <w:rPr>
          <w:rFonts w:ascii="Arial" w:hAnsi="Arial" w:cs="Arial"/>
        </w:rPr>
        <w:t>switched back to the 1</w:t>
      </w:r>
      <w:r w:rsidRPr="008F675C">
        <w:rPr>
          <w:rFonts w:ascii="Arial" w:hAnsi="Arial" w:cs="Arial"/>
          <w:vertAlign w:val="superscript"/>
        </w:rPr>
        <w:t>st</w:t>
      </w:r>
      <w:r>
        <w:rPr>
          <w:rFonts w:ascii="Arial" w:hAnsi="Arial" w:cs="Arial"/>
        </w:rPr>
        <w:t xml:space="preserve"> Estimate?</w:t>
      </w:r>
    </w:p>
    <w:p w:rsidR="00FC5B9B" w:rsidRPr="003D24BC" w:rsidRDefault="00FC5B9B" w:rsidP="00FC5B9B">
      <w:pPr>
        <w:pStyle w:val="ListParagraph"/>
        <w:rPr>
          <w:rFonts w:ascii="Arial" w:hAnsi="Arial" w:cs="Arial"/>
        </w:rPr>
      </w:pPr>
    </w:p>
    <w:p w:rsidR="00CA5669" w:rsidRPr="00761997" w:rsidRDefault="00406178" w:rsidP="00761997">
      <w:pPr>
        <w:pStyle w:val="Default"/>
        <w:rPr>
          <w:b/>
          <w:bCs/>
          <w:sz w:val="22"/>
          <w:szCs w:val="22"/>
        </w:rPr>
      </w:pPr>
      <w:r>
        <w:rPr>
          <w:b/>
          <w:bCs/>
          <w:sz w:val="22"/>
          <w:szCs w:val="22"/>
        </w:rPr>
        <w:t>Staff Question #5</w:t>
      </w:r>
    </w:p>
    <w:p w:rsidR="00CA5669" w:rsidRDefault="00CA5669" w:rsidP="00761997">
      <w:pPr>
        <w:pStyle w:val="Default"/>
        <w:rPr>
          <w:b/>
          <w:bCs/>
          <w:sz w:val="22"/>
          <w:szCs w:val="22"/>
        </w:rPr>
      </w:pPr>
      <w:r w:rsidRPr="00761997">
        <w:rPr>
          <w:b/>
          <w:bCs/>
          <w:sz w:val="22"/>
          <w:szCs w:val="22"/>
        </w:rPr>
        <w:t xml:space="preserve">Ref: </w:t>
      </w:r>
      <w:r w:rsidR="0019308E">
        <w:rPr>
          <w:b/>
          <w:bCs/>
          <w:sz w:val="22"/>
          <w:szCs w:val="22"/>
        </w:rPr>
        <w:t>Tab 3 Continuity Schedule</w:t>
      </w:r>
    </w:p>
    <w:p w:rsidR="00761997" w:rsidRPr="00761997" w:rsidRDefault="00761997" w:rsidP="00761997">
      <w:pPr>
        <w:pStyle w:val="Default"/>
        <w:rPr>
          <w:b/>
          <w:bCs/>
          <w:sz w:val="22"/>
          <w:szCs w:val="22"/>
        </w:rPr>
      </w:pPr>
    </w:p>
    <w:p w:rsidR="00AC0592" w:rsidRDefault="0019308E" w:rsidP="0019308E">
      <w:pPr>
        <w:rPr>
          <w:rFonts w:ascii="Arial" w:hAnsi="Arial" w:cs="Arial"/>
        </w:rPr>
      </w:pPr>
      <w:r>
        <w:rPr>
          <w:rFonts w:ascii="Arial" w:hAnsi="Arial" w:cs="Arial"/>
        </w:rPr>
        <w:t>In section 5.1.7 of the manager’s summary, Entegrus – St. Thomas requested that the CBR balances be transferred to Account 1580 and disposed through a rate rider to all class B customers as Entegrus – St. Thomas did not have any class A customers for the requested disposition period.</w:t>
      </w:r>
    </w:p>
    <w:p w:rsidR="0019308E" w:rsidRDefault="0019308E" w:rsidP="0019308E">
      <w:pPr>
        <w:rPr>
          <w:rFonts w:ascii="Arial" w:hAnsi="Arial" w:cs="Arial"/>
        </w:rPr>
      </w:pPr>
      <w:r>
        <w:rPr>
          <w:rFonts w:ascii="Arial" w:hAnsi="Arial" w:cs="Arial"/>
        </w:rPr>
        <w:t>OEB staff has transferred the balances in Sub-Account CBR Class B to the 1580 main account.</w:t>
      </w:r>
    </w:p>
    <w:p w:rsidR="0019308E" w:rsidRPr="0019308E" w:rsidRDefault="0019308E" w:rsidP="0019308E">
      <w:pPr>
        <w:pStyle w:val="ListParagraph"/>
        <w:numPr>
          <w:ilvl w:val="0"/>
          <w:numId w:val="28"/>
        </w:numPr>
        <w:rPr>
          <w:rFonts w:ascii="Arial" w:hAnsi="Arial" w:cs="Arial"/>
        </w:rPr>
      </w:pPr>
      <w:r>
        <w:rPr>
          <w:rFonts w:ascii="Arial" w:hAnsi="Arial" w:cs="Arial"/>
        </w:rPr>
        <w:t>Please review the updated model and confirm that OEB staff has updated the continuity schedule correctly.</w:t>
      </w:r>
    </w:p>
    <w:p w:rsidR="00016A09" w:rsidRPr="00761997" w:rsidRDefault="00016A09" w:rsidP="00016A09">
      <w:pPr>
        <w:pStyle w:val="Default"/>
        <w:rPr>
          <w:b/>
          <w:bCs/>
          <w:sz w:val="22"/>
          <w:szCs w:val="22"/>
        </w:rPr>
      </w:pPr>
      <w:r>
        <w:rPr>
          <w:b/>
          <w:bCs/>
          <w:sz w:val="22"/>
          <w:szCs w:val="22"/>
        </w:rPr>
        <w:lastRenderedPageBreak/>
        <w:t>S</w:t>
      </w:r>
      <w:r w:rsidR="00406178">
        <w:rPr>
          <w:b/>
          <w:bCs/>
          <w:sz w:val="22"/>
          <w:szCs w:val="22"/>
        </w:rPr>
        <w:t>taff Question #6</w:t>
      </w:r>
    </w:p>
    <w:p w:rsidR="00016A09" w:rsidRDefault="00016A09" w:rsidP="00016A09">
      <w:pPr>
        <w:pStyle w:val="Default"/>
        <w:rPr>
          <w:b/>
          <w:bCs/>
          <w:sz w:val="22"/>
          <w:szCs w:val="22"/>
        </w:rPr>
      </w:pPr>
      <w:r w:rsidRPr="00761997">
        <w:rPr>
          <w:b/>
          <w:bCs/>
          <w:sz w:val="22"/>
          <w:szCs w:val="22"/>
        </w:rPr>
        <w:t xml:space="preserve">Ref: </w:t>
      </w:r>
      <w:r>
        <w:rPr>
          <w:b/>
          <w:bCs/>
          <w:sz w:val="22"/>
          <w:szCs w:val="22"/>
        </w:rPr>
        <w:t>Tab 3 Continuity Schedule</w:t>
      </w:r>
    </w:p>
    <w:p w:rsidR="00016A09" w:rsidRDefault="00016A09" w:rsidP="00016A09">
      <w:pPr>
        <w:pStyle w:val="Default"/>
        <w:rPr>
          <w:b/>
          <w:bCs/>
          <w:sz w:val="22"/>
          <w:szCs w:val="22"/>
        </w:rPr>
      </w:pPr>
    </w:p>
    <w:p w:rsidR="00016A09" w:rsidRPr="00016A09" w:rsidRDefault="00016A09" w:rsidP="00016A09">
      <w:pPr>
        <w:pStyle w:val="Default"/>
        <w:rPr>
          <w:bCs/>
          <w:sz w:val="22"/>
          <w:szCs w:val="22"/>
        </w:rPr>
      </w:pPr>
      <w:r>
        <w:rPr>
          <w:bCs/>
          <w:sz w:val="22"/>
          <w:szCs w:val="22"/>
        </w:rPr>
        <w:t>Explain the credit balance of $485,119 in Account 1595 (2016) under “OEB-Approved Disposition during 2016”.</w:t>
      </w:r>
    </w:p>
    <w:p w:rsidR="00016A09" w:rsidRDefault="00016A09" w:rsidP="00016A09"/>
    <w:p w:rsidR="00AA29CF" w:rsidRPr="00761997" w:rsidRDefault="00AA29CF" w:rsidP="00AA29CF">
      <w:pPr>
        <w:pStyle w:val="Default"/>
        <w:rPr>
          <w:b/>
          <w:bCs/>
          <w:sz w:val="22"/>
          <w:szCs w:val="22"/>
        </w:rPr>
      </w:pPr>
      <w:r>
        <w:rPr>
          <w:b/>
          <w:bCs/>
          <w:sz w:val="22"/>
          <w:szCs w:val="22"/>
        </w:rPr>
        <w:t>S</w:t>
      </w:r>
      <w:r w:rsidR="00C4356A">
        <w:rPr>
          <w:b/>
          <w:bCs/>
          <w:sz w:val="22"/>
          <w:szCs w:val="22"/>
        </w:rPr>
        <w:t>taff Question #7</w:t>
      </w:r>
    </w:p>
    <w:p w:rsidR="00AA29CF" w:rsidRDefault="00AA29CF" w:rsidP="00AA29CF">
      <w:pPr>
        <w:pStyle w:val="Default"/>
        <w:rPr>
          <w:b/>
          <w:bCs/>
          <w:sz w:val="22"/>
          <w:szCs w:val="22"/>
        </w:rPr>
      </w:pPr>
      <w:r w:rsidRPr="00761997">
        <w:rPr>
          <w:b/>
          <w:bCs/>
          <w:sz w:val="22"/>
          <w:szCs w:val="22"/>
        </w:rPr>
        <w:t xml:space="preserve">Ref: </w:t>
      </w:r>
      <w:r>
        <w:rPr>
          <w:b/>
          <w:bCs/>
          <w:sz w:val="22"/>
          <w:szCs w:val="22"/>
        </w:rPr>
        <w:t>Tab 3 Continuity Schedule</w:t>
      </w:r>
      <w:r>
        <w:rPr>
          <w:b/>
          <w:bCs/>
          <w:sz w:val="22"/>
          <w:szCs w:val="22"/>
        </w:rPr>
        <w:t xml:space="preserve"> – Account 1588</w:t>
      </w:r>
    </w:p>
    <w:p w:rsidR="00AA29CF" w:rsidRDefault="00AA29CF" w:rsidP="00AA29CF">
      <w:pPr>
        <w:pStyle w:val="Default"/>
        <w:rPr>
          <w:b/>
          <w:bCs/>
          <w:sz w:val="22"/>
          <w:szCs w:val="22"/>
        </w:rPr>
      </w:pPr>
    </w:p>
    <w:p w:rsidR="00AA29CF" w:rsidRDefault="00C4356A" w:rsidP="00AA29CF">
      <w:pPr>
        <w:pStyle w:val="Default"/>
        <w:rPr>
          <w:bCs/>
          <w:sz w:val="22"/>
          <w:szCs w:val="22"/>
        </w:rPr>
      </w:pPr>
      <w:r>
        <w:rPr>
          <w:bCs/>
          <w:sz w:val="22"/>
          <w:szCs w:val="22"/>
        </w:rPr>
        <w:t>The total claim for Account 1588 is a credit of $726,</w:t>
      </w:r>
      <w:r>
        <w:rPr>
          <w:bCs/>
          <w:sz w:val="22"/>
          <w:szCs w:val="22"/>
        </w:rPr>
        <w:t>025 which is considered significant.</w:t>
      </w:r>
    </w:p>
    <w:p w:rsidR="00AA29CF" w:rsidRDefault="00C4356A" w:rsidP="00C4356A">
      <w:pPr>
        <w:pStyle w:val="Default"/>
        <w:rPr>
          <w:bCs/>
          <w:sz w:val="22"/>
          <w:szCs w:val="22"/>
        </w:rPr>
      </w:pPr>
      <w:r>
        <w:rPr>
          <w:bCs/>
          <w:sz w:val="22"/>
          <w:szCs w:val="22"/>
        </w:rPr>
        <w:t xml:space="preserve">OEB </w:t>
      </w:r>
      <w:r w:rsidR="00AA29CF">
        <w:rPr>
          <w:bCs/>
          <w:sz w:val="22"/>
          <w:szCs w:val="22"/>
        </w:rPr>
        <w:t>staff notes that a principal adjustment in 2015 was made in the amount of ~$1.77M relating to a reclassification entry booked in 2017 related to 2015 activity.</w:t>
      </w:r>
    </w:p>
    <w:p w:rsidR="00C4356A" w:rsidRDefault="00C4356A" w:rsidP="00C4356A">
      <w:pPr>
        <w:pStyle w:val="Default"/>
        <w:rPr>
          <w:bCs/>
          <w:sz w:val="22"/>
          <w:szCs w:val="22"/>
        </w:rPr>
      </w:pPr>
    </w:p>
    <w:p w:rsidR="00C4356A" w:rsidRPr="00C4356A" w:rsidRDefault="00C4356A" w:rsidP="00C4356A">
      <w:pPr>
        <w:pStyle w:val="Default"/>
        <w:rPr>
          <w:bCs/>
          <w:sz w:val="22"/>
          <w:szCs w:val="22"/>
        </w:rPr>
      </w:pPr>
      <w:r>
        <w:rPr>
          <w:bCs/>
          <w:sz w:val="22"/>
          <w:szCs w:val="22"/>
        </w:rPr>
        <w:t>Please confirm that there were no similar reclassification adjustments required in 2016.  If not, please explain the cause of the large credit balance.</w:t>
      </w:r>
    </w:p>
    <w:p w:rsidR="000E0A44" w:rsidRDefault="000E0A44" w:rsidP="00016A09"/>
    <w:p w:rsidR="007A54EE" w:rsidRPr="00761997" w:rsidRDefault="00406178" w:rsidP="007A54EE">
      <w:pPr>
        <w:pStyle w:val="Default"/>
        <w:rPr>
          <w:b/>
          <w:bCs/>
          <w:sz w:val="22"/>
          <w:szCs w:val="22"/>
        </w:rPr>
      </w:pPr>
      <w:r>
        <w:rPr>
          <w:b/>
          <w:bCs/>
          <w:sz w:val="22"/>
          <w:szCs w:val="22"/>
        </w:rPr>
        <w:t>S</w:t>
      </w:r>
      <w:r w:rsidR="00C4356A">
        <w:rPr>
          <w:b/>
          <w:bCs/>
          <w:sz w:val="22"/>
          <w:szCs w:val="22"/>
        </w:rPr>
        <w:t>taff Question #8</w:t>
      </w:r>
    </w:p>
    <w:p w:rsidR="007A54EE" w:rsidRDefault="007A54EE" w:rsidP="007A54EE">
      <w:pPr>
        <w:pStyle w:val="Default"/>
        <w:rPr>
          <w:b/>
          <w:bCs/>
          <w:sz w:val="22"/>
          <w:szCs w:val="22"/>
        </w:rPr>
      </w:pPr>
      <w:r w:rsidRPr="00761997">
        <w:rPr>
          <w:b/>
          <w:bCs/>
          <w:sz w:val="22"/>
          <w:szCs w:val="22"/>
        </w:rPr>
        <w:t xml:space="preserve">Ref: </w:t>
      </w:r>
      <w:r>
        <w:rPr>
          <w:b/>
          <w:bCs/>
          <w:sz w:val="22"/>
          <w:szCs w:val="22"/>
        </w:rPr>
        <w:t>Tab 3 Continuity Schedule</w:t>
      </w:r>
    </w:p>
    <w:p w:rsidR="007A54EE" w:rsidRDefault="007A54EE" w:rsidP="007A54EE">
      <w:pPr>
        <w:pStyle w:val="Default"/>
        <w:rPr>
          <w:b/>
          <w:bCs/>
          <w:sz w:val="22"/>
          <w:szCs w:val="22"/>
        </w:rPr>
      </w:pPr>
    </w:p>
    <w:p w:rsidR="000339F8" w:rsidRDefault="000339F8" w:rsidP="007A54EE">
      <w:pPr>
        <w:pStyle w:val="Default"/>
        <w:rPr>
          <w:bCs/>
          <w:sz w:val="22"/>
          <w:szCs w:val="22"/>
        </w:rPr>
      </w:pPr>
      <w:r>
        <w:rPr>
          <w:bCs/>
          <w:sz w:val="22"/>
          <w:szCs w:val="22"/>
        </w:rPr>
        <w:t xml:space="preserve">For Account 1595(2014) Entegurs St. Thomas has placed values into the OEB-Approved Disposition during 2016 for both principal and interest that do not match up those approved by the OEB in the 2016 Decision and Order (EB-2015-0102).  OEB staff is aware that the summation of the principal and interest amounts do match the total claim amount of ($12,806).  </w:t>
      </w:r>
    </w:p>
    <w:p w:rsidR="000339F8" w:rsidRDefault="000339F8" w:rsidP="007A54EE">
      <w:pPr>
        <w:pStyle w:val="Default"/>
        <w:rPr>
          <w:bCs/>
          <w:sz w:val="22"/>
          <w:szCs w:val="22"/>
        </w:rPr>
      </w:pPr>
    </w:p>
    <w:p w:rsidR="007A54EE" w:rsidRPr="00016A09" w:rsidRDefault="000339F8" w:rsidP="007A54EE">
      <w:pPr>
        <w:pStyle w:val="Default"/>
        <w:rPr>
          <w:bCs/>
          <w:sz w:val="22"/>
          <w:szCs w:val="22"/>
        </w:rPr>
      </w:pPr>
      <w:r>
        <w:rPr>
          <w:bCs/>
          <w:sz w:val="22"/>
          <w:szCs w:val="22"/>
        </w:rPr>
        <w:t>For completeness purposes, please r</w:t>
      </w:r>
      <w:r w:rsidR="007A54EE">
        <w:rPr>
          <w:bCs/>
          <w:sz w:val="22"/>
          <w:szCs w:val="22"/>
        </w:rPr>
        <w:t>eplace the amounts in cells AU33 and AZ33 with the OEB Approved amounts outlined on Page 9 of the 2016 Decision and Rate Order (EB-2015-0102).</w:t>
      </w:r>
    </w:p>
    <w:p w:rsidR="00016A09" w:rsidRDefault="00016A09" w:rsidP="00016A09"/>
    <w:p w:rsidR="00456863" w:rsidRPr="00761997" w:rsidRDefault="00C4356A" w:rsidP="00456863">
      <w:pPr>
        <w:pStyle w:val="Default"/>
        <w:rPr>
          <w:b/>
          <w:bCs/>
          <w:sz w:val="22"/>
          <w:szCs w:val="22"/>
        </w:rPr>
      </w:pPr>
      <w:r>
        <w:rPr>
          <w:b/>
          <w:bCs/>
          <w:sz w:val="22"/>
          <w:szCs w:val="22"/>
        </w:rPr>
        <w:t>Staff Question #9</w:t>
      </w:r>
    </w:p>
    <w:p w:rsidR="00456863" w:rsidRDefault="00456863" w:rsidP="00456863">
      <w:pPr>
        <w:pStyle w:val="Default"/>
        <w:rPr>
          <w:b/>
          <w:bCs/>
          <w:sz w:val="22"/>
          <w:szCs w:val="22"/>
        </w:rPr>
      </w:pPr>
      <w:r w:rsidRPr="00761997">
        <w:rPr>
          <w:b/>
          <w:bCs/>
          <w:sz w:val="22"/>
          <w:szCs w:val="22"/>
        </w:rPr>
        <w:t xml:space="preserve">Ref: </w:t>
      </w:r>
      <w:r>
        <w:rPr>
          <w:b/>
          <w:bCs/>
          <w:sz w:val="22"/>
          <w:szCs w:val="22"/>
        </w:rPr>
        <w:t>Tab 3 Continuity Schedule</w:t>
      </w:r>
    </w:p>
    <w:p w:rsidR="00456863" w:rsidRPr="00456863" w:rsidRDefault="00456863" w:rsidP="00016A09">
      <w:pPr>
        <w:rPr>
          <w:rFonts w:ascii="Arial" w:hAnsi="Arial" w:cs="Arial"/>
          <w:bCs/>
          <w:color w:val="000000"/>
        </w:rPr>
      </w:pPr>
    </w:p>
    <w:p w:rsidR="00456863" w:rsidRDefault="00456863" w:rsidP="00016A09">
      <w:pPr>
        <w:rPr>
          <w:rFonts w:ascii="Arial" w:hAnsi="Arial" w:cs="Arial"/>
          <w:bCs/>
          <w:color w:val="000000"/>
        </w:rPr>
      </w:pPr>
      <w:r>
        <w:rPr>
          <w:rFonts w:ascii="Arial" w:hAnsi="Arial" w:cs="Arial"/>
          <w:bCs/>
          <w:color w:val="000000"/>
        </w:rPr>
        <w:t>OEB staff notes that Entegrus – St. Thomas has requested not to dispose of its 2017 Group 1 balances.  However, in the “Interest Adjustments during 2017” column, Entegrus – St. Thomas has a series of entries totaling a credit amount of $13,896.</w:t>
      </w:r>
    </w:p>
    <w:p w:rsidR="00456863" w:rsidRPr="00456863" w:rsidRDefault="00456863" w:rsidP="00456863">
      <w:pPr>
        <w:pStyle w:val="ListParagraph"/>
        <w:numPr>
          <w:ilvl w:val="0"/>
          <w:numId w:val="25"/>
        </w:numPr>
        <w:rPr>
          <w:rFonts w:ascii="Arial" w:hAnsi="Arial" w:cs="Arial"/>
          <w:bCs/>
          <w:color w:val="000000"/>
        </w:rPr>
      </w:pPr>
      <w:r>
        <w:rPr>
          <w:rFonts w:ascii="Arial" w:hAnsi="Arial" w:cs="Arial"/>
          <w:bCs/>
          <w:color w:val="000000"/>
        </w:rPr>
        <w:t>Please explain.</w:t>
      </w:r>
    </w:p>
    <w:p w:rsidR="000339F8" w:rsidRDefault="000339F8" w:rsidP="007A54EE">
      <w:pPr>
        <w:pStyle w:val="Default"/>
        <w:rPr>
          <w:b/>
          <w:bCs/>
          <w:sz w:val="22"/>
          <w:szCs w:val="22"/>
        </w:rPr>
      </w:pPr>
    </w:p>
    <w:p w:rsidR="007A54EE" w:rsidRPr="00761997" w:rsidRDefault="000339F8" w:rsidP="007A54EE">
      <w:pPr>
        <w:pStyle w:val="Default"/>
        <w:rPr>
          <w:b/>
          <w:bCs/>
          <w:sz w:val="22"/>
          <w:szCs w:val="22"/>
        </w:rPr>
      </w:pPr>
      <w:r>
        <w:rPr>
          <w:b/>
          <w:bCs/>
          <w:sz w:val="22"/>
          <w:szCs w:val="22"/>
        </w:rPr>
        <w:t>Staf</w:t>
      </w:r>
      <w:r w:rsidR="00C4356A">
        <w:rPr>
          <w:b/>
          <w:bCs/>
          <w:sz w:val="22"/>
          <w:szCs w:val="22"/>
        </w:rPr>
        <w:t>f Question #10</w:t>
      </w:r>
    </w:p>
    <w:p w:rsidR="007A54EE" w:rsidRDefault="007A54EE" w:rsidP="007A54EE">
      <w:pPr>
        <w:pStyle w:val="Default"/>
        <w:rPr>
          <w:b/>
          <w:bCs/>
          <w:sz w:val="22"/>
          <w:szCs w:val="22"/>
        </w:rPr>
      </w:pPr>
      <w:r w:rsidRPr="00761997">
        <w:rPr>
          <w:b/>
          <w:bCs/>
          <w:sz w:val="22"/>
          <w:szCs w:val="22"/>
        </w:rPr>
        <w:t xml:space="preserve">Ref: </w:t>
      </w:r>
      <w:r w:rsidR="005478F0">
        <w:rPr>
          <w:b/>
          <w:bCs/>
          <w:sz w:val="22"/>
          <w:szCs w:val="22"/>
        </w:rPr>
        <w:t xml:space="preserve">Updated </w:t>
      </w:r>
      <w:r w:rsidR="000339F8">
        <w:rPr>
          <w:b/>
          <w:bCs/>
          <w:sz w:val="22"/>
          <w:szCs w:val="22"/>
        </w:rPr>
        <w:t>Manager’s summary page 1 of 7, Single metering configuration error</w:t>
      </w:r>
    </w:p>
    <w:p w:rsidR="000339F8" w:rsidRDefault="000339F8" w:rsidP="007A54EE">
      <w:pPr>
        <w:pStyle w:val="Default"/>
        <w:rPr>
          <w:b/>
          <w:bCs/>
          <w:sz w:val="22"/>
          <w:szCs w:val="22"/>
        </w:rPr>
      </w:pPr>
    </w:p>
    <w:p w:rsidR="000339F8" w:rsidRDefault="000339F8" w:rsidP="007A54EE">
      <w:pPr>
        <w:pStyle w:val="Default"/>
        <w:rPr>
          <w:bCs/>
          <w:sz w:val="22"/>
          <w:szCs w:val="22"/>
        </w:rPr>
      </w:pPr>
      <w:r>
        <w:rPr>
          <w:bCs/>
          <w:sz w:val="22"/>
          <w:szCs w:val="22"/>
        </w:rPr>
        <w:t>Entegrus St. Thomas noted that in September 2018 a single metering configuration error was identified relating to the March 2017 installation of an interval meter for a new GS &gt; 50 kW account in the St. Thomas area.  En</w:t>
      </w:r>
      <w:r>
        <w:rPr>
          <w:bCs/>
          <w:sz w:val="22"/>
          <w:szCs w:val="22"/>
        </w:rPr>
        <w:lastRenderedPageBreak/>
        <w:t>tegrus has assessed that this error has a material impact on the 2017 variance account balances.  Due to the error, Entegrus St. Thomas is proposing to dispose of only 2015 and 2016 Group 1 account balances and defer disposition of 2017 balances for its 2020 IRM Application.</w:t>
      </w:r>
    </w:p>
    <w:p w:rsidR="000339F8" w:rsidRDefault="000339F8" w:rsidP="007A54EE">
      <w:pPr>
        <w:pStyle w:val="Default"/>
        <w:rPr>
          <w:bCs/>
          <w:sz w:val="22"/>
          <w:szCs w:val="22"/>
        </w:rPr>
      </w:pPr>
    </w:p>
    <w:p w:rsidR="000339F8" w:rsidRPr="00C86707" w:rsidRDefault="00C86707" w:rsidP="00C86707">
      <w:pPr>
        <w:pStyle w:val="ListParagraph"/>
        <w:numPr>
          <w:ilvl w:val="0"/>
          <w:numId w:val="11"/>
        </w:numPr>
        <w:spacing w:after="0" w:line="240" w:lineRule="auto"/>
        <w:rPr>
          <w:rFonts w:ascii="Arial" w:hAnsi="Arial" w:cs="Arial"/>
        </w:rPr>
      </w:pPr>
      <w:r w:rsidRPr="00C86707">
        <w:rPr>
          <w:rFonts w:ascii="Arial" w:hAnsi="Arial" w:cs="Arial"/>
        </w:rPr>
        <w:t xml:space="preserve">Quantify the impact and </w:t>
      </w:r>
      <w:r>
        <w:rPr>
          <w:rFonts w:ascii="Arial" w:hAnsi="Arial" w:cs="Arial"/>
        </w:rPr>
        <w:t>d</w:t>
      </w:r>
      <w:r w:rsidR="00E3071F" w:rsidRPr="00C86707">
        <w:rPr>
          <w:rFonts w:ascii="Arial" w:hAnsi="Arial" w:cs="Arial"/>
        </w:rPr>
        <w:t>iscuss how materiality was determined.</w:t>
      </w:r>
    </w:p>
    <w:p w:rsidR="00E3071F" w:rsidRPr="000339F8" w:rsidRDefault="00DC1CFD" w:rsidP="000339F8">
      <w:pPr>
        <w:pStyle w:val="ListParagraph"/>
        <w:numPr>
          <w:ilvl w:val="0"/>
          <w:numId w:val="11"/>
        </w:numPr>
        <w:spacing w:after="0" w:line="240" w:lineRule="auto"/>
        <w:rPr>
          <w:rFonts w:ascii="Arial" w:hAnsi="Arial" w:cs="Arial"/>
        </w:rPr>
      </w:pPr>
      <w:r>
        <w:rPr>
          <w:rFonts w:ascii="Arial" w:hAnsi="Arial" w:cs="Arial"/>
        </w:rPr>
        <w:t xml:space="preserve">Please explain the extent of the error.  </w:t>
      </w:r>
      <w:r w:rsidR="00E3071F">
        <w:rPr>
          <w:rFonts w:ascii="Arial" w:hAnsi="Arial" w:cs="Arial"/>
        </w:rPr>
        <w:t>Did the error effect all group 1 balances or just particular accounts?</w:t>
      </w:r>
    </w:p>
    <w:p w:rsidR="00406178" w:rsidRDefault="00406178" w:rsidP="00016A09"/>
    <w:p w:rsidR="004C4DDE" w:rsidRPr="00761997" w:rsidRDefault="00C4356A" w:rsidP="004C4DDE">
      <w:pPr>
        <w:pStyle w:val="Default"/>
        <w:rPr>
          <w:b/>
          <w:bCs/>
          <w:sz w:val="22"/>
          <w:szCs w:val="22"/>
        </w:rPr>
      </w:pPr>
      <w:r>
        <w:rPr>
          <w:b/>
          <w:bCs/>
          <w:sz w:val="22"/>
          <w:szCs w:val="22"/>
        </w:rPr>
        <w:t>S</w:t>
      </w:r>
      <w:r w:rsidR="004C4DDE">
        <w:rPr>
          <w:b/>
          <w:bCs/>
          <w:sz w:val="22"/>
          <w:szCs w:val="22"/>
        </w:rPr>
        <w:t>taf</w:t>
      </w:r>
      <w:r>
        <w:rPr>
          <w:b/>
          <w:bCs/>
          <w:sz w:val="22"/>
          <w:szCs w:val="22"/>
        </w:rPr>
        <w:t>f Question #11</w:t>
      </w:r>
    </w:p>
    <w:p w:rsidR="004C4DDE" w:rsidRDefault="004C4DDE" w:rsidP="004C4DDE">
      <w:pPr>
        <w:pStyle w:val="Default"/>
        <w:rPr>
          <w:b/>
          <w:bCs/>
          <w:sz w:val="22"/>
          <w:szCs w:val="22"/>
        </w:rPr>
      </w:pPr>
      <w:r w:rsidRPr="00761997">
        <w:rPr>
          <w:b/>
          <w:bCs/>
          <w:sz w:val="22"/>
          <w:szCs w:val="22"/>
        </w:rPr>
        <w:t xml:space="preserve">Ref: </w:t>
      </w:r>
      <w:r>
        <w:rPr>
          <w:b/>
          <w:bCs/>
          <w:sz w:val="22"/>
          <w:szCs w:val="22"/>
        </w:rPr>
        <w:t>Manager’s summary, 5.1.10 Price Cap Index Adjustment</w:t>
      </w:r>
    </w:p>
    <w:p w:rsidR="004C4DDE" w:rsidRDefault="004C4DDE" w:rsidP="00016A09"/>
    <w:p w:rsidR="004C4DDE" w:rsidRDefault="004C4DDE" w:rsidP="004C4DDE">
      <w:pPr>
        <w:pStyle w:val="Default"/>
        <w:rPr>
          <w:bCs/>
          <w:sz w:val="22"/>
          <w:szCs w:val="22"/>
        </w:rPr>
      </w:pPr>
      <w:r w:rsidRPr="004C4DDE">
        <w:rPr>
          <w:bCs/>
          <w:sz w:val="22"/>
          <w:szCs w:val="22"/>
        </w:rPr>
        <w:t>Entegrus-St. Thomas has used the Rate Generator Model proxy values of 1.20% as the Price Escalator (GDP-IPI), a</w:t>
      </w:r>
      <w:r>
        <w:rPr>
          <w:bCs/>
          <w:sz w:val="22"/>
          <w:szCs w:val="22"/>
        </w:rPr>
        <w:t xml:space="preserve"> </w:t>
      </w:r>
      <w:r w:rsidRPr="004C4DDE">
        <w:rPr>
          <w:bCs/>
          <w:sz w:val="22"/>
          <w:szCs w:val="22"/>
        </w:rPr>
        <w:t>0.0% Productivity Factor and the former Group III Stretch Factor Value of 0.30%, as per the Board’s 2017</w:t>
      </w:r>
      <w:r>
        <w:rPr>
          <w:bCs/>
          <w:sz w:val="22"/>
          <w:szCs w:val="22"/>
        </w:rPr>
        <w:t xml:space="preserve"> </w:t>
      </w:r>
      <w:r w:rsidRPr="004C4DDE">
        <w:rPr>
          <w:bCs/>
          <w:sz w:val="22"/>
          <w:szCs w:val="22"/>
        </w:rPr>
        <w:t>Benchmarking Update for Determination of 2017 Stretch Factor Rankings. These components result in an interim</w:t>
      </w:r>
      <w:r>
        <w:rPr>
          <w:bCs/>
          <w:sz w:val="22"/>
          <w:szCs w:val="22"/>
        </w:rPr>
        <w:t xml:space="preserve"> Price Cap Index of 0.90%.</w:t>
      </w:r>
    </w:p>
    <w:p w:rsidR="004C4DDE" w:rsidRDefault="004C4DDE" w:rsidP="004C4DDE">
      <w:pPr>
        <w:pStyle w:val="Default"/>
        <w:rPr>
          <w:bCs/>
          <w:sz w:val="22"/>
          <w:szCs w:val="22"/>
        </w:rPr>
      </w:pPr>
    </w:p>
    <w:p w:rsidR="004C4DDE" w:rsidRDefault="004C4DDE" w:rsidP="004C4DDE">
      <w:pPr>
        <w:pStyle w:val="Default"/>
        <w:rPr>
          <w:bCs/>
          <w:sz w:val="22"/>
          <w:szCs w:val="22"/>
        </w:rPr>
      </w:pPr>
      <w:r>
        <w:rPr>
          <w:bCs/>
          <w:sz w:val="22"/>
          <w:szCs w:val="22"/>
        </w:rPr>
        <w:t xml:space="preserve">In August 2018, the </w:t>
      </w:r>
      <w:r w:rsidRPr="004C4DDE">
        <w:rPr>
          <w:bCs/>
          <w:sz w:val="22"/>
          <w:szCs w:val="22"/>
        </w:rPr>
        <w:t>Empirical Research in Support of Incentive Rate-Setting:</w:t>
      </w:r>
      <w:r>
        <w:rPr>
          <w:bCs/>
          <w:sz w:val="22"/>
          <w:szCs w:val="22"/>
        </w:rPr>
        <w:t xml:space="preserve"> </w:t>
      </w:r>
      <w:r w:rsidRPr="004C4DDE">
        <w:rPr>
          <w:bCs/>
          <w:sz w:val="22"/>
          <w:szCs w:val="22"/>
        </w:rPr>
        <w:t>2017 Benchmarking Update</w:t>
      </w:r>
      <w:r>
        <w:rPr>
          <w:bCs/>
          <w:sz w:val="22"/>
          <w:szCs w:val="22"/>
        </w:rPr>
        <w:t xml:space="preserve">, </w:t>
      </w:r>
      <w:r w:rsidRPr="004C4DDE">
        <w:rPr>
          <w:bCs/>
          <w:sz w:val="22"/>
          <w:szCs w:val="22"/>
        </w:rPr>
        <w:t>Report to the Ontario Energy Board</w:t>
      </w:r>
      <w:r>
        <w:rPr>
          <w:bCs/>
          <w:sz w:val="22"/>
          <w:szCs w:val="22"/>
        </w:rPr>
        <w:t xml:space="preserve"> was revised.  In the revised report, St. Thomas was moved to Group II with a stretch factor value of 0.15%.</w:t>
      </w:r>
    </w:p>
    <w:p w:rsidR="004C4DDE" w:rsidRDefault="004C4DDE" w:rsidP="004C4DDE">
      <w:pPr>
        <w:rPr>
          <w:rFonts w:ascii="Arial" w:hAnsi="Arial" w:cs="Arial"/>
        </w:rPr>
      </w:pPr>
    </w:p>
    <w:p w:rsidR="004C4DDE" w:rsidRDefault="004C4DDE" w:rsidP="004C4DDE">
      <w:pPr>
        <w:rPr>
          <w:rFonts w:ascii="Arial" w:hAnsi="Arial" w:cs="Arial"/>
        </w:rPr>
      </w:pPr>
      <w:r w:rsidRPr="004C4DDE">
        <w:rPr>
          <w:rFonts w:ascii="Arial" w:hAnsi="Arial" w:cs="Arial"/>
        </w:rPr>
        <w:t xml:space="preserve">OEB staff has updated sheet 16 of the IRM rate generator model.  </w:t>
      </w:r>
    </w:p>
    <w:p w:rsidR="004C4DDE" w:rsidRPr="0019308E" w:rsidRDefault="004C4DDE" w:rsidP="004C4DDE">
      <w:pPr>
        <w:pStyle w:val="ListParagraph"/>
        <w:numPr>
          <w:ilvl w:val="0"/>
          <w:numId w:val="30"/>
        </w:numPr>
        <w:rPr>
          <w:rFonts w:ascii="Arial" w:hAnsi="Arial" w:cs="Arial"/>
        </w:rPr>
      </w:pPr>
      <w:r>
        <w:rPr>
          <w:rFonts w:ascii="Arial" w:hAnsi="Arial" w:cs="Arial"/>
        </w:rPr>
        <w:t>Please review the updated model and confirm that OEB staff has updated Sheet 16 correctly.</w:t>
      </w:r>
    </w:p>
    <w:p w:rsidR="009103F4" w:rsidRDefault="009103F4" w:rsidP="00AC0592">
      <w:pPr>
        <w:rPr>
          <w:rFonts w:ascii="Arial" w:hAnsi="Arial" w:cs="Arial"/>
          <w:u w:val="single"/>
        </w:rPr>
      </w:pPr>
    </w:p>
    <w:p w:rsidR="00C4356A" w:rsidRDefault="00C4356A" w:rsidP="00AC0592">
      <w:pPr>
        <w:rPr>
          <w:rFonts w:ascii="Arial" w:hAnsi="Arial" w:cs="Arial"/>
          <w:u w:val="single"/>
        </w:rPr>
      </w:pPr>
    </w:p>
    <w:p w:rsidR="00C4356A" w:rsidRDefault="00C4356A" w:rsidP="00AC0592">
      <w:pPr>
        <w:rPr>
          <w:rFonts w:ascii="Arial" w:hAnsi="Arial" w:cs="Arial"/>
          <w:u w:val="single"/>
        </w:rPr>
      </w:pPr>
    </w:p>
    <w:p w:rsidR="00C4356A" w:rsidRDefault="00C4356A" w:rsidP="00AC0592">
      <w:pPr>
        <w:rPr>
          <w:rFonts w:ascii="Arial" w:hAnsi="Arial" w:cs="Arial"/>
          <w:u w:val="single"/>
        </w:rPr>
      </w:pPr>
    </w:p>
    <w:p w:rsidR="00C4356A" w:rsidRPr="00AC0592" w:rsidRDefault="00C4356A" w:rsidP="00C4356A">
      <w:pPr>
        <w:pStyle w:val="Default"/>
        <w:rPr>
          <w:b/>
          <w:bCs/>
          <w:sz w:val="22"/>
          <w:szCs w:val="22"/>
        </w:rPr>
      </w:pPr>
      <w:r>
        <w:rPr>
          <w:b/>
          <w:bCs/>
          <w:sz w:val="22"/>
          <w:szCs w:val="22"/>
        </w:rPr>
        <w:t>Staff Question #</w:t>
      </w:r>
      <w:bookmarkStart w:id="0" w:name="_GoBack"/>
      <w:bookmarkEnd w:id="0"/>
      <w:r>
        <w:rPr>
          <w:b/>
          <w:bCs/>
          <w:sz w:val="22"/>
          <w:szCs w:val="22"/>
        </w:rPr>
        <w:t>12</w:t>
      </w:r>
    </w:p>
    <w:p w:rsidR="00C4356A" w:rsidRDefault="00C4356A" w:rsidP="00C4356A">
      <w:pPr>
        <w:pStyle w:val="Default"/>
        <w:rPr>
          <w:b/>
          <w:bCs/>
          <w:sz w:val="22"/>
          <w:szCs w:val="22"/>
        </w:rPr>
      </w:pPr>
      <w:r w:rsidRPr="00AC0592">
        <w:rPr>
          <w:b/>
          <w:bCs/>
          <w:sz w:val="22"/>
          <w:szCs w:val="22"/>
        </w:rPr>
        <w:t>Ref:</w:t>
      </w:r>
      <w:r w:rsidRPr="00AC0592">
        <w:rPr>
          <w:b/>
          <w:bCs/>
          <w:sz w:val="22"/>
          <w:szCs w:val="22"/>
        </w:rPr>
        <w:tab/>
        <w:t>Tab 6 Carrying Charges</w:t>
      </w:r>
    </w:p>
    <w:p w:rsidR="00C4356A" w:rsidRDefault="00C4356A" w:rsidP="00AC0592">
      <w:pPr>
        <w:rPr>
          <w:rFonts w:ascii="Arial" w:hAnsi="Arial" w:cs="Arial"/>
        </w:rPr>
      </w:pPr>
    </w:p>
    <w:p w:rsidR="00AC0592" w:rsidRPr="00AC0592" w:rsidRDefault="00AC0592" w:rsidP="00AC0592">
      <w:pPr>
        <w:rPr>
          <w:rFonts w:ascii="Arial" w:hAnsi="Arial" w:cs="Arial"/>
        </w:rPr>
      </w:pPr>
      <w:r w:rsidRPr="00AC0592">
        <w:rPr>
          <w:rFonts w:ascii="Arial" w:hAnsi="Arial" w:cs="Arial"/>
        </w:rPr>
        <w:t xml:space="preserve">Entegrus St. Thomas Rate Zone applied for disposition of a debit balance of $54,302 in lost revenues associated with new CDM program savings in 2016, including persisting savings from 2013 to 2015 in 2016 and carrying charges.  Actual conservation savings were compared against Entegrus’ forecasted conservation savings of </w:t>
      </w:r>
      <w:r w:rsidRPr="00AC0592">
        <w:rPr>
          <w:rFonts w:ascii="Arial" w:eastAsia="Times New Roman" w:hAnsi="Arial" w:cs="Arial"/>
          <w:color w:val="000000"/>
        </w:rPr>
        <w:t>1,492,000</w:t>
      </w:r>
      <w:r w:rsidRPr="00AC0592">
        <w:rPr>
          <w:rFonts w:ascii="Arial" w:hAnsi="Arial" w:cs="Arial"/>
        </w:rPr>
        <w:t xml:space="preserve"> kWh set out in St. Thomas’ 2011 cost of service application and 4,068,000 kWh set out in the 2015 cost of service application.</w:t>
      </w:r>
    </w:p>
    <w:p w:rsidR="00AC0592" w:rsidRPr="00AC0592" w:rsidRDefault="00AC0592" w:rsidP="00AC0592">
      <w:pPr>
        <w:spacing w:after="0" w:line="240" w:lineRule="auto"/>
        <w:rPr>
          <w:rFonts w:ascii="Arial" w:eastAsia="Times New Roman" w:hAnsi="Arial" w:cs="Arial"/>
          <w:color w:val="000000"/>
        </w:rPr>
      </w:pPr>
    </w:p>
    <w:p w:rsidR="00AC0592" w:rsidRPr="00786F27" w:rsidRDefault="00AC0592" w:rsidP="00786F27">
      <w:pPr>
        <w:spacing w:after="0" w:line="240" w:lineRule="auto"/>
        <w:rPr>
          <w:rFonts w:ascii="Arial" w:hAnsi="Arial" w:cs="Arial"/>
        </w:rPr>
      </w:pPr>
      <w:r w:rsidRPr="00786F27">
        <w:rPr>
          <w:rFonts w:ascii="Arial" w:hAnsi="Arial" w:cs="Arial"/>
        </w:rPr>
        <w:t>Please update the Q4 2018 interest rate in Table 6 to reflect the OEB’s most recently approved prescribed interest rate for deferral and variance accounts.</w:t>
      </w:r>
    </w:p>
    <w:p w:rsidR="00AC0592" w:rsidRPr="00AC0592" w:rsidRDefault="00AC0592" w:rsidP="00AC0592">
      <w:pPr>
        <w:spacing w:after="0" w:line="240" w:lineRule="auto"/>
        <w:rPr>
          <w:rFonts w:ascii="Arial" w:eastAsia="Times New Roman" w:hAnsi="Arial" w:cs="Arial"/>
          <w:b/>
          <w:bCs/>
          <w:color w:val="000000"/>
        </w:rPr>
      </w:pPr>
    </w:p>
    <w:p w:rsidR="00AC0592" w:rsidRPr="00AC0592" w:rsidRDefault="00AC0592" w:rsidP="00AC0592">
      <w:pPr>
        <w:pStyle w:val="Default"/>
        <w:rPr>
          <w:b/>
          <w:bCs/>
          <w:sz w:val="22"/>
          <w:szCs w:val="22"/>
        </w:rPr>
      </w:pPr>
      <w:r>
        <w:rPr>
          <w:b/>
          <w:bCs/>
          <w:sz w:val="22"/>
          <w:szCs w:val="22"/>
        </w:rPr>
        <w:t>Staff Question #</w:t>
      </w:r>
      <w:r w:rsidR="00C4356A">
        <w:rPr>
          <w:b/>
          <w:bCs/>
          <w:sz w:val="22"/>
          <w:szCs w:val="22"/>
        </w:rPr>
        <w:t>13</w:t>
      </w:r>
    </w:p>
    <w:p w:rsidR="00AC0592" w:rsidRDefault="00AC0592" w:rsidP="00AC0592">
      <w:pPr>
        <w:pStyle w:val="Default"/>
        <w:rPr>
          <w:b/>
          <w:bCs/>
          <w:sz w:val="22"/>
          <w:szCs w:val="22"/>
        </w:rPr>
      </w:pPr>
      <w:r w:rsidRPr="00AC0592">
        <w:rPr>
          <w:b/>
          <w:bCs/>
          <w:sz w:val="22"/>
          <w:szCs w:val="22"/>
        </w:rPr>
        <w:t>Ref:</w:t>
      </w:r>
      <w:r w:rsidRPr="00AC0592">
        <w:rPr>
          <w:b/>
          <w:bCs/>
          <w:sz w:val="22"/>
          <w:szCs w:val="22"/>
        </w:rPr>
        <w:tab/>
        <w:t xml:space="preserve">Tab 8 </w:t>
      </w:r>
      <w:r w:rsidR="005E046D" w:rsidRPr="00AC0592">
        <w:rPr>
          <w:b/>
          <w:bCs/>
          <w:sz w:val="22"/>
          <w:szCs w:val="22"/>
        </w:rPr>
        <w:t>Street lighting</w:t>
      </w:r>
      <w:r w:rsidR="00035409">
        <w:rPr>
          <w:b/>
          <w:bCs/>
          <w:sz w:val="22"/>
          <w:szCs w:val="22"/>
        </w:rPr>
        <w:t xml:space="preserve"> (savings being claimed for 2016)</w:t>
      </w:r>
    </w:p>
    <w:p w:rsidR="00AC0592" w:rsidRPr="00AC0592" w:rsidRDefault="00AC0592" w:rsidP="00AC0592">
      <w:pPr>
        <w:pStyle w:val="Default"/>
        <w:rPr>
          <w:b/>
          <w:bCs/>
          <w:sz w:val="22"/>
          <w:szCs w:val="22"/>
        </w:rPr>
      </w:pPr>
    </w:p>
    <w:p w:rsidR="00AC0592" w:rsidRPr="00AC0592" w:rsidRDefault="00AC0592" w:rsidP="00AC0592">
      <w:pPr>
        <w:pStyle w:val="ListParagraph"/>
        <w:numPr>
          <w:ilvl w:val="0"/>
          <w:numId w:val="13"/>
        </w:numPr>
        <w:rPr>
          <w:rFonts w:ascii="Arial" w:hAnsi="Arial" w:cs="Arial"/>
        </w:rPr>
      </w:pPr>
      <w:r w:rsidRPr="00AC0592">
        <w:rPr>
          <w:rFonts w:ascii="Arial" w:hAnsi="Arial" w:cs="Arial"/>
        </w:rPr>
        <w:t xml:space="preserve">Did </w:t>
      </w:r>
      <w:r w:rsidR="00786F27" w:rsidRPr="00AC0592">
        <w:rPr>
          <w:rFonts w:ascii="Arial" w:hAnsi="Arial" w:cs="Arial"/>
        </w:rPr>
        <w:t xml:space="preserve">Entegrus St. Thomas </w:t>
      </w:r>
      <w:r w:rsidRPr="00AC0592">
        <w:rPr>
          <w:rFonts w:ascii="Arial" w:hAnsi="Arial" w:cs="Arial"/>
        </w:rPr>
        <w:t xml:space="preserve">use the Board-approved load profile to convert energy savings to demand savings?  Please discuss. </w:t>
      </w:r>
    </w:p>
    <w:p w:rsidR="00AC0592" w:rsidRPr="00AC0592" w:rsidRDefault="00AC0592" w:rsidP="00AC0592">
      <w:pPr>
        <w:pStyle w:val="ListParagraph"/>
        <w:numPr>
          <w:ilvl w:val="0"/>
          <w:numId w:val="13"/>
        </w:numPr>
        <w:rPr>
          <w:rFonts w:ascii="Arial" w:hAnsi="Arial" w:cs="Arial"/>
        </w:rPr>
      </w:pPr>
      <w:r w:rsidRPr="00AC0592">
        <w:rPr>
          <w:rFonts w:ascii="Arial" w:hAnsi="Arial" w:cs="Arial"/>
        </w:rPr>
        <w:t xml:space="preserve">Please explain the methodology to calculate </w:t>
      </w:r>
      <w:r w:rsidR="005E046D" w:rsidRPr="00AC0592">
        <w:rPr>
          <w:rFonts w:ascii="Arial" w:hAnsi="Arial" w:cs="Arial"/>
        </w:rPr>
        <w:t>street lighting</w:t>
      </w:r>
      <w:r w:rsidRPr="00AC0592">
        <w:rPr>
          <w:rFonts w:ascii="Arial" w:hAnsi="Arial" w:cs="Arial"/>
        </w:rPr>
        <w:t xml:space="preserve"> savings as it uses cumulative gross kW reductions.  How was the baseline savings determined?  </w:t>
      </w:r>
    </w:p>
    <w:p w:rsidR="00AC0592" w:rsidRPr="00AC0592" w:rsidRDefault="00AC0592" w:rsidP="00AC0592">
      <w:pPr>
        <w:pStyle w:val="ListParagraph"/>
        <w:numPr>
          <w:ilvl w:val="0"/>
          <w:numId w:val="13"/>
        </w:numPr>
        <w:rPr>
          <w:rFonts w:ascii="Arial" w:hAnsi="Arial" w:cs="Arial"/>
        </w:rPr>
      </w:pPr>
      <w:r w:rsidRPr="00AC0592">
        <w:rPr>
          <w:rFonts w:ascii="Arial" w:hAnsi="Arial" w:cs="Arial"/>
        </w:rPr>
        <w:t>Please discuss how you calculated gross kW reduction for the streetlight project.  Please provide the detailed calculations in excel format to calculate monthly demand billed kW, including the number of installations and replacements and the change in kW billed, pre- and post-installation, in order to determine the baseline kW, demand billed kW, and the kW reduction.</w:t>
      </w:r>
    </w:p>
    <w:p w:rsidR="00AC0592" w:rsidRPr="00AC0592" w:rsidRDefault="00AC0592" w:rsidP="00AC0592">
      <w:pPr>
        <w:pStyle w:val="ListParagraph"/>
        <w:numPr>
          <w:ilvl w:val="0"/>
          <w:numId w:val="13"/>
        </w:numPr>
        <w:rPr>
          <w:rFonts w:ascii="Arial" w:hAnsi="Arial" w:cs="Arial"/>
        </w:rPr>
      </w:pPr>
      <w:r w:rsidRPr="00AC0592">
        <w:rPr>
          <w:rFonts w:ascii="Arial" w:hAnsi="Arial" w:cs="Arial"/>
        </w:rPr>
        <w:t xml:space="preserve">Please confirm whether you have received reports from municipalities that confirm the number of lightbulbs replaced.  </w:t>
      </w:r>
    </w:p>
    <w:p w:rsidR="00AC0592" w:rsidRPr="00AC0592" w:rsidRDefault="00AC0592" w:rsidP="00AC0592">
      <w:pPr>
        <w:rPr>
          <w:rFonts w:ascii="Arial" w:hAnsi="Arial" w:cs="Arial"/>
        </w:rPr>
      </w:pPr>
    </w:p>
    <w:p w:rsidR="00AC0592" w:rsidRDefault="00AC0592" w:rsidP="00AC0592">
      <w:pPr>
        <w:pStyle w:val="Default"/>
        <w:rPr>
          <w:b/>
          <w:bCs/>
          <w:sz w:val="22"/>
          <w:szCs w:val="22"/>
        </w:rPr>
      </w:pPr>
      <w:r>
        <w:rPr>
          <w:b/>
          <w:bCs/>
          <w:sz w:val="22"/>
          <w:szCs w:val="22"/>
        </w:rPr>
        <w:t>Staff Question #</w:t>
      </w:r>
      <w:r w:rsidR="00C4356A">
        <w:rPr>
          <w:b/>
          <w:bCs/>
          <w:sz w:val="22"/>
          <w:szCs w:val="22"/>
        </w:rPr>
        <w:t>14</w:t>
      </w:r>
    </w:p>
    <w:p w:rsidR="00AC0592" w:rsidRPr="00AC0592" w:rsidRDefault="00AC0592" w:rsidP="00AC0592">
      <w:pPr>
        <w:pStyle w:val="Default"/>
        <w:rPr>
          <w:b/>
          <w:bCs/>
          <w:sz w:val="22"/>
          <w:szCs w:val="22"/>
        </w:rPr>
      </w:pPr>
    </w:p>
    <w:p w:rsidR="00AC0592" w:rsidRPr="00AC0592" w:rsidRDefault="00AC0592" w:rsidP="00AC0592">
      <w:pPr>
        <w:pStyle w:val="ListParagraph"/>
        <w:numPr>
          <w:ilvl w:val="0"/>
          <w:numId w:val="12"/>
        </w:numPr>
        <w:rPr>
          <w:rFonts w:ascii="Arial" w:hAnsi="Arial" w:cs="Arial"/>
        </w:rPr>
      </w:pPr>
      <w:r w:rsidRPr="00AC0592">
        <w:rPr>
          <w:rFonts w:ascii="Arial" w:hAnsi="Arial" w:cs="Arial"/>
        </w:rPr>
        <w:lastRenderedPageBreak/>
        <w:t>Please file an excel copy of the 2017 Final Results Report for the Entegrus (St Thomas Rate Zone) if available.</w:t>
      </w:r>
    </w:p>
    <w:p w:rsidR="00AC0592" w:rsidRPr="00AC0592" w:rsidRDefault="00AC0592" w:rsidP="00AC0592">
      <w:pPr>
        <w:pStyle w:val="ListParagraph"/>
        <w:numPr>
          <w:ilvl w:val="0"/>
          <w:numId w:val="12"/>
        </w:numPr>
        <w:rPr>
          <w:rFonts w:ascii="Arial" w:hAnsi="Arial" w:cs="Arial"/>
        </w:rPr>
      </w:pPr>
      <w:r w:rsidRPr="00AC0592">
        <w:rPr>
          <w:rFonts w:ascii="Arial" w:hAnsi="Arial" w:cs="Arial"/>
        </w:rPr>
        <w:t>Please file an excel copy of the 2014 Persistence Savings Report for the Entegrus St Thomas Rate Zone.</w:t>
      </w:r>
    </w:p>
    <w:p w:rsidR="00AC0592" w:rsidRPr="00AC0592" w:rsidRDefault="00AC0592" w:rsidP="00AC0592">
      <w:pPr>
        <w:pStyle w:val="ListParagraph"/>
        <w:numPr>
          <w:ilvl w:val="0"/>
          <w:numId w:val="12"/>
        </w:numPr>
        <w:rPr>
          <w:rFonts w:ascii="Arial" w:hAnsi="Arial" w:cs="Arial"/>
        </w:rPr>
      </w:pPr>
      <w:r w:rsidRPr="00AC0592">
        <w:rPr>
          <w:rFonts w:ascii="Arial" w:hAnsi="Arial" w:cs="Arial"/>
        </w:rPr>
        <w:t xml:space="preserve">Please confirm any changes to the LRAMVA workform in “Table A-2.  Updates to LRAMVA Disposition (Tab 2)” and file an updated LRAMVA work form.  </w:t>
      </w:r>
    </w:p>
    <w:p w:rsidR="00AC0592" w:rsidRPr="00AC0592" w:rsidRDefault="00AC0592" w:rsidP="00AC0592">
      <w:pPr>
        <w:rPr>
          <w:rFonts w:ascii="Arial" w:hAnsi="Arial" w:cs="Arial"/>
        </w:rPr>
      </w:pPr>
    </w:p>
    <w:p w:rsidR="00AC0592" w:rsidRPr="00AC0592" w:rsidRDefault="00AC0592" w:rsidP="00AC0592">
      <w:pPr>
        <w:pStyle w:val="Default"/>
        <w:rPr>
          <w:b/>
          <w:bCs/>
          <w:sz w:val="22"/>
          <w:szCs w:val="22"/>
        </w:rPr>
      </w:pPr>
      <w:r>
        <w:rPr>
          <w:b/>
          <w:bCs/>
          <w:sz w:val="22"/>
          <w:szCs w:val="22"/>
        </w:rPr>
        <w:t xml:space="preserve">Staff </w:t>
      </w:r>
      <w:r w:rsidRPr="00AC0592">
        <w:rPr>
          <w:b/>
          <w:bCs/>
          <w:sz w:val="22"/>
          <w:szCs w:val="22"/>
        </w:rPr>
        <w:t xml:space="preserve">Question </w:t>
      </w:r>
      <w:r>
        <w:rPr>
          <w:b/>
          <w:bCs/>
          <w:sz w:val="22"/>
          <w:szCs w:val="22"/>
        </w:rPr>
        <w:t>#</w:t>
      </w:r>
      <w:r w:rsidR="00C4356A">
        <w:rPr>
          <w:b/>
          <w:bCs/>
          <w:sz w:val="22"/>
          <w:szCs w:val="22"/>
        </w:rPr>
        <w:t>15</w:t>
      </w:r>
    </w:p>
    <w:p w:rsidR="00AC0592" w:rsidRPr="00AC0592" w:rsidRDefault="00AC0592" w:rsidP="00AC0592">
      <w:pPr>
        <w:pStyle w:val="Default"/>
        <w:rPr>
          <w:b/>
          <w:bCs/>
          <w:sz w:val="22"/>
          <w:szCs w:val="22"/>
        </w:rPr>
      </w:pPr>
      <w:r w:rsidRPr="00AC0592">
        <w:rPr>
          <w:b/>
          <w:bCs/>
          <w:sz w:val="22"/>
          <w:szCs w:val="22"/>
        </w:rPr>
        <w:t>Ref:</w:t>
      </w:r>
      <w:r w:rsidRPr="00AC0592">
        <w:rPr>
          <w:b/>
          <w:bCs/>
          <w:sz w:val="22"/>
          <w:szCs w:val="22"/>
        </w:rPr>
        <w:tab/>
        <w:t>Tab 3-a.  Rate Class Allocations</w:t>
      </w:r>
    </w:p>
    <w:p w:rsidR="00AC0592" w:rsidRPr="00AC0592" w:rsidRDefault="00AC0592" w:rsidP="00AC0592">
      <w:pPr>
        <w:pStyle w:val="ListParagraph"/>
        <w:numPr>
          <w:ilvl w:val="0"/>
          <w:numId w:val="14"/>
        </w:numPr>
        <w:spacing w:line="276" w:lineRule="auto"/>
        <w:rPr>
          <w:rFonts w:ascii="Arial" w:hAnsi="Arial" w:cs="Arial"/>
        </w:rPr>
      </w:pPr>
      <w:r w:rsidRPr="00AC0592">
        <w:rPr>
          <w:rFonts w:ascii="Arial" w:hAnsi="Arial" w:cs="Arial"/>
        </w:rPr>
        <w:t xml:space="preserve">Please confirm whether the allocation of verified savings was estimated for the two rate zones based on the IESO verified results for </w:t>
      </w:r>
      <w:r w:rsidR="00786F27" w:rsidRPr="00AC0592">
        <w:rPr>
          <w:rFonts w:ascii="Arial" w:hAnsi="Arial" w:cs="Arial"/>
        </w:rPr>
        <w:t xml:space="preserve">Entegrus St. Thomas </w:t>
      </w:r>
      <w:r w:rsidRPr="00AC0592">
        <w:rPr>
          <w:rFonts w:ascii="Arial" w:hAnsi="Arial" w:cs="Arial"/>
        </w:rPr>
        <w:t xml:space="preserve">in 2015 and 2016.  </w:t>
      </w:r>
    </w:p>
    <w:p w:rsidR="00AC0592" w:rsidRPr="00AC0592" w:rsidRDefault="00AC0592" w:rsidP="00AC0592">
      <w:pPr>
        <w:pStyle w:val="ListParagraph"/>
        <w:numPr>
          <w:ilvl w:val="0"/>
          <w:numId w:val="14"/>
        </w:numPr>
        <w:spacing w:line="276" w:lineRule="auto"/>
        <w:rPr>
          <w:rFonts w:ascii="Arial" w:hAnsi="Arial" w:cs="Arial"/>
        </w:rPr>
      </w:pPr>
      <w:r w:rsidRPr="00AC0592">
        <w:rPr>
          <w:rFonts w:ascii="Arial" w:hAnsi="Arial" w:cs="Arial"/>
        </w:rPr>
        <w:t>If yes, please discuss how you determined the breakdown of savings by rate zone. Please provide a table in each of the LRAMVA workforms that outlines the rate zone split of the total savings for each IESO program, where individual rate zone savings were not provided by the IESO.</w:t>
      </w:r>
    </w:p>
    <w:p w:rsidR="00AE0975" w:rsidRPr="00B14288" w:rsidRDefault="00AE0975" w:rsidP="00C216B5">
      <w:pPr>
        <w:rPr>
          <w:rFonts w:ascii="Arial" w:hAnsi="Arial" w:cs="Arial"/>
        </w:rPr>
      </w:pPr>
    </w:p>
    <w:sectPr w:rsidR="00AE0975" w:rsidRPr="00B1428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D4B" w:rsidRDefault="00580D4B" w:rsidP="00761997">
      <w:pPr>
        <w:spacing w:after="0" w:line="240" w:lineRule="auto"/>
      </w:pPr>
      <w:r>
        <w:separator/>
      </w:r>
    </w:p>
  </w:endnote>
  <w:endnote w:type="continuationSeparator" w:id="0">
    <w:p w:rsidR="00580D4B" w:rsidRDefault="00580D4B" w:rsidP="00761997">
      <w:pPr>
        <w:spacing w:after="0" w:line="240" w:lineRule="auto"/>
      </w:pPr>
      <w:r>
        <w:continuationSeparator/>
      </w:r>
    </w:p>
  </w:endnote>
  <w:endnote w:type="continuationNotice" w:id="1">
    <w:p w:rsidR="00580D4B" w:rsidRDefault="00580D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D4B" w:rsidRDefault="00580D4B" w:rsidP="00761997">
      <w:pPr>
        <w:spacing w:after="0" w:line="240" w:lineRule="auto"/>
      </w:pPr>
      <w:r>
        <w:separator/>
      </w:r>
    </w:p>
  </w:footnote>
  <w:footnote w:type="continuationSeparator" w:id="0">
    <w:p w:rsidR="00580D4B" w:rsidRDefault="00580D4B" w:rsidP="00761997">
      <w:pPr>
        <w:spacing w:after="0" w:line="240" w:lineRule="auto"/>
      </w:pPr>
      <w:r>
        <w:continuationSeparator/>
      </w:r>
    </w:p>
  </w:footnote>
  <w:footnote w:type="continuationNotice" w:id="1">
    <w:p w:rsidR="00580D4B" w:rsidRDefault="00580D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30A" w:rsidRDefault="000B130A" w:rsidP="00761997">
    <w:pPr>
      <w:pStyle w:val="Header"/>
      <w:jc w:val="right"/>
    </w:pPr>
    <w:r>
      <w:t>Entegrus Powerlines Inc.</w:t>
    </w:r>
  </w:p>
  <w:p w:rsidR="000B130A" w:rsidRDefault="000B130A" w:rsidP="00761997">
    <w:pPr>
      <w:pStyle w:val="Header"/>
      <w:jc w:val="right"/>
    </w:pPr>
    <w:r>
      <w:t>EB-2018-0024</w:t>
    </w:r>
  </w:p>
  <w:sdt>
    <w:sdtPr>
      <w:id w:val="98381352"/>
      <w:docPartObj>
        <w:docPartGallery w:val="Page Numbers (Top of Page)"/>
        <w:docPartUnique/>
      </w:docPartObj>
    </w:sdtPr>
    <w:sdtEndPr/>
    <w:sdtContent>
      <w:p w:rsidR="000B130A" w:rsidRDefault="000B130A" w:rsidP="00761997">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82D0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82D05">
          <w:rPr>
            <w:b/>
            <w:bCs/>
            <w:noProof/>
          </w:rPr>
          <w:t>11</w:t>
        </w:r>
        <w:r>
          <w:rPr>
            <w:b/>
            <w:bCs/>
            <w:sz w:val="24"/>
            <w:szCs w:val="24"/>
          </w:rPr>
          <w:fldChar w:fldCharType="end"/>
        </w:r>
      </w:p>
    </w:sdtContent>
  </w:sdt>
  <w:p w:rsidR="000B130A" w:rsidRDefault="000B13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52A2"/>
    <w:multiLevelType w:val="hybridMultilevel"/>
    <w:tmpl w:val="EB6625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13BEC"/>
    <w:multiLevelType w:val="hybridMultilevel"/>
    <w:tmpl w:val="623E72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D4BE4"/>
    <w:multiLevelType w:val="hybridMultilevel"/>
    <w:tmpl w:val="F2646E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61261"/>
    <w:multiLevelType w:val="hybridMultilevel"/>
    <w:tmpl w:val="FD4E64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12488"/>
    <w:multiLevelType w:val="hybridMultilevel"/>
    <w:tmpl w:val="AE66F16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DA211B"/>
    <w:multiLevelType w:val="hybridMultilevel"/>
    <w:tmpl w:val="AEA20EDA"/>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7C6CCFF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E2555"/>
    <w:multiLevelType w:val="hybridMultilevel"/>
    <w:tmpl w:val="623E722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671DCA"/>
    <w:multiLevelType w:val="hybridMultilevel"/>
    <w:tmpl w:val="F126EDAA"/>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4B1B70"/>
    <w:multiLevelType w:val="hybridMultilevel"/>
    <w:tmpl w:val="623E722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786D07"/>
    <w:multiLevelType w:val="hybridMultilevel"/>
    <w:tmpl w:val="EB6625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F0511F"/>
    <w:multiLevelType w:val="hybridMultilevel"/>
    <w:tmpl w:val="2B5E19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40490E"/>
    <w:multiLevelType w:val="hybridMultilevel"/>
    <w:tmpl w:val="2E306E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B84CFD"/>
    <w:multiLevelType w:val="hybridMultilevel"/>
    <w:tmpl w:val="AEA20EDA"/>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7C6CCFF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B64F0A"/>
    <w:multiLevelType w:val="hybridMultilevel"/>
    <w:tmpl w:val="D1A2E8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7F009B"/>
    <w:multiLevelType w:val="hybridMultilevel"/>
    <w:tmpl w:val="AEA20EDA"/>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7C6CCFF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243979"/>
    <w:multiLevelType w:val="hybridMultilevel"/>
    <w:tmpl w:val="87E02E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FA444E"/>
    <w:multiLevelType w:val="hybridMultilevel"/>
    <w:tmpl w:val="AEA20EDA"/>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7C6CCFF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8F3A1C"/>
    <w:multiLevelType w:val="hybridMultilevel"/>
    <w:tmpl w:val="9182B6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A0AE8D"/>
    <w:multiLevelType w:val="hybridMultilevel"/>
    <w:tmpl w:val="1DE43DC6"/>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7152279"/>
    <w:multiLevelType w:val="hybridMultilevel"/>
    <w:tmpl w:val="5AB0A2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0445C2"/>
    <w:multiLevelType w:val="hybridMultilevel"/>
    <w:tmpl w:val="C438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211FC4"/>
    <w:multiLevelType w:val="hybridMultilevel"/>
    <w:tmpl w:val="85546530"/>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B65066"/>
    <w:multiLevelType w:val="hybridMultilevel"/>
    <w:tmpl w:val="5AB0A2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35546C"/>
    <w:multiLevelType w:val="hybridMultilevel"/>
    <w:tmpl w:val="F2646E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5350B2"/>
    <w:multiLevelType w:val="hybridMultilevel"/>
    <w:tmpl w:val="711465A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1B569D"/>
    <w:multiLevelType w:val="hybridMultilevel"/>
    <w:tmpl w:val="EB6625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395FB6"/>
    <w:multiLevelType w:val="hybridMultilevel"/>
    <w:tmpl w:val="A776DB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F03267"/>
    <w:multiLevelType w:val="hybridMultilevel"/>
    <w:tmpl w:val="158859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671D8F"/>
    <w:multiLevelType w:val="hybridMultilevel"/>
    <w:tmpl w:val="77AC73C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DC061EC"/>
    <w:multiLevelType w:val="hybridMultilevel"/>
    <w:tmpl w:val="8A24F9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165F79"/>
    <w:multiLevelType w:val="hybridMultilevel"/>
    <w:tmpl w:val="623E72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297727"/>
    <w:multiLevelType w:val="hybridMultilevel"/>
    <w:tmpl w:val="61183420"/>
    <w:lvl w:ilvl="0" w:tplc="3B2EC5B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D62570"/>
    <w:multiLevelType w:val="hybridMultilevel"/>
    <w:tmpl w:val="DD3E29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6216EA"/>
    <w:multiLevelType w:val="hybridMultilevel"/>
    <w:tmpl w:val="71D448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696801"/>
    <w:multiLevelType w:val="hybridMultilevel"/>
    <w:tmpl w:val="623E72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8F12BF"/>
    <w:multiLevelType w:val="hybridMultilevel"/>
    <w:tmpl w:val="4FF264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5B4178"/>
    <w:multiLevelType w:val="hybridMultilevel"/>
    <w:tmpl w:val="1DE43DC6"/>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1"/>
  </w:num>
  <w:num w:numId="2">
    <w:abstractNumId w:val="17"/>
  </w:num>
  <w:num w:numId="3">
    <w:abstractNumId w:val="30"/>
  </w:num>
  <w:num w:numId="4">
    <w:abstractNumId w:val="34"/>
  </w:num>
  <w:num w:numId="5">
    <w:abstractNumId w:val="24"/>
  </w:num>
  <w:num w:numId="6">
    <w:abstractNumId w:val="7"/>
  </w:num>
  <w:num w:numId="7">
    <w:abstractNumId w:val="12"/>
  </w:num>
  <w:num w:numId="8">
    <w:abstractNumId w:val="15"/>
  </w:num>
  <w:num w:numId="9">
    <w:abstractNumId w:val="11"/>
  </w:num>
  <w:num w:numId="10">
    <w:abstractNumId w:val="13"/>
  </w:num>
  <w:num w:numId="11">
    <w:abstractNumId w:val="9"/>
  </w:num>
  <w:num w:numId="12">
    <w:abstractNumId w:val="10"/>
  </w:num>
  <w:num w:numId="13">
    <w:abstractNumId w:val="4"/>
  </w:num>
  <w:num w:numId="14">
    <w:abstractNumId w:val="26"/>
  </w:num>
  <w:num w:numId="15">
    <w:abstractNumId w:val="19"/>
  </w:num>
  <w:num w:numId="16">
    <w:abstractNumId w:val="23"/>
  </w:num>
  <w:num w:numId="17">
    <w:abstractNumId w:val="2"/>
  </w:num>
  <w:num w:numId="18">
    <w:abstractNumId w:val="22"/>
  </w:num>
  <w:num w:numId="19">
    <w:abstractNumId w:val="31"/>
  </w:num>
  <w:num w:numId="20">
    <w:abstractNumId w:val="18"/>
  </w:num>
  <w:num w:numId="21">
    <w:abstractNumId w:val="0"/>
  </w:num>
  <w:num w:numId="22">
    <w:abstractNumId w:val="1"/>
  </w:num>
  <w:num w:numId="23">
    <w:abstractNumId w:val="6"/>
  </w:num>
  <w:num w:numId="24">
    <w:abstractNumId w:val="32"/>
  </w:num>
  <w:num w:numId="25">
    <w:abstractNumId w:val="33"/>
  </w:num>
  <w:num w:numId="26">
    <w:abstractNumId w:val="28"/>
  </w:num>
  <w:num w:numId="27">
    <w:abstractNumId w:val="8"/>
  </w:num>
  <w:num w:numId="28">
    <w:abstractNumId w:val="5"/>
  </w:num>
  <w:num w:numId="29">
    <w:abstractNumId w:val="25"/>
  </w:num>
  <w:num w:numId="30">
    <w:abstractNumId w:val="14"/>
  </w:num>
  <w:num w:numId="31">
    <w:abstractNumId w:val="20"/>
  </w:num>
  <w:num w:numId="32">
    <w:abstractNumId w:val="27"/>
  </w:num>
  <w:num w:numId="33">
    <w:abstractNumId w:val="36"/>
  </w:num>
  <w:num w:numId="34">
    <w:abstractNumId w:val="29"/>
  </w:num>
  <w:num w:numId="35">
    <w:abstractNumId w:val="16"/>
  </w:num>
  <w:num w:numId="36">
    <w:abstractNumId w:val="35"/>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A2C"/>
    <w:rsid w:val="000067AF"/>
    <w:rsid w:val="00016A09"/>
    <w:rsid w:val="000308DE"/>
    <w:rsid w:val="000339F8"/>
    <w:rsid w:val="00035409"/>
    <w:rsid w:val="000B130A"/>
    <w:rsid w:val="000E0A44"/>
    <w:rsid w:val="001204E1"/>
    <w:rsid w:val="001717DE"/>
    <w:rsid w:val="0019308E"/>
    <w:rsid w:val="00195C7A"/>
    <w:rsid w:val="001B516E"/>
    <w:rsid w:val="001E0FA9"/>
    <w:rsid w:val="001E5400"/>
    <w:rsid w:val="00224B18"/>
    <w:rsid w:val="002357E8"/>
    <w:rsid w:val="00264BC2"/>
    <w:rsid w:val="00273D52"/>
    <w:rsid w:val="002F2DF2"/>
    <w:rsid w:val="0031101D"/>
    <w:rsid w:val="003201A1"/>
    <w:rsid w:val="003746C2"/>
    <w:rsid w:val="00384D22"/>
    <w:rsid w:val="003B40DA"/>
    <w:rsid w:val="003D1BB7"/>
    <w:rsid w:val="003D24BC"/>
    <w:rsid w:val="004034A1"/>
    <w:rsid w:val="00406178"/>
    <w:rsid w:val="00456863"/>
    <w:rsid w:val="00456AD6"/>
    <w:rsid w:val="00466437"/>
    <w:rsid w:val="00493D9B"/>
    <w:rsid w:val="004A5E07"/>
    <w:rsid w:val="004C4DDE"/>
    <w:rsid w:val="004D3C81"/>
    <w:rsid w:val="004D6674"/>
    <w:rsid w:val="004E0356"/>
    <w:rsid w:val="005478F0"/>
    <w:rsid w:val="00552C87"/>
    <w:rsid w:val="00580D4B"/>
    <w:rsid w:val="005819A6"/>
    <w:rsid w:val="005E046D"/>
    <w:rsid w:val="00600147"/>
    <w:rsid w:val="00624752"/>
    <w:rsid w:val="00696803"/>
    <w:rsid w:val="006A1A2C"/>
    <w:rsid w:val="006A3F67"/>
    <w:rsid w:val="006E382F"/>
    <w:rsid w:val="006E764B"/>
    <w:rsid w:val="007216B0"/>
    <w:rsid w:val="00722D6F"/>
    <w:rsid w:val="00724AE6"/>
    <w:rsid w:val="007414EA"/>
    <w:rsid w:val="00761997"/>
    <w:rsid w:val="00786F27"/>
    <w:rsid w:val="007A54EE"/>
    <w:rsid w:val="007A6329"/>
    <w:rsid w:val="007C6A94"/>
    <w:rsid w:val="00826464"/>
    <w:rsid w:val="00884901"/>
    <w:rsid w:val="008D466A"/>
    <w:rsid w:val="008F675C"/>
    <w:rsid w:val="009103F4"/>
    <w:rsid w:val="00934DA0"/>
    <w:rsid w:val="0094005B"/>
    <w:rsid w:val="00983A23"/>
    <w:rsid w:val="009F642B"/>
    <w:rsid w:val="00A03910"/>
    <w:rsid w:val="00A959D7"/>
    <w:rsid w:val="00AA29CF"/>
    <w:rsid w:val="00AA7491"/>
    <w:rsid w:val="00AC0592"/>
    <w:rsid w:val="00AC457A"/>
    <w:rsid w:val="00AE0975"/>
    <w:rsid w:val="00AE5726"/>
    <w:rsid w:val="00B11A66"/>
    <w:rsid w:val="00B14288"/>
    <w:rsid w:val="00B724E9"/>
    <w:rsid w:val="00B73A18"/>
    <w:rsid w:val="00BB7755"/>
    <w:rsid w:val="00BD708A"/>
    <w:rsid w:val="00C02731"/>
    <w:rsid w:val="00C144DA"/>
    <w:rsid w:val="00C216B5"/>
    <w:rsid w:val="00C31E31"/>
    <w:rsid w:val="00C36AE0"/>
    <w:rsid w:val="00C4356A"/>
    <w:rsid w:val="00C86707"/>
    <w:rsid w:val="00C93AAA"/>
    <w:rsid w:val="00CA5669"/>
    <w:rsid w:val="00CB00E3"/>
    <w:rsid w:val="00CD2249"/>
    <w:rsid w:val="00CF3AAD"/>
    <w:rsid w:val="00D17534"/>
    <w:rsid w:val="00D20BF2"/>
    <w:rsid w:val="00D24222"/>
    <w:rsid w:val="00D31915"/>
    <w:rsid w:val="00D377CA"/>
    <w:rsid w:val="00D9569B"/>
    <w:rsid w:val="00DB1358"/>
    <w:rsid w:val="00DC1CFD"/>
    <w:rsid w:val="00DE2877"/>
    <w:rsid w:val="00DF7521"/>
    <w:rsid w:val="00E12BDF"/>
    <w:rsid w:val="00E3071F"/>
    <w:rsid w:val="00E80ED1"/>
    <w:rsid w:val="00E90B86"/>
    <w:rsid w:val="00EA6B31"/>
    <w:rsid w:val="00F41834"/>
    <w:rsid w:val="00F5463D"/>
    <w:rsid w:val="00F635FF"/>
    <w:rsid w:val="00F64C5B"/>
    <w:rsid w:val="00F82D05"/>
    <w:rsid w:val="00FC5B9B"/>
    <w:rsid w:val="00FD23B0"/>
    <w:rsid w:val="00FE6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62704"/>
  <w15:chartTrackingRefBased/>
  <w15:docId w15:val="{D7A653EB-5577-4781-BA0C-46880E9F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C05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C7A"/>
    <w:pPr>
      <w:ind w:left="720"/>
      <w:contextualSpacing/>
    </w:pPr>
  </w:style>
  <w:style w:type="paragraph" w:customStyle="1" w:styleId="Default">
    <w:name w:val="Default"/>
    <w:rsid w:val="00761997"/>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619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997"/>
  </w:style>
  <w:style w:type="paragraph" w:styleId="Footer">
    <w:name w:val="footer"/>
    <w:basedOn w:val="Normal"/>
    <w:link w:val="FooterChar"/>
    <w:uiPriority w:val="99"/>
    <w:unhideWhenUsed/>
    <w:rsid w:val="007619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997"/>
  </w:style>
  <w:style w:type="character" w:customStyle="1" w:styleId="Heading2Char">
    <w:name w:val="Heading 2 Char"/>
    <w:basedOn w:val="DefaultParagraphFont"/>
    <w:link w:val="Heading2"/>
    <w:uiPriority w:val="9"/>
    <w:rsid w:val="00AC0592"/>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AC0592"/>
    <w:pPr>
      <w:spacing w:after="0" w:line="240" w:lineRule="auto"/>
    </w:pPr>
    <w:rPr>
      <w:rFonts w:ascii="Times New Roman" w:hAnsi="Times New Roman"/>
      <w:sz w:val="24"/>
      <w:lang w:val="en-CA"/>
    </w:rPr>
  </w:style>
  <w:style w:type="character" w:styleId="CommentReference">
    <w:name w:val="annotation reference"/>
    <w:basedOn w:val="DefaultParagraphFont"/>
    <w:uiPriority w:val="99"/>
    <w:semiHidden/>
    <w:unhideWhenUsed/>
    <w:rsid w:val="00466437"/>
    <w:rPr>
      <w:sz w:val="16"/>
      <w:szCs w:val="16"/>
    </w:rPr>
  </w:style>
  <w:style w:type="paragraph" w:styleId="CommentText">
    <w:name w:val="annotation text"/>
    <w:basedOn w:val="Normal"/>
    <w:link w:val="CommentTextChar"/>
    <w:uiPriority w:val="99"/>
    <w:semiHidden/>
    <w:unhideWhenUsed/>
    <w:rsid w:val="00466437"/>
    <w:pPr>
      <w:spacing w:line="240" w:lineRule="auto"/>
    </w:pPr>
    <w:rPr>
      <w:sz w:val="20"/>
      <w:szCs w:val="20"/>
    </w:rPr>
  </w:style>
  <w:style w:type="character" w:customStyle="1" w:styleId="CommentTextChar">
    <w:name w:val="Comment Text Char"/>
    <w:basedOn w:val="DefaultParagraphFont"/>
    <w:link w:val="CommentText"/>
    <w:uiPriority w:val="99"/>
    <w:semiHidden/>
    <w:rsid w:val="00466437"/>
    <w:rPr>
      <w:sz w:val="20"/>
      <w:szCs w:val="20"/>
    </w:rPr>
  </w:style>
  <w:style w:type="paragraph" w:styleId="CommentSubject">
    <w:name w:val="annotation subject"/>
    <w:basedOn w:val="CommentText"/>
    <w:next w:val="CommentText"/>
    <w:link w:val="CommentSubjectChar"/>
    <w:uiPriority w:val="99"/>
    <w:semiHidden/>
    <w:unhideWhenUsed/>
    <w:rsid w:val="00466437"/>
    <w:rPr>
      <w:b/>
      <w:bCs/>
    </w:rPr>
  </w:style>
  <w:style w:type="character" w:customStyle="1" w:styleId="CommentSubjectChar">
    <w:name w:val="Comment Subject Char"/>
    <w:basedOn w:val="CommentTextChar"/>
    <w:link w:val="CommentSubject"/>
    <w:uiPriority w:val="99"/>
    <w:semiHidden/>
    <w:rsid w:val="00466437"/>
    <w:rPr>
      <w:b/>
      <w:bCs/>
      <w:sz w:val="20"/>
      <w:szCs w:val="20"/>
    </w:rPr>
  </w:style>
  <w:style w:type="paragraph" w:styleId="BalloonText">
    <w:name w:val="Balloon Text"/>
    <w:basedOn w:val="Normal"/>
    <w:link w:val="BalloonTextChar"/>
    <w:uiPriority w:val="99"/>
    <w:semiHidden/>
    <w:unhideWhenUsed/>
    <w:rsid w:val="004664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437"/>
    <w:rPr>
      <w:rFonts w:ascii="Segoe UI" w:hAnsi="Segoe UI" w:cs="Segoe UI"/>
      <w:sz w:val="18"/>
      <w:szCs w:val="18"/>
    </w:rPr>
  </w:style>
  <w:style w:type="paragraph" w:styleId="Revision">
    <w:name w:val="Revision"/>
    <w:hidden/>
    <w:uiPriority w:val="99"/>
    <w:semiHidden/>
    <w:rsid w:val="00CD22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52345">
      <w:bodyDiv w:val="1"/>
      <w:marLeft w:val="0"/>
      <w:marRight w:val="0"/>
      <w:marTop w:val="0"/>
      <w:marBottom w:val="0"/>
      <w:divBdr>
        <w:top w:val="none" w:sz="0" w:space="0" w:color="auto"/>
        <w:left w:val="none" w:sz="0" w:space="0" w:color="auto"/>
        <w:bottom w:val="none" w:sz="0" w:space="0" w:color="auto"/>
        <w:right w:val="none" w:sz="0" w:space="0" w:color="auto"/>
      </w:divBdr>
    </w:div>
    <w:div w:id="1612742057">
      <w:bodyDiv w:val="1"/>
      <w:marLeft w:val="0"/>
      <w:marRight w:val="0"/>
      <w:marTop w:val="0"/>
      <w:marBottom w:val="0"/>
      <w:divBdr>
        <w:top w:val="none" w:sz="0" w:space="0" w:color="auto"/>
        <w:left w:val="none" w:sz="0" w:space="0" w:color="auto"/>
        <w:bottom w:val="none" w:sz="0" w:space="0" w:color="auto"/>
        <w:right w:val="none" w:sz="0" w:space="0" w:color="auto"/>
      </w:divBdr>
    </w:div>
    <w:div w:id="167025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0E75C-F43F-427E-AA5B-ADB0A6203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2910</Words>
  <Characters>16593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19465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Share</dc:creator>
  <cp:keywords/>
  <dc:description/>
  <cp:lastModifiedBy>Marc Abramovitz</cp:lastModifiedBy>
  <cp:revision>3</cp:revision>
  <dcterms:created xsi:type="dcterms:W3CDTF">2018-11-08T00:43:00Z</dcterms:created>
  <dcterms:modified xsi:type="dcterms:W3CDTF">2018-11-08T00:43:00Z</dcterms:modified>
</cp:coreProperties>
</file>