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A6D" w:rsidRDefault="00287E18" w:rsidP="00872388">
      <w:pPr>
        <w:spacing w:after="0" w:line="240" w:lineRule="auto"/>
        <w:jc w:val="center"/>
        <w:rPr>
          <w:rFonts w:ascii="Arial" w:hAnsi="Arial" w:cs="Arial"/>
          <w:b/>
          <w:sz w:val="24"/>
          <w:szCs w:val="24"/>
        </w:rPr>
      </w:pPr>
      <w:bookmarkStart w:id="0" w:name="_GoBack"/>
      <w:bookmarkEnd w:id="0"/>
      <w:r>
        <w:rPr>
          <w:rFonts w:ascii="Arial" w:hAnsi="Arial" w:cs="Arial"/>
          <w:b/>
          <w:sz w:val="24"/>
          <w:szCs w:val="24"/>
        </w:rPr>
        <w:t>Cooperative Hydro</w:t>
      </w:r>
      <w:r w:rsidR="003E3A51">
        <w:rPr>
          <w:rFonts w:ascii="Arial" w:hAnsi="Arial" w:cs="Arial"/>
          <w:b/>
          <w:sz w:val="24"/>
          <w:szCs w:val="24"/>
        </w:rPr>
        <w:t xml:space="preserve"> Embrun</w:t>
      </w:r>
      <w:r w:rsidR="005406CC" w:rsidRPr="00A774ED">
        <w:rPr>
          <w:rFonts w:ascii="Arial" w:hAnsi="Arial" w:cs="Arial"/>
          <w:b/>
          <w:sz w:val="24"/>
          <w:szCs w:val="24"/>
        </w:rPr>
        <w:t xml:space="preserve"> Inc.</w:t>
      </w:r>
      <w:r w:rsidR="003E3A51">
        <w:rPr>
          <w:rFonts w:ascii="Arial" w:hAnsi="Arial" w:cs="Arial"/>
          <w:b/>
          <w:sz w:val="24"/>
          <w:szCs w:val="24"/>
        </w:rPr>
        <w:t xml:space="preserve"> </w:t>
      </w:r>
      <w:r w:rsidR="009D1DE8">
        <w:rPr>
          <w:rFonts w:ascii="Arial" w:hAnsi="Arial" w:cs="Arial"/>
          <w:b/>
          <w:sz w:val="24"/>
          <w:szCs w:val="24"/>
        </w:rPr>
        <w:t xml:space="preserve">– 2019 Rates Application </w:t>
      </w:r>
      <w:r w:rsidR="009D1DE8" w:rsidRPr="00A774ED">
        <w:rPr>
          <w:rFonts w:ascii="Arial" w:hAnsi="Arial" w:cs="Arial"/>
          <w:b/>
          <w:sz w:val="24"/>
          <w:szCs w:val="24"/>
        </w:rPr>
        <w:t>(EB-201</w:t>
      </w:r>
      <w:r w:rsidR="002C3B4D">
        <w:rPr>
          <w:rFonts w:ascii="Arial" w:hAnsi="Arial" w:cs="Arial"/>
          <w:b/>
          <w:sz w:val="24"/>
          <w:szCs w:val="24"/>
        </w:rPr>
        <w:t>8</w:t>
      </w:r>
      <w:r w:rsidR="009D1DE8" w:rsidRPr="00A774ED">
        <w:rPr>
          <w:rFonts w:ascii="Arial" w:hAnsi="Arial" w:cs="Arial"/>
          <w:b/>
          <w:sz w:val="24"/>
          <w:szCs w:val="24"/>
        </w:rPr>
        <w:t>-0</w:t>
      </w:r>
      <w:r w:rsidR="009D1DE8">
        <w:rPr>
          <w:rFonts w:ascii="Arial" w:hAnsi="Arial" w:cs="Arial"/>
          <w:b/>
          <w:sz w:val="24"/>
          <w:szCs w:val="24"/>
        </w:rPr>
        <w:t>026</w:t>
      </w:r>
      <w:r w:rsidR="009D1DE8" w:rsidRPr="00A774ED">
        <w:rPr>
          <w:rFonts w:ascii="Arial" w:hAnsi="Arial" w:cs="Arial"/>
          <w:b/>
          <w:sz w:val="24"/>
          <w:szCs w:val="24"/>
        </w:rPr>
        <w:t>)</w:t>
      </w:r>
    </w:p>
    <w:p w:rsidR="008D1333" w:rsidRDefault="001F7A6D" w:rsidP="00872388">
      <w:pPr>
        <w:spacing w:after="0" w:line="240" w:lineRule="auto"/>
        <w:jc w:val="center"/>
        <w:rPr>
          <w:rFonts w:ascii="Arial" w:hAnsi="Arial" w:cs="Arial"/>
          <w:b/>
          <w:sz w:val="24"/>
          <w:szCs w:val="24"/>
        </w:rPr>
      </w:pPr>
      <w:r>
        <w:rPr>
          <w:rFonts w:ascii="Arial" w:hAnsi="Arial" w:cs="Arial"/>
          <w:b/>
          <w:sz w:val="24"/>
          <w:szCs w:val="24"/>
        </w:rPr>
        <w:t xml:space="preserve">OEB Staff </w:t>
      </w:r>
      <w:r w:rsidR="001747E8">
        <w:rPr>
          <w:rFonts w:ascii="Arial" w:hAnsi="Arial" w:cs="Arial"/>
          <w:b/>
          <w:sz w:val="24"/>
          <w:szCs w:val="24"/>
        </w:rPr>
        <w:t xml:space="preserve">Follow Up </w:t>
      </w:r>
      <w:r w:rsidR="008D1333" w:rsidRPr="00A774ED">
        <w:rPr>
          <w:rFonts w:ascii="Arial" w:hAnsi="Arial" w:cs="Arial"/>
          <w:b/>
          <w:sz w:val="24"/>
          <w:szCs w:val="24"/>
        </w:rPr>
        <w:t>Questions</w:t>
      </w:r>
    </w:p>
    <w:p w:rsidR="009D1DE8" w:rsidRDefault="001747E8" w:rsidP="00872388">
      <w:pPr>
        <w:spacing w:after="0" w:line="240" w:lineRule="auto"/>
        <w:jc w:val="center"/>
        <w:rPr>
          <w:rFonts w:ascii="Arial" w:hAnsi="Arial" w:cs="Arial"/>
          <w:b/>
          <w:sz w:val="24"/>
          <w:szCs w:val="24"/>
        </w:rPr>
      </w:pPr>
      <w:r>
        <w:rPr>
          <w:rFonts w:ascii="Arial" w:hAnsi="Arial" w:cs="Arial"/>
          <w:b/>
          <w:sz w:val="24"/>
          <w:szCs w:val="24"/>
        </w:rPr>
        <w:t xml:space="preserve">October </w:t>
      </w:r>
      <w:r w:rsidR="007E0C0C">
        <w:rPr>
          <w:rFonts w:ascii="Arial" w:hAnsi="Arial" w:cs="Arial"/>
          <w:b/>
          <w:sz w:val="24"/>
          <w:szCs w:val="24"/>
        </w:rPr>
        <w:t>18</w:t>
      </w:r>
      <w:r w:rsidR="009D1DE8">
        <w:rPr>
          <w:rFonts w:ascii="Arial" w:hAnsi="Arial" w:cs="Arial"/>
          <w:b/>
          <w:sz w:val="24"/>
          <w:szCs w:val="24"/>
        </w:rPr>
        <w:t>, 2018</w:t>
      </w:r>
    </w:p>
    <w:p w:rsidR="00A50CC9" w:rsidRPr="0075380F" w:rsidRDefault="00A50CC9" w:rsidP="006F5A2F">
      <w:pPr>
        <w:spacing w:after="120" w:line="276" w:lineRule="auto"/>
        <w:rPr>
          <w:rFonts w:ascii="Arial" w:hAnsi="Arial" w:cs="Arial"/>
          <w:b/>
          <w:sz w:val="24"/>
          <w:szCs w:val="24"/>
        </w:rPr>
      </w:pPr>
    </w:p>
    <w:p w:rsidR="00017B92" w:rsidRPr="0075380F" w:rsidRDefault="00017B92" w:rsidP="006F5A2F">
      <w:pPr>
        <w:spacing w:after="120" w:line="276" w:lineRule="auto"/>
        <w:rPr>
          <w:rFonts w:ascii="Arial" w:hAnsi="Arial" w:cs="Arial"/>
          <w:b/>
          <w:sz w:val="24"/>
          <w:szCs w:val="24"/>
        </w:rPr>
      </w:pPr>
      <w:r w:rsidRPr="0075380F">
        <w:rPr>
          <w:rFonts w:ascii="Arial" w:hAnsi="Arial" w:cs="Arial"/>
          <w:b/>
          <w:sz w:val="24"/>
          <w:szCs w:val="24"/>
        </w:rPr>
        <w:t>Question #</w:t>
      </w:r>
      <w:r w:rsidR="008A66D5">
        <w:rPr>
          <w:rFonts w:ascii="Arial" w:hAnsi="Arial" w:cs="Arial"/>
          <w:b/>
          <w:sz w:val="24"/>
          <w:szCs w:val="24"/>
        </w:rPr>
        <w:t>1</w:t>
      </w:r>
    </w:p>
    <w:p w:rsidR="0057538A" w:rsidRPr="001747E8" w:rsidRDefault="00017B92" w:rsidP="007E0C0C">
      <w:pPr>
        <w:spacing w:after="120" w:line="240" w:lineRule="auto"/>
        <w:rPr>
          <w:rFonts w:ascii="Arial" w:hAnsi="Arial" w:cs="Arial"/>
          <w:b/>
          <w:sz w:val="24"/>
          <w:szCs w:val="24"/>
        </w:rPr>
      </w:pPr>
      <w:r>
        <w:rPr>
          <w:rFonts w:ascii="Arial" w:hAnsi="Arial" w:cs="Arial"/>
          <w:b/>
          <w:sz w:val="24"/>
          <w:szCs w:val="24"/>
        </w:rPr>
        <w:t xml:space="preserve">Ref: </w:t>
      </w:r>
      <w:r w:rsidR="003A0B75">
        <w:rPr>
          <w:rFonts w:ascii="Arial" w:hAnsi="Arial" w:cs="Arial"/>
          <w:b/>
          <w:sz w:val="24"/>
          <w:szCs w:val="24"/>
        </w:rPr>
        <w:tab/>
      </w:r>
      <w:r w:rsidR="0057538A">
        <w:rPr>
          <w:rFonts w:ascii="Arial" w:hAnsi="Arial" w:cs="Arial"/>
          <w:b/>
          <w:sz w:val="24"/>
          <w:szCs w:val="24"/>
        </w:rPr>
        <w:t xml:space="preserve">IRM Model, Tab </w:t>
      </w:r>
      <w:r w:rsidR="001747E8">
        <w:rPr>
          <w:rFonts w:ascii="Arial" w:hAnsi="Arial" w:cs="Arial"/>
          <w:b/>
          <w:sz w:val="24"/>
          <w:szCs w:val="24"/>
        </w:rPr>
        <w:t>3</w:t>
      </w:r>
    </w:p>
    <w:p w:rsidR="00A50CC9" w:rsidRDefault="001747E8" w:rsidP="00241F6D">
      <w:pPr>
        <w:spacing w:after="120"/>
        <w:rPr>
          <w:rFonts w:ascii="Arial" w:hAnsi="Arial" w:cs="Arial"/>
          <w:b/>
          <w:sz w:val="24"/>
          <w:szCs w:val="24"/>
          <w:lang w:val="en-CA"/>
        </w:rPr>
      </w:pPr>
      <w:r>
        <w:rPr>
          <w:rFonts w:ascii="Arial" w:hAnsi="Arial" w:cs="Arial"/>
          <w:sz w:val="24"/>
          <w:szCs w:val="24"/>
          <w:lang w:val="en-CA"/>
        </w:rPr>
        <w:t>The</w:t>
      </w:r>
      <w:r w:rsidRPr="001747E8">
        <w:rPr>
          <w:rFonts w:ascii="Arial" w:hAnsi="Arial" w:cs="Arial"/>
          <w:sz w:val="24"/>
          <w:szCs w:val="24"/>
          <w:lang w:val="en-CA"/>
        </w:rPr>
        <w:t xml:space="preserve"> updated IRM Model</w:t>
      </w:r>
      <w:r>
        <w:rPr>
          <w:rFonts w:ascii="Arial" w:hAnsi="Arial" w:cs="Arial"/>
          <w:sz w:val="24"/>
          <w:szCs w:val="24"/>
          <w:lang w:val="en-CA"/>
        </w:rPr>
        <w:t xml:space="preserve"> filed in response to the initial OEB staff questions shows a variance between</w:t>
      </w:r>
      <w:r w:rsidR="008A66D5">
        <w:rPr>
          <w:rFonts w:ascii="Arial" w:hAnsi="Arial" w:cs="Arial"/>
          <w:sz w:val="24"/>
          <w:szCs w:val="24"/>
          <w:lang w:val="en-CA"/>
        </w:rPr>
        <w:t xml:space="preserve"> the December 31, 2017 balances </w:t>
      </w:r>
      <w:r w:rsidR="00203ECB">
        <w:rPr>
          <w:rFonts w:ascii="Arial" w:hAnsi="Arial" w:cs="Arial"/>
          <w:sz w:val="24"/>
          <w:szCs w:val="24"/>
          <w:lang w:val="en-CA"/>
        </w:rPr>
        <w:t xml:space="preserve">in the Continuity Schedule </w:t>
      </w:r>
      <w:r w:rsidR="008A66D5">
        <w:rPr>
          <w:rFonts w:ascii="Arial" w:hAnsi="Arial" w:cs="Arial"/>
          <w:sz w:val="24"/>
          <w:szCs w:val="24"/>
          <w:lang w:val="en-CA"/>
        </w:rPr>
        <w:t xml:space="preserve">and </w:t>
      </w:r>
      <w:r w:rsidR="00203ECB">
        <w:rPr>
          <w:rFonts w:ascii="Arial" w:hAnsi="Arial" w:cs="Arial"/>
          <w:sz w:val="24"/>
          <w:szCs w:val="24"/>
          <w:lang w:val="en-CA"/>
        </w:rPr>
        <w:t xml:space="preserve">the balances </w:t>
      </w:r>
      <w:r w:rsidR="008A66D5">
        <w:rPr>
          <w:rFonts w:ascii="Arial" w:hAnsi="Arial" w:cs="Arial"/>
          <w:sz w:val="24"/>
          <w:szCs w:val="24"/>
          <w:lang w:val="en-CA"/>
        </w:rPr>
        <w:t>reported in the RRR</w:t>
      </w:r>
      <w:r w:rsidR="00BC3EE6">
        <w:rPr>
          <w:rFonts w:ascii="Arial" w:hAnsi="Arial" w:cs="Arial"/>
          <w:sz w:val="24"/>
          <w:szCs w:val="24"/>
          <w:lang w:val="en-CA"/>
        </w:rPr>
        <w:t xml:space="preserve"> 2.1.7</w:t>
      </w:r>
      <w:r w:rsidR="00203ECB">
        <w:rPr>
          <w:rFonts w:ascii="Arial" w:hAnsi="Arial" w:cs="Arial"/>
          <w:sz w:val="24"/>
          <w:szCs w:val="24"/>
          <w:lang w:val="en-CA"/>
        </w:rPr>
        <w:t xml:space="preserve"> as of December 31, 2017</w:t>
      </w:r>
      <w:r w:rsidR="00671D04">
        <w:rPr>
          <w:rFonts w:ascii="Arial" w:hAnsi="Arial" w:cs="Arial"/>
          <w:sz w:val="24"/>
          <w:szCs w:val="24"/>
          <w:lang w:val="en-CA"/>
        </w:rPr>
        <w:t xml:space="preserve">. </w:t>
      </w:r>
      <w:r w:rsidR="00BC3EE6">
        <w:rPr>
          <w:rFonts w:ascii="Arial" w:hAnsi="Arial" w:cs="Arial"/>
          <w:sz w:val="24"/>
          <w:szCs w:val="24"/>
          <w:lang w:val="en-CA"/>
        </w:rPr>
        <w:t xml:space="preserve">OEB staff notes that the since the Continuity Schedule should reflect the distributor’s GL, as is the trial balance 2.1.7 filing, there should be no difference in balances as of the same date. </w:t>
      </w:r>
      <w:r w:rsidR="008A66D5">
        <w:rPr>
          <w:rFonts w:ascii="Arial" w:hAnsi="Arial" w:cs="Arial"/>
          <w:sz w:val="24"/>
          <w:szCs w:val="24"/>
          <w:lang w:val="en-CA"/>
        </w:rPr>
        <w:t xml:space="preserve">Please explain why the revised Continuity Schedule is now showing variances.   </w:t>
      </w:r>
    </w:p>
    <w:p w:rsidR="00241F6D" w:rsidRPr="00241F6D" w:rsidRDefault="00241F6D" w:rsidP="00241F6D">
      <w:pPr>
        <w:spacing w:after="120"/>
        <w:rPr>
          <w:rFonts w:ascii="Arial" w:hAnsi="Arial" w:cs="Arial"/>
          <w:b/>
          <w:sz w:val="24"/>
          <w:szCs w:val="24"/>
          <w:lang w:val="en-CA"/>
        </w:rPr>
      </w:pPr>
    </w:p>
    <w:p w:rsidR="00D415B8" w:rsidRPr="00D03BC0" w:rsidRDefault="00D415B8" w:rsidP="00D03BC0">
      <w:pPr>
        <w:spacing w:after="120" w:line="276" w:lineRule="auto"/>
        <w:rPr>
          <w:rFonts w:ascii="Arial" w:hAnsi="Arial" w:cs="Arial"/>
          <w:b/>
          <w:sz w:val="24"/>
          <w:szCs w:val="24"/>
        </w:rPr>
      </w:pPr>
      <w:r>
        <w:rPr>
          <w:rFonts w:ascii="Arial" w:hAnsi="Arial" w:cs="Arial"/>
          <w:b/>
          <w:sz w:val="24"/>
          <w:szCs w:val="24"/>
        </w:rPr>
        <w:t>Question #</w:t>
      </w:r>
      <w:r w:rsidR="00241F6D">
        <w:rPr>
          <w:rFonts w:ascii="Arial" w:hAnsi="Arial" w:cs="Arial"/>
          <w:b/>
          <w:sz w:val="24"/>
          <w:szCs w:val="24"/>
        </w:rPr>
        <w:t>2</w:t>
      </w:r>
    </w:p>
    <w:p w:rsidR="00D415B8" w:rsidRDefault="00D415B8" w:rsidP="00D415B8">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Revenue-to-Cost Ratio Adjustments Model - Tab 14</w:t>
      </w:r>
    </w:p>
    <w:p w:rsidR="00D415B8" w:rsidRDefault="00D415B8" w:rsidP="00D415B8">
      <w:pPr>
        <w:rPr>
          <w:rFonts w:ascii="Arial" w:hAnsi="Arial" w:cs="Arial"/>
          <w:b/>
          <w:sz w:val="24"/>
          <w:szCs w:val="24"/>
        </w:rPr>
      </w:pPr>
      <w:r>
        <w:rPr>
          <w:rFonts w:ascii="Arial" w:hAnsi="Arial" w:cs="Arial"/>
          <w:b/>
          <w:sz w:val="24"/>
          <w:szCs w:val="24"/>
        </w:rPr>
        <w:tab/>
        <w:t>IRM Model - Tab 16</w:t>
      </w:r>
    </w:p>
    <w:p w:rsidR="00824979" w:rsidRPr="00241F6D" w:rsidRDefault="00824979" w:rsidP="007E0C0C">
      <w:pPr>
        <w:spacing w:after="120" w:line="276" w:lineRule="auto"/>
        <w:rPr>
          <w:rFonts w:ascii="Arial" w:hAnsi="Arial" w:cs="Arial"/>
          <w:sz w:val="24"/>
          <w:szCs w:val="24"/>
        </w:rPr>
      </w:pPr>
      <w:r w:rsidRPr="00241F6D">
        <w:rPr>
          <w:rFonts w:ascii="Arial" w:hAnsi="Arial" w:cs="Arial"/>
          <w:sz w:val="24"/>
          <w:szCs w:val="24"/>
        </w:rPr>
        <w:t xml:space="preserve">Please file the 2019 version of the Revenue-to-Cost Ratio Adjustments </w:t>
      </w:r>
      <w:r w:rsidR="007F6043" w:rsidRPr="00241F6D">
        <w:rPr>
          <w:rFonts w:ascii="Arial" w:hAnsi="Arial" w:cs="Arial"/>
          <w:sz w:val="24"/>
          <w:szCs w:val="24"/>
        </w:rPr>
        <w:t>m</w:t>
      </w:r>
      <w:r w:rsidRPr="00241F6D">
        <w:rPr>
          <w:rFonts w:ascii="Arial" w:hAnsi="Arial" w:cs="Arial"/>
          <w:sz w:val="24"/>
          <w:szCs w:val="24"/>
        </w:rPr>
        <w:t>odel which was po</w:t>
      </w:r>
      <w:r w:rsidR="007F6043" w:rsidRPr="00241F6D">
        <w:rPr>
          <w:rFonts w:ascii="Arial" w:hAnsi="Arial" w:cs="Arial"/>
          <w:sz w:val="24"/>
          <w:szCs w:val="24"/>
        </w:rPr>
        <w:t xml:space="preserve">sted on the OEB’s 2019 electricity distribution rates </w:t>
      </w:r>
      <w:hyperlink r:id="rId8" w:history="1">
        <w:r w:rsidR="007F6043" w:rsidRPr="00241F6D">
          <w:rPr>
            <w:rStyle w:val="Hyperlink"/>
            <w:rFonts w:ascii="Arial" w:hAnsi="Arial" w:cs="Arial"/>
            <w:sz w:val="24"/>
            <w:szCs w:val="24"/>
          </w:rPr>
          <w:t>webpage</w:t>
        </w:r>
      </w:hyperlink>
      <w:r w:rsidR="007F6043" w:rsidRPr="00241F6D">
        <w:rPr>
          <w:rFonts w:ascii="Arial" w:hAnsi="Arial" w:cs="Arial"/>
          <w:sz w:val="24"/>
          <w:szCs w:val="24"/>
        </w:rPr>
        <w:t xml:space="preserve"> on August 22, 2018. Please ensure that Tab 1 is completed in the updated model</w:t>
      </w:r>
      <w:r w:rsidR="00F753DE">
        <w:rPr>
          <w:rFonts w:ascii="Arial" w:hAnsi="Arial" w:cs="Arial"/>
          <w:sz w:val="24"/>
          <w:szCs w:val="24"/>
        </w:rPr>
        <w:t>, as no information was inputted into the 2018 version of the model that was filed by Cooperative Hydro Embrun.</w:t>
      </w:r>
    </w:p>
    <w:p w:rsidR="00824979" w:rsidRDefault="00824979" w:rsidP="003C154B">
      <w:pPr>
        <w:spacing w:after="120"/>
        <w:rPr>
          <w:rFonts w:ascii="Arial" w:hAnsi="Arial" w:cs="Arial"/>
          <w:b/>
          <w:sz w:val="20"/>
          <w:szCs w:val="20"/>
        </w:rPr>
      </w:pPr>
    </w:p>
    <w:p w:rsidR="00854785" w:rsidRPr="00D03BC0" w:rsidRDefault="00025576" w:rsidP="00854785">
      <w:pPr>
        <w:spacing w:after="120" w:line="276" w:lineRule="auto"/>
        <w:rPr>
          <w:rFonts w:ascii="Arial" w:hAnsi="Arial" w:cs="Arial"/>
          <w:b/>
          <w:sz w:val="24"/>
          <w:szCs w:val="24"/>
        </w:rPr>
      </w:pPr>
      <w:r>
        <w:rPr>
          <w:rFonts w:ascii="Arial" w:hAnsi="Arial" w:cs="Arial"/>
          <w:b/>
          <w:sz w:val="24"/>
          <w:szCs w:val="24"/>
        </w:rPr>
        <w:t>Question #</w:t>
      </w:r>
      <w:r w:rsidR="00203ECB">
        <w:rPr>
          <w:rFonts w:ascii="Arial" w:hAnsi="Arial" w:cs="Arial"/>
          <w:b/>
          <w:sz w:val="24"/>
          <w:szCs w:val="24"/>
        </w:rPr>
        <w:t>3</w:t>
      </w:r>
    </w:p>
    <w:p w:rsidR="00025576" w:rsidRDefault="00025576" w:rsidP="00025576">
      <w:pPr>
        <w:spacing w:after="0" w:line="240" w:lineRule="auto"/>
        <w:rPr>
          <w:rFonts w:ascii="Arial" w:hAnsi="Arial" w:cs="Arial"/>
          <w:b/>
          <w:sz w:val="24"/>
          <w:szCs w:val="24"/>
        </w:rPr>
      </w:pPr>
      <w:r>
        <w:rPr>
          <w:rFonts w:ascii="Arial" w:hAnsi="Arial" w:cs="Arial"/>
          <w:b/>
          <w:sz w:val="24"/>
          <w:szCs w:val="24"/>
        </w:rPr>
        <w:t xml:space="preserve">Ref: </w:t>
      </w:r>
      <w:r>
        <w:rPr>
          <w:rFonts w:ascii="Arial" w:hAnsi="Arial" w:cs="Arial"/>
          <w:b/>
          <w:sz w:val="24"/>
          <w:szCs w:val="24"/>
        </w:rPr>
        <w:tab/>
        <w:t>GA Analysis Workform</w:t>
      </w:r>
    </w:p>
    <w:p w:rsidR="00025576" w:rsidRDefault="00025576" w:rsidP="00EF33E6">
      <w:pPr>
        <w:spacing w:after="120" w:line="240" w:lineRule="auto"/>
        <w:rPr>
          <w:rFonts w:ascii="Arial" w:hAnsi="Arial" w:cs="Arial"/>
          <w:b/>
          <w:sz w:val="24"/>
          <w:szCs w:val="24"/>
        </w:rPr>
      </w:pPr>
      <w:r>
        <w:rPr>
          <w:rFonts w:ascii="Arial" w:hAnsi="Arial" w:cs="Arial"/>
          <w:b/>
          <w:sz w:val="24"/>
          <w:szCs w:val="24"/>
        </w:rPr>
        <w:tab/>
        <w:t>IRM Model, Tab 3</w:t>
      </w:r>
    </w:p>
    <w:p w:rsidR="00671D04" w:rsidRDefault="00671D04" w:rsidP="003C154B">
      <w:pPr>
        <w:spacing w:after="0" w:line="276" w:lineRule="auto"/>
        <w:rPr>
          <w:rFonts w:ascii="Arial" w:hAnsi="Arial" w:cs="Arial"/>
          <w:sz w:val="24"/>
          <w:szCs w:val="24"/>
        </w:rPr>
      </w:pPr>
      <w:r>
        <w:rPr>
          <w:rFonts w:ascii="Arial" w:hAnsi="Arial" w:cs="Arial"/>
          <w:sz w:val="24"/>
          <w:szCs w:val="24"/>
        </w:rPr>
        <w:t>In response to question #10, Cooperative Hydro Embrun stated the following:</w:t>
      </w:r>
    </w:p>
    <w:p w:rsidR="00671D04" w:rsidRDefault="00671D04" w:rsidP="003C154B">
      <w:pPr>
        <w:spacing w:after="0" w:line="276" w:lineRule="auto"/>
        <w:rPr>
          <w:rFonts w:ascii="Arial" w:hAnsi="Arial" w:cs="Arial"/>
          <w:sz w:val="24"/>
          <w:szCs w:val="24"/>
        </w:rPr>
      </w:pPr>
    </w:p>
    <w:p w:rsidR="00671D04" w:rsidRPr="00671D04" w:rsidRDefault="00671D04" w:rsidP="00671D04">
      <w:pPr>
        <w:spacing w:after="0" w:line="276" w:lineRule="auto"/>
        <w:ind w:left="720"/>
        <w:rPr>
          <w:rFonts w:ascii="Arial" w:hAnsi="Arial" w:cs="Arial"/>
          <w:sz w:val="24"/>
          <w:szCs w:val="24"/>
        </w:rPr>
      </w:pPr>
      <w:r w:rsidRPr="00671D04">
        <w:rPr>
          <w:rFonts w:ascii="Arial" w:hAnsi="Arial" w:cs="Arial"/>
          <w:sz w:val="24"/>
          <w:szCs w:val="24"/>
        </w:rPr>
        <w:t>“cell C62 in</w:t>
      </w:r>
      <w:r>
        <w:rPr>
          <w:rFonts w:ascii="Arial" w:hAnsi="Arial" w:cs="Arial"/>
          <w:sz w:val="24"/>
          <w:szCs w:val="24"/>
        </w:rPr>
        <w:t xml:space="preserve"> the GA Workform was modified. </w:t>
      </w:r>
      <w:r w:rsidRPr="00671D04">
        <w:rPr>
          <w:rFonts w:ascii="Arial" w:hAnsi="Arial" w:cs="Arial"/>
          <w:sz w:val="24"/>
          <w:szCs w:val="24"/>
        </w:rPr>
        <w:t>The cell calculation should have be</w:t>
      </w:r>
      <w:r>
        <w:rPr>
          <w:rFonts w:ascii="Arial" w:hAnsi="Arial" w:cs="Arial"/>
          <w:sz w:val="24"/>
          <w:szCs w:val="24"/>
        </w:rPr>
        <w:t xml:space="preserve">en -14,333 instead of +14,033. </w:t>
      </w:r>
      <w:r w:rsidRPr="00671D04">
        <w:rPr>
          <w:rFonts w:ascii="Arial" w:hAnsi="Arial" w:cs="Arial"/>
          <w:sz w:val="24"/>
          <w:szCs w:val="24"/>
        </w:rPr>
        <w:t>With the change the amount match cell BG 29 in the Continuity schedule.”</w:t>
      </w:r>
    </w:p>
    <w:p w:rsidR="00671D04" w:rsidRPr="00671D04" w:rsidRDefault="00671D04" w:rsidP="003C154B">
      <w:pPr>
        <w:spacing w:after="0" w:line="276" w:lineRule="auto"/>
        <w:rPr>
          <w:rFonts w:ascii="Arial" w:hAnsi="Arial" w:cs="Arial"/>
          <w:b/>
          <w:sz w:val="24"/>
          <w:szCs w:val="24"/>
        </w:rPr>
      </w:pPr>
    </w:p>
    <w:p w:rsidR="007E0C0C" w:rsidRDefault="00671D04" w:rsidP="007E0C0C">
      <w:pPr>
        <w:spacing w:after="120" w:line="276" w:lineRule="auto"/>
        <w:rPr>
          <w:rFonts w:ascii="Arial" w:hAnsi="Arial" w:cs="Arial"/>
          <w:sz w:val="24"/>
          <w:szCs w:val="24"/>
        </w:rPr>
      </w:pPr>
      <w:r w:rsidRPr="00671D04">
        <w:rPr>
          <w:rFonts w:ascii="Arial" w:hAnsi="Arial" w:cs="Arial"/>
          <w:sz w:val="24"/>
          <w:szCs w:val="24"/>
        </w:rPr>
        <w:t xml:space="preserve">OEB staff notes that Cell C62 should only show the </w:t>
      </w:r>
      <w:r w:rsidR="00BC3EE6">
        <w:rPr>
          <w:rFonts w:ascii="Arial" w:hAnsi="Arial" w:cs="Arial"/>
          <w:sz w:val="24"/>
          <w:szCs w:val="24"/>
        </w:rPr>
        <w:t>variances</w:t>
      </w:r>
      <w:r w:rsidR="00BC3EE6" w:rsidRPr="00671D04">
        <w:rPr>
          <w:rFonts w:ascii="Arial" w:hAnsi="Arial" w:cs="Arial"/>
          <w:sz w:val="24"/>
          <w:szCs w:val="24"/>
        </w:rPr>
        <w:t xml:space="preserve"> </w:t>
      </w:r>
      <w:r w:rsidRPr="00671D04">
        <w:rPr>
          <w:rFonts w:ascii="Arial" w:hAnsi="Arial" w:cs="Arial"/>
          <w:sz w:val="24"/>
          <w:szCs w:val="24"/>
        </w:rPr>
        <w:t xml:space="preserve">recorded in the account for </w:t>
      </w:r>
      <w:r w:rsidR="00BC3EE6">
        <w:rPr>
          <w:rFonts w:ascii="Arial" w:hAnsi="Arial" w:cs="Arial"/>
          <w:sz w:val="24"/>
          <w:szCs w:val="24"/>
        </w:rPr>
        <w:t>year. [Note: The mechanics of recording variances is described in</w:t>
      </w:r>
      <w:r w:rsidRPr="00671D04">
        <w:rPr>
          <w:rFonts w:ascii="Arial" w:hAnsi="Arial" w:cs="Arial"/>
          <w:sz w:val="24"/>
          <w:szCs w:val="24"/>
        </w:rPr>
        <w:t xml:space="preserve"> the OEB’s Accounting Procedures Handbook</w:t>
      </w:r>
      <w:r>
        <w:rPr>
          <w:rFonts w:ascii="Arial" w:hAnsi="Arial" w:cs="Arial"/>
          <w:sz w:val="24"/>
          <w:szCs w:val="24"/>
        </w:rPr>
        <w:t xml:space="preserve"> (APH)</w:t>
      </w:r>
      <w:r w:rsidR="00BC3EE6">
        <w:rPr>
          <w:rFonts w:ascii="Arial" w:hAnsi="Arial" w:cs="Arial"/>
          <w:sz w:val="24"/>
          <w:szCs w:val="24"/>
        </w:rPr>
        <w:t>, Article 490]</w:t>
      </w:r>
      <w:r w:rsidRPr="00671D04">
        <w:rPr>
          <w:rFonts w:ascii="Arial" w:hAnsi="Arial" w:cs="Arial"/>
          <w:sz w:val="24"/>
          <w:szCs w:val="24"/>
        </w:rPr>
        <w:t xml:space="preserve">. OEB approved dispositions should not be included </w:t>
      </w:r>
      <w:r w:rsidR="00BC3EE6">
        <w:rPr>
          <w:rFonts w:ascii="Arial" w:hAnsi="Arial" w:cs="Arial"/>
          <w:sz w:val="24"/>
          <w:szCs w:val="24"/>
        </w:rPr>
        <w:t>as part of the transactions in the account</w:t>
      </w:r>
      <w:r w:rsidRPr="00671D04">
        <w:rPr>
          <w:rFonts w:ascii="Arial" w:hAnsi="Arial" w:cs="Arial"/>
          <w:sz w:val="24"/>
          <w:szCs w:val="24"/>
        </w:rPr>
        <w:t xml:space="preserve">, nor are they supposed to be adjusted </w:t>
      </w:r>
      <w:r w:rsidR="00BC3EE6">
        <w:rPr>
          <w:rFonts w:ascii="Arial" w:hAnsi="Arial" w:cs="Arial"/>
          <w:sz w:val="24"/>
          <w:szCs w:val="24"/>
        </w:rPr>
        <w:t>on the GA w</w:t>
      </w:r>
      <w:r w:rsidR="007E0C0C">
        <w:rPr>
          <w:rFonts w:ascii="Arial" w:hAnsi="Arial" w:cs="Arial"/>
          <w:sz w:val="24"/>
          <w:szCs w:val="24"/>
        </w:rPr>
        <w:t>or</w:t>
      </w:r>
      <w:r w:rsidR="00BC3EE6">
        <w:rPr>
          <w:rFonts w:ascii="Arial" w:hAnsi="Arial" w:cs="Arial"/>
          <w:sz w:val="24"/>
          <w:szCs w:val="24"/>
        </w:rPr>
        <w:t xml:space="preserve">kform </w:t>
      </w:r>
      <w:r w:rsidRPr="00671D04">
        <w:rPr>
          <w:rFonts w:ascii="Arial" w:hAnsi="Arial" w:cs="Arial"/>
          <w:sz w:val="24"/>
          <w:szCs w:val="24"/>
        </w:rPr>
        <w:t>(</w:t>
      </w:r>
      <w:r w:rsidR="007E0C0C" w:rsidRPr="00671D04">
        <w:rPr>
          <w:rFonts w:ascii="Arial" w:hAnsi="Arial" w:cs="Arial"/>
          <w:sz w:val="24"/>
          <w:szCs w:val="24"/>
        </w:rPr>
        <w:t>Cooperative</w:t>
      </w:r>
      <w:r w:rsidRPr="00671D04">
        <w:rPr>
          <w:rFonts w:ascii="Arial" w:hAnsi="Arial" w:cs="Arial"/>
          <w:sz w:val="24"/>
          <w:szCs w:val="24"/>
        </w:rPr>
        <w:t xml:space="preserve"> Hydro Embrun is showing it under item 9 on the GA workform). Please update the GA workf</w:t>
      </w:r>
      <w:r w:rsidR="007E0C0C">
        <w:rPr>
          <w:rFonts w:ascii="Arial" w:hAnsi="Arial" w:cs="Arial"/>
          <w:sz w:val="24"/>
          <w:szCs w:val="24"/>
        </w:rPr>
        <w:t>or</w:t>
      </w:r>
      <w:r w:rsidRPr="00671D04">
        <w:rPr>
          <w:rFonts w:ascii="Arial" w:hAnsi="Arial" w:cs="Arial"/>
          <w:sz w:val="24"/>
          <w:szCs w:val="24"/>
        </w:rPr>
        <w:t>m accordingly.</w:t>
      </w:r>
    </w:p>
    <w:p w:rsidR="00282144" w:rsidRPr="00671D04" w:rsidRDefault="00282144" w:rsidP="007E0C0C">
      <w:pPr>
        <w:spacing w:after="120" w:line="276" w:lineRule="auto"/>
        <w:rPr>
          <w:rFonts w:ascii="Arial" w:hAnsi="Arial" w:cs="Arial"/>
          <w:sz w:val="24"/>
          <w:szCs w:val="24"/>
        </w:rPr>
      </w:pPr>
      <w:r w:rsidRPr="00534166">
        <w:rPr>
          <w:rFonts w:ascii="Arial" w:hAnsi="Arial" w:cs="Arial"/>
          <w:b/>
          <w:sz w:val="24"/>
          <w:szCs w:val="24"/>
        </w:rPr>
        <w:lastRenderedPageBreak/>
        <w:t>Question #</w:t>
      </w:r>
      <w:r w:rsidR="00671D04">
        <w:rPr>
          <w:rFonts w:ascii="Arial" w:hAnsi="Arial" w:cs="Arial"/>
          <w:b/>
          <w:sz w:val="24"/>
          <w:szCs w:val="24"/>
        </w:rPr>
        <w:t>4</w:t>
      </w:r>
      <w:r w:rsidR="00D03BC0" w:rsidRPr="00D03BC0">
        <w:rPr>
          <w:rFonts w:ascii="Arial" w:hAnsi="Arial" w:cs="Arial"/>
          <w:b/>
          <w:sz w:val="24"/>
          <w:szCs w:val="24"/>
          <w:highlight w:val="yellow"/>
        </w:rPr>
        <w:t xml:space="preserve"> </w:t>
      </w:r>
    </w:p>
    <w:p w:rsidR="00282144"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Manager’s Summary, page 15</w:t>
      </w:r>
    </w:p>
    <w:p w:rsidR="00C551FE" w:rsidRPr="00671D04" w:rsidRDefault="00671D04" w:rsidP="007E0C0C">
      <w:pPr>
        <w:spacing w:after="120" w:line="276" w:lineRule="auto"/>
        <w:rPr>
          <w:rFonts w:ascii="Arial" w:hAnsi="Arial" w:cs="Arial"/>
          <w:sz w:val="24"/>
          <w:szCs w:val="24"/>
        </w:rPr>
      </w:pPr>
      <w:r w:rsidRPr="00671D04">
        <w:rPr>
          <w:rFonts w:ascii="Arial" w:hAnsi="Arial" w:cs="Arial"/>
          <w:sz w:val="24"/>
          <w:szCs w:val="24"/>
        </w:rPr>
        <w:t xml:space="preserve">OEB staff would like to further clarify </w:t>
      </w:r>
      <w:r w:rsidR="00282144" w:rsidRPr="00671D04">
        <w:rPr>
          <w:rFonts w:ascii="Arial" w:hAnsi="Arial" w:cs="Arial"/>
          <w:sz w:val="24"/>
          <w:szCs w:val="24"/>
        </w:rPr>
        <w:t>Cooperative Hydro Embrun</w:t>
      </w:r>
      <w:r w:rsidRPr="00671D04">
        <w:rPr>
          <w:rFonts w:ascii="Arial" w:hAnsi="Arial" w:cs="Arial"/>
          <w:sz w:val="24"/>
          <w:szCs w:val="24"/>
        </w:rPr>
        <w:t xml:space="preserve">’s response to question #11. </w:t>
      </w:r>
      <w:r w:rsidR="00BE457F" w:rsidRPr="00671D04">
        <w:rPr>
          <w:rFonts w:ascii="Arial" w:hAnsi="Arial" w:cs="Arial"/>
          <w:sz w:val="24"/>
          <w:szCs w:val="24"/>
        </w:rPr>
        <w:t xml:space="preserve">It is not clear how exactly </w:t>
      </w:r>
      <w:r>
        <w:rPr>
          <w:rFonts w:ascii="Arial" w:hAnsi="Arial" w:cs="Arial"/>
          <w:sz w:val="24"/>
          <w:szCs w:val="24"/>
        </w:rPr>
        <w:t xml:space="preserve">the </w:t>
      </w:r>
      <w:r w:rsidR="00BE457F" w:rsidRPr="00671D04">
        <w:rPr>
          <w:rFonts w:ascii="Arial" w:hAnsi="Arial" w:cs="Arial"/>
          <w:sz w:val="24"/>
          <w:szCs w:val="24"/>
        </w:rPr>
        <w:t>RPP settlement</w:t>
      </w:r>
      <w:r w:rsidR="008148A6">
        <w:rPr>
          <w:rFonts w:ascii="Arial" w:hAnsi="Arial" w:cs="Arial"/>
          <w:sz w:val="24"/>
          <w:szCs w:val="24"/>
        </w:rPr>
        <w:t>s are</w:t>
      </w:r>
      <w:r w:rsidR="00BE457F" w:rsidRPr="00671D04">
        <w:rPr>
          <w:rFonts w:ascii="Arial" w:hAnsi="Arial" w:cs="Arial"/>
          <w:sz w:val="24"/>
          <w:szCs w:val="24"/>
        </w:rPr>
        <w:t xml:space="preserve"> calculated. </w:t>
      </w:r>
      <w:r w:rsidRPr="00671D04">
        <w:rPr>
          <w:rFonts w:ascii="Arial" w:hAnsi="Arial" w:cs="Arial"/>
          <w:sz w:val="24"/>
          <w:szCs w:val="24"/>
        </w:rPr>
        <w:t>It appears from the</w:t>
      </w:r>
      <w:r w:rsidR="00BE457F" w:rsidRPr="00671D04">
        <w:rPr>
          <w:rFonts w:ascii="Arial" w:hAnsi="Arial" w:cs="Arial"/>
          <w:sz w:val="24"/>
          <w:szCs w:val="24"/>
        </w:rPr>
        <w:t xml:space="preserve"> response </w:t>
      </w:r>
      <w:r w:rsidRPr="00671D04">
        <w:rPr>
          <w:rFonts w:ascii="Arial" w:hAnsi="Arial" w:cs="Arial"/>
          <w:sz w:val="24"/>
          <w:szCs w:val="24"/>
        </w:rPr>
        <w:t xml:space="preserve">that Cooperative Hydro Embrun </w:t>
      </w:r>
      <w:r w:rsidR="00BE457F" w:rsidRPr="00671D04">
        <w:rPr>
          <w:rFonts w:ascii="Arial" w:hAnsi="Arial" w:cs="Arial"/>
          <w:sz w:val="24"/>
          <w:szCs w:val="24"/>
        </w:rPr>
        <w:t xml:space="preserve">is settling for the difference between </w:t>
      </w:r>
      <w:r w:rsidR="00F3242D" w:rsidRPr="00671D04">
        <w:rPr>
          <w:rFonts w:ascii="Arial" w:hAnsi="Arial" w:cs="Arial"/>
          <w:sz w:val="24"/>
          <w:szCs w:val="24"/>
        </w:rPr>
        <w:t xml:space="preserve">revenue collected, i.e. </w:t>
      </w:r>
      <w:r w:rsidR="00BE457F" w:rsidRPr="00671D04">
        <w:rPr>
          <w:rFonts w:ascii="Arial" w:hAnsi="Arial" w:cs="Arial"/>
          <w:sz w:val="24"/>
          <w:szCs w:val="24"/>
        </w:rPr>
        <w:t xml:space="preserve">RPP price vs. </w:t>
      </w:r>
      <w:r w:rsidR="00F3242D" w:rsidRPr="00671D04">
        <w:rPr>
          <w:rFonts w:ascii="Arial" w:hAnsi="Arial" w:cs="Arial"/>
          <w:sz w:val="24"/>
          <w:szCs w:val="24"/>
        </w:rPr>
        <w:t xml:space="preserve">only </w:t>
      </w:r>
      <w:r w:rsidR="00BE457F" w:rsidRPr="00671D04">
        <w:rPr>
          <w:rFonts w:ascii="Arial" w:hAnsi="Arial" w:cs="Arial"/>
          <w:sz w:val="24"/>
          <w:szCs w:val="24"/>
        </w:rPr>
        <w:t xml:space="preserve">HOEP, which is not correct. RPP settlement involves calculating the difference between RPP price at each ToU/Tiered price and cost of power which includes hourly price plus actual GA. </w:t>
      </w:r>
      <w:r w:rsidRPr="00671D04">
        <w:rPr>
          <w:rFonts w:ascii="Arial" w:hAnsi="Arial" w:cs="Arial"/>
          <w:sz w:val="24"/>
          <w:szCs w:val="24"/>
        </w:rPr>
        <w:t>Please explain whether</w:t>
      </w:r>
      <w:r w:rsidR="00BE457F" w:rsidRPr="00671D04">
        <w:rPr>
          <w:rFonts w:ascii="Arial" w:hAnsi="Arial" w:cs="Arial"/>
          <w:sz w:val="24"/>
          <w:szCs w:val="24"/>
        </w:rPr>
        <w:t xml:space="preserve"> </w:t>
      </w:r>
      <w:r w:rsidRPr="00671D04">
        <w:rPr>
          <w:rFonts w:ascii="Arial" w:hAnsi="Arial" w:cs="Arial"/>
          <w:sz w:val="24"/>
          <w:szCs w:val="24"/>
        </w:rPr>
        <w:t>Cooperative Hydro Embrun is</w:t>
      </w:r>
      <w:r w:rsidR="00BE457F" w:rsidRPr="00671D04">
        <w:rPr>
          <w:rFonts w:ascii="Arial" w:hAnsi="Arial" w:cs="Arial"/>
          <w:sz w:val="24"/>
          <w:szCs w:val="24"/>
        </w:rPr>
        <w:t xml:space="preserve"> ignoring GA costs for RPP customers in its calculations</w:t>
      </w:r>
      <w:r w:rsidRPr="00671D04">
        <w:rPr>
          <w:rFonts w:ascii="Arial" w:hAnsi="Arial" w:cs="Arial"/>
          <w:sz w:val="24"/>
          <w:szCs w:val="24"/>
        </w:rPr>
        <w:t>.</w:t>
      </w:r>
    </w:p>
    <w:p w:rsidR="008631DE" w:rsidRPr="00534166" w:rsidRDefault="008631DE" w:rsidP="006F5A2F">
      <w:pPr>
        <w:spacing w:after="120" w:line="276" w:lineRule="auto"/>
        <w:rPr>
          <w:rFonts w:ascii="Arial" w:hAnsi="Arial" w:cs="Arial"/>
          <w:sz w:val="24"/>
          <w:szCs w:val="24"/>
        </w:rPr>
      </w:pPr>
    </w:p>
    <w:p w:rsidR="00C551FE" w:rsidRPr="00534166" w:rsidRDefault="00282144" w:rsidP="006F5A2F">
      <w:pPr>
        <w:spacing w:after="120" w:line="276" w:lineRule="auto"/>
        <w:rPr>
          <w:rFonts w:ascii="Arial" w:hAnsi="Arial" w:cs="Arial"/>
          <w:b/>
          <w:sz w:val="24"/>
          <w:szCs w:val="24"/>
        </w:rPr>
      </w:pPr>
      <w:r w:rsidRPr="00534166">
        <w:rPr>
          <w:rFonts w:ascii="Arial" w:hAnsi="Arial" w:cs="Arial"/>
          <w:b/>
          <w:sz w:val="24"/>
          <w:szCs w:val="24"/>
        </w:rPr>
        <w:t>Question #</w:t>
      </w:r>
      <w:r w:rsidR="00671D04">
        <w:rPr>
          <w:rFonts w:ascii="Arial" w:hAnsi="Arial" w:cs="Arial"/>
          <w:b/>
          <w:sz w:val="24"/>
          <w:szCs w:val="24"/>
        </w:rPr>
        <w:t>5</w:t>
      </w:r>
      <w:r w:rsidR="00D03BC0" w:rsidRPr="00D03BC0">
        <w:rPr>
          <w:rFonts w:ascii="Arial" w:hAnsi="Arial" w:cs="Arial"/>
          <w:b/>
          <w:sz w:val="24"/>
          <w:szCs w:val="24"/>
          <w:highlight w:val="yellow"/>
        </w:rPr>
        <w:t xml:space="preserve"> </w:t>
      </w:r>
    </w:p>
    <w:p w:rsidR="0030022B" w:rsidRPr="00534166" w:rsidRDefault="00282144" w:rsidP="006F5A2F">
      <w:pPr>
        <w:spacing w:line="276" w:lineRule="auto"/>
        <w:rPr>
          <w:rFonts w:ascii="Arial" w:hAnsi="Arial" w:cs="Arial"/>
          <w:b/>
          <w:sz w:val="24"/>
          <w:szCs w:val="24"/>
        </w:rPr>
      </w:pPr>
      <w:r w:rsidRPr="00534166">
        <w:rPr>
          <w:rFonts w:ascii="Arial" w:hAnsi="Arial" w:cs="Arial"/>
          <w:b/>
          <w:sz w:val="24"/>
          <w:szCs w:val="24"/>
        </w:rPr>
        <w:t xml:space="preserve">Ref: </w:t>
      </w:r>
      <w:r w:rsidRPr="00534166">
        <w:rPr>
          <w:rFonts w:ascii="Arial" w:hAnsi="Arial" w:cs="Arial"/>
          <w:b/>
          <w:sz w:val="24"/>
          <w:szCs w:val="24"/>
        </w:rPr>
        <w:tab/>
        <w:t xml:space="preserve">Accounts 1588 and 1589 </w:t>
      </w:r>
      <w:r w:rsidR="005716F5" w:rsidRPr="00534166">
        <w:rPr>
          <w:rFonts w:ascii="Arial" w:hAnsi="Arial" w:cs="Arial"/>
          <w:b/>
          <w:sz w:val="24"/>
          <w:szCs w:val="24"/>
        </w:rPr>
        <w:t>Questions</w:t>
      </w:r>
    </w:p>
    <w:p w:rsidR="00671D04" w:rsidRDefault="00671D04" w:rsidP="00F3242D">
      <w:pPr>
        <w:rPr>
          <w:rFonts w:ascii="Arial" w:hAnsi="Arial" w:cs="Arial"/>
          <w:color w:val="FF0000"/>
          <w:sz w:val="24"/>
          <w:szCs w:val="24"/>
        </w:rPr>
      </w:pPr>
      <w:r w:rsidRPr="00671D04">
        <w:rPr>
          <w:rFonts w:ascii="Arial" w:hAnsi="Arial" w:cs="Arial"/>
          <w:sz w:val="24"/>
          <w:szCs w:val="24"/>
        </w:rPr>
        <w:t>OEB staff would like to further clarify Cooperative Hydro Embrun’s response to question #1</w:t>
      </w:r>
      <w:r>
        <w:rPr>
          <w:rFonts w:ascii="Arial" w:hAnsi="Arial" w:cs="Arial"/>
          <w:sz w:val="24"/>
          <w:szCs w:val="24"/>
        </w:rPr>
        <w:t>2</w:t>
      </w:r>
      <w:r w:rsidRPr="00671D04">
        <w:rPr>
          <w:rFonts w:ascii="Arial" w:hAnsi="Arial" w:cs="Arial"/>
          <w:sz w:val="24"/>
          <w:szCs w:val="24"/>
        </w:rPr>
        <w:t xml:space="preserve">. </w:t>
      </w:r>
    </w:p>
    <w:p w:rsidR="00F3242D" w:rsidRPr="00671D04" w:rsidRDefault="00F3242D" w:rsidP="00671D04">
      <w:pPr>
        <w:pStyle w:val="ListParagraph"/>
        <w:numPr>
          <w:ilvl w:val="0"/>
          <w:numId w:val="25"/>
        </w:numPr>
        <w:rPr>
          <w:rFonts w:ascii="Arial" w:hAnsi="Arial" w:cs="Arial"/>
          <w:sz w:val="24"/>
          <w:szCs w:val="24"/>
          <w:lang w:val="en-CA"/>
        </w:rPr>
      </w:pPr>
      <w:r w:rsidRPr="00671D04">
        <w:rPr>
          <w:rFonts w:ascii="Arial" w:hAnsi="Arial" w:cs="Arial"/>
          <w:sz w:val="24"/>
          <w:szCs w:val="24"/>
        </w:rPr>
        <w:t>G</w:t>
      </w:r>
      <w:r w:rsidR="00671D04">
        <w:rPr>
          <w:rFonts w:ascii="Arial" w:hAnsi="Arial" w:cs="Arial"/>
          <w:sz w:val="24"/>
          <w:szCs w:val="24"/>
        </w:rPr>
        <w:t xml:space="preserve">lobal </w:t>
      </w:r>
      <w:r w:rsidR="007E0C0C" w:rsidRPr="00671D04">
        <w:rPr>
          <w:rFonts w:ascii="Arial" w:hAnsi="Arial" w:cs="Arial"/>
          <w:sz w:val="24"/>
          <w:szCs w:val="24"/>
        </w:rPr>
        <w:t>A</w:t>
      </w:r>
      <w:r w:rsidR="007E0C0C">
        <w:rPr>
          <w:rFonts w:ascii="Arial" w:hAnsi="Arial" w:cs="Arial"/>
          <w:sz w:val="24"/>
          <w:szCs w:val="24"/>
        </w:rPr>
        <w:t>djustment</w:t>
      </w:r>
      <w:r w:rsidRPr="00671D04">
        <w:rPr>
          <w:rFonts w:ascii="Arial" w:hAnsi="Arial" w:cs="Arial"/>
          <w:sz w:val="24"/>
          <w:szCs w:val="24"/>
        </w:rPr>
        <w:t xml:space="preserve"> costs are paid </w:t>
      </w:r>
      <w:r w:rsidR="008148A6">
        <w:rPr>
          <w:rFonts w:ascii="Arial" w:hAnsi="Arial" w:cs="Arial"/>
          <w:sz w:val="24"/>
          <w:szCs w:val="24"/>
        </w:rPr>
        <w:t>by</w:t>
      </w:r>
      <w:r w:rsidR="008148A6" w:rsidRPr="00671D04">
        <w:rPr>
          <w:rFonts w:ascii="Arial" w:hAnsi="Arial" w:cs="Arial"/>
          <w:sz w:val="24"/>
          <w:szCs w:val="24"/>
        </w:rPr>
        <w:t xml:space="preserve"> </w:t>
      </w:r>
      <w:r w:rsidRPr="00671D04">
        <w:rPr>
          <w:rFonts w:ascii="Arial" w:hAnsi="Arial" w:cs="Arial"/>
          <w:sz w:val="24"/>
          <w:szCs w:val="24"/>
        </w:rPr>
        <w:t>all customers. Why does C</w:t>
      </w:r>
      <w:r w:rsidR="00671D04" w:rsidRPr="00671D04">
        <w:rPr>
          <w:rFonts w:ascii="Arial" w:hAnsi="Arial" w:cs="Arial"/>
          <w:sz w:val="24"/>
          <w:szCs w:val="24"/>
        </w:rPr>
        <w:t>ooperative Hydro Embrun</w:t>
      </w:r>
      <w:r w:rsidRPr="00671D04">
        <w:rPr>
          <w:rFonts w:ascii="Arial" w:hAnsi="Arial" w:cs="Arial"/>
          <w:sz w:val="24"/>
          <w:szCs w:val="24"/>
        </w:rPr>
        <w:t xml:space="preserve"> not record RPP customers’ portion of CT 148 in Account 4705?</w:t>
      </w:r>
    </w:p>
    <w:p w:rsidR="00541E92" w:rsidRPr="00671D04" w:rsidRDefault="00F3242D" w:rsidP="00671D04">
      <w:pPr>
        <w:pStyle w:val="ListParagraph"/>
        <w:numPr>
          <w:ilvl w:val="0"/>
          <w:numId w:val="25"/>
        </w:numPr>
        <w:rPr>
          <w:rFonts w:ascii="Arial" w:hAnsi="Arial" w:cs="Arial"/>
          <w:sz w:val="24"/>
          <w:szCs w:val="24"/>
          <w:lang w:val="en-CA"/>
        </w:rPr>
      </w:pPr>
      <w:r w:rsidRPr="00671D04">
        <w:rPr>
          <w:rFonts w:ascii="Arial" w:hAnsi="Arial" w:cs="Arial"/>
          <w:sz w:val="24"/>
          <w:szCs w:val="24"/>
        </w:rPr>
        <w:t xml:space="preserve">Please provide the specific reference to the OEB issued guidance/APH where the OEB has stated that </w:t>
      </w:r>
      <w:r w:rsidRPr="007E0C0C">
        <w:rPr>
          <w:rFonts w:ascii="Arial" w:hAnsi="Arial" w:cs="Arial"/>
          <w:sz w:val="24"/>
          <w:szCs w:val="24"/>
          <w:u w:val="single"/>
        </w:rPr>
        <w:t>all</w:t>
      </w:r>
      <w:r w:rsidRPr="00671D04">
        <w:rPr>
          <w:rFonts w:ascii="Arial" w:hAnsi="Arial" w:cs="Arial"/>
          <w:sz w:val="24"/>
          <w:szCs w:val="24"/>
        </w:rPr>
        <w:t xml:space="preserve"> GA costs are to be recorded in Account 4707.</w:t>
      </w:r>
    </w:p>
    <w:p w:rsidR="004D1C33" w:rsidRDefault="004D1C33" w:rsidP="00541E92">
      <w:pPr>
        <w:rPr>
          <w:rFonts w:ascii="Arial" w:hAnsi="Arial" w:cs="Arial"/>
          <w:color w:val="2E74B5" w:themeColor="accent1" w:themeShade="BF"/>
          <w:sz w:val="24"/>
          <w:szCs w:val="24"/>
          <w:lang w:val="en-CA"/>
        </w:rPr>
      </w:pPr>
    </w:p>
    <w:p w:rsidR="004D1C33" w:rsidRDefault="004D1C33" w:rsidP="00541E92">
      <w:pPr>
        <w:rPr>
          <w:rFonts w:ascii="Arial" w:hAnsi="Arial" w:cs="Arial"/>
          <w:color w:val="2E74B5" w:themeColor="accent1" w:themeShade="BF"/>
          <w:sz w:val="24"/>
          <w:szCs w:val="24"/>
          <w:lang w:val="en-CA"/>
        </w:rPr>
      </w:pPr>
      <w:r>
        <w:rPr>
          <w:rFonts w:ascii="Arial" w:hAnsi="Arial" w:cs="Arial"/>
          <w:color w:val="2E74B5" w:themeColor="accent1" w:themeShade="BF"/>
          <w:sz w:val="24"/>
          <w:szCs w:val="24"/>
          <w:lang w:val="en-CA"/>
        </w:rPr>
        <w:tab/>
      </w:r>
    </w:p>
    <w:p w:rsidR="00541E92" w:rsidRPr="00541E92" w:rsidRDefault="00541E92" w:rsidP="00541E92">
      <w:pPr>
        <w:rPr>
          <w:rFonts w:ascii="Arial" w:hAnsi="Arial" w:cs="Arial"/>
          <w:color w:val="2E74B5" w:themeColor="accent1" w:themeShade="BF"/>
          <w:sz w:val="24"/>
          <w:szCs w:val="24"/>
          <w:lang w:val="en-CA"/>
        </w:rPr>
      </w:pPr>
    </w:p>
    <w:sectPr w:rsidR="00541E92" w:rsidRPr="00541E9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2A2" w:rsidRDefault="004402A2" w:rsidP="00A774ED">
      <w:pPr>
        <w:spacing w:after="0" w:line="240" w:lineRule="auto"/>
      </w:pPr>
      <w:r>
        <w:separator/>
      </w:r>
    </w:p>
  </w:endnote>
  <w:endnote w:type="continuationSeparator" w:id="0">
    <w:p w:rsidR="004402A2" w:rsidRDefault="004402A2" w:rsidP="00A7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871537"/>
      <w:docPartObj>
        <w:docPartGallery w:val="Page Numbers (Bottom of Page)"/>
        <w:docPartUnique/>
      </w:docPartObj>
    </w:sdtPr>
    <w:sdtEndPr/>
    <w:sdtContent>
      <w:sdt>
        <w:sdtPr>
          <w:id w:val="-1769616900"/>
          <w:docPartObj>
            <w:docPartGallery w:val="Page Numbers (Top of Page)"/>
            <w:docPartUnique/>
          </w:docPartObj>
        </w:sdtPr>
        <w:sdtEndPr/>
        <w:sdtContent>
          <w:p w:rsidR="00A774ED" w:rsidRDefault="00A774ED">
            <w:pPr>
              <w:pStyle w:val="Footer"/>
              <w:jc w:val="right"/>
            </w:pPr>
            <w:r>
              <w:t xml:space="preserve">Page </w:t>
            </w:r>
            <w:r w:rsidRPr="00CA3193">
              <w:rPr>
                <w:bCs/>
                <w:sz w:val="24"/>
                <w:szCs w:val="24"/>
              </w:rPr>
              <w:fldChar w:fldCharType="begin"/>
            </w:r>
            <w:r w:rsidRPr="00CA3193">
              <w:rPr>
                <w:bCs/>
              </w:rPr>
              <w:instrText xml:space="preserve"> PAGE </w:instrText>
            </w:r>
            <w:r w:rsidRPr="00CA3193">
              <w:rPr>
                <w:bCs/>
                <w:sz w:val="24"/>
                <w:szCs w:val="24"/>
              </w:rPr>
              <w:fldChar w:fldCharType="separate"/>
            </w:r>
            <w:r w:rsidR="009E69E9">
              <w:rPr>
                <w:bCs/>
                <w:noProof/>
              </w:rPr>
              <w:t>1</w:t>
            </w:r>
            <w:r w:rsidRPr="00CA3193">
              <w:rPr>
                <w:bCs/>
                <w:sz w:val="24"/>
                <w:szCs w:val="24"/>
              </w:rPr>
              <w:fldChar w:fldCharType="end"/>
            </w:r>
            <w:r w:rsidRPr="00CA3193">
              <w:t xml:space="preserve"> of </w:t>
            </w:r>
            <w:r w:rsidRPr="00CA3193">
              <w:rPr>
                <w:bCs/>
                <w:sz w:val="24"/>
                <w:szCs w:val="24"/>
              </w:rPr>
              <w:fldChar w:fldCharType="begin"/>
            </w:r>
            <w:r w:rsidRPr="00CA3193">
              <w:rPr>
                <w:bCs/>
              </w:rPr>
              <w:instrText xml:space="preserve"> NUMPAGES  </w:instrText>
            </w:r>
            <w:r w:rsidRPr="00CA3193">
              <w:rPr>
                <w:bCs/>
                <w:sz w:val="24"/>
                <w:szCs w:val="24"/>
              </w:rPr>
              <w:fldChar w:fldCharType="separate"/>
            </w:r>
            <w:r w:rsidR="009E69E9">
              <w:rPr>
                <w:bCs/>
                <w:noProof/>
              </w:rPr>
              <w:t>1</w:t>
            </w:r>
            <w:r w:rsidRPr="00CA3193">
              <w:rPr>
                <w:bCs/>
                <w:sz w:val="24"/>
                <w:szCs w:val="24"/>
              </w:rPr>
              <w:fldChar w:fldCharType="end"/>
            </w:r>
          </w:p>
        </w:sdtContent>
      </w:sdt>
    </w:sdtContent>
  </w:sdt>
  <w:p w:rsidR="00A774ED" w:rsidRDefault="00A77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2A2" w:rsidRDefault="004402A2" w:rsidP="00A774ED">
      <w:pPr>
        <w:spacing w:after="0" w:line="240" w:lineRule="auto"/>
      </w:pPr>
      <w:r>
        <w:separator/>
      </w:r>
    </w:p>
  </w:footnote>
  <w:footnote w:type="continuationSeparator" w:id="0">
    <w:p w:rsidR="004402A2" w:rsidRDefault="004402A2" w:rsidP="00A77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D6C83"/>
    <w:multiLevelType w:val="hybridMultilevel"/>
    <w:tmpl w:val="6C4C1E30"/>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821DB"/>
    <w:multiLevelType w:val="hybridMultilevel"/>
    <w:tmpl w:val="1C76381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A67D4"/>
    <w:multiLevelType w:val="hybridMultilevel"/>
    <w:tmpl w:val="EED611A8"/>
    <w:lvl w:ilvl="0" w:tplc="B2F018A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277938"/>
    <w:multiLevelType w:val="hybridMultilevel"/>
    <w:tmpl w:val="76D433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03715"/>
    <w:multiLevelType w:val="hybridMultilevel"/>
    <w:tmpl w:val="A3E29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045D6"/>
    <w:multiLevelType w:val="hybridMultilevel"/>
    <w:tmpl w:val="DE8A18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950A39"/>
    <w:multiLevelType w:val="hybridMultilevel"/>
    <w:tmpl w:val="A9C0CD3C"/>
    <w:lvl w:ilvl="0" w:tplc="A2B6BE6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9048A"/>
    <w:multiLevelType w:val="hybridMultilevel"/>
    <w:tmpl w:val="C18C9B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1D692F"/>
    <w:multiLevelType w:val="multilevel"/>
    <w:tmpl w:val="695A43C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FD3AC5"/>
    <w:multiLevelType w:val="hybridMultilevel"/>
    <w:tmpl w:val="C88A0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02A10"/>
    <w:multiLevelType w:val="hybridMultilevel"/>
    <w:tmpl w:val="D66C97C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9B639F"/>
    <w:multiLevelType w:val="hybridMultilevel"/>
    <w:tmpl w:val="1DB4029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9AA5CE6"/>
    <w:multiLevelType w:val="hybridMultilevel"/>
    <w:tmpl w:val="F77AC42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D1478C3"/>
    <w:multiLevelType w:val="hybridMultilevel"/>
    <w:tmpl w:val="59801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047B0"/>
    <w:multiLevelType w:val="hybridMultilevel"/>
    <w:tmpl w:val="EC2E68A4"/>
    <w:lvl w:ilvl="0" w:tplc="04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3F5E4B66"/>
    <w:multiLevelType w:val="hybridMultilevel"/>
    <w:tmpl w:val="B83E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D0282A"/>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47161"/>
    <w:multiLevelType w:val="hybridMultilevel"/>
    <w:tmpl w:val="77462C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2B31A4"/>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526D7D"/>
    <w:multiLevelType w:val="hybridMultilevel"/>
    <w:tmpl w:val="3484253A"/>
    <w:lvl w:ilvl="0" w:tplc="332ED0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76A0B"/>
    <w:multiLevelType w:val="hybridMultilevel"/>
    <w:tmpl w:val="4C4EA86C"/>
    <w:lvl w:ilvl="0" w:tplc="CE10F0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DE0327"/>
    <w:multiLevelType w:val="hybridMultilevel"/>
    <w:tmpl w:val="1B20254C"/>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7"/>
  </w:num>
  <w:num w:numId="2">
    <w:abstractNumId w:val="8"/>
  </w:num>
  <w:num w:numId="3">
    <w:abstractNumId w:val="1"/>
  </w:num>
  <w:num w:numId="4">
    <w:abstractNumId w:val="22"/>
  </w:num>
  <w:num w:numId="5">
    <w:abstractNumId w:val="23"/>
  </w:num>
  <w:num w:numId="6">
    <w:abstractNumId w:val="3"/>
  </w:num>
  <w:num w:numId="7">
    <w:abstractNumId w:val="6"/>
  </w:num>
  <w:num w:numId="8">
    <w:abstractNumId w:val="18"/>
  </w:num>
  <w:num w:numId="9">
    <w:abstractNumId w:val="5"/>
  </w:num>
  <w:num w:numId="10">
    <w:abstractNumId w:val="2"/>
  </w:num>
  <w:num w:numId="11">
    <w:abstractNumId w:val="14"/>
  </w:num>
  <w:num w:numId="12">
    <w:abstractNumId w:val="0"/>
  </w:num>
  <w:num w:numId="13">
    <w:abstractNumId w:val="9"/>
  </w:num>
  <w:num w:numId="14">
    <w:abstractNumId w:val="10"/>
  </w:num>
  <w:num w:numId="15">
    <w:abstractNumId w:val="11"/>
  </w:num>
  <w:num w:numId="16">
    <w:abstractNumId w:val="16"/>
  </w:num>
  <w:num w:numId="17">
    <w:abstractNumId w:val="15"/>
  </w:num>
  <w:num w:numId="18">
    <w:abstractNumId w:val="15"/>
  </w:num>
  <w:num w:numId="19">
    <w:abstractNumId w:val="4"/>
  </w:num>
  <w:num w:numId="20">
    <w:abstractNumId w:val="20"/>
  </w:num>
  <w:num w:numId="21">
    <w:abstractNumId w:val="21"/>
  </w:num>
  <w:num w:numId="22">
    <w:abstractNumId w:val="12"/>
  </w:num>
  <w:num w:numId="23">
    <w:abstractNumId w:val="19"/>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SzMDI2NzIysjQzMjBX0lEKTi0uzszPAykwqgUAwGMvbywAAAA="/>
  </w:docVars>
  <w:rsids>
    <w:rsidRoot w:val="005406CC"/>
    <w:rsid w:val="00017B92"/>
    <w:rsid w:val="00025576"/>
    <w:rsid w:val="00040CD7"/>
    <w:rsid w:val="000521A6"/>
    <w:rsid w:val="00053209"/>
    <w:rsid w:val="0005628D"/>
    <w:rsid w:val="00084A8A"/>
    <w:rsid w:val="000A6E7B"/>
    <w:rsid w:val="000A753C"/>
    <w:rsid w:val="000B03EB"/>
    <w:rsid w:val="000B78BE"/>
    <w:rsid w:val="00110C8C"/>
    <w:rsid w:val="001169CC"/>
    <w:rsid w:val="001704E3"/>
    <w:rsid w:val="001747E8"/>
    <w:rsid w:val="00180F79"/>
    <w:rsid w:val="001F21DC"/>
    <w:rsid w:val="001F7A6D"/>
    <w:rsid w:val="00203ECB"/>
    <w:rsid w:val="00230B43"/>
    <w:rsid w:val="00241F6D"/>
    <w:rsid w:val="002460E7"/>
    <w:rsid w:val="00282144"/>
    <w:rsid w:val="00287E18"/>
    <w:rsid w:val="002A5699"/>
    <w:rsid w:val="002C3B4D"/>
    <w:rsid w:val="002C6322"/>
    <w:rsid w:val="002D435B"/>
    <w:rsid w:val="002D76FE"/>
    <w:rsid w:val="0030022B"/>
    <w:rsid w:val="003629D4"/>
    <w:rsid w:val="0037671F"/>
    <w:rsid w:val="003A0B75"/>
    <w:rsid w:val="003A38D8"/>
    <w:rsid w:val="003B65EA"/>
    <w:rsid w:val="003C154B"/>
    <w:rsid w:val="003E3A51"/>
    <w:rsid w:val="00431EC6"/>
    <w:rsid w:val="00437AA5"/>
    <w:rsid w:val="004402A2"/>
    <w:rsid w:val="00443DBF"/>
    <w:rsid w:val="0045694B"/>
    <w:rsid w:val="004743CF"/>
    <w:rsid w:val="004A282A"/>
    <w:rsid w:val="004C3CB9"/>
    <w:rsid w:val="004C7EAC"/>
    <w:rsid w:val="004D11C2"/>
    <w:rsid w:val="004D1C33"/>
    <w:rsid w:val="004E1217"/>
    <w:rsid w:val="00534166"/>
    <w:rsid w:val="005406CC"/>
    <w:rsid w:val="00541E92"/>
    <w:rsid w:val="00555ABA"/>
    <w:rsid w:val="00555EAD"/>
    <w:rsid w:val="005716F5"/>
    <w:rsid w:val="0057538A"/>
    <w:rsid w:val="00575D28"/>
    <w:rsid w:val="00587DA3"/>
    <w:rsid w:val="005A0BEE"/>
    <w:rsid w:val="005E79FF"/>
    <w:rsid w:val="00610EBA"/>
    <w:rsid w:val="006604EC"/>
    <w:rsid w:val="006669B4"/>
    <w:rsid w:val="00671D04"/>
    <w:rsid w:val="00676009"/>
    <w:rsid w:val="006A02BB"/>
    <w:rsid w:val="006B72CA"/>
    <w:rsid w:val="006F5A2F"/>
    <w:rsid w:val="00706F9A"/>
    <w:rsid w:val="00712F22"/>
    <w:rsid w:val="0074464E"/>
    <w:rsid w:val="00746A76"/>
    <w:rsid w:val="0075380F"/>
    <w:rsid w:val="0078197A"/>
    <w:rsid w:val="00785EAE"/>
    <w:rsid w:val="007A7743"/>
    <w:rsid w:val="007D0C91"/>
    <w:rsid w:val="007D0EA8"/>
    <w:rsid w:val="007D401F"/>
    <w:rsid w:val="007E0C0C"/>
    <w:rsid w:val="007F6043"/>
    <w:rsid w:val="008148A6"/>
    <w:rsid w:val="00824979"/>
    <w:rsid w:val="00824E96"/>
    <w:rsid w:val="008267C7"/>
    <w:rsid w:val="00850A2F"/>
    <w:rsid w:val="00854785"/>
    <w:rsid w:val="0086031B"/>
    <w:rsid w:val="008631DE"/>
    <w:rsid w:val="008663C9"/>
    <w:rsid w:val="00872388"/>
    <w:rsid w:val="008A66D5"/>
    <w:rsid w:val="008B73E8"/>
    <w:rsid w:val="008C6E69"/>
    <w:rsid w:val="008D1333"/>
    <w:rsid w:val="00931183"/>
    <w:rsid w:val="0094532F"/>
    <w:rsid w:val="00951598"/>
    <w:rsid w:val="009A722C"/>
    <w:rsid w:val="009B55DA"/>
    <w:rsid w:val="009C65EE"/>
    <w:rsid w:val="009D1DE8"/>
    <w:rsid w:val="009E69E9"/>
    <w:rsid w:val="00A1250E"/>
    <w:rsid w:val="00A25E50"/>
    <w:rsid w:val="00A3459A"/>
    <w:rsid w:val="00A50CC9"/>
    <w:rsid w:val="00A774ED"/>
    <w:rsid w:val="00A92F18"/>
    <w:rsid w:val="00AA6804"/>
    <w:rsid w:val="00AC17F1"/>
    <w:rsid w:val="00AC2579"/>
    <w:rsid w:val="00AC4375"/>
    <w:rsid w:val="00AC64D2"/>
    <w:rsid w:val="00AD682F"/>
    <w:rsid w:val="00B119F9"/>
    <w:rsid w:val="00B573E2"/>
    <w:rsid w:val="00B805A4"/>
    <w:rsid w:val="00BA0CFD"/>
    <w:rsid w:val="00BB071F"/>
    <w:rsid w:val="00BC2631"/>
    <w:rsid w:val="00BC3EE6"/>
    <w:rsid w:val="00BE457F"/>
    <w:rsid w:val="00C2336F"/>
    <w:rsid w:val="00C41FDB"/>
    <w:rsid w:val="00C4437A"/>
    <w:rsid w:val="00C44872"/>
    <w:rsid w:val="00C551FE"/>
    <w:rsid w:val="00C67804"/>
    <w:rsid w:val="00CA259B"/>
    <w:rsid w:val="00CA3193"/>
    <w:rsid w:val="00CD3007"/>
    <w:rsid w:val="00CE151F"/>
    <w:rsid w:val="00CF5F61"/>
    <w:rsid w:val="00D01897"/>
    <w:rsid w:val="00D03BC0"/>
    <w:rsid w:val="00D415B8"/>
    <w:rsid w:val="00D63B09"/>
    <w:rsid w:val="00DE5D28"/>
    <w:rsid w:val="00E22347"/>
    <w:rsid w:val="00E953CF"/>
    <w:rsid w:val="00EC2491"/>
    <w:rsid w:val="00EF33E6"/>
    <w:rsid w:val="00F077CE"/>
    <w:rsid w:val="00F26EA4"/>
    <w:rsid w:val="00F3242D"/>
    <w:rsid w:val="00F32539"/>
    <w:rsid w:val="00F65333"/>
    <w:rsid w:val="00F65528"/>
    <w:rsid w:val="00F74AAF"/>
    <w:rsid w:val="00F753DE"/>
    <w:rsid w:val="00F82586"/>
    <w:rsid w:val="00FA29B1"/>
    <w:rsid w:val="00FC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6847B-688A-45D8-8B24-F37F1C8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6CC"/>
    <w:pPr>
      <w:ind w:left="720"/>
      <w:contextualSpacing/>
    </w:pPr>
  </w:style>
  <w:style w:type="table" w:styleId="TableGrid">
    <w:name w:val="Table Grid"/>
    <w:basedOn w:val="TableNormal"/>
    <w:uiPriority w:val="59"/>
    <w:rsid w:val="005406CC"/>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4ED"/>
  </w:style>
  <w:style w:type="paragraph" w:styleId="Footer">
    <w:name w:val="footer"/>
    <w:basedOn w:val="Normal"/>
    <w:link w:val="FooterChar"/>
    <w:uiPriority w:val="99"/>
    <w:unhideWhenUsed/>
    <w:rsid w:val="00A77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4ED"/>
  </w:style>
  <w:style w:type="character" w:styleId="CommentReference">
    <w:name w:val="annotation reference"/>
    <w:basedOn w:val="DefaultParagraphFont"/>
    <w:uiPriority w:val="99"/>
    <w:semiHidden/>
    <w:unhideWhenUsed/>
    <w:rsid w:val="002C6322"/>
    <w:rPr>
      <w:sz w:val="16"/>
      <w:szCs w:val="16"/>
    </w:rPr>
  </w:style>
  <w:style w:type="paragraph" w:styleId="CommentText">
    <w:name w:val="annotation text"/>
    <w:basedOn w:val="Normal"/>
    <w:link w:val="CommentTextChar"/>
    <w:uiPriority w:val="99"/>
    <w:semiHidden/>
    <w:unhideWhenUsed/>
    <w:rsid w:val="002C6322"/>
    <w:pPr>
      <w:spacing w:line="240" w:lineRule="auto"/>
    </w:pPr>
    <w:rPr>
      <w:sz w:val="20"/>
      <w:szCs w:val="20"/>
    </w:rPr>
  </w:style>
  <w:style w:type="character" w:customStyle="1" w:styleId="CommentTextChar">
    <w:name w:val="Comment Text Char"/>
    <w:basedOn w:val="DefaultParagraphFont"/>
    <w:link w:val="CommentText"/>
    <w:uiPriority w:val="99"/>
    <w:semiHidden/>
    <w:rsid w:val="002C6322"/>
    <w:rPr>
      <w:sz w:val="20"/>
      <w:szCs w:val="20"/>
    </w:rPr>
  </w:style>
  <w:style w:type="paragraph" w:styleId="CommentSubject">
    <w:name w:val="annotation subject"/>
    <w:basedOn w:val="CommentText"/>
    <w:next w:val="CommentText"/>
    <w:link w:val="CommentSubjectChar"/>
    <w:uiPriority w:val="99"/>
    <w:semiHidden/>
    <w:unhideWhenUsed/>
    <w:rsid w:val="002C6322"/>
    <w:rPr>
      <w:b/>
      <w:bCs/>
    </w:rPr>
  </w:style>
  <w:style w:type="character" w:customStyle="1" w:styleId="CommentSubjectChar">
    <w:name w:val="Comment Subject Char"/>
    <w:basedOn w:val="CommentTextChar"/>
    <w:link w:val="CommentSubject"/>
    <w:uiPriority w:val="99"/>
    <w:semiHidden/>
    <w:rsid w:val="002C6322"/>
    <w:rPr>
      <w:b/>
      <w:bCs/>
      <w:sz w:val="20"/>
      <w:szCs w:val="20"/>
    </w:rPr>
  </w:style>
  <w:style w:type="paragraph" w:styleId="BalloonText">
    <w:name w:val="Balloon Text"/>
    <w:basedOn w:val="Normal"/>
    <w:link w:val="BalloonTextChar"/>
    <w:uiPriority w:val="99"/>
    <w:semiHidden/>
    <w:unhideWhenUsed/>
    <w:rsid w:val="002C63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322"/>
    <w:rPr>
      <w:rFonts w:ascii="Segoe UI" w:hAnsi="Segoe UI" w:cs="Segoe UI"/>
      <w:sz w:val="18"/>
      <w:szCs w:val="18"/>
    </w:rPr>
  </w:style>
  <w:style w:type="paragraph" w:styleId="FootnoteText">
    <w:name w:val="footnote text"/>
    <w:basedOn w:val="Normal"/>
    <w:link w:val="FootnoteTextChar"/>
    <w:uiPriority w:val="99"/>
    <w:semiHidden/>
    <w:unhideWhenUsed/>
    <w:rsid w:val="00431EC6"/>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431EC6"/>
    <w:rPr>
      <w:sz w:val="20"/>
      <w:szCs w:val="20"/>
      <w:lang w:val="en-CA"/>
    </w:rPr>
  </w:style>
  <w:style w:type="character" w:styleId="FootnoteReference">
    <w:name w:val="footnote reference"/>
    <w:basedOn w:val="DefaultParagraphFont"/>
    <w:uiPriority w:val="99"/>
    <w:semiHidden/>
    <w:unhideWhenUsed/>
    <w:rsid w:val="00431EC6"/>
    <w:rPr>
      <w:vertAlign w:val="superscript"/>
    </w:rPr>
  </w:style>
  <w:style w:type="paragraph" w:styleId="Revision">
    <w:name w:val="Revision"/>
    <w:hidden/>
    <w:uiPriority w:val="99"/>
    <w:semiHidden/>
    <w:rsid w:val="002D435B"/>
    <w:pPr>
      <w:spacing w:after="0" w:line="240" w:lineRule="auto"/>
    </w:pPr>
  </w:style>
  <w:style w:type="character" w:styleId="Hyperlink">
    <w:name w:val="Hyperlink"/>
    <w:basedOn w:val="DefaultParagraphFont"/>
    <w:uiPriority w:val="99"/>
    <w:unhideWhenUsed/>
    <w:rsid w:val="007F60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696902">
      <w:bodyDiv w:val="1"/>
      <w:marLeft w:val="0"/>
      <w:marRight w:val="0"/>
      <w:marTop w:val="0"/>
      <w:marBottom w:val="0"/>
      <w:divBdr>
        <w:top w:val="none" w:sz="0" w:space="0" w:color="auto"/>
        <w:left w:val="none" w:sz="0" w:space="0" w:color="auto"/>
        <w:bottom w:val="none" w:sz="0" w:space="0" w:color="auto"/>
        <w:right w:val="none" w:sz="0" w:space="0" w:color="auto"/>
      </w:divBdr>
    </w:div>
    <w:div w:id="1664308754">
      <w:bodyDiv w:val="1"/>
      <w:marLeft w:val="0"/>
      <w:marRight w:val="0"/>
      <w:marTop w:val="0"/>
      <w:marBottom w:val="0"/>
      <w:divBdr>
        <w:top w:val="none" w:sz="0" w:space="0" w:color="auto"/>
        <w:left w:val="none" w:sz="0" w:space="0" w:color="auto"/>
        <w:bottom w:val="none" w:sz="0" w:space="0" w:color="auto"/>
        <w:right w:val="none" w:sz="0" w:space="0" w:color="auto"/>
      </w:divBdr>
    </w:div>
    <w:div w:id="176517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b.ca/industry/applications-oeb/electricity-distribution-rates/2019-electricity-distribution-r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AE7DA-B29F-42DF-866A-DA38A9F2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2628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Mazzone</dc:creator>
  <cp:keywords/>
  <dc:description/>
  <cp:lastModifiedBy>Zulma DeBonis</cp:lastModifiedBy>
  <cp:revision>2</cp:revision>
  <cp:lastPrinted>2018-09-13T15:04:00Z</cp:lastPrinted>
  <dcterms:created xsi:type="dcterms:W3CDTF">2018-11-09T14:57:00Z</dcterms:created>
  <dcterms:modified xsi:type="dcterms:W3CDTF">2018-11-09T14:57:00Z</dcterms:modified>
</cp:coreProperties>
</file>