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2E7" w:rsidRPr="00AE62C4" w:rsidRDefault="00526C3C" w:rsidP="003832E7">
      <w:pPr>
        <w:pStyle w:val="Default"/>
        <w:jc w:val="right"/>
        <w:rPr>
          <w:rFonts w:ascii="Arial" w:hAnsi="Arial" w:cs="Arial"/>
          <w:sz w:val="22"/>
          <w:szCs w:val="22"/>
        </w:rPr>
      </w:pPr>
      <w:r>
        <w:rPr>
          <w:rFonts w:ascii="Arial" w:hAnsi="Arial" w:cs="Arial"/>
          <w:bCs/>
          <w:sz w:val="22"/>
          <w:szCs w:val="22"/>
        </w:rPr>
        <w:t>InnPower Corporation</w:t>
      </w:r>
      <w:r w:rsidR="00CC0B6D" w:rsidRPr="00AE62C4">
        <w:rPr>
          <w:rFonts w:ascii="Arial" w:hAnsi="Arial" w:cs="Arial"/>
          <w:bCs/>
          <w:sz w:val="22"/>
          <w:szCs w:val="22"/>
        </w:rPr>
        <w:t xml:space="preserve"> </w:t>
      </w:r>
    </w:p>
    <w:p w:rsidR="00A07077" w:rsidRPr="00AE62C4" w:rsidRDefault="008A48F6" w:rsidP="00A07077">
      <w:pPr>
        <w:pStyle w:val="Default"/>
        <w:jc w:val="right"/>
        <w:rPr>
          <w:rFonts w:ascii="Arial" w:hAnsi="Arial" w:cs="Arial"/>
          <w:sz w:val="22"/>
          <w:szCs w:val="22"/>
        </w:rPr>
      </w:pPr>
      <w:r w:rsidRPr="00AE62C4">
        <w:rPr>
          <w:rFonts w:ascii="Arial" w:hAnsi="Arial" w:cs="Arial"/>
          <w:sz w:val="22"/>
          <w:szCs w:val="22"/>
        </w:rPr>
        <w:t>OEB</w:t>
      </w:r>
      <w:r w:rsidR="00A07077" w:rsidRPr="00AE62C4">
        <w:rPr>
          <w:rFonts w:ascii="Arial" w:hAnsi="Arial" w:cs="Arial"/>
          <w:sz w:val="22"/>
          <w:szCs w:val="22"/>
        </w:rPr>
        <w:t xml:space="preserve"> Staff </w:t>
      </w:r>
      <w:r w:rsidR="008813C3" w:rsidRPr="00AE62C4">
        <w:rPr>
          <w:rFonts w:ascii="Arial" w:hAnsi="Arial" w:cs="Arial"/>
          <w:sz w:val="22"/>
          <w:szCs w:val="22"/>
        </w:rPr>
        <w:t>Questions</w:t>
      </w:r>
    </w:p>
    <w:p w:rsidR="00A07077" w:rsidRDefault="00090160" w:rsidP="00B069AA">
      <w:pPr>
        <w:pStyle w:val="Default"/>
        <w:jc w:val="right"/>
        <w:rPr>
          <w:rFonts w:ascii="Arial" w:hAnsi="Arial" w:cs="Arial"/>
          <w:sz w:val="22"/>
          <w:szCs w:val="22"/>
        </w:rPr>
      </w:pPr>
      <w:r w:rsidRPr="00AE62C4">
        <w:rPr>
          <w:rFonts w:ascii="Arial" w:hAnsi="Arial" w:cs="Arial"/>
          <w:sz w:val="22"/>
          <w:szCs w:val="22"/>
        </w:rPr>
        <w:t>EB-201</w:t>
      </w:r>
      <w:r w:rsidR="00526C3C">
        <w:rPr>
          <w:rFonts w:ascii="Arial" w:hAnsi="Arial" w:cs="Arial"/>
          <w:sz w:val="22"/>
          <w:szCs w:val="22"/>
        </w:rPr>
        <w:t>8-0045</w:t>
      </w:r>
    </w:p>
    <w:p w:rsidR="00A07077" w:rsidRDefault="00A07077" w:rsidP="00A07077">
      <w:pPr>
        <w:pStyle w:val="Default"/>
        <w:rPr>
          <w:rFonts w:ascii="Arial" w:hAnsi="Arial" w:cs="Arial"/>
          <w:sz w:val="22"/>
          <w:szCs w:val="22"/>
        </w:rPr>
      </w:pPr>
    </w:p>
    <w:p w:rsidR="00A07077" w:rsidRPr="00DF2E5D" w:rsidRDefault="00526C3C" w:rsidP="00A07077">
      <w:pPr>
        <w:pStyle w:val="Default"/>
        <w:jc w:val="center"/>
        <w:rPr>
          <w:rFonts w:ascii="Arial" w:hAnsi="Arial" w:cs="Arial"/>
          <w:sz w:val="28"/>
          <w:szCs w:val="28"/>
        </w:rPr>
      </w:pPr>
      <w:r>
        <w:rPr>
          <w:rFonts w:ascii="Arial" w:hAnsi="Arial" w:cs="Arial"/>
          <w:b/>
          <w:bCs/>
          <w:sz w:val="28"/>
          <w:szCs w:val="28"/>
        </w:rPr>
        <w:t>InnPower Corporation</w:t>
      </w:r>
      <w:r w:rsidR="00E429DA" w:rsidRPr="00DF2E5D">
        <w:rPr>
          <w:rFonts w:ascii="Arial" w:hAnsi="Arial" w:cs="Arial"/>
          <w:b/>
          <w:bCs/>
          <w:sz w:val="28"/>
          <w:szCs w:val="28"/>
        </w:rPr>
        <w:t xml:space="preserve"> </w:t>
      </w:r>
      <w:r w:rsidR="0052560F" w:rsidRPr="00DF2E5D">
        <w:rPr>
          <w:rFonts w:ascii="Arial" w:hAnsi="Arial" w:cs="Arial"/>
          <w:b/>
          <w:bCs/>
          <w:sz w:val="28"/>
          <w:szCs w:val="28"/>
        </w:rPr>
        <w:t xml:space="preserve"> </w:t>
      </w:r>
    </w:p>
    <w:p w:rsidR="00A07077" w:rsidRDefault="00090160" w:rsidP="00A07077">
      <w:pPr>
        <w:pStyle w:val="Default"/>
        <w:jc w:val="center"/>
        <w:rPr>
          <w:rFonts w:ascii="Arial" w:hAnsi="Arial" w:cs="Arial"/>
          <w:b/>
          <w:bCs/>
          <w:sz w:val="28"/>
          <w:szCs w:val="28"/>
        </w:rPr>
      </w:pPr>
      <w:r w:rsidRPr="00DF2E5D">
        <w:rPr>
          <w:rFonts w:ascii="Arial" w:hAnsi="Arial" w:cs="Arial"/>
          <w:b/>
          <w:bCs/>
          <w:sz w:val="28"/>
          <w:szCs w:val="28"/>
        </w:rPr>
        <w:t>EB-201</w:t>
      </w:r>
      <w:r w:rsidR="002C2BF2" w:rsidRPr="00DF2E5D">
        <w:rPr>
          <w:rFonts w:ascii="Arial" w:hAnsi="Arial" w:cs="Arial"/>
          <w:b/>
          <w:bCs/>
          <w:sz w:val="28"/>
          <w:szCs w:val="28"/>
        </w:rPr>
        <w:t>8</w:t>
      </w:r>
      <w:r w:rsidR="00B069AA" w:rsidRPr="00DF2E5D">
        <w:rPr>
          <w:rFonts w:ascii="Arial" w:hAnsi="Arial" w:cs="Arial"/>
          <w:b/>
          <w:bCs/>
          <w:sz w:val="28"/>
          <w:szCs w:val="28"/>
        </w:rPr>
        <w:t>-0</w:t>
      </w:r>
      <w:r w:rsidR="00526C3C">
        <w:rPr>
          <w:rFonts w:ascii="Arial" w:hAnsi="Arial" w:cs="Arial"/>
          <w:b/>
          <w:bCs/>
          <w:sz w:val="28"/>
          <w:szCs w:val="28"/>
        </w:rPr>
        <w:t>045</w:t>
      </w:r>
    </w:p>
    <w:p w:rsidR="00A07077" w:rsidRDefault="00A07077" w:rsidP="00A07077">
      <w:pPr>
        <w:rPr>
          <w:rFonts w:ascii="Arial" w:hAnsi="Arial" w:cs="Arial"/>
          <w:b/>
          <w:bCs/>
          <w:sz w:val="28"/>
          <w:szCs w:val="28"/>
        </w:rPr>
      </w:pPr>
    </w:p>
    <w:p w:rsidR="00C120E0" w:rsidRPr="00C120E0" w:rsidRDefault="00C120E0" w:rsidP="00A07077">
      <w:pPr>
        <w:rPr>
          <w:rFonts w:ascii="Arial" w:hAnsi="Arial" w:cs="Arial"/>
          <w:b/>
          <w:bCs/>
          <w:color w:val="4F81BD" w:themeColor="accent1"/>
          <w:sz w:val="28"/>
          <w:szCs w:val="28"/>
        </w:rPr>
      </w:pPr>
      <w:r>
        <w:rPr>
          <w:rFonts w:ascii="Arial" w:hAnsi="Arial" w:cs="Arial"/>
          <w:b/>
          <w:bCs/>
          <w:color w:val="4F81BD" w:themeColor="accent1"/>
          <w:sz w:val="28"/>
          <w:szCs w:val="28"/>
        </w:rPr>
        <w:t>InnPower Reply</w:t>
      </w:r>
    </w:p>
    <w:p w:rsidR="00C120E0" w:rsidRDefault="00A82FC1" w:rsidP="00A07077">
      <w:pPr>
        <w:rPr>
          <w:rFonts w:ascii="Arial" w:hAnsi="Arial" w:cs="Arial"/>
          <w:bCs/>
          <w:color w:val="4F81BD" w:themeColor="accent1"/>
        </w:rPr>
      </w:pPr>
      <w:r w:rsidRPr="00A82FC1">
        <w:rPr>
          <w:rFonts w:ascii="Arial" w:hAnsi="Arial" w:cs="Arial"/>
          <w:bCs/>
          <w:color w:val="4F81BD" w:themeColor="accent1"/>
        </w:rPr>
        <w:t>IPC has undertaken the changes in the 2019 IRM Rate Generator based on the questions put forth by Board Staff and has recalculated the DVA’s and associated Tariff. When reviewing the changes, IPC has adjusted the DVA Proposed Rate Rider Recovery Period to be 24 months from 12 months.</w:t>
      </w:r>
      <w:r>
        <w:rPr>
          <w:rFonts w:ascii="Arial" w:hAnsi="Arial" w:cs="Arial"/>
          <w:bCs/>
          <w:color w:val="4F81BD" w:themeColor="accent1"/>
        </w:rPr>
        <w:t xml:space="preserve"> IPCV is hereby requesting a 24</w:t>
      </w:r>
      <w:r w:rsidR="00C74E8A">
        <w:rPr>
          <w:rFonts w:ascii="Arial" w:hAnsi="Arial" w:cs="Arial"/>
          <w:bCs/>
          <w:color w:val="4F81BD" w:themeColor="accent1"/>
        </w:rPr>
        <w:t>-</w:t>
      </w:r>
      <w:r>
        <w:rPr>
          <w:rFonts w:ascii="Arial" w:hAnsi="Arial" w:cs="Arial"/>
          <w:bCs/>
          <w:color w:val="4F81BD" w:themeColor="accent1"/>
        </w:rPr>
        <w:t>month Rate Rider Recovery timeframe.</w:t>
      </w:r>
    </w:p>
    <w:p w:rsidR="00A82FC1" w:rsidRPr="00A82FC1" w:rsidRDefault="00A82FC1" w:rsidP="00A07077">
      <w:pPr>
        <w:rPr>
          <w:rFonts w:ascii="Arial" w:hAnsi="Arial" w:cs="Arial"/>
          <w:bCs/>
          <w:color w:val="4F81BD" w:themeColor="accent1"/>
        </w:rPr>
      </w:pPr>
      <w:r>
        <w:rPr>
          <w:rFonts w:ascii="Arial" w:hAnsi="Arial" w:cs="Arial"/>
          <w:bCs/>
          <w:color w:val="4F81BD" w:themeColor="accent1"/>
        </w:rPr>
        <w:t>IPC has made this adjustment to smooth rate increases for our associated rate classed. The 24</w:t>
      </w:r>
      <w:r w:rsidR="00C74E8A">
        <w:rPr>
          <w:rFonts w:ascii="Arial" w:hAnsi="Arial" w:cs="Arial"/>
          <w:bCs/>
          <w:color w:val="4F81BD" w:themeColor="accent1"/>
        </w:rPr>
        <w:t>-</w:t>
      </w:r>
      <w:r>
        <w:rPr>
          <w:rFonts w:ascii="Arial" w:hAnsi="Arial" w:cs="Arial"/>
          <w:bCs/>
          <w:color w:val="4F81BD" w:themeColor="accent1"/>
        </w:rPr>
        <w:t xml:space="preserve">month recovery aligns with the EB-2016-0085 </w:t>
      </w:r>
      <w:r w:rsidR="00C74E8A">
        <w:rPr>
          <w:rFonts w:ascii="Arial" w:hAnsi="Arial" w:cs="Arial"/>
          <w:bCs/>
          <w:color w:val="4F81BD" w:themeColor="accent1"/>
        </w:rPr>
        <w:t>timeframe and will end in time for IPC’s bridge year of 2020.</w:t>
      </w:r>
    </w:p>
    <w:p w:rsidR="00EC0B55" w:rsidRDefault="00EC0B55" w:rsidP="00302509">
      <w:pPr>
        <w:autoSpaceDE w:val="0"/>
        <w:autoSpaceDN w:val="0"/>
        <w:adjustRightInd w:val="0"/>
        <w:spacing w:after="0" w:line="240" w:lineRule="auto"/>
        <w:rPr>
          <w:rFonts w:ascii="Arial" w:hAnsi="Arial" w:cs="Arial"/>
          <w:b/>
          <w:bCs/>
          <w:color w:val="000000"/>
          <w:sz w:val="24"/>
          <w:szCs w:val="24"/>
        </w:rPr>
      </w:pPr>
    </w:p>
    <w:p w:rsidR="008E6045" w:rsidRPr="00AE62C4" w:rsidRDefault="00AE62C4" w:rsidP="008E6045">
      <w:pPr>
        <w:rPr>
          <w:rFonts w:ascii="Arial" w:hAnsi="Arial" w:cs="Arial"/>
          <w:b/>
        </w:rPr>
      </w:pPr>
      <w:r w:rsidRPr="00AE62C4">
        <w:rPr>
          <w:rFonts w:ascii="Arial" w:hAnsi="Arial" w:cs="Arial"/>
          <w:b/>
        </w:rPr>
        <w:t>OEB Staff</w:t>
      </w:r>
      <w:r w:rsidR="008E6045" w:rsidRPr="00AE62C4">
        <w:rPr>
          <w:rFonts w:ascii="Arial" w:hAnsi="Arial" w:cs="Arial"/>
          <w:b/>
        </w:rPr>
        <w:t>-1</w:t>
      </w:r>
    </w:p>
    <w:p w:rsidR="00AE62C4" w:rsidRDefault="00AE62C4" w:rsidP="00AE62C4">
      <w:pPr>
        <w:rPr>
          <w:rFonts w:ascii="Arial" w:hAnsi="Arial" w:cs="Arial"/>
        </w:rPr>
      </w:pPr>
      <w:r>
        <w:rPr>
          <w:rFonts w:ascii="Arial" w:hAnsi="Arial" w:cs="Arial"/>
          <w:b/>
        </w:rPr>
        <w:t xml:space="preserve">Ref: </w:t>
      </w:r>
      <w:r w:rsidR="00526C3C">
        <w:rPr>
          <w:rFonts w:ascii="Arial" w:hAnsi="Arial" w:cs="Arial"/>
          <w:b/>
        </w:rPr>
        <w:t xml:space="preserve">IRM Rate Generator Tab 8. STS – Tax Change </w:t>
      </w:r>
    </w:p>
    <w:p w:rsidR="00AE62C4" w:rsidRDefault="00526C3C" w:rsidP="00AE62C4">
      <w:pPr>
        <w:rPr>
          <w:rFonts w:ascii="Arial" w:hAnsi="Arial" w:cs="Arial"/>
        </w:rPr>
      </w:pPr>
      <w:r>
        <w:rPr>
          <w:rFonts w:ascii="Arial" w:hAnsi="Arial" w:cs="Arial"/>
        </w:rPr>
        <w:t xml:space="preserve">OEB staff believes the amount entered for Taxable Capital should be $52,584,820 not $52,820 and the Grossed-up Tax Amount should be $149,534 not $70,535, please confirm. If InnPower does not </w:t>
      </w:r>
      <w:proofErr w:type="gramStart"/>
      <w:r>
        <w:rPr>
          <w:rFonts w:ascii="Arial" w:hAnsi="Arial" w:cs="Arial"/>
        </w:rPr>
        <w:t>agree</w:t>
      </w:r>
      <w:proofErr w:type="gramEnd"/>
      <w:r>
        <w:rPr>
          <w:rFonts w:ascii="Arial" w:hAnsi="Arial" w:cs="Arial"/>
        </w:rPr>
        <w:t xml:space="preserve"> please explain. </w:t>
      </w:r>
    </w:p>
    <w:p w:rsidR="00D14E44" w:rsidRDefault="00D14E44" w:rsidP="00AE62C4">
      <w:pPr>
        <w:rPr>
          <w:rFonts w:ascii="Arial" w:hAnsi="Arial" w:cs="Arial"/>
          <w:color w:val="4F81BD" w:themeColor="accent1"/>
        </w:rPr>
      </w:pPr>
      <w:r>
        <w:rPr>
          <w:rFonts w:ascii="Arial" w:hAnsi="Arial" w:cs="Arial"/>
          <w:color w:val="4F81BD" w:themeColor="accent1"/>
        </w:rPr>
        <w:t>InnPower Response</w:t>
      </w:r>
    </w:p>
    <w:p w:rsidR="00D14E44" w:rsidRPr="00D14E44" w:rsidRDefault="00D14E44" w:rsidP="00AE62C4">
      <w:pPr>
        <w:rPr>
          <w:rFonts w:ascii="Arial" w:hAnsi="Arial" w:cs="Arial"/>
          <w:color w:val="4F81BD" w:themeColor="accent1"/>
        </w:rPr>
      </w:pPr>
      <w:r>
        <w:rPr>
          <w:rFonts w:ascii="Arial" w:hAnsi="Arial" w:cs="Arial"/>
          <w:color w:val="4F81BD" w:themeColor="accent1"/>
        </w:rPr>
        <w:t>IPC has corrected the Taxable Capital amount to be $52,584,820, which has corrected the Grossed Up taxable amount to $149,534.</w:t>
      </w:r>
    </w:p>
    <w:p w:rsidR="00AE62C4" w:rsidRDefault="00AE62C4" w:rsidP="00AE62C4">
      <w:pPr>
        <w:rPr>
          <w:rFonts w:ascii="Arial" w:hAnsi="Arial" w:cs="Arial"/>
        </w:rPr>
      </w:pPr>
      <w:r>
        <w:rPr>
          <w:rFonts w:ascii="Arial" w:hAnsi="Arial" w:cs="Arial"/>
          <w:b/>
        </w:rPr>
        <w:t>OEB Staff-2</w:t>
      </w:r>
    </w:p>
    <w:p w:rsidR="00AE62C4" w:rsidRDefault="00AE62C4" w:rsidP="00AE62C4">
      <w:pPr>
        <w:rPr>
          <w:rFonts w:ascii="Arial" w:hAnsi="Arial" w:cs="Arial"/>
        </w:rPr>
      </w:pPr>
      <w:r>
        <w:rPr>
          <w:rFonts w:ascii="Arial" w:hAnsi="Arial" w:cs="Arial"/>
          <w:b/>
        </w:rPr>
        <w:t xml:space="preserve">Ref: </w:t>
      </w:r>
      <w:r w:rsidR="00A549CE">
        <w:rPr>
          <w:rFonts w:ascii="Arial" w:hAnsi="Arial" w:cs="Arial"/>
          <w:b/>
        </w:rPr>
        <w:t xml:space="preserve">IRM Rate Generator Tab 6. Class A consumption </w:t>
      </w:r>
      <w:proofErr w:type="gramStart"/>
      <w:r w:rsidR="00A549CE">
        <w:rPr>
          <w:rFonts w:ascii="Arial" w:hAnsi="Arial" w:cs="Arial"/>
          <w:b/>
        </w:rPr>
        <w:t>data and Decision</w:t>
      </w:r>
      <w:proofErr w:type="gramEnd"/>
      <w:r w:rsidR="00A549CE">
        <w:rPr>
          <w:rFonts w:ascii="Arial" w:hAnsi="Arial" w:cs="Arial"/>
          <w:b/>
        </w:rPr>
        <w:t xml:space="preserve"> and Order EB-2016-0085</w:t>
      </w:r>
      <w:r>
        <w:rPr>
          <w:rFonts w:ascii="Arial" w:hAnsi="Arial" w:cs="Arial"/>
          <w:b/>
        </w:rPr>
        <w:br/>
      </w:r>
    </w:p>
    <w:p w:rsidR="00AE62C4" w:rsidRPr="00A549CE" w:rsidRDefault="00A549CE" w:rsidP="00AE62C4">
      <w:pPr>
        <w:rPr>
          <w:rFonts w:ascii="Arial" w:hAnsi="Arial" w:cs="Arial"/>
        </w:rPr>
      </w:pPr>
      <w:r>
        <w:rPr>
          <w:rFonts w:ascii="Arial" w:hAnsi="Arial" w:cs="Arial"/>
        </w:rPr>
        <w:t xml:space="preserve">On Tab 6. Class </w:t>
      </w:r>
      <w:proofErr w:type="gramStart"/>
      <w:r>
        <w:rPr>
          <w:rFonts w:ascii="Arial" w:hAnsi="Arial" w:cs="Arial"/>
        </w:rPr>
        <w:t>A</w:t>
      </w:r>
      <w:proofErr w:type="gramEnd"/>
      <w:r>
        <w:rPr>
          <w:rFonts w:ascii="Arial" w:hAnsi="Arial" w:cs="Arial"/>
        </w:rPr>
        <w:t xml:space="preserve"> Consumption Data, InnPower has entered the last year CBR Class B was disposed as 2015 but the Decision and Order EB-2016-0065 Page 31 indicates it was last disposed as of December 31, 2016.</w:t>
      </w:r>
    </w:p>
    <w:p w:rsidR="00AE62C4" w:rsidRDefault="00A549CE" w:rsidP="00AE62C4">
      <w:pPr>
        <w:rPr>
          <w:rFonts w:ascii="Arial" w:hAnsi="Arial" w:cs="Arial"/>
          <w:b/>
        </w:rPr>
      </w:pPr>
      <w:r>
        <w:rPr>
          <w:noProof/>
          <w:lang w:val="en-US"/>
        </w:rPr>
        <w:drawing>
          <wp:inline distT="0" distB="0" distL="0" distR="0" wp14:anchorId="0A7C2C53" wp14:editId="01DB1304">
            <wp:extent cx="5943600" cy="8591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859155"/>
                    </a:xfrm>
                    <a:prstGeom prst="rect">
                      <a:avLst/>
                    </a:prstGeom>
                  </pic:spPr>
                </pic:pic>
              </a:graphicData>
            </a:graphic>
          </wp:inline>
        </w:drawing>
      </w:r>
    </w:p>
    <w:p w:rsidR="00AE62C4" w:rsidRDefault="00A549CE" w:rsidP="00AE62C4">
      <w:pPr>
        <w:rPr>
          <w:rFonts w:ascii="Arial" w:hAnsi="Arial" w:cs="Arial"/>
        </w:rPr>
      </w:pPr>
      <w:r>
        <w:rPr>
          <w:rFonts w:ascii="Arial" w:hAnsi="Arial" w:cs="Arial"/>
        </w:rPr>
        <w:lastRenderedPageBreak/>
        <w:t>Please confirm this should be changed to 2016</w:t>
      </w:r>
      <w:r w:rsidR="00744691">
        <w:rPr>
          <w:rFonts w:ascii="Arial" w:hAnsi="Arial" w:cs="Arial"/>
        </w:rPr>
        <w:t>, if not please explain.</w:t>
      </w:r>
    </w:p>
    <w:p w:rsidR="00D14E44" w:rsidRDefault="00D14E44" w:rsidP="00D14E44">
      <w:pPr>
        <w:rPr>
          <w:rFonts w:ascii="Arial" w:hAnsi="Arial" w:cs="Arial"/>
          <w:color w:val="4F81BD" w:themeColor="accent1"/>
        </w:rPr>
      </w:pPr>
      <w:r>
        <w:rPr>
          <w:rFonts w:ascii="Arial" w:hAnsi="Arial" w:cs="Arial"/>
          <w:color w:val="4F81BD" w:themeColor="accent1"/>
        </w:rPr>
        <w:t>InnPower Response</w:t>
      </w:r>
    </w:p>
    <w:p w:rsidR="00D14E44" w:rsidRPr="00D14E44" w:rsidRDefault="00D14E44" w:rsidP="00AE62C4">
      <w:pPr>
        <w:rPr>
          <w:rFonts w:ascii="Arial" w:hAnsi="Arial" w:cs="Arial"/>
          <w:color w:val="4F81BD" w:themeColor="accent1"/>
        </w:rPr>
      </w:pPr>
      <w:r>
        <w:rPr>
          <w:rFonts w:ascii="Arial" w:hAnsi="Arial" w:cs="Arial"/>
          <w:color w:val="4F81BD" w:themeColor="accent1"/>
        </w:rPr>
        <w:t>IPC has corrected the year to be 2016 on Tab 6. Class A Consumption Data.</w:t>
      </w:r>
    </w:p>
    <w:p w:rsidR="00D14E44" w:rsidRPr="00A549CE" w:rsidRDefault="00D14E44" w:rsidP="00AE62C4">
      <w:pPr>
        <w:rPr>
          <w:rFonts w:ascii="Arial" w:hAnsi="Arial" w:cs="Arial"/>
        </w:rPr>
      </w:pPr>
    </w:p>
    <w:p w:rsidR="00AE62C4" w:rsidRDefault="00AE62C4" w:rsidP="00AE62C4">
      <w:pPr>
        <w:rPr>
          <w:rFonts w:ascii="Arial" w:hAnsi="Arial" w:cs="Arial"/>
        </w:rPr>
      </w:pPr>
      <w:r>
        <w:rPr>
          <w:rFonts w:ascii="Arial" w:hAnsi="Arial" w:cs="Arial"/>
          <w:b/>
        </w:rPr>
        <w:t>OEB Staff-3</w:t>
      </w:r>
    </w:p>
    <w:p w:rsidR="00AE62C4" w:rsidRDefault="00744691" w:rsidP="00AE62C4">
      <w:pPr>
        <w:rPr>
          <w:rFonts w:ascii="Arial" w:hAnsi="Arial" w:cs="Arial"/>
        </w:rPr>
      </w:pPr>
      <w:r>
        <w:rPr>
          <w:rFonts w:ascii="Arial" w:hAnsi="Arial" w:cs="Arial"/>
          <w:b/>
        </w:rPr>
        <w:t xml:space="preserve">Ref: IRM Rate Generator Tab 6. Class </w:t>
      </w:r>
      <w:proofErr w:type="gramStart"/>
      <w:r>
        <w:rPr>
          <w:rFonts w:ascii="Arial" w:hAnsi="Arial" w:cs="Arial"/>
          <w:b/>
        </w:rPr>
        <w:t>A</w:t>
      </w:r>
      <w:proofErr w:type="gramEnd"/>
      <w:r>
        <w:rPr>
          <w:rFonts w:ascii="Arial" w:hAnsi="Arial" w:cs="Arial"/>
          <w:b/>
        </w:rPr>
        <w:t xml:space="preserve"> Consumption Data </w:t>
      </w:r>
    </w:p>
    <w:p w:rsidR="00744691" w:rsidRPr="00744691" w:rsidRDefault="00744691" w:rsidP="00AE62C4">
      <w:pPr>
        <w:rPr>
          <w:rFonts w:ascii="Arial" w:hAnsi="Arial" w:cs="Arial"/>
        </w:rPr>
      </w:pPr>
      <w:r>
        <w:rPr>
          <w:rFonts w:ascii="Arial" w:hAnsi="Arial" w:cs="Arial"/>
        </w:rPr>
        <w:t>InnPower has indicate</w:t>
      </w:r>
      <w:r w:rsidR="00A87BA3">
        <w:rPr>
          <w:rFonts w:ascii="Arial" w:hAnsi="Arial" w:cs="Arial"/>
        </w:rPr>
        <w:t xml:space="preserve">d on Tab 6. Class </w:t>
      </w:r>
      <w:proofErr w:type="gramStart"/>
      <w:r w:rsidR="00A87BA3">
        <w:rPr>
          <w:rFonts w:ascii="Arial" w:hAnsi="Arial" w:cs="Arial"/>
        </w:rPr>
        <w:t>A</w:t>
      </w:r>
      <w:proofErr w:type="gramEnd"/>
      <w:r w:rsidR="00A87BA3">
        <w:rPr>
          <w:rFonts w:ascii="Arial" w:hAnsi="Arial" w:cs="Arial"/>
        </w:rPr>
        <w:t xml:space="preserve"> Consumption Data there were no customers who transitioned between Class A and B during the period the Account 1580, sub account CBR Class B balance accumulated. </w:t>
      </w:r>
    </w:p>
    <w:p w:rsidR="00744691" w:rsidRDefault="00A87BA3" w:rsidP="00AE62C4">
      <w:pPr>
        <w:rPr>
          <w:rFonts w:ascii="Arial" w:hAnsi="Arial" w:cs="Arial"/>
          <w:b/>
        </w:rPr>
      </w:pPr>
      <w:r>
        <w:rPr>
          <w:noProof/>
          <w:lang w:val="en-US"/>
        </w:rPr>
        <w:drawing>
          <wp:inline distT="0" distB="0" distL="0" distR="0" wp14:anchorId="23A5EF0E" wp14:editId="150FB8A7">
            <wp:extent cx="5943600" cy="840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840740"/>
                    </a:xfrm>
                    <a:prstGeom prst="rect">
                      <a:avLst/>
                    </a:prstGeom>
                  </pic:spPr>
                </pic:pic>
              </a:graphicData>
            </a:graphic>
          </wp:inline>
        </w:drawing>
      </w:r>
    </w:p>
    <w:p w:rsidR="00A87BA3" w:rsidRPr="00A87BA3" w:rsidRDefault="00A87BA3" w:rsidP="00AE62C4">
      <w:pPr>
        <w:rPr>
          <w:rFonts w:ascii="Arial" w:hAnsi="Arial" w:cs="Arial"/>
        </w:rPr>
      </w:pPr>
      <w:r>
        <w:rPr>
          <w:rFonts w:ascii="Arial" w:hAnsi="Arial" w:cs="Arial"/>
        </w:rPr>
        <w:t xml:space="preserve">InnPower has also indicted on Tab 6. Class </w:t>
      </w:r>
      <w:proofErr w:type="gramStart"/>
      <w:r>
        <w:rPr>
          <w:rFonts w:ascii="Arial" w:hAnsi="Arial" w:cs="Arial"/>
        </w:rPr>
        <w:t>A</w:t>
      </w:r>
      <w:proofErr w:type="gramEnd"/>
      <w:r>
        <w:rPr>
          <w:rFonts w:ascii="Arial" w:hAnsi="Arial" w:cs="Arial"/>
        </w:rPr>
        <w:t xml:space="preserve"> Consumption Data that it had customers who transitioned between Class A and B during the period the Account 1589 GA balance accumulated.</w:t>
      </w:r>
    </w:p>
    <w:p w:rsidR="00744691" w:rsidRDefault="00A87BA3" w:rsidP="00AE62C4">
      <w:pPr>
        <w:rPr>
          <w:rFonts w:ascii="Arial" w:hAnsi="Arial" w:cs="Arial"/>
          <w:b/>
        </w:rPr>
      </w:pPr>
      <w:r>
        <w:rPr>
          <w:noProof/>
          <w:lang w:val="en-US"/>
        </w:rPr>
        <w:drawing>
          <wp:inline distT="0" distB="0" distL="0" distR="0" wp14:anchorId="32B42893" wp14:editId="4333CE30">
            <wp:extent cx="5943600" cy="730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30885"/>
                    </a:xfrm>
                    <a:prstGeom prst="rect">
                      <a:avLst/>
                    </a:prstGeom>
                  </pic:spPr>
                </pic:pic>
              </a:graphicData>
            </a:graphic>
          </wp:inline>
        </w:drawing>
      </w:r>
    </w:p>
    <w:p w:rsidR="00A87BA3" w:rsidRDefault="00A87BA3" w:rsidP="00AE62C4">
      <w:pPr>
        <w:rPr>
          <w:rFonts w:ascii="Arial" w:hAnsi="Arial" w:cs="Arial"/>
        </w:rPr>
      </w:pPr>
      <w:proofErr w:type="gramStart"/>
      <w:r>
        <w:rPr>
          <w:rFonts w:ascii="Arial" w:hAnsi="Arial" w:cs="Arial"/>
        </w:rPr>
        <w:t>OEB staff believes that both should indicate yes</w:t>
      </w:r>
      <w:proofErr w:type="gramEnd"/>
      <w:r>
        <w:rPr>
          <w:rFonts w:ascii="Arial" w:hAnsi="Arial" w:cs="Arial"/>
        </w:rPr>
        <w:t xml:space="preserve">, </w:t>
      </w:r>
      <w:proofErr w:type="gramStart"/>
      <w:r>
        <w:rPr>
          <w:rFonts w:ascii="Arial" w:hAnsi="Arial" w:cs="Arial"/>
        </w:rPr>
        <w:t>please explain if you disagree</w:t>
      </w:r>
      <w:proofErr w:type="gramEnd"/>
      <w:r>
        <w:rPr>
          <w:rFonts w:ascii="Arial" w:hAnsi="Arial" w:cs="Arial"/>
        </w:rPr>
        <w:t xml:space="preserve">. If you </w:t>
      </w:r>
      <w:proofErr w:type="gramStart"/>
      <w:r>
        <w:rPr>
          <w:rFonts w:ascii="Arial" w:hAnsi="Arial" w:cs="Arial"/>
        </w:rPr>
        <w:t>agree</w:t>
      </w:r>
      <w:proofErr w:type="gramEnd"/>
      <w:r>
        <w:rPr>
          <w:rFonts w:ascii="Arial" w:hAnsi="Arial" w:cs="Arial"/>
        </w:rPr>
        <w:t xml:space="preserve"> please change to yes and fill out the remaining required data at the bottom of spreadsheet.</w:t>
      </w:r>
    </w:p>
    <w:p w:rsidR="00875435" w:rsidRDefault="00875435" w:rsidP="00875435">
      <w:pPr>
        <w:rPr>
          <w:rFonts w:ascii="Arial" w:hAnsi="Arial" w:cs="Arial"/>
          <w:color w:val="4F81BD" w:themeColor="accent1"/>
        </w:rPr>
      </w:pPr>
      <w:r>
        <w:rPr>
          <w:rFonts w:ascii="Arial" w:hAnsi="Arial" w:cs="Arial"/>
          <w:color w:val="4F81BD" w:themeColor="accent1"/>
        </w:rPr>
        <w:t>InnPower Response</w:t>
      </w:r>
    </w:p>
    <w:p w:rsidR="00764D12" w:rsidRPr="00214301" w:rsidRDefault="00214301" w:rsidP="00AE62C4">
      <w:pPr>
        <w:rPr>
          <w:rFonts w:ascii="Arial" w:hAnsi="Arial" w:cs="Arial"/>
          <w:color w:val="0070C0"/>
        </w:rPr>
      </w:pPr>
      <w:r>
        <w:rPr>
          <w:rFonts w:ascii="Arial" w:hAnsi="Arial" w:cs="Arial"/>
          <w:color w:val="0070C0"/>
        </w:rPr>
        <w:t xml:space="preserve">IPC has changed the response to “Yes” for 2b. IPC had </w:t>
      </w:r>
      <w:proofErr w:type="gramStart"/>
      <w:r>
        <w:rPr>
          <w:rFonts w:ascii="Arial" w:hAnsi="Arial" w:cs="Arial"/>
          <w:color w:val="0070C0"/>
        </w:rPr>
        <w:t>1</w:t>
      </w:r>
      <w:proofErr w:type="gramEnd"/>
      <w:r>
        <w:rPr>
          <w:rFonts w:ascii="Arial" w:hAnsi="Arial" w:cs="Arial"/>
          <w:color w:val="0070C0"/>
        </w:rPr>
        <w:t xml:space="preserve"> customer who transitioned from B to A which occurred in 2017. IPC did not have any Class A customers </w:t>
      </w:r>
      <w:r w:rsidRPr="00214301">
        <w:rPr>
          <w:rFonts w:ascii="Arial" w:hAnsi="Arial" w:cs="Arial"/>
          <w:b/>
          <w:color w:val="0070C0"/>
        </w:rPr>
        <w:t>during the entire period</w:t>
      </w:r>
      <w:r>
        <w:rPr>
          <w:rFonts w:ascii="Arial" w:hAnsi="Arial" w:cs="Arial"/>
          <w:color w:val="0070C0"/>
        </w:rPr>
        <w:t xml:space="preserve"> since </w:t>
      </w:r>
      <w:proofErr w:type="gramStart"/>
      <w:r>
        <w:rPr>
          <w:rFonts w:ascii="Arial" w:hAnsi="Arial" w:cs="Arial"/>
          <w:color w:val="0070C0"/>
        </w:rPr>
        <w:t>the  1589</w:t>
      </w:r>
      <w:proofErr w:type="gramEnd"/>
      <w:r>
        <w:rPr>
          <w:rFonts w:ascii="Arial" w:hAnsi="Arial" w:cs="Arial"/>
          <w:color w:val="0070C0"/>
        </w:rPr>
        <w:t xml:space="preserve"> GA balance accumulated.</w:t>
      </w:r>
    </w:p>
    <w:p w:rsidR="00AE62C4" w:rsidRDefault="00AE62C4" w:rsidP="00AE62C4">
      <w:pPr>
        <w:rPr>
          <w:rFonts w:ascii="Arial" w:hAnsi="Arial" w:cs="Arial"/>
          <w:b/>
        </w:rPr>
      </w:pPr>
      <w:r>
        <w:rPr>
          <w:rFonts w:ascii="Arial" w:hAnsi="Arial" w:cs="Arial"/>
          <w:b/>
        </w:rPr>
        <w:t>OEB Staff-4</w:t>
      </w:r>
    </w:p>
    <w:p w:rsidR="00160311" w:rsidRDefault="00160311" w:rsidP="00AE62C4">
      <w:pPr>
        <w:rPr>
          <w:rFonts w:ascii="Arial" w:hAnsi="Arial" w:cs="Arial"/>
          <w:b/>
        </w:rPr>
      </w:pPr>
      <w:r>
        <w:rPr>
          <w:rFonts w:ascii="Arial" w:hAnsi="Arial" w:cs="Arial"/>
          <w:b/>
        </w:rPr>
        <w:t>Ref: Continuity Schedule Tab 3</w:t>
      </w:r>
      <w:r w:rsidR="00673288">
        <w:rPr>
          <w:rFonts w:ascii="Arial" w:hAnsi="Arial" w:cs="Arial"/>
          <w:b/>
        </w:rPr>
        <w:t xml:space="preserve"> and Decision and Order EB-2016-0085</w:t>
      </w:r>
    </w:p>
    <w:p w:rsidR="00A87BA3" w:rsidRPr="00A87BA3" w:rsidRDefault="00A87BA3" w:rsidP="00AE62C4">
      <w:pPr>
        <w:rPr>
          <w:rFonts w:ascii="Arial" w:hAnsi="Arial" w:cs="Arial"/>
        </w:rPr>
      </w:pPr>
      <w:r w:rsidRPr="00A87BA3">
        <w:rPr>
          <w:rFonts w:ascii="Arial" w:hAnsi="Arial" w:cs="Arial"/>
        </w:rPr>
        <w:t xml:space="preserve">InnPower is requesting </w:t>
      </w:r>
      <w:r>
        <w:rPr>
          <w:rFonts w:ascii="Arial" w:hAnsi="Arial" w:cs="Arial"/>
        </w:rPr>
        <w:t xml:space="preserve">disposition </w:t>
      </w:r>
      <w:r w:rsidR="00673288">
        <w:rPr>
          <w:rFonts w:ascii="Arial" w:hAnsi="Arial" w:cs="Arial"/>
        </w:rPr>
        <w:t xml:space="preserve">of accounts 1595-2012, 1595-2013 and 1595-2015. These accounts </w:t>
      </w:r>
      <w:proofErr w:type="gramStart"/>
      <w:r w:rsidR="00673288">
        <w:rPr>
          <w:rFonts w:ascii="Arial" w:hAnsi="Arial" w:cs="Arial"/>
        </w:rPr>
        <w:t>were just approved</w:t>
      </w:r>
      <w:proofErr w:type="gramEnd"/>
      <w:r w:rsidR="00673288">
        <w:rPr>
          <w:rFonts w:ascii="Arial" w:hAnsi="Arial" w:cs="Arial"/>
        </w:rPr>
        <w:t xml:space="preserve"> for disposition in Decision and Order EB-2016-0085. Please remove the check boxes from your continuity schedule. </w:t>
      </w:r>
    </w:p>
    <w:p w:rsidR="00875435" w:rsidRDefault="00875435" w:rsidP="00AE62C4">
      <w:pPr>
        <w:rPr>
          <w:rFonts w:ascii="Arial" w:hAnsi="Arial" w:cs="Arial"/>
        </w:rPr>
      </w:pPr>
    </w:p>
    <w:p w:rsidR="00160311" w:rsidRDefault="00673288" w:rsidP="00AE62C4">
      <w:pPr>
        <w:rPr>
          <w:rFonts w:ascii="Arial" w:hAnsi="Arial" w:cs="Arial"/>
        </w:rPr>
      </w:pPr>
      <w:r>
        <w:rPr>
          <w:noProof/>
          <w:lang w:val="en-US"/>
        </w:rPr>
        <w:lastRenderedPageBreak/>
        <w:drawing>
          <wp:inline distT="0" distB="0" distL="0" distR="0" wp14:anchorId="51FF5BCE" wp14:editId="05874CB9">
            <wp:extent cx="5943600" cy="1029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029335"/>
                    </a:xfrm>
                    <a:prstGeom prst="rect">
                      <a:avLst/>
                    </a:prstGeom>
                  </pic:spPr>
                </pic:pic>
              </a:graphicData>
            </a:graphic>
          </wp:inline>
        </w:drawing>
      </w:r>
    </w:p>
    <w:p w:rsidR="00214301" w:rsidRDefault="00214301" w:rsidP="00875435">
      <w:pPr>
        <w:rPr>
          <w:rFonts w:ascii="Arial" w:hAnsi="Arial" w:cs="Arial"/>
          <w:color w:val="4F81BD" w:themeColor="accent1"/>
        </w:rPr>
      </w:pPr>
    </w:p>
    <w:p w:rsidR="00214301" w:rsidRDefault="00214301" w:rsidP="00875435">
      <w:pPr>
        <w:rPr>
          <w:rFonts w:ascii="Arial" w:hAnsi="Arial" w:cs="Arial"/>
          <w:color w:val="4F81BD" w:themeColor="accent1"/>
        </w:rPr>
      </w:pPr>
    </w:p>
    <w:p w:rsidR="00875435" w:rsidRDefault="00875435" w:rsidP="00875435">
      <w:pPr>
        <w:rPr>
          <w:rFonts w:ascii="Arial" w:hAnsi="Arial" w:cs="Arial"/>
          <w:color w:val="4F81BD" w:themeColor="accent1"/>
        </w:rPr>
      </w:pPr>
      <w:r>
        <w:rPr>
          <w:rFonts w:ascii="Arial" w:hAnsi="Arial" w:cs="Arial"/>
          <w:color w:val="4F81BD" w:themeColor="accent1"/>
        </w:rPr>
        <w:t>InnPower Response</w:t>
      </w:r>
    </w:p>
    <w:p w:rsidR="00875435" w:rsidRPr="00214301" w:rsidRDefault="00214301" w:rsidP="009B15A2">
      <w:pPr>
        <w:rPr>
          <w:rFonts w:ascii="Arial" w:hAnsi="Arial" w:cs="Arial"/>
          <w:color w:val="0070C0"/>
        </w:rPr>
      </w:pPr>
      <w:r>
        <w:rPr>
          <w:rFonts w:ascii="Arial" w:hAnsi="Arial" w:cs="Arial"/>
          <w:color w:val="0070C0"/>
        </w:rPr>
        <w:t xml:space="preserve">IPC has removed the check boxes from the applicable </w:t>
      </w:r>
      <w:proofErr w:type="spellStart"/>
      <w:r>
        <w:rPr>
          <w:rFonts w:ascii="Arial" w:hAnsi="Arial" w:cs="Arial"/>
          <w:color w:val="0070C0"/>
        </w:rPr>
        <w:t>DVA’a</w:t>
      </w:r>
      <w:proofErr w:type="spellEnd"/>
      <w:r>
        <w:rPr>
          <w:rFonts w:ascii="Arial" w:hAnsi="Arial" w:cs="Arial"/>
          <w:color w:val="0070C0"/>
        </w:rPr>
        <w:t xml:space="preserve"> and has updated the Decision and Order EB-2016-0085 in accordance with OEB Staff-5.</w:t>
      </w:r>
    </w:p>
    <w:p w:rsidR="00875435" w:rsidRDefault="00875435" w:rsidP="009B15A2">
      <w:pPr>
        <w:rPr>
          <w:rFonts w:ascii="Arial" w:hAnsi="Arial" w:cs="Arial"/>
          <w:b/>
        </w:rPr>
      </w:pPr>
    </w:p>
    <w:p w:rsidR="009B15A2" w:rsidRDefault="009B15A2" w:rsidP="009B15A2">
      <w:pPr>
        <w:rPr>
          <w:rFonts w:ascii="Arial" w:hAnsi="Arial" w:cs="Arial"/>
          <w:b/>
        </w:rPr>
      </w:pPr>
      <w:r>
        <w:rPr>
          <w:rFonts w:ascii="Arial" w:hAnsi="Arial" w:cs="Arial"/>
          <w:b/>
        </w:rPr>
        <w:t>OEB Staff-5</w:t>
      </w:r>
    </w:p>
    <w:p w:rsidR="009B15A2" w:rsidRDefault="009B15A2" w:rsidP="009B15A2">
      <w:pPr>
        <w:rPr>
          <w:rFonts w:ascii="Arial" w:hAnsi="Arial" w:cs="Arial"/>
          <w:b/>
        </w:rPr>
      </w:pPr>
      <w:r>
        <w:rPr>
          <w:rFonts w:ascii="Arial" w:hAnsi="Arial" w:cs="Arial"/>
          <w:b/>
        </w:rPr>
        <w:t>Ref: Continuity Schedule Tab 3</w:t>
      </w:r>
      <w:r w:rsidR="004E31C9">
        <w:rPr>
          <w:rFonts w:ascii="Arial" w:hAnsi="Arial" w:cs="Arial"/>
          <w:b/>
        </w:rPr>
        <w:t xml:space="preserve"> and Decision and Order EB-2016-0085</w:t>
      </w:r>
    </w:p>
    <w:p w:rsidR="009B15A2" w:rsidRDefault="00990D70" w:rsidP="009B15A2">
      <w:pPr>
        <w:rPr>
          <w:rFonts w:ascii="Arial" w:hAnsi="Arial" w:cs="Arial"/>
        </w:rPr>
      </w:pPr>
      <w:r>
        <w:rPr>
          <w:rFonts w:ascii="Arial" w:hAnsi="Arial" w:cs="Arial"/>
        </w:rPr>
        <w:t xml:space="preserve">Please input in Column BE and BJ the amounts disposed of in Decision and Order EB-2016-0085. Without those amounts </w:t>
      </w:r>
      <w:proofErr w:type="gramStart"/>
      <w:r>
        <w:rPr>
          <w:rFonts w:ascii="Arial" w:hAnsi="Arial" w:cs="Arial"/>
        </w:rPr>
        <w:t>input</w:t>
      </w:r>
      <w:proofErr w:type="gramEnd"/>
      <w:r>
        <w:rPr>
          <w:rFonts w:ascii="Arial" w:hAnsi="Arial" w:cs="Arial"/>
        </w:rPr>
        <w:t xml:space="preserve"> the claims are incorrect. </w:t>
      </w:r>
    </w:p>
    <w:p w:rsidR="00875435" w:rsidRDefault="00125363" w:rsidP="009B15A2">
      <w:pPr>
        <w:rPr>
          <w:rFonts w:ascii="Arial" w:hAnsi="Arial" w:cs="Arial"/>
          <w:color w:val="4F81BD" w:themeColor="accent1"/>
        </w:rPr>
      </w:pPr>
      <w:r>
        <w:rPr>
          <w:rFonts w:ascii="Arial" w:hAnsi="Arial" w:cs="Arial"/>
          <w:color w:val="4F81BD" w:themeColor="accent1"/>
        </w:rPr>
        <w:t>InnPower Response</w:t>
      </w:r>
    </w:p>
    <w:p w:rsidR="00125363" w:rsidRPr="00125363" w:rsidRDefault="00125363" w:rsidP="009B15A2">
      <w:pPr>
        <w:rPr>
          <w:rFonts w:ascii="Arial" w:hAnsi="Arial" w:cs="Arial"/>
          <w:color w:val="4F81BD" w:themeColor="accent1"/>
        </w:rPr>
      </w:pPr>
      <w:r>
        <w:rPr>
          <w:rFonts w:ascii="Arial" w:hAnsi="Arial" w:cs="Arial"/>
          <w:color w:val="4F81BD" w:themeColor="accent1"/>
        </w:rPr>
        <w:t xml:space="preserve">In discussion with IPC’s Case Advisor, Kelli Benincasa, the amounts disposed of in Decision and Order EB-2016-0085 have been input to Column’s BM and BN. </w:t>
      </w:r>
      <w:proofErr w:type="gramStart"/>
      <w:r>
        <w:rPr>
          <w:rFonts w:ascii="Arial" w:hAnsi="Arial" w:cs="Arial"/>
          <w:color w:val="4F81BD" w:themeColor="accent1"/>
        </w:rPr>
        <w:t>This avoids a RRR discrepancy</w:t>
      </w:r>
      <w:r w:rsidR="003A7FD0">
        <w:rPr>
          <w:rFonts w:ascii="Arial" w:hAnsi="Arial" w:cs="Arial"/>
          <w:color w:val="4F81BD" w:themeColor="accent1"/>
        </w:rPr>
        <w:t>,</w:t>
      </w:r>
      <w:r>
        <w:rPr>
          <w:rFonts w:ascii="Arial" w:hAnsi="Arial" w:cs="Arial"/>
          <w:color w:val="4F81BD" w:themeColor="accent1"/>
        </w:rPr>
        <w:t xml:space="preserve"> but will adjust the</w:t>
      </w:r>
      <w:r w:rsidR="003A7FD0">
        <w:rPr>
          <w:rFonts w:ascii="Arial" w:hAnsi="Arial" w:cs="Arial"/>
          <w:color w:val="4F81BD" w:themeColor="accent1"/>
        </w:rPr>
        <w:t xml:space="preserve"> overall</w:t>
      </w:r>
      <w:r>
        <w:rPr>
          <w:rFonts w:ascii="Arial" w:hAnsi="Arial" w:cs="Arial"/>
          <w:color w:val="4F81BD" w:themeColor="accent1"/>
        </w:rPr>
        <w:t xml:space="preserve"> claim amount,</w:t>
      </w:r>
      <w:proofErr w:type="gramEnd"/>
      <w:r>
        <w:rPr>
          <w:rFonts w:ascii="Arial" w:hAnsi="Arial" w:cs="Arial"/>
          <w:color w:val="4F81BD" w:themeColor="accent1"/>
        </w:rPr>
        <w:t xml:space="preserve">  </w:t>
      </w:r>
    </w:p>
    <w:p w:rsidR="00875435" w:rsidRPr="009B15A2" w:rsidRDefault="00875435" w:rsidP="009B15A2">
      <w:pPr>
        <w:rPr>
          <w:rFonts w:ascii="Arial" w:hAnsi="Arial" w:cs="Arial"/>
        </w:rPr>
      </w:pPr>
    </w:p>
    <w:p w:rsidR="00205729" w:rsidRDefault="00205729" w:rsidP="00205729">
      <w:pPr>
        <w:rPr>
          <w:rFonts w:ascii="Arial" w:hAnsi="Arial" w:cs="Arial"/>
          <w:b/>
        </w:rPr>
      </w:pPr>
      <w:r>
        <w:rPr>
          <w:rFonts w:ascii="Arial" w:hAnsi="Arial" w:cs="Arial"/>
          <w:b/>
        </w:rPr>
        <w:t>OEB Staff-6</w:t>
      </w:r>
    </w:p>
    <w:p w:rsidR="00990D70" w:rsidRDefault="00205729" w:rsidP="00205729">
      <w:pPr>
        <w:rPr>
          <w:rFonts w:ascii="Arial" w:hAnsi="Arial" w:cs="Arial"/>
          <w:b/>
        </w:rPr>
      </w:pPr>
      <w:r>
        <w:rPr>
          <w:rFonts w:ascii="Arial" w:hAnsi="Arial" w:cs="Arial"/>
          <w:b/>
        </w:rPr>
        <w:t xml:space="preserve">Ref: </w:t>
      </w:r>
      <w:r w:rsidR="00990D70">
        <w:rPr>
          <w:rFonts w:ascii="Arial" w:hAnsi="Arial" w:cs="Arial"/>
          <w:b/>
        </w:rPr>
        <w:t xml:space="preserve">Continuity Schedule Tab 3 </w:t>
      </w:r>
    </w:p>
    <w:p w:rsidR="00F110C3" w:rsidRPr="00F110C3" w:rsidRDefault="00990D70" w:rsidP="00205729">
      <w:pPr>
        <w:rPr>
          <w:rFonts w:ascii="Arial" w:hAnsi="Arial" w:cs="Arial"/>
        </w:rPr>
      </w:pPr>
      <w:r>
        <w:rPr>
          <w:rFonts w:ascii="Arial" w:hAnsi="Arial" w:cs="Arial"/>
        </w:rPr>
        <w:t xml:space="preserve">It appears InnPower has </w:t>
      </w:r>
      <w:proofErr w:type="gramStart"/>
      <w:r>
        <w:rPr>
          <w:rFonts w:ascii="Arial" w:hAnsi="Arial" w:cs="Arial"/>
        </w:rPr>
        <w:t>Reported</w:t>
      </w:r>
      <w:proofErr w:type="gramEnd"/>
      <w:r>
        <w:rPr>
          <w:rFonts w:ascii="Arial" w:hAnsi="Arial" w:cs="Arial"/>
        </w:rPr>
        <w:t xml:space="preserve"> its RRR incorrectly for Account 1580 Sub-account CBR Class B. Only the amount allocated the Class B </w:t>
      </w:r>
      <w:proofErr w:type="gramStart"/>
      <w:r>
        <w:rPr>
          <w:rFonts w:ascii="Arial" w:hAnsi="Arial" w:cs="Arial"/>
        </w:rPr>
        <w:t>should be reported</w:t>
      </w:r>
      <w:proofErr w:type="gramEnd"/>
      <w:r>
        <w:rPr>
          <w:rFonts w:ascii="Arial" w:hAnsi="Arial" w:cs="Arial"/>
        </w:rPr>
        <w:t xml:space="preserve"> in this account. The 1580 control account should have the total amount reported</w:t>
      </w:r>
      <w:r w:rsidR="00442B4C">
        <w:rPr>
          <w:rFonts w:ascii="Arial" w:hAnsi="Arial" w:cs="Arial"/>
        </w:rPr>
        <w:t xml:space="preserve"> and </w:t>
      </w:r>
      <w:proofErr w:type="gramStart"/>
      <w:r w:rsidR="00442B4C">
        <w:rPr>
          <w:rFonts w:ascii="Arial" w:hAnsi="Arial" w:cs="Arial"/>
        </w:rPr>
        <w:t>then there would be a variance in this account from the RRR that is equal to the amount reported in the RRR class B.</w:t>
      </w:r>
      <w:proofErr w:type="gramEnd"/>
      <w:r w:rsidR="00442B4C">
        <w:rPr>
          <w:rFonts w:ascii="Arial" w:hAnsi="Arial" w:cs="Arial"/>
        </w:rPr>
        <w:t xml:space="preserve"> </w:t>
      </w:r>
    </w:p>
    <w:p w:rsidR="009B15A2" w:rsidRPr="009B15A2" w:rsidRDefault="00990D70" w:rsidP="009B15A2">
      <w:pPr>
        <w:rPr>
          <w:rFonts w:ascii="Arial" w:hAnsi="Arial" w:cs="Arial"/>
        </w:rPr>
      </w:pPr>
      <w:r>
        <w:rPr>
          <w:noProof/>
          <w:lang w:val="en-US"/>
        </w:rPr>
        <w:drawing>
          <wp:inline distT="0" distB="0" distL="0" distR="0" wp14:anchorId="14D0F347" wp14:editId="4A15C574">
            <wp:extent cx="5943600" cy="10375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037590"/>
                    </a:xfrm>
                    <a:prstGeom prst="rect">
                      <a:avLst/>
                    </a:prstGeom>
                  </pic:spPr>
                </pic:pic>
              </a:graphicData>
            </a:graphic>
          </wp:inline>
        </w:drawing>
      </w:r>
    </w:p>
    <w:p w:rsidR="00685301" w:rsidRDefault="00442B4C" w:rsidP="00F110C3">
      <w:pPr>
        <w:rPr>
          <w:rFonts w:ascii="Arial" w:hAnsi="Arial" w:cs="Arial"/>
        </w:rPr>
      </w:pPr>
      <w:r w:rsidRPr="00442B4C">
        <w:rPr>
          <w:rFonts w:ascii="Arial" w:hAnsi="Arial" w:cs="Arial"/>
        </w:rPr>
        <w:lastRenderedPageBreak/>
        <w:t xml:space="preserve">Please refile </w:t>
      </w:r>
      <w:proofErr w:type="spellStart"/>
      <w:r w:rsidRPr="00442B4C">
        <w:rPr>
          <w:rFonts w:ascii="Arial" w:hAnsi="Arial" w:cs="Arial"/>
        </w:rPr>
        <w:t>InnPower’s</w:t>
      </w:r>
      <w:proofErr w:type="spellEnd"/>
      <w:r w:rsidRPr="00442B4C">
        <w:rPr>
          <w:rFonts w:ascii="Arial" w:hAnsi="Arial" w:cs="Arial"/>
        </w:rPr>
        <w:t xml:space="preserve"> </w:t>
      </w:r>
      <w:proofErr w:type="gramStart"/>
      <w:r w:rsidRPr="00442B4C">
        <w:rPr>
          <w:rFonts w:ascii="Arial" w:hAnsi="Arial" w:cs="Arial"/>
        </w:rPr>
        <w:t>RRR and review the balances in all the 1580 Accounts</w:t>
      </w:r>
      <w:proofErr w:type="gramEnd"/>
      <w:r w:rsidRPr="00442B4C">
        <w:rPr>
          <w:rFonts w:ascii="Arial" w:hAnsi="Arial" w:cs="Arial"/>
        </w:rPr>
        <w:t xml:space="preserve"> and confirm they are correct. </w:t>
      </w:r>
    </w:p>
    <w:p w:rsidR="00EE42A6" w:rsidRDefault="00EE42A6" w:rsidP="00F110C3">
      <w:pPr>
        <w:rPr>
          <w:rFonts w:ascii="Arial" w:hAnsi="Arial" w:cs="Arial"/>
        </w:rPr>
      </w:pPr>
    </w:p>
    <w:p w:rsidR="00EE42A6" w:rsidRDefault="00EE42A6" w:rsidP="00F110C3">
      <w:pPr>
        <w:rPr>
          <w:rFonts w:ascii="Arial" w:hAnsi="Arial" w:cs="Arial"/>
          <w:color w:val="0070C0"/>
        </w:rPr>
      </w:pPr>
      <w:r>
        <w:rPr>
          <w:rFonts w:ascii="Arial" w:hAnsi="Arial" w:cs="Arial"/>
          <w:color w:val="0070C0"/>
        </w:rPr>
        <w:t>InnPower Response</w:t>
      </w:r>
    </w:p>
    <w:p w:rsidR="00C74E8A" w:rsidRDefault="00EE42A6" w:rsidP="00F110C3">
      <w:pPr>
        <w:rPr>
          <w:rFonts w:ascii="Arial" w:hAnsi="Arial" w:cs="Arial"/>
          <w:color w:val="0070C0"/>
        </w:rPr>
      </w:pPr>
      <w:r>
        <w:rPr>
          <w:rFonts w:ascii="Arial" w:hAnsi="Arial" w:cs="Arial"/>
          <w:color w:val="0070C0"/>
        </w:rPr>
        <w:t xml:space="preserve">IPC </w:t>
      </w:r>
      <w:r w:rsidR="00C74E8A">
        <w:rPr>
          <w:rFonts w:ascii="Arial" w:hAnsi="Arial" w:cs="Arial"/>
          <w:color w:val="0070C0"/>
        </w:rPr>
        <w:t xml:space="preserve">has reviewed the request with respect to Account 1580. IPC is of the view that the amounts reflected in the sub-account 1580 Class A (principal and interest) are correct. This is due to the fact that IPC undertakes full calendar month billing thus there are no amounts to record in Account 1580 (Class A). </w:t>
      </w:r>
    </w:p>
    <w:p w:rsidR="00EE42A6" w:rsidRDefault="00EE42A6" w:rsidP="00F110C3">
      <w:pPr>
        <w:rPr>
          <w:rFonts w:ascii="Arial" w:hAnsi="Arial" w:cs="Arial"/>
          <w:color w:val="0070C0"/>
        </w:rPr>
      </w:pPr>
      <w:r>
        <w:rPr>
          <w:rFonts w:ascii="Arial" w:hAnsi="Arial" w:cs="Arial"/>
          <w:color w:val="0070C0"/>
        </w:rPr>
        <w:t xml:space="preserve">IPC will also issue a correction to Account </w:t>
      </w:r>
      <w:proofErr w:type="gramStart"/>
      <w:r>
        <w:rPr>
          <w:rFonts w:ascii="Arial" w:hAnsi="Arial" w:cs="Arial"/>
          <w:color w:val="0070C0"/>
        </w:rPr>
        <w:t>1589 which</w:t>
      </w:r>
      <w:proofErr w:type="gramEnd"/>
      <w:r>
        <w:rPr>
          <w:rFonts w:ascii="Arial" w:hAnsi="Arial" w:cs="Arial"/>
          <w:color w:val="0070C0"/>
        </w:rPr>
        <w:t xml:space="preserve"> is addressed in the follow up questions on the GA.</w:t>
      </w:r>
    </w:p>
    <w:p w:rsidR="00EE42A6" w:rsidRPr="00EE42A6" w:rsidRDefault="00EE42A6" w:rsidP="00F110C3">
      <w:pPr>
        <w:rPr>
          <w:rFonts w:ascii="Arial" w:hAnsi="Arial" w:cs="Arial"/>
          <w:color w:val="0070C0"/>
        </w:rPr>
      </w:pPr>
      <w:bookmarkStart w:id="0" w:name="_GoBack"/>
      <w:bookmarkEnd w:id="0"/>
    </w:p>
    <w:sectPr w:rsidR="00EE42A6" w:rsidRPr="00EE42A6" w:rsidSect="00EA0919">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234E304A"/>
    <w:multiLevelType w:val="hybridMultilevel"/>
    <w:tmpl w:val="819EFE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6"/>
  </w:num>
  <w:num w:numId="3">
    <w:abstractNumId w:val="20"/>
  </w:num>
  <w:num w:numId="4">
    <w:abstractNumId w:val="27"/>
  </w:num>
  <w:num w:numId="5">
    <w:abstractNumId w:val="11"/>
  </w:num>
  <w:num w:numId="6">
    <w:abstractNumId w:val="8"/>
  </w:num>
  <w:num w:numId="7">
    <w:abstractNumId w:val="16"/>
  </w:num>
  <w:num w:numId="8">
    <w:abstractNumId w:val="12"/>
  </w:num>
  <w:num w:numId="9">
    <w:abstractNumId w:val="13"/>
  </w:num>
  <w:num w:numId="10">
    <w:abstractNumId w:val="4"/>
  </w:num>
  <w:num w:numId="11">
    <w:abstractNumId w:val="15"/>
  </w:num>
  <w:num w:numId="12">
    <w:abstractNumId w:val="22"/>
  </w:num>
  <w:num w:numId="13">
    <w:abstractNumId w:val="3"/>
  </w:num>
  <w:num w:numId="14">
    <w:abstractNumId w:val="1"/>
  </w:num>
  <w:num w:numId="15">
    <w:abstractNumId w:val="26"/>
  </w:num>
  <w:num w:numId="16">
    <w:abstractNumId w:val="7"/>
  </w:num>
  <w:num w:numId="17">
    <w:abstractNumId w:val="18"/>
  </w:num>
  <w:num w:numId="18">
    <w:abstractNumId w:val="24"/>
  </w:num>
  <w:num w:numId="19">
    <w:abstractNumId w:val="25"/>
  </w:num>
  <w:num w:numId="20">
    <w:abstractNumId w:val="10"/>
  </w:num>
  <w:num w:numId="21">
    <w:abstractNumId w:val="23"/>
  </w:num>
  <w:num w:numId="22">
    <w:abstractNumId w:val="9"/>
  </w:num>
  <w:num w:numId="23">
    <w:abstractNumId w:val="21"/>
  </w:num>
  <w:num w:numId="24">
    <w:abstractNumId w:val="19"/>
  </w:num>
  <w:num w:numId="25">
    <w:abstractNumId w:val="2"/>
  </w:num>
  <w:num w:numId="26">
    <w:abstractNumId w:val="14"/>
  </w:num>
  <w:num w:numId="27">
    <w:abstractNumId w:val="1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B52"/>
    <w:rsid w:val="0003073C"/>
    <w:rsid w:val="00035337"/>
    <w:rsid w:val="00054071"/>
    <w:rsid w:val="0006126D"/>
    <w:rsid w:val="00067F57"/>
    <w:rsid w:val="00071BEC"/>
    <w:rsid w:val="00074514"/>
    <w:rsid w:val="000832D4"/>
    <w:rsid w:val="00090160"/>
    <w:rsid w:val="000B3E7E"/>
    <w:rsid w:val="000D223C"/>
    <w:rsid w:val="000E4006"/>
    <w:rsid w:val="000F1E3A"/>
    <w:rsid w:val="00125363"/>
    <w:rsid w:val="00160311"/>
    <w:rsid w:val="00164E99"/>
    <w:rsid w:val="00183CC8"/>
    <w:rsid w:val="00187E9B"/>
    <w:rsid w:val="001927C2"/>
    <w:rsid w:val="001A4DCD"/>
    <w:rsid w:val="00203092"/>
    <w:rsid w:val="00205729"/>
    <w:rsid w:val="00214301"/>
    <w:rsid w:val="002208C0"/>
    <w:rsid w:val="00224C06"/>
    <w:rsid w:val="0025687C"/>
    <w:rsid w:val="00274A48"/>
    <w:rsid w:val="00291CCC"/>
    <w:rsid w:val="002A6415"/>
    <w:rsid w:val="002B7B7C"/>
    <w:rsid w:val="002C2BF2"/>
    <w:rsid w:val="002C7EF6"/>
    <w:rsid w:val="002F4756"/>
    <w:rsid w:val="00302509"/>
    <w:rsid w:val="003049C5"/>
    <w:rsid w:val="00340C00"/>
    <w:rsid w:val="003702D1"/>
    <w:rsid w:val="00373FAD"/>
    <w:rsid w:val="003777B5"/>
    <w:rsid w:val="003832E7"/>
    <w:rsid w:val="003A20A0"/>
    <w:rsid w:val="003A58B0"/>
    <w:rsid w:val="003A7FD0"/>
    <w:rsid w:val="00400DFC"/>
    <w:rsid w:val="00412DC6"/>
    <w:rsid w:val="004377B0"/>
    <w:rsid w:val="00442B4C"/>
    <w:rsid w:val="00472C81"/>
    <w:rsid w:val="00475032"/>
    <w:rsid w:val="004859EF"/>
    <w:rsid w:val="004E31C9"/>
    <w:rsid w:val="005164F5"/>
    <w:rsid w:val="0052560F"/>
    <w:rsid w:val="00526C3C"/>
    <w:rsid w:val="00565EBE"/>
    <w:rsid w:val="005666F2"/>
    <w:rsid w:val="00572064"/>
    <w:rsid w:val="00584369"/>
    <w:rsid w:val="00587A35"/>
    <w:rsid w:val="005F4693"/>
    <w:rsid w:val="0064279A"/>
    <w:rsid w:val="006470A2"/>
    <w:rsid w:val="00673288"/>
    <w:rsid w:val="00685301"/>
    <w:rsid w:val="006A5D23"/>
    <w:rsid w:val="006E3D58"/>
    <w:rsid w:val="00704EE5"/>
    <w:rsid w:val="007066E2"/>
    <w:rsid w:val="00722640"/>
    <w:rsid w:val="0073197E"/>
    <w:rsid w:val="00744691"/>
    <w:rsid w:val="00746080"/>
    <w:rsid w:val="00764D12"/>
    <w:rsid w:val="00772B57"/>
    <w:rsid w:val="00781D04"/>
    <w:rsid w:val="007C2D45"/>
    <w:rsid w:val="007F49EB"/>
    <w:rsid w:val="00812C1B"/>
    <w:rsid w:val="00835AD0"/>
    <w:rsid w:val="008747B3"/>
    <w:rsid w:val="00875435"/>
    <w:rsid w:val="008813C3"/>
    <w:rsid w:val="008926F0"/>
    <w:rsid w:val="008964E8"/>
    <w:rsid w:val="008A48F6"/>
    <w:rsid w:val="008E6045"/>
    <w:rsid w:val="0090113B"/>
    <w:rsid w:val="0093258A"/>
    <w:rsid w:val="0094373C"/>
    <w:rsid w:val="00946DEE"/>
    <w:rsid w:val="00951E2B"/>
    <w:rsid w:val="00952939"/>
    <w:rsid w:val="00961EA0"/>
    <w:rsid w:val="00990D70"/>
    <w:rsid w:val="009A5C44"/>
    <w:rsid w:val="009B03AF"/>
    <w:rsid w:val="009B15A2"/>
    <w:rsid w:val="009C4216"/>
    <w:rsid w:val="009D5F4B"/>
    <w:rsid w:val="009E626E"/>
    <w:rsid w:val="009E7CBF"/>
    <w:rsid w:val="00A07077"/>
    <w:rsid w:val="00A25EF2"/>
    <w:rsid w:val="00A50DD0"/>
    <w:rsid w:val="00A516B0"/>
    <w:rsid w:val="00A549CE"/>
    <w:rsid w:val="00A5620A"/>
    <w:rsid w:val="00A82FC1"/>
    <w:rsid w:val="00A87BA3"/>
    <w:rsid w:val="00AA06D9"/>
    <w:rsid w:val="00AC2406"/>
    <w:rsid w:val="00AD3FCF"/>
    <w:rsid w:val="00AE62C4"/>
    <w:rsid w:val="00B03802"/>
    <w:rsid w:val="00B069AA"/>
    <w:rsid w:val="00B23A36"/>
    <w:rsid w:val="00B25576"/>
    <w:rsid w:val="00B25EF5"/>
    <w:rsid w:val="00B50EB2"/>
    <w:rsid w:val="00B6722A"/>
    <w:rsid w:val="00B82D78"/>
    <w:rsid w:val="00BA434C"/>
    <w:rsid w:val="00BD4F65"/>
    <w:rsid w:val="00C06F9E"/>
    <w:rsid w:val="00C120E0"/>
    <w:rsid w:val="00C13E6B"/>
    <w:rsid w:val="00C2370B"/>
    <w:rsid w:val="00C624D5"/>
    <w:rsid w:val="00C74E8A"/>
    <w:rsid w:val="00C848A0"/>
    <w:rsid w:val="00C878C5"/>
    <w:rsid w:val="00C96AEA"/>
    <w:rsid w:val="00CC0B6D"/>
    <w:rsid w:val="00CE1CD3"/>
    <w:rsid w:val="00CE4F01"/>
    <w:rsid w:val="00D14E44"/>
    <w:rsid w:val="00D55546"/>
    <w:rsid w:val="00D6213C"/>
    <w:rsid w:val="00D647C0"/>
    <w:rsid w:val="00D77694"/>
    <w:rsid w:val="00D77B0F"/>
    <w:rsid w:val="00DB6B52"/>
    <w:rsid w:val="00DE5488"/>
    <w:rsid w:val="00DE75AC"/>
    <w:rsid w:val="00DF2E5D"/>
    <w:rsid w:val="00DF5A52"/>
    <w:rsid w:val="00DF681C"/>
    <w:rsid w:val="00E17C58"/>
    <w:rsid w:val="00E231C2"/>
    <w:rsid w:val="00E429DA"/>
    <w:rsid w:val="00E62C2A"/>
    <w:rsid w:val="00E8586E"/>
    <w:rsid w:val="00E949F5"/>
    <w:rsid w:val="00E96A06"/>
    <w:rsid w:val="00EA0919"/>
    <w:rsid w:val="00EB5240"/>
    <w:rsid w:val="00EC0B55"/>
    <w:rsid w:val="00EE42A6"/>
    <w:rsid w:val="00F034BF"/>
    <w:rsid w:val="00F110C3"/>
    <w:rsid w:val="00F13C97"/>
    <w:rsid w:val="00F233A3"/>
    <w:rsid w:val="00F26D30"/>
    <w:rsid w:val="00F57152"/>
    <w:rsid w:val="00F7362C"/>
    <w:rsid w:val="00F92F61"/>
    <w:rsid w:val="00FB6F10"/>
    <w:rsid w:val="00FC4CF8"/>
    <w:rsid w:val="00FC5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A383"/>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semiHidden/>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semiHidden/>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080562696">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13729242">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1D11D-6256-446E-8F19-E7066EC6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4</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abramoma</dc:creator>
  <cp:lastModifiedBy>Brenda Pinke</cp:lastModifiedBy>
  <cp:revision>5</cp:revision>
  <cp:lastPrinted>2014-09-29T14:43:00Z</cp:lastPrinted>
  <dcterms:created xsi:type="dcterms:W3CDTF">2018-11-09T17:19:00Z</dcterms:created>
  <dcterms:modified xsi:type="dcterms:W3CDTF">2018-11-12T14:49:00Z</dcterms:modified>
</cp:coreProperties>
</file>