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E7" w:rsidRPr="00600A1A" w:rsidRDefault="004D7237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ENWIN</w:t>
      </w:r>
      <w:r w:rsidR="00600A1A" w:rsidRPr="00600A1A">
        <w:rPr>
          <w:rFonts w:ascii="Arial" w:hAnsi="Arial" w:cs="Arial"/>
          <w:bCs/>
          <w:sz w:val="22"/>
          <w:szCs w:val="22"/>
        </w:rPr>
        <w:t xml:space="preserve"> Utilities Ltd.</w:t>
      </w:r>
      <w:r w:rsidR="00CC0B6D" w:rsidRPr="00600A1A">
        <w:rPr>
          <w:rFonts w:ascii="Arial" w:hAnsi="Arial" w:cs="Arial"/>
          <w:bCs/>
          <w:sz w:val="22"/>
          <w:szCs w:val="22"/>
        </w:rPr>
        <w:t xml:space="preserve"> </w:t>
      </w:r>
    </w:p>
    <w:p w:rsidR="00A07077" w:rsidRPr="00600A1A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00A1A">
        <w:rPr>
          <w:rFonts w:ascii="Arial" w:hAnsi="Arial" w:cs="Arial"/>
          <w:sz w:val="22"/>
          <w:szCs w:val="22"/>
        </w:rPr>
        <w:t>OEB</w:t>
      </w:r>
      <w:r w:rsidR="00A07077" w:rsidRPr="00600A1A">
        <w:rPr>
          <w:rFonts w:ascii="Arial" w:hAnsi="Arial" w:cs="Arial"/>
          <w:sz w:val="22"/>
          <w:szCs w:val="22"/>
        </w:rPr>
        <w:t xml:space="preserve"> Staff </w:t>
      </w:r>
      <w:r w:rsidR="008813C3" w:rsidRPr="00600A1A">
        <w:rPr>
          <w:rFonts w:ascii="Arial" w:hAnsi="Arial" w:cs="Arial"/>
          <w:sz w:val="22"/>
          <w:szCs w:val="22"/>
        </w:rPr>
        <w:t>Questions</w:t>
      </w:r>
    </w:p>
    <w:p w:rsidR="00A07077" w:rsidRPr="00600A1A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00A1A">
        <w:rPr>
          <w:rFonts w:ascii="Arial" w:hAnsi="Arial" w:cs="Arial"/>
          <w:sz w:val="22"/>
          <w:szCs w:val="22"/>
        </w:rPr>
        <w:t>EB-201</w:t>
      </w:r>
      <w:r w:rsidR="00805FDA" w:rsidRPr="00600A1A">
        <w:rPr>
          <w:rFonts w:ascii="Arial" w:hAnsi="Arial" w:cs="Arial"/>
          <w:sz w:val="22"/>
          <w:szCs w:val="22"/>
        </w:rPr>
        <w:t>8</w:t>
      </w:r>
      <w:r w:rsidR="00600A1A" w:rsidRPr="00600A1A">
        <w:rPr>
          <w:rFonts w:ascii="Arial" w:hAnsi="Arial" w:cs="Arial"/>
          <w:sz w:val="22"/>
          <w:szCs w:val="22"/>
        </w:rPr>
        <w:t>-0029</w:t>
      </w:r>
    </w:p>
    <w:p w:rsidR="00A07077" w:rsidRPr="00600A1A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600A1A" w:rsidRDefault="004D7237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ENWIN</w:t>
      </w:r>
      <w:r w:rsidR="00600A1A" w:rsidRPr="00600A1A">
        <w:rPr>
          <w:rFonts w:ascii="Arial" w:hAnsi="Arial" w:cs="Arial"/>
          <w:b/>
          <w:bCs/>
          <w:sz w:val="28"/>
          <w:szCs w:val="28"/>
        </w:rPr>
        <w:t xml:space="preserve"> Utilities Ltd.</w:t>
      </w:r>
      <w:r w:rsidR="0052560F" w:rsidRPr="00600A1A">
        <w:rPr>
          <w:rFonts w:ascii="Arial" w:hAnsi="Arial" w:cs="Arial"/>
          <w:b/>
          <w:bCs/>
          <w:sz w:val="28"/>
          <w:szCs w:val="28"/>
        </w:rPr>
        <w:t xml:space="preserve"> </w:t>
      </w:r>
      <w:r w:rsidR="00947112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ENWIN</w:t>
      </w:r>
      <w:r w:rsidR="00947112">
        <w:rPr>
          <w:rFonts w:ascii="Arial" w:hAnsi="Arial" w:cs="Arial"/>
          <w:b/>
          <w:bCs/>
          <w:sz w:val="28"/>
          <w:szCs w:val="28"/>
        </w:rPr>
        <w:t>)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00A1A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600A1A">
        <w:rPr>
          <w:rFonts w:ascii="Arial" w:hAnsi="Arial" w:cs="Arial"/>
          <w:b/>
          <w:bCs/>
          <w:sz w:val="28"/>
          <w:szCs w:val="28"/>
        </w:rPr>
        <w:t>8</w:t>
      </w:r>
      <w:r w:rsidR="00B069AA" w:rsidRPr="00600A1A">
        <w:rPr>
          <w:rFonts w:ascii="Arial" w:hAnsi="Arial" w:cs="Arial"/>
          <w:b/>
          <w:bCs/>
          <w:sz w:val="28"/>
          <w:szCs w:val="28"/>
        </w:rPr>
        <w:t>-0</w:t>
      </w:r>
      <w:r w:rsidR="00600A1A" w:rsidRPr="00600A1A">
        <w:rPr>
          <w:rFonts w:ascii="Arial" w:hAnsi="Arial" w:cs="Arial"/>
          <w:b/>
          <w:bCs/>
          <w:sz w:val="28"/>
          <w:szCs w:val="28"/>
        </w:rPr>
        <w:t>029</w:t>
      </w:r>
    </w:p>
    <w:p w:rsidR="00D266C6" w:rsidRDefault="00D266C6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Default="00400DFC" w:rsidP="0094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="008E6045" w:rsidRPr="002D056D">
        <w:rPr>
          <w:rFonts w:ascii="Arial" w:hAnsi="Arial" w:cs="Arial"/>
          <w:b/>
          <w:sz w:val="24"/>
          <w:szCs w:val="24"/>
        </w:rPr>
        <w:t>-1</w:t>
      </w:r>
    </w:p>
    <w:p w:rsidR="00947112" w:rsidRDefault="00947112" w:rsidP="0094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Rate Generator Model, Tab 3 – Continuity Schedule </w:t>
      </w:r>
    </w:p>
    <w:p w:rsidR="00947112" w:rsidRPr="00947112" w:rsidRDefault="00947112" w:rsidP="00947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112" w:rsidRDefault="00947112" w:rsidP="008E6045">
      <w:pPr>
        <w:rPr>
          <w:rFonts w:ascii="Arial" w:hAnsi="Arial" w:cs="Arial"/>
          <w:sz w:val="24"/>
          <w:szCs w:val="24"/>
        </w:rPr>
      </w:pPr>
      <w:r w:rsidRPr="00947112">
        <w:rPr>
          <w:rFonts w:ascii="Arial" w:hAnsi="Arial" w:cs="Arial"/>
          <w:sz w:val="24"/>
          <w:szCs w:val="24"/>
        </w:rPr>
        <w:t xml:space="preserve">Columns BN and BM of continuity schedule show principal and interest disposition </w:t>
      </w:r>
      <w:r>
        <w:rPr>
          <w:rFonts w:ascii="Arial" w:hAnsi="Arial" w:cs="Arial"/>
          <w:sz w:val="24"/>
          <w:szCs w:val="24"/>
        </w:rPr>
        <w:t xml:space="preserve">amounts </w:t>
      </w:r>
      <w:r w:rsidRPr="00947112">
        <w:rPr>
          <w:rFonts w:ascii="Arial" w:hAnsi="Arial" w:cs="Arial"/>
          <w:sz w:val="24"/>
          <w:szCs w:val="24"/>
        </w:rPr>
        <w:t xml:space="preserve">instructed by the OEB in 2018. Please explain why </w:t>
      </w:r>
      <w:r w:rsidR="004D7237">
        <w:rPr>
          <w:rFonts w:ascii="Arial" w:hAnsi="Arial" w:cs="Arial"/>
          <w:sz w:val="24"/>
          <w:szCs w:val="24"/>
        </w:rPr>
        <w:t>ENWIN</w:t>
      </w:r>
      <w:r w:rsidRPr="00947112">
        <w:rPr>
          <w:rFonts w:ascii="Arial" w:hAnsi="Arial" w:cs="Arial"/>
          <w:sz w:val="24"/>
          <w:szCs w:val="24"/>
        </w:rPr>
        <w:t xml:space="preserve"> has not populated the Account 1595 (2018) line item with the applicable approved disposition amounts. For example, a principal balance of </w:t>
      </w:r>
      <w:r w:rsidR="00AC5FE1">
        <w:rPr>
          <w:rFonts w:ascii="Arial" w:hAnsi="Arial" w:cs="Arial"/>
          <w:sz w:val="24"/>
          <w:szCs w:val="24"/>
        </w:rPr>
        <w:t>a credit of ($5,273,781)</w:t>
      </w:r>
      <w:r w:rsidRPr="00947112">
        <w:rPr>
          <w:rFonts w:ascii="Arial" w:hAnsi="Arial" w:cs="Arial"/>
          <w:sz w:val="24"/>
          <w:szCs w:val="24"/>
        </w:rPr>
        <w:t xml:space="preserve"> was approved for disposition in 2018 and as suc</w:t>
      </w:r>
      <w:r w:rsidR="00864045">
        <w:rPr>
          <w:rFonts w:ascii="Arial" w:hAnsi="Arial" w:cs="Arial"/>
          <w:sz w:val="24"/>
          <w:szCs w:val="24"/>
        </w:rPr>
        <w:t>h a debit, in the same amount, would</w:t>
      </w:r>
      <w:r w:rsidRPr="00947112">
        <w:rPr>
          <w:rFonts w:ascii="Arial" w:hAnsi="Arial" w:cs="Arial"/>
          <w:sz w:val="24"/>
          <w:szCs w:val="24"/>
        </w:rPr>
        <w:t xml:space="preserve"> be shown in Account 1595 (2018)</w:t>
      </w:r>
      <w:r>
        <w:rPr>
          <w:rFonts w:ascii="Arial" w:hAnsi="Arial" w:cs="Arial"/>
          <w:sz w:val="24"/>
          <w:szCs w:val="24"/>
        </w:rPr>
        <w:t>. The same applies to the interest amount approved.</w:t>
      </w:r>
    </w:p>
    <w:p w:rsidR="00153BBA" w:rsidRDefault="00153BBA" w:rsidP="008E6045">
      <w:pPr>
        <w:rPr>
          <w:rFonts w:ascii="Arial" w:hAnsi="Arial" w:cs="Arial"/>
          <w:b/>
          <w:color w:val="0070C0"/>
          <w:sz w:val="24"/>
          <w:szCs w:val="24"/>
        </w:rPr>
      </w:pPr>
      <w:r w:rsidRPr="00153BBA"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5F085F" w:rsidRDefault="005F085F" w:rsidP="005F085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 input of the Account 1595 (2018) was omitted in error.  ENWIN agrees the principal </w:t>
      </w:r>
      <w:r w:rsidR="0033417F">
        <w:rPr>
          <w:rFonts w:ascii="Arial" w:hAnsi="Arial" w:cs="Arial"/>
          <w:color w:val="0070C0"/>
          <w:sz w:val="24"/>
          <w:szCs w:val="24"/>
        </w:rPr>
        <w:t xml:space="preserve">Group 1 </w:t>
      </w:r>
      <w:r>
        <w:rPr>
          <w:rFonts w:ascii="Arial" w:hAnsi="Arial" w:cs="Arial"/>
          <w:color w:val="0070C0"/>
          <w:sz w:val="24"/>
          <w:szCs w:val="24"/>
        </w:rPr>
        <w:t xml:space="preserve">amount in cell BM37 should be $5,273,781 however the rate order also disposed of a LRAM balance of ($3,361,402) in principal.  Therefore, the Account 1595 (2018) balance in column BM should be $1,912,379.  </w:t>
      </w:r>
    </w:p>
    <w:p w:rsidR="005F085F" w:rsidRDefault="005F085F" w:rsidP="005F085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 interest portion of Account 1595 (2018) in column BN should be ($56,892) which represents $26,331 in interest from the disposal of the group 1 accounts along with a ($83,223) balance related to the LRAM disposition.  </w:t>
      </w:r>
    </w:p>
    <w:p w:rsidR="005F085F" w:rsidRPr="00BA5D31" w:rsidRDefault="005F085F" w:rsidP="005F085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ENWIN </w:t>
      </w:r>
      <w:r w:rsidR="008A65B9">
        <w:rPr>
          <w:rFonts w:ascii="Arial" w:hAnsi="Arial" w:cs="Arial"/>
          <w:color w:val="0070C0"/>
          <w:sz w:val="24"/>
          <w:szCs w:val="24"/>
        </w:rPr>
        <w:t xml:space="preserve">has </w:t>
      </w:r>
      <w:r>
        <w:rPr>
          <w:rFonts w:ascii="Arial" w:hAnsi="Arial" w:cs="Arial"/>
          <w:color w:val="0070C0"/>
          <w:sz w:val="24"/>
          <w:szCs w:val="24"/>
        </w:rPr>
        <w:t>amend</w:t>
      </w:r>
      <w:r w:rsidR="008A65B9">
        <w:rPr>
          <w:rFonts w:ascii="Arial" w:hAnsi="Arial" w:cs="Arial"/>
          <w:color w:val="0070C0"/>
          <w:sz w:val="24"/>
          <w:szCs w:val="24"/>
        </w:rPr>
        <w:t>ed</w:t>
      </w:r>
      <w:r>
        <w:rPr>
          <w:rFonts w:ascii="Arial" w:hAnsi="Arial" w:cs="Arial"/>
          <w:color w:val="0070C0"/>
          <w:sz w:val="24"/>
          <w:szCs w:val="24"/>
        </w:rPr>
        <w:t xml:space="preserve"> the submission in cells BM37 to $1,912,379 and BN37 to ($56,892).</w:t>
      </w:r>
      <w:r w:rsidR="008A65B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47112" w:rsidRPr="00596FBD" w:rsidRDefault="00947112" w:rsidP="00596F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6FBD">
        <w:rPr>
          <w:rFonts w:ascii="Arial" w:hAnsi="Arial" w:cs="Arial"/>
          <w:b/>
          <w:sz w:val="24"/>
          <w:szCs w:val="24"/>
        </w:rPr>
        <w:t>Staff Question-2</w:t>
      </w:r>
    </w:p>
    <w:p w:rsidR="00596FBD" w:rsidRDefault="00596FBD" w:rsidP="00596F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6FBD">
        <w:rPr>
          <w:rFonts w:ascii="Arial" w:hAnsi="Arial" w:cs="Arial"/>
          <w:b/>
          <w:sz w:val="24"/>
          <w:szCs w:val="24"/>
        </w:rPr>
        <w:t xml:space="preserve">Ref: Rate Generator Model, Tab 3 – Continuity Schedule </w:t>
      </w:r>
    </w:p>
    <w:p w:rsidR="00596FBD" w:rsidRPr="00596FBD" w:rsidRDefault="00596FBD" w:rsidP="00596F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7112" w:rsidRDefault="00596FBD" w:rsidP="008E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not material, p</w:t>
      </w:r>
      <w:r w:rsidR="00947112">
        <w:rPr>
          <w:rFonts w:ascii="Arial" w:hAnsi="Arial" w:cs="Arial"/>
          <w:sz w:val="24"/>
          <w:szCs w:val="24"/>
        </w:rPr>
        <w:t xml:space="preserve">lease explain the $694 principal </w:t>
      </w:r>
      <w:r>
        <w:rPr>
          <w:rFonts w:ascii="Arial" w:hAnsi="Arial" w:cs="Arial"/>
          <w:sz w:val="24"/>
          <w:szCs w:val="24"/>
        </w:rPr>
        <w:t xml:space="preserve">and $8 interest </w:t>
      </w:r>
      <w:r w:rsidR="00947112">
        <w:rPr>
          <w:rFonts w:ascii="Arial" w:hAnsi="Arial" w:cs="Arial"/>
          <w:sz w:val="24"/>
          <w:szCs w:val="24"/>
        </w:rPr>
        <w:t>adjustment to Account 1595 (2017)</w:t>
      </w:r>
      <w:r>
        <w:rPr>
          <w:rFonts w:ascii="Arial" w:hAnsi="Arial" w:cs="Arial"/>
          <w:sz w:val="24"/>
          <w:szCs w:val="24"/>
        </w:rPr>
        <w:t xml:space="preserve"> in columns BF and BK, respectively. </w:t>
      </w:r>
    </w:p>
    <w:p w:rsidR="00153BBA" w:rsidRDefault="00153BBA" w:rsidP="00153BBA">
      <w:pPr>
        <w:rPr>
          <w:rFonts w:ascii="Arial" w:hAnsi="Arial" w:cs="Arial"/>
          <w:b/>
          <w:color w:val="0070C0"/>
          <w:sz w:val="24"/>
          <w:szCs w:val="24"/>
        </w:rPr>
      </w:pPr>
      <w:r w:rsidRPr="00153BBA"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5F085F" w:rsidRPr="00833A28" w:rsidRDefault="0033417F" w:rsidP="005F085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To confirm, these values are for Account 1595 (2012) transaction</w:t>
      </w:r>
      <w:r w:rsidR="00CA607A">
        <w:rPr>
          <w:rFonts w:ascii="Arial" w:hAnsi="Arial" w:cs="Arial"/>
          <w:color w:val="0070C0"/>
          <w:sz w:val="24"/>
          <w:szCs w:val="24"/>
        </w:rPr>
        <w:t>s</w:t>
      </w:r>
      <w:r>
        <w:rPr>
          <w:rFonts w:ascii="Arial" w:hAnsi="Arial" w:cs="Arial"/>
          <w:color w:val="0070C0"/>
          <w:sz w:val="24"/>
          <w:szCs w:val="24"/>
        </w:rPr>
        <w:t xml:space="preserve"> made in 2017.  </w:t>
      </w:r>
      <w:r w:rsidR="005F085F" w:rsidRPr="00833A28">
        <w:rPr>
          <w:rFonts w:ascii="Arial" w:hAnsi="Arial" w:cs="Arial"/>
          <w:color w:val="0070C0"/>
          <w:sz w:val="24"/>
          <w:szCs w:val="24"/>
        </w:rPr>
        <w:t xml:space="preserve">The $694 principal </w:t>
      </w:r>
      <w:r w:rsidR="005F085F">
        <w:rPr>
          <w:rFonts w:ascii="Arial" w:hAnsi="Arial" w:cs="Arial"/>
          <w:color w:val="0070C0"/>
          <w:sz w:val="24"/>
          <w:szCs w:val="24"/>
        </w:rPr>
        <w:t xml:space="preserve">adjustment </w:t>
      </w:r>
      <w:r w:rsidR="005F085F" w:rsidRPr="00833A28">
        <w:rPr>
          <w:rFonts w:ascii="Arial" w:hAnsi="Arial" w:cs="Arial"/>
          <w:color w:val="0070C0"/>
          <w:sz w:val="24"/>
          <w:szCs w:val="24"/>
        </w:rPr>
        <w:t>represents a cancel/rebill that was processed after the balances were requested for disposition.  The interest</w:t>
      </w:r>
      <w:r w:rsidR="005F085F">
        <w:rPr>
          <w:rFonts w:ascii="Arial" w:hAnsi="Arial" w:cs="Arial"/>
          <w:color w:val="0070C0"/>
          <w:sz w:val="24"/>
          <w:szCs w:val="24"/>
        </w:rPr>
        <w:t xml:space="preserve"> balance adjustment of $8</w:t>
      </w:r>
      <w:r w:rsidR="005F085F" w:rsidRPr="00833A28">
        <w:rPr>
          <w:rFonts w:ascii="Arial" w:hAnsi="Arial" w:cs="Arial"/>
          <w:color w:val="0070C0"/>
          <w:sz w:val="24"/>
          <w:szCs w:val="24"/>
        </w:rPr>
        <w:t xml:space="preserve"> relates to the same transaction.  The immaterial balances </w:t>
      </w:r>
      <w:r w:rsidR="00CA607A">
        <w:rPr>
          <w:rFonts w:ascii="Arial" w:hAnsi="Arial" w:cs="Arial"/>
          <w:color w:val="0070C0"/>
          <w:sz w:val="24"/>
          <w:szCs w:val="24"/>
        </w:rPr>
        <w:t xml:space="preserve">have been </w:t>
      </w:r>
      <w:r w:rsidR="005F085F" w:rsidRPr="00833A28">
        <w:rPr>
          <w:rFonts w:ascii="Arial" w:hAnsi="Arial" w:cs="Arial"/>
          <w:color w:val="0070C0"/>
          <w:sz w:val="24"/>
          <w:szCs w:val="24"/>
        </w:rPr>
        <w:t>written off as they were not included in the original request for disposition.</w:t>
      </w:r>
    </w:p>
    <w:p w:rsidR="00FF57F5" w:rsidRPr="00FF57F5" w:rsidRDefault="00FF57F5" w:rsidP="00FF57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7F5">
        <w:rPr>
          <w:rFonts w:ascii="Arial" w:hAnsi="Arial" w:cs="Arial"/>
          <w:b/>
          <w:sz w:val="24"/>
          <w:szCs w:val="24"/>
        </w:rPr>
        <w:lastRenderedPageBreak/>
        <w:t>Staff Question-3</w:t>
      </w:r>
    </w:p>
    <w:p w:rsidR="00FF57F5" w:rsidRDefault="00FF57F5" w:rsidP="00FF57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7F5">
        <w:rPr>
          <w:rFonts w:ascii="Arial" w:hAnsi="Arial" w:cs="Arial"/>
          <w:b/>
          <w:sz w:val="24"/>
          <w:szCs w:val="24"/>
        </w:rPr>
        <w:t>Ref: EB-2018-0029, Application,</w:t>
      </w:r>
      <w:r>
        <w:rPr>
          <w:rFonts w:ascii="Arial" w:hAnsi="Arial" w:cs="Arial"/>
          <w:b/>
          <w:sz w:val="24"/>
          <w:szCs w:val="24"/>
        </w:rPr>
        <w:t xml:space="preserve"> Page 8</w:t>
      </w:r>
    </w:p>
    <w:p w:rsidR="00FF57F5" w:rsidRPr="00FF57F5" w:rsidRDefault="00FF57F5" w:rsidP="00FF57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57F5" w:rsidRDefault="004D7237" w:rsidP="008E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ENWIN</w:t>
      </w:r>
      <w:r w:rsidR="00FF57F5">
        <w:rPr>
          <w:rFonts w:ascii="Arial" w:hAnsi="Arial" w:cs="Arial"/>
          <w:sz w:val="24"/>
          <w:szCs w:val="24"/>
        </w:rPr>
        <w:t xml:space="preserve"> is requesting an 8-month disposition period for its Group 1 deferral and variance account balances. The intent of the request is to align the expiration of these rate riders with </w:t>
      </w:r>
      <w:r>
        <w:rPr>
          <w:rFonts w:ascii="Arial" w:hAnsi="Arial" w:cs="Arial"/>
          <w:sz w:val="24"/>
          <w:szCs w:val="24"/>
        </w:rPr>
        <w:t>ENWIN</w:t>
      </w:r>
      <w:r w:rsidR="00FF57F5">
        <w:rPr>
          <w:rFonts w:ascii="Arial" w:hAnsi="Arial" w:cs="Arial"/>
          <w:sz w:val="24"/>
          <w:szCs w:val="24"/>
        </w:rPr>
        <w:t>’s next anticipated rebasing application, for rates effect January 1, 2020.</w:t>
      </w:r>
    </w:p>
    <w:p w:rsidR="003A632C" w:rsidRDefault="003A632C" w:rsidP="008E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total Group 1 balances excluding Account 1589 – Global Adjustment is a credit of ($1,619,836), the Global Adjustment balance is a debit of $907,447 to be collected from non-RPP customers, which is material.</w:t>
      </w:r>
    </w:p>
    <w:p w:rsidR="00E475D7" w:rsidRPr="00414BD1" w:rsidRDefault="00054159" w:rsidP="008E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table comparing the</w:t>
      </w:r>
      <w:r w:rsidR="00FF57F5">
        <w:rPr>
          <w:rFonts w:ascii="Arial" w:hAnsi="Arial" w:cs="Arial"/>
          <w:sz w:val="24"/>
          <w:szCs w:val="24"/>
        </w:rPr>
        <w:t xml:space="preserve"> bill impact scenarios</w:t>
      </w:r>
      <w:r>
        <w:rPr>
          <w:rFonts w:ascii="Arial" w:hAnsi="Arial" w:cs="Arial"/>
          <w:sz w:val="24"/>
          <w:szCs w:val="24"/>
        </w:rPr>
        <w:t xml:space="preserve"> for </w:t>
      </w:r>
      <w:r w:rsidR="004D7237">
        <w:rPr>
          <w:rFonts w:ascii="Arial" w:hAnsi="Arial" w:cs="Arial"/>
          <w:sz w:val="24"/>
          <w:szCs w:val="24"/>
        </w:rPr>
        <w:t>ENWIN</w:t>
      </w:r>
      <w:r>
        <w:rPr>
          <w:rFonts w:ascii="Arial" w:hAnsi="Arial" w:cs="Arial"/>
          <w:sz w:val="24"/>
          <w:szCs w:val="24"/>
        </w:rPr>
        <w:t xml:space="preserve">’s non-RPP customers for an 8-month disposition period, versus a 12-month disposition period. </w:t>
      </w:r>
    </w:p>
    <w:p w:rsidR="00153BBA" w:rsidRDefault="00153BBA" w:rsidP="00153BBA">
      <w:pPr>
        <w:rPr>
          <w:rFonts w:ascii="Arial" w:hAnsi="Arial" w:cs="Arial"/>
          <w:b/>
          <w:color w:val="0070C0"/>
          <w:sz w:val="24"/>
          <w:szCs w:val="24"/>
        </w:rPr>
      </w:pPr>
      <w:r w:rsidRPr="00153BBA"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3F07B7" w:rsidRPr="0079644B" w:rsidRDefault="00CC7B4E" w:rsidP="00153BBA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 bill impact’s comparing ENWIN’s non-RPP customers for an 8-month disposition period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versus a 12-month disposition period results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in</w:t>
      </w:r>
      <w:r w:rsidR="002407CD">
        <w:rPr>
          <w:rFonts w:ascii="Arial" w:hAnsi="Arial" w:cs="Arial"/>
          <w:color w:val="0070C0"/>
          <w:sz w:val="24"/>
          <w:szCs w:val="24"/>
        </w:rPr>
        <w:t xml:space="preserve"> less than a 1% difference in the total bills.</w:t>
      </w:r>
      <w:r w:rsidR="006579C3">
        <w:rPr>
          <w:rFonts w:ascii="Arial" w:hAnsi="Arial" w:cs="Arial"/>
          <w:color w:val="0070C0"/>
          <w:sz w:val="24"/>
          <w:szCs w:val="24"/>
        </w:rPr>
        <w:t xml:space="preserve">  The bill impacts below contain the change in period for both the Group 1 deferral/variance rate rider and the GA rate rider.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50"/>
        <w:gridCol w:w="1311"/>
        <w:gridCol w:w="978"/>
      </w:tblGrid>
      <w:tr w:rsidR="00C1121E" w:rsidRPr="00E935E4" w:rsidTr="00C1121E">
        <w:trPr>
          <w:trHeight w:val="765"/>
        </w:trPr>
        <w:tc>
          <w:tcPr>
            <w:tcW w:w="4077" w:type="dxa"/>
            <w:hideMark/>
          </w:tcPr>
          <w:p w:rsidR="00E935E4" w:rsidRPr="00E935E4" w:rsidRDefault="00E935E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Non-RPP Total Bill</w:t>
            </w:r>
          </w:p>
        </w:tc>
        <w:tc>
          <w:tcPr>
            <w:tcW w:w="1418" w:type="dxa"/>
            <w:hideMark/>
          </w:tcPr>
          <w:p w:rsidR="00E935E4" w:rsidRPr="00E935E4" w:rsidRDefault="00E935E4" w:rsidP="00C1121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8 Month Group 1 </w:t>
            </w:r>
            <w:r w:rsidR="006579C3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+ GA </w:t>
            </w: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RR $</w:t>
            </w:r>
          </w:p>
        </w:tc>
        <w:tc>
          <w:tcPr>
            <w:tcW w:w="1450" w:type="dxa"/>
            <w:hideMark/>
          </w:tcPr>
          <w:p w:rsidR="00E935E4" w:rsidRPr="00E935E4" w:rsidRDefault="00E935E4" w:rsidP="00C1121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12 Month Group 1 </w:t>
            </w:r>
            <w:r w:rsidR="006579C3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+ GA </w:t>
            </w: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RR $</w:t>
            </w:r>
          </w:p>
        </w:tc>
        <w:tc>
          <w:tcPr>
            <w:tcW w:w="1311" w:type="dxa"/>
            <w:hideMark/>
          </w:tcPr>
          <w:p w:rsidR="00E935E4" w:rsidRPr="00E935E4" w:rsidRDefault="00E935E4" w:rsidP="00C1121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$</w:t>
            </w:r>
          </w:p>
        </w:tc>
        <w:tc>
          <w:tcPr>
            <w:tcW w:w="978" w:type="dxa"/>
            <w:hideMark/>
          </w:tcPr>
          <w:p w:rsidR="00E935E4" w:rsidRPr="00E935E4" w:rsidRDefault="00E935E4" w:rsidP="00C1121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Residential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145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145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0.17 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E935E4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0.1%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General Service &lt; 50 kW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377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376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0.45 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E935E4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0.1%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General Service 50 to 4,999 kW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10,607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10,600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6.63 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E935E4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0.1%</w:t>
            </w:r>
          </w:p>
        </w:tc>
      </w:tr>
      <w:tr w:rsidR="00C1121E" w:rsidRPr="00E935E4" w:rsidTr="0075201D">
        <w:trPr>
          <w:trHeight w:val="34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General Service 3,000 to 4,999 kW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98,375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198,934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(559.00)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3F07B7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(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>0.3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>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Large Use - Regular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624,448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623,469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979.39 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E935E4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0.2%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Large Use - 3TS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  <w:r w:rsidR="0075201D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,552,105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  <w:r w:rsidR="0075201D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,557,419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75201D" w:rsidP="0075201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(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>5,314.44)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3F07B7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(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>0.3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>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Large Use - Ford Annex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75201D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 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615,190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614,380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75201D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810.04 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E935E4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0.1%</w:t>
            </w:r>
          </w:p>
        </w:tc>
      </w:tr>
      <w:tr w:rsidR="00C1121E" w:rsidRPr="00E935E4" w:rsidTr="00C1121E">
        <w:trPr>
          <w:trHeight w:val="255"/>
        </w:trPr>
        <w:tc>
          <w:tcPr>
            <w:tcW w:w="4077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Street Lighting</w:t>
            </w:r>
          </w:p>
        </w:tc>
        <w:tc>
          <w:tcPr>
            <w:tcW w:w="1418" w:type="dxa"/>
            <w:noWrap/>
            <w:hideMark/>
          </w:tcPr>
          <w:p w:rsidR="00E935E4" w:rsidRPr="00E935E4" w:rsidRDefault="0075201D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 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124,722 </w:t>
            </w:r>
          </w:p>
        </w:tc>
        <w:tc>
          <w:tcPr>
            <w:tcW w:w="1450" w:type="dxa"/>
            <w:noWrap/>
            <w:hideMark/>
          </w:tcPr>
          <w:p w:rsidR="00E935E4" w:rsidRPr="00E935E4" w:rsidRDefault="00E935E4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124,661 </w:t>
            </w:r>
          </w:p>
        </w:tc>
        <w:tc>
          <w:tcPr>
            <w:tcW w:w="1311" w:type="dxa"/>
            <w:noWrap/>
            <w:hideMark/>
          </w:tcPr>
          <w:p w:rsidR="00E935E4" w:rsidRPr="00E935E4" w:rsidRDefault="0075201D" w:rsidP="00C112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</w:t>
            </w:r>
            <w:r w:rsidR="00E935E4" w:rsidRPr="00E935E4">
              <w:rPr>
                <w:rFonts w:ascii="Arial" w:hAnsi="Arial" w:cs="Arial"/>
                <w:color w:val="0070C0"/>
                <w:sz w:val="24"/>
                <w:szCs w:val="24"/>
              </w:rPr>
              <w:t xml:space="preserve">   60.25 </w:t>
            </w:r>
          </w:p>
        </w:tc>
        <w:tc>
          <w:tcPr>
            <w:tcW w:w="978" w:type="dxa"/>
            <w:noWrap/>
            <w:hideMark/>
          </w:tcPr>
          <w:p w:rsidR="00E935E4" w:rsidRPr="00E935E4" w:rsidRDefault="00E935E4" w:rsidP="003F07B7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935E4">
              <w:rPr>
                <w:rFonts w:ascii="Arial" w:hAnsi="Arial" w:cs="Arial"/>
                <w:color w:val="0070C0"/>
                <w:sz w:val="24"/>
                <w:szCs w:val="24"/>
              </w:rPr>
              <w:t>0.0%</w:t>
            </w:r>
          </w:p>
        </w:tc>
      </w:tr>
    </w:tbl>
    <w:p w:rsidR="00381089" w:rsidRDefault="00381089" w:rsidP="00153BBA">
      <w:pPr>
        <w:rPr>
          <w:rFonts w:ascii="Arial" w:hAnsi="Arial" w:cs="Arial"/>
          <w:color w:val="0070C0"/>
          <w:sz w:val="24"/>
          <w:szCs w:val="24"/>
        </w:rPr>
      </w:pPr>
    </w:p>
    <w:p w:rsidR="00153BBA" w:rsidRPr="00153BBA" w:rsidRDefault="00381089" w:rsidP="00153BBA">
      <w:pPr>
        <w:rPr>
          <w:rFonts w:ascii="Arial" w:hAnsi="Arial" w:cs="Arial"/>
          <w:color w:val="0070C0"/>
          <w:sz w:val="24"/>
          <w:szCs w:val="24"/>
        </w:rPr>
      </w:pPr>
      <w:r w:rsidRPr="00381089">
        <w:rPr>
          <w:rFonts w:ascii="Arial" w:hAnsi="Arial" w:cs="Arial"/>
          <w:color w:val="0070C0"/>
          <w:sz w:val="24"/>
          <w:szCs w:val="24"/>
        </w:rPr>
        <w:t>ENWIN's Large Use - 3TS</w:t>
      </w:r>
      <w:r w:rsidR="004E070F">
        <w:rPr>
          <w:rFonts w:ascii="Arial" w:hAnsi="Arial" w:cs="Arial"/>
          <w:color w:val="0070C0"/>
          <w:sz w:val="24"/>
          <w:szCs w:val="24"/>
        </w:rPr>
        <w:t xml:space="preserve">, </w:t>
      </w:r>
      <w:r w:rsidRPr="00381089">
        <w:rPr>
          <w:rFonts w:ascii="Arial" w:hAnsi="Arial" w:cs="Arial"/>
          <w:color w:val="0070C0"/>
          <w:sz w:val="24"/>
          <w:szCs w:val="24"/>
        </w:rPr>
        <w:t xml:space="preserve">Large Use - Ford Annex </w:t>
      </w:r>
      <w:r w:rsidR="004E070F">
        <w:rPr>
          <w:rFonts w:ascii="Arial" w:hAnsi="Arial" w:cs="Arial"/>
          <w:color w:val="0070C0"/>
          <w:sz w:val="24"/>
          <w:szCs w:val="24"/>
        </w:rPr>
        <w:t>and GS 3,000-4,999 kW c</w:t>
      </w:r>
      <w:r w:rsidRPr="00381089">
        <w:rPr>
          <w:rFonts w:ascii="Arial" w:hAnsi="Arial" w:cs="Arial"/>
          <w:color w:val="0070C0"/>
          <w:sz w:val="24"/>
          <w:szCs w:val="24"/>
        </w:rPr>
        <w:t>ustomer</w:t>
      </w:r>
      <w:r w:rsidR="004E070F">
        <w:rPr>
          <w:rFonts w:ascii="Arial" w:hAnsi="Arial" w:cs="Arial"/>
          <w:color w:val="0070C0"/>
          <w:sz w:val="24"/>
          <w:szCs w:val="24"/>
        </w:rPr>
        <w:t>s</w:t>
      </w:r>
      <w:r w:rsidRPr="00381089">
        <w:rPr>
          <w:rFonts w:ascii="Arial" w:hAnsi="Arial" w:cs="Arial"/>
          <w:color w:val="0070C0"/>
          <w:sz w:val="24"/>
          <w:szCs w:val="24"/>
        </w:rPr>
        <w:t xml:space="preserve"> are Wholesale Market Participants or Class A Consumers and do not receive the GA rate rider.  </w:t>
      </w:r>
    </w:p>
    <w:p w:rsidR="00BF33C7" w:rsidRDefault="00BF33C7" w:rsidP="006E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34" w:rsidRDefault="002E0C34" w:rsidP="006E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Question-4</w:t>
      </w:r>
    </w:p>
    <w:p w:rsidR="002E0C34" w:rsidRDefault="002E0C34" w:rsidP="006E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Rate Generator Model, Tab 6.2a – CBR </w:t>
      </w:r>
      <w:proofErr w:type="spellStart"/>
      <w:r>
        <w:rPr>
          <w:rFonts w:ascii="Arial" w:hAnsi="Arial" w:cs="Arial"/>
          <w:b/>
          <w:sz w:val="24"/>
          <w:szCs w:val="24"/>
        </w:rPr>
        <w:t>B_Allocation</w:t>
      </w:r>
      <w:proofErr w:type="spellEnd"/>
    </w:p>
    <w:p w:rsidR="006B1D5A" w:rsidRPr="006B1D5A" w:rsidRDefault="006B1D5A" w:rsidP="004F0121">
      <w:pPr>
        <w:spacing w:after="0"/>
        <w:rPr>
          <w:rFonts w:ascii="Arial" w:hAnsi="Arial" w:cs="Arial"/>
          <w:sz w:val="24"/>
          <w:szCs w:val="24"/>
        </w:rPr>
      </w:pPr>
    </w:p>
    <w:p w:rsidR="006B1D5A" w:rsidRPr="006B1D5A" w:rsidRDefault="006B1D5A" w:rsidP="004F0121">
      <w:pPr>
        <w:spacing w:after="0"/>
        <w:rPr>
          <w:rFonts w:ascii="Arial" w:hAnsi="Arial" w:cs="Arial"/>
          <w:sz w:val="24"/>
          <w:szCs w:val="24"/>
        </w:rPr>
      </w:pPr>
      <w:r w:rsidRPr="006B1D5A">
        <w:rPr>
          <w:rFonts w:ascii="Arial" w:hAnsi="Arial" w:cs="Arial"/>
          <w:sz w:val="24"/>
          <w:szCs w:val="24"/>
        </w:rPr>
        <w:t xml:space="preserve">OEB staff notes that </w:t>
      </w:r>
      <w:r w:rsidR="004D7237">
        <w:rPr>
          <w:rFonts w:ascii="Arial" w:hAnsi="Arial" w:cs="Arial"/>
          <w:sz w:val="24"/>
          <w:szCs w:val="24"/>
        </w:rPr>
        <w:t>ENWIN</w:t>
      </w:r>
      <w:r>
        <w:rPr>
          <w:rFonts w:ascii="Arial" w:hAnsi="Arial" w:cs="Arial"/>
          <w:sz w:val="24"/>
          <w:szCs w:val="24"/>
        </w:rPr>
        <w:t xml:space="preserve">’s </w:t>
      </w:r>
      <w:r w:rsidRPr="006B1D5A">
        <w:rPr>
          <w:rFonts w:ascii="Arial" w:hAnsi="Arial" w:cs="Arial"/>
          <w:sz w:val="24"/>
          <w:szCs w:val="24"/>
        </w:rPr>
        <w:t xml:space="preserve">original filing showed immaterial amounts allocated to transition customers for CBR Class B.  Therefore a distributor is to transfer the entire OEB-approved CBR Class B amount into the Account 1580 WMS control account to be </w:t>
      </w:r>
      <w:r w:rsidRPr="006B1D5A">
        <w:rPr>
          <w:rFonts w:ascii="Arial" w:hAnsi="Arial" w:cs="Arial"/>
          <w:sz w:val="24"/>
          <w:szCs w:val="24"/>
        </w:rPr>
        <w:lastRenderedPageBreak/>
        <w:t>disposed through the general purpose Group 1 DVA rate riders. OEB staff notes that the Rate Generator Model is designed to automatically do this, however</w:t>
      </w:r>
      <w:r w:rsidR="005F7487">
        <w:rPr>
          <w:rFonts w:ascii="Arial" w:hAnsi="Arial" w:cs="Arial"/>
          <w:sz w:val="24"/>
          <w:szCs w:val="24"/>
        </w:rPr>
        <w:t xml:space="preserve"> cell D20 on Tab 6.2a should be zeroed out </w:t>
      </w:r>
      <w:r w:rsidRPr="006B1D5A">
        <w:rPr>
          <w:rFonts w:ascii="Arial" w:hAnsi="Arial" w:cs="Arial"/>
          <w:sz w:val="24"/>
          <w:szCs w:val="24"/>
        </w:rPr>
        <w:t>to not show the immaterial allocation</w:t>
      </w:r>
      <w:r w:rsidR="004D2DC8">
        <w:rPr>
          <w:rFonts w:ascii="Arial" w:hAnsi="Arial" w:cs="Arial"/>
          <w:sz w:val="24"/>
          <w:szCs w:val="24"/>
        </w:rPr>
        <w:t xml:space="preserve"> of CBR Class B to transition customers</w:t>
      </w:r>
      <w:r w:rsidRPr="006B1D5A">
        <w:rPr>
          <w:rFonts w:ascii="Arial" w:hAnsi="Arial" w:cs="Arial"/>
          <w:sz w:val="24"/>
          <w:szCs w:val="24"/>
        </w:rPr>
        <w:t xml:space="preserve">. </w:t>
      </w:r>
    </w:p>
    <w:p w:rsidR="006B1D5A" w:rsidRPr="006B1D5A" w:rsidRDefault="006B1D5A" w:rsidP="004F0121">
      <w:pPr>
        <w:spacing w:after="0"/>
        <w:rPr>
          <w:rFonts w:ascii="Arial" w:hAnsi="Arial" w:cs="Arial"/>
          <w:sz w:val="24"/>
          <w:szCs w:val="24"/>
        </w:rPr>
      </w:pPr>
    </w:p>
    <w:p w:rsidR="006B1D5A" w:rsidRPr="006B1D5A" w:rsidRDefault="006B1D5A" w:rsidP="004F0121">
      <w:pPr>
        <w:spacing w:after="0"/>
        <w:rPr>
          <w:rFonts w:ascii="Arial" w:hAnsi="Arial" w:cs="Arial"/>
          <w:sz w:val="24"/>
          <w:szCs w:val="24"/>
        </w:rPr>
      </w:pPr>
      <w:r w:rsidRPr="006B1D5A">
        <w:rPr>
          <w:rFonts w:ascii="Arial" w:hAnsi="Arial" w:cs="Arial"/>
          <w:sz w:val="24"/>
          <w:szCs w:val="24"/>
        </w:rPr>
        <w:t xml:space="preserve">OEB staff has made this change to </w:t>
      </w:r>
      <w:r w:rsidR="004D7237">
        <w:rPr>
          <w:rFonts w:ascii="Arial" w:hAnsi="Arial" w:cs="Arial"/>
          <w:sz w:val="24"/>
          <w:szCs w:val="24"/>
        </w:rPr>
        <w:t>ENWIN</w:t>
      </w:r>
      <w:r>
        <w:rPr>
          <w:rFonts w:ascii="Arial" w:hAnsi="Arial" w:cs="Arial"/>
          <w:sz w:val="24"/>
          <w:szCs w:val="24"/>
        </w:rPr>
        <w:t xml:space="preserve">’s </w:t>
      </w:r>
      <w:r w:rsidRPr="006B1D5A">
        <w:rPr>
          <w:rFonts w:ascii="Arial" w:hAnsi="Arial" w:cs="Arial"/>
          <w:sz w:val="24"/>
          <w:szCs w:val="24"/>
        </w:rPr>
        <w:t xml:space="preserve">model and has provided it along with these questions. Please confirm if </w:t>
      </w:r>
      <w:r w:rsidR="004D7237">
        <w:rPr>
          <w:rFonts w:ascii="Arial" w:hAnsi="Arial" w:cs="Arial"/>
          <w:sz w:val="24"/>
          <w:szCs w:val="24"/>
        </w:rPr>
        <w:t>ENWIN</w:t>
      </w:r>
      <w:r>
        <w:rPr>
          <w:rFonts w:ascii="Arial" w:hAnsi="Arial" w:cs="Arial"/>
          <w:sz w:val="24"/>
          <w:szCs w:val="24"/>
        </w:rPr>
        <w:t xml:space="preserve"> </w:t>
      </w:r>
      <w:r w:rsidRPr="006B1D5A">
        <w:rPr>
          <w:rFonts w:ascii="Arial" w:hAnsi="Arial" w:cs="Arial"/>
          <w:sz w:val="24"/>
          <w:szCs w:val="24"/>
        </w:rPr>
        <w:t>agrees.</w:t>
      </w:r>
    </w:p>
    <w:p w:rsidR="004D7237" w:rsidRDefault="004D7237" w:rsidP="004D7237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153BBA" w:rsidRPr="00153BBA" w:rsidRDefault="00153BBA" w:rsidP="00153BBA">
      <w:pPr>
        <w:rPr>
          <w:rFonts w:ascii="Arial" w:hAnsi="Arial" w:cs="Arial"/>
          <w:b/>
          <w:color w:val="0070C0"/>
          <w:sz w:val="24"/>
          <w:szCs w:val="24"/>
        </w:rPr>
      </w:pPr>
      <w:r w:rsidRPr="00153BBA"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153BBA" w:rsidRPr="00153BBA" w:rsidRDefault="004D7237" w:rsidP="00153BBA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ENWIN agrees with the change to the model by OEB staff, removing the text “</w:t>
      </w:r>
      <w:r w:rsidR="008E4D4C" w:rsidRPr="008E4D4C">
        <w:rPr>
          <w:rFonts w:ascii="Arial" w:hAnsi="Arial" w:cs="Arial"/>
          <w:color w:val="0070C0"/>
          <w:sz w:val="24"/>
          <w:szCs w:val="24"/>
        </w:rPr>
        <w:t>Allocated to 1580 control account for disposition</w:t>
      </w:r>
      <w:r w:rsidR="009C6D36">
        <w:rPr>
          <w:rFonts w:ascii="Arial" w:hAnsi="Arial" w:cs="Arial"/>
          <w:color w:val="0070C0"/>
          <w:sz w:val="24"/>
          <w:szCs w:val="24"/>
        </w:rPr>
        <w:t>”</w:t>
      </w:r>
      <w:r w:rsidR="008E4D4C">
        <w:rPr>
          <w:rFonts w:ascii="Arial" w:hAnsi="Arial" w:cs="Arial"/>
          <w:color w:val="0070C0"/>
          <w:sz w:val="24"/>
          <w:szCs w:val="24"/>
        </w:rPr>
        <w:t xml:space="preserve"> </w:t>
      </w:r>
      <w:r w:rsidR="00FD5A1C">
        <w:rPr>
          <w:rFonts w:ascii="Arial" w:hAnsi="Arial" w:cs="Arial"/>
          <w:color w:val="0070C0"/>
          <w:sz w:val="24"/>
          <w:szCs w:val="24"/>
        </w:rPr>
        <w:t>from cell D20</w:t>
      </w:r>
      <w:r w:rsidR="00124BB6">
        <w:rPr>
          <w:rFonts w:ascii="Arial" w:hAnsi="Arial" w:cs="Arial"/>
          <w:color w:val="0070C0"/>
          <w:sz w:val="24"/>
          <w:szCs w:val="24"/>
        </w:rPr>
        <w:t xml:space="preserve">, </w:t>
      </w:r>
      <w:r w:rsidR="00FD5A1C">
        <w:rPr>
          <w:rFonts w:ascii="Arial" w:hAnsi="Arial" w:cs="Arial"/>
          <w:color w:val="0070C0"/>
          <w:sz w:val="24"/>
          <w:szCs w:val="24"/>
        </w:rPr>
        <w:t xml:space="preserve">replacing with a zero value </w:t>
      </w:r>
      <w:r w:rsidR="00124BB6">
        <w:rPr>
          <w:rFonts w:ascii="Arial" w:hAnsi="Arial" w:cs="Arial"/>
          <w:color w:val="0070C0"/>
          <w:sz w:val="24"/>
          <w:szCs w:val="24"/>
        </w:rPr>
        <w:t xml:space="preserve">and </w:t>
      </w:r>
      <w:r w:rsidR="00FD5A1C">
        <w:rPr>
          <w:rFonts w:ascii="Arial" w:hAnsi="Arial" w:cs="Arial"/>
          <w:color w:val="0070C0"/>
          <w:sz w:val="24"/>
          <w:szCs w:val="24"/>
        </w:rPr>
        <w:t xml:space="preserve">resulting in no change to </w:t>
      </w:r>
      <w:r w:rsidR="002407CD">
        <w:rPr>
          <w:rFonts w:ascii="Arial" w:hAnsi="Arial" w:cs="Arial"/>
          <w:color w:val="0070C0"/>
          <w:sz w:val="24"/>
          <w:szCs w:val="24"/>
        </w:rPr>
        <w:t xml:space="preserve">calculations of </w:t>
      </w:r>
      <w:r w:rsidR="00124BB6">
        <w:rPr>
          <w:rFonts w:ascii="Arial" w:hAnsi="Arial" w:cs="Arial"/>
          <w:color w:val="0070C0"/>
          <w:sz w:val="24"/>
          <w:szCs w:val="24"/>
        </w:rPr>
        <w:t xml:space="preserve">the </w:t>
      </w:r>
      <w:r w:rsidR="002407CD">
        <w:rPr>
          <w:rFonts w:ascii="Arial" w:hAnsi="Arial" w:cs="Arial"/>
          <w:color w:val="0070C0"/>
          <w:sz w:val="24"/>
          <w:szCs w:val="24"/>
        </w:rPr>
        <w:t xml:space="preserve">related </w:t>
      </w:r>
      <w:r w:rsidR="00124BB6">
        <w:rPr>
          <w:rFonts w:ascii="Arial" w:hAnsi="Arial" w:cs="Arial"/>
          <w:color w:val="0070C0"/>
          <w:sz w:val="24"/>
          <w:szCs w:val="24"/>
        </w:rPr>
        <w:t>rate riders.</w:t>
      </w:r>
    </w:p>
    <w:p w:rsidR="006E5C6A" w:rsidRPr="00A85385" w:rsidRDefault="000B62DB" w:rsidP="006E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="002E0C34">
        <w:rPr>
          <w:rFonts w:ascii="Arial" w:hAnsi="Arial" w:cs="Arial"/>
          <w:b/>
          <w:sz w:val="24"/>
          <w:szCs w:val="24"/>
        </w:rPr>
        <w:t>-5</w:t>
      </w:r>
    </w:p>
    <w:p w:rsidR="006E5C6A" w:rsidRPr="00A85385" w:rsidRDefault="006E5C6A" w:rsidP="006E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385">
        <w:rPr>
          <w:rFonts w:ascii="Arial" w:hAnsi="Arial" w:cs="Arial"/>
          <w:b/>
          <w:sz w:val="24"/>
          <w:szCs w:val="24"/>
        </w:rPr>
        <w:t>Ref: Rate Generator Model, Tab 9 – Shared Tax – Rate Rider</w:t>
      </w:r>
    </w:p>
    <w:p w:rsidR="006E5C6A" w:rsidRPr="00A85385" w:rsidRDefault="006E5C6A" w:rsidP="006E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385" w:rsidRPr="00A85385" w:rsidRDefault="00A85385" w:rsidP="008E6045">
      <w:pPr>
        <w:rPr>
          <w:rFonts w:ascii="Arial" w:hAnsi="Arial" w:cs="Arial"/>
          <w:sz w:val="24"/>
          <w:szCs w:val="24"/>
        </w:rPr>
      </w:pPr>
      <w:r w:rsidRPr="00A85385">
        <w:rPr>
          <w:noProof/>
          <w:lang w:eastAsia="en-CA"/>
        </w:rPr>
        <w:drawing>
          <wp:inline distT="0" distB="0" distL="0" distR="0" wp14:anchorId="5D1AE7DE" wp14:editId="6C3E2835">
            <wp:extent cx="5943600" cy="2437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6A" w:rsidRPr="00A85385" w:rsidRDefault="006E5C6A" w:rsidP="008E6045">
      <w:pPr>
        <w:rPr>
          <w:rFonts w:ascii="Arial" w:hAnsi="Arial" w:cs="Arial"/>
          <w:sz w:val="24"/>
          <w:szCs w:val="24"/>
        </w:rPr>
      </w:pPr>
      <w:r w:rsidRPr="00A85385">
        <w:rPr>
          <w:rFonts w:ascii="Arial" w:hAnsi="Arial" w:cs="Arial"/>
          <w:sz w:val="24"/>
          <w:szCs w:val="24"/>
        </w:rPr>
        <w:t xml:space="preserve">Similar to last </w:t>
      </w:r>
      <w:proofErr w:type="spellStart"/>
      <w:r w:rsidRPr="00A85385">
        <w:rPr>
          <w:rFonts w:ascii="Arial" w:hAnsi="Arial" w:cs="Arial"/>
          <w:sz w:val="24"/>
          <w:szCs w:val="24"/>
        </w:rPr>
        <w:t>years</w:t>
      </w:r>
      <w:proofErr w:type="spellEnd"/>
      <w:r w:rsidRPr="00A85385">
        <w:rPr>
          <w:rFonts w:ascii="Arial" w:hAnsi="Arial" w:cs="Arial"/>
          <w:sz w:val="24"/>
          <w:szCs w:val="24"/>
        </w:rPr>
        <w:t xml:space="preserve"> ap</w:t>
      </w:r>
      <w:r w:rsidR="00A85385" w:rsidRPr="00A85385">
        <w:rPr>
          <w:rFonts w:ascii="Arial" w:hAnsi="Arial" w:cs="Arial"/>
          <w:sz w:val="24"/>
          <w:szCs w:val="24"/>
        </w:rPr>
        <w:t xml:space="preserve">plication, </w:t>
      </w:r>
      <w:r w:rsidR="004D7237">
        <w:rPr>
          <w:rFonts w:ascii="Arial" w:hAnsi="Arial" w:cs="Arial"/>
          <w:sz w:val="24"/>
          <w:szCs w:val="24"/>
        </w:rPr>
        <w:t>ENWIN</w:t>
      </w:r>
      <w:r w:rsidR="00A85385" w:rsidRPr="00A85385">
        <w:rPr>
          <w:rFonts w:ascii="Arial" w:hAnsi="Arial" w:cs="Arial"/>
          <w:sz w:val="24"/>
          <w:szCs w:val="24"/>
        </w:rPr>
        <w:t xml:space="preserve"> </w:t>
      </w:r>
      <w:r w:rsidR="003D50EC">
        <w:rPr>
          <w:rFonts w:ascii="Arial" w:hAnsi="Arial" w:cs="Arial"/>
          <w:sz w:val="24"/>
          <w:szCs w:val="24"/>
        </w:rPr>
        <w:t>has requested OEB s</w:t>
      </w:r>
      <w:r w:rsidRPr="00A85385">
        <w:rPr>
          <w:rFonts w:ascii="Arial" w:hAnsi="Arial" w:cs="Arial"/>
          <w:sz w:val="24"/>
          <w:szCs w:val="24"/>
        </w:rPr>
        <w:t xml:space="preserve">taff to modify the above noted tab to have the rate rider for tax sharing for the Sentinel, Street Lighting and Unmetered Scattered Load rate classes on a per connection basis. </w:t>
      </w:r>
    </w:p>
    <w:p w:rsidR="006F1E68" w:rsidRPr="00800351" w:rsidRDefault="003D50EC" w:rsidP="000B6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</w:t>
      </w:r>
      <w:r w:rsidR="00A85385" w:rsidRPr="00A85385">
        <w:rPr>
          <w:rFonts w:ascii="Arial" w:hAnsi="Arial" w:cs="Arial"/>
          <w:sz w:val="24"/>
          <w:szCs w:val="24"/>
        </w:rPr>
        <w:t>taff notes that the rate riders shown for the above noted rate classes are to four decimal places, when they should be rounded to two. Please co</w:t>
      </w:r>
      <w:r>
        <w:rPr>
          <w:rFonts w:ascii="Arial" w:hAnsi="Arial" w:cs="Arial"/>
          <w:sz w:val="24"/>
          <w:szCs w:val="24"/>
        </w:rPr>
        <w:t xml:space="preserve">nfirm if </w:t>
      </w:r>
      <w:r w:rsidR="004D7237">
        <w:rPr>
          <w:rFonts w:ascii="Arial" w:hAnsi="Arial" w:cs="Arial"/>
          <w:sz w:val="24"/>
          <w:szCs w:val="24"/>
        </w:rPr>
        <w:t>ENWIN</w:t>
      </w:r>
      <w:r>
        <w:rPr>
          <w:rFonts w:ascii="Arial" w:hAnsi="Arial" w:cs="Arial"/>
          <w:sz w:val="24"/>
          <w:szCs w:val="24"/>
        </w:rPr>
        <w:t xml:space="preserve"> agrees, and OEB s</w:t>
      </w:r>
      <w:r w:rsidR="00A85385" w:rsidRPr="00A85385">
        <w:rPr>
          <w:rFonts w:ascii="Arial" w:hAnsi="Arial" w:cs="Arial"/>
          <w:sz w:val="24"/>
          <w:szCs w:val="24"/>
        </w:rPr>
        <w:t>taff</w:t>
      </w:r>
      <w:r w:rsidR="00A07FF4">
        <w:rPr>
          <w:rFonts w:ascii="Arial" w:hAnsi="Arial" w:cs="Arial"/>
          <w:sz w:val="24"/>
          <w:szCs w:val="24"/>
        </w:rPr>
        <w:t xml:space="preserve"> will ensure that at the time of</w:t>
      </w:r>
      <w:r w:rsidR="00A85385">
        <w:rPr>
          <w:rFonts w:ascii="Arial" w:hAnsi="Arial" w:cs="Arial"/>
          <w:sz w:val="24"/>
          <w:szCs w:val="24"/>
        </w:rPr>
        <w:t xml:space="preserve"> the issuance of</w:t>
      </w:r>
      <w:r w:rsidR="00A85385" w:rsidRPr="00A85385">
        <w:rPr>
          <w:rFonts w:ascii="Arial" w:hAnsi="Arial" w:cs="Arial"/>
          <w:sz w:val="24"/>
          <w:szCs w:val="24"/>
        </w:rPr>
        <w:t xml:space="preserve"> the Tariff of Rates an</w:t>
      </w:r>
      <w:r w:rsidR="00A85385">
        <w:rPr>
          <w:rFonts w:ascii="Arial" w:hAnsi="Arial" w:cs="Arial"/>
          <w:sz w:val="24"/>
          <w:szCs w:val="24"/>
        </w:rPr>
        <w:t>d Charges, these rate riders will be</w:t>
      </w:r>
      <w:r w:rsidR="00A85385" w:rsidRPr="00A85385">
        <w:rPr>
          <w:rFonts w:ascii="Arial" w:hAnsi="Arial" w:cs="Arial"/>
          <w:sz w:val="24"/>
          <w:szCs w:val="24"/>
        </w:rPr>
        <w:t xml:space="preserve"> displayed correctly. </w:t>
      </w:r>
    </w:p>
    <w:p w:rsidR="00153BBA" w:rsidRPr="00153BBA" w:rsidRDefault="00234808" w:rsidP="00153BBA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153BBA" w:rsidRDefault="004D7237" w:rsidP="00153BBA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ENWIN</w:t>
      </w:r>
      <w:r w:rsidR="00C554DC">
        <w:rPr>
          <w:rFonts w:ascii="Arial" w:hAnsi="Arial" w:cs="Arial"/>
          <w:color w:val="0070C0"/>
          <w:sz w:val="24"/>
          <w:szCs w:val="24"/>
        </w:rPr>
        <w:t xml:space="preserve"> agrees the per connection rate riders for Sentinel, Street Lighting and Unmetered Scattered Load rate classes should be rounded to two decimal places.  </w:t>
      </w:r>
      <w:r w:rsidR="00865A58">
        <w:rPr>
          <w:rFonts w:ascii="Arial" w:hAnsi="Arial" w:cs="Arial"/>
          <w:color w:val="0070C0"/>
          <w:sz w:val="24"/>
          <w:szCs w:val="24"/>
        </w:rPr>
        <w:t xml:space="preserve">The </w:t>
      </w:r>
      <w:r w:rsidR="00865A58">
        <w:rPr>
          <w:rFonts w:ascii="Arial" w:hAnsi="Arial" w:cs="Arial"/>
          <w:color w:val="0070C0"/>
          <w:sz w:val="24"/>
          <w:szCs w:val="24"/>
        </w:rPr>
        <w:lastRenderedPageBreak/>
        <w:t xml:space="preserve">rounding to two decimal places </w:t>
      </w:r>
      <w:r w:rsidR="00C554DC">
        <w:rPr>
          <w:rFonts w:ascii="Arial" w:hAnsi="Arial" w:cs="Arial"/>
          <w:color w:val="0070C0"/>
          <w:sz w:val="24"/>
          <w:szCs w:val="24"/>
        </w:rPr>
        <w:t xml:space="preserve">should also be applied </w:t>
      </w:r>
      <w:r w:rsidR="00124BB6">
        <w:rPr>
          <w:rFonts w:ascii="Arial" w:hAnsi="Arial" w:cs="Arial"/>
          <w:color w:val="0070C0"/>
          <w:sz w:val="24"/>
          <w:szCs w:val="24"/>
        </w:rPr>
        <w:t xml:space="preserve">to the Sentinel, Street Lighting and Unmetered Scattered Load rate classes </w:t>
      </w:r>
      <w:r w:rsidR="00BF7B2A">
        <w:rPr>
          <w:rFonts w:ascii="Arial" w:hAnsi="Arial" w:cs="Arial"/>
          <w:color w:val="0070C0"/>
          <w:sz w:val="24"/>
          <w:szCs w:val="24"/>
        </w:rPr>
        <w:t xml:space="preserve">for the Deferral/Variance rate riders on sheet 7. </w:t>
      </w:r>
      <w:proofErr w:type="gramStart"/>
      <w:r w:rsidR="00865A58">
        <w:rPr>
          <w:rFonts w:ascii="Arial" w:hAnsi="Arial" w:cs="Arial"/>
          <w:color w:val="0070C0"/>
          <w:sz w:val="24"/>
          <w:szCs w:val="24"/>
        </w:rPr>
        <w:t>Calculation of Def-</w:t>
      </w:r>
      <w:proofErr w:type="spellStart"/>
      <w:r w:rsidR="00865A58">
        <w:rPr>
          <w:rFonts w:ascii="Arial" w:hAnsi="Arial" w:cs="Arial"/>
          <w:color w:val="0070C0"/>
          <w:sz w:val="24"/>
          <w:szCs w:val="24"/>
        </w:rPr>
        <w:t>Var</w:t>
      </w:r>
      <w:proofErr w:type="spellEnd"/>
      <w:r w:rsidR="00865A58">
        <w:rPr>
          <w:rFonts w:ascii="Arial" w:hAnsi="Arial" w:cs="Arial"/>
          <w:color w:val="0070C0"/>
          <w:sz w:val="24"/>
          <w:szCs w:val="24"/>
        </w:rPr>
        <w:t xml:space="preserve"> RR.</w:t>
      </w:r>
      <w:proofErr w:type="gramEnd"/>
      <w:r w:rsidR="00865A58">
        <w:rPr>
          <w:rFonts w:ascii="Arial" w:hAnsi="Arial" w:cs="Arial"/>
          <w:color w:val="0070C0"/>
          <w:sz w:val="24"/>
          <w:szCs w:val="24"/>
        </w:rPr>
        <w:t xml:space="preserve">  ENWIN’s </w:t>
      </w:r>
      <w:r w:rsidR="00AE07BC">
        <w:rPr>
          <w:rFonts w:ascii="Arial" w:hAnsi="Arial" w:cs="Arial"/>
          <w:color w:val="0070C0"/>
          <w:sz w:val="24"/>
          <w:szCs w:val="24"/>
        </w:rPr>
        <w:t xml:space="preserve">application </w:t>
      </w:r>
      <w:r w:rsidR="00865A58">
        <w:rPr>
          <w:rFonts w:ascii="Arial" w:hAnsi="Arial" w:cs="Arial"/>
          <w:color w:val="0070C0"/>
          <w:sz w:val="24"/>
          <w:szCs w:val="24"/>
        </w:rPr>
        <w:t>Appendix D Tariff Sheet already reflects the two decimal places.</w:t>
      </w:r>
    </w:p>
    <w:p w:rsidR="00E704EB" w:rsidRDefault="00384C14" w:rsidP="00153BBA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There is also an issue with the effective </w:t>
      </w:r>
      <w:r w:rsidR="00234808">
        <w:rPr>
          <w:rFonts w:ascii="Arial" w:hAnsi="Arial" w:cs="Arial"/>
          <w:color w:val="0070C0"/>
          <w:sz w:val="24"/>
          <w:szCs w:val="24"/>
        </w:rPr>
        <w:t xml:space="preserve">until </w:t>
      </w:r>
      <w:r>
        <w:rPr>
          <w:rFonts w:ascii="Arial" w:hAnsi="Arial" w:cs="Arial"/>
          <w:color w:val="0070C0"/>
          <w:sz w:val="24"/>
          <w:szCs w:val="24"/>
        </w:rPr>
        <w:t xml:space="preserve">date </w:t>
      </w:r>
      <w:r w:rsidR="00E704EB">
        <w:rPr>
          <w:rFonts w:ascii="Arial" w:hAnsi="Arial" w:cs="Arial"/>
          <w:color w:val="0070C0"/>
          <w:sz w:val="24"/>
          <w:szCs w:val="24"/>
        </w:rPr>
        <w:t>within the</w:t>
      </w:r>
      <w:r w:rsidR="000A0BFD">
        <w:rPr>
          <w:rFonts w:ascii="Arial" w:hAnsi="Arial" w:cs="Arial"/>
          <w:color w:val="0070C0"/>
          <w:sz w:val="24"/>
          <w:szCs w:val="24"/>
        </w:rPr>
        <w:t xml:space="preserve"> IRM</w:t>
      </w:r>
      <w:r w:rsidR="00E704EB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gramStart"/>
      <w:r w:rsidR="00E704EB">
        <w:rPr>
          <w:rFonts w:ascii="Arial" w:hAnsi="Arial" w:cs="Arial"/>
          <w:color w:val="0070C0"/>
          <w:sz w:val="24"/>
          <w:szCs w:val="24"/>
        </w:rPr>
        <w:t>model,</w:t>
      </w:r>
      <w:proofErr w:type="gramEnd"/>
      <w:r w:rsidR="00E704EB">
        <w:rPr>
          <w:rFonts w:ascii="Arial" w:hAnsi="Arial" w:cs="Arial"/>
          <w:color w:val="0070C0"/>
          <w:sz w:val="24"/>
          <w:szCs w:val="24"/>
        </w:rPr>
        <w:t xml:space="preserve"> these were corrected on ENWIN’s submitted Appendix D Tariff Sheet.  </w:t>
      </w:r>
      <w:r w:rsidR="00944861">
        <w:rPr>
          <w:rFonts w:ascii="Arial" w:hAnsi="Arial" w:cs="Arial"/>
          <w:color w:val="0070C0"/>
          <w:sz w:val="24"/>
          <w:szCs w:val="24"/>
        </w:rPr>
        <w:t>P</w:t>
      </w:r>
      <w:r w:rsidR="00E704EB">
        <w:rPr>
          <w:rFonts w:ascii="Arial" w:hAnsi="Arial" w:cs="Arial"/>
          <w:color w:val="0070C0"/>
          <w:sz w:val="24"/>
          <w:szCs w:val="24"/>
        </w:rPr>
        <w:t xml:space="preserve">rior to </w:t>
      </w:r>
      <w:r w:rsidR="00944861">
        <w:rPr>
          <w:rFonts w:ascii="Arial" w:hAnsi="Arial" w:cs="Arial"/>
          <w:color w:val="0070C0"/>
          <w:sz w:val="24"/>
          <w:szCs w:val="24"/>
        </w:rPr>
        <w:t xml:space="preserve">submission of the </w:t>
      </w:r>
      <w:r w:rsidR="00E704EB">
        <w:rPr>
          <w:rFonts w:ascii="Arial" w:hAnsi="Arial" w:cs="Arial"/>
          <w:color w:val="0070C0"/>
          <w:sz w:val="24"/>
          <w:szCs w:val="24"/>
        </w:rPr>
        <w:t>application</w:t>
      </w:r>
      <w:r w:rsidR="00AE07BC">
        <w:rPr>
          <w:rFonts w:ascii="Arial" w:hAnsi="Arial" w:cs="Arial"/>
          <w:color w:val="0070C0"/>
          <w:sz w:val="24"/>
          <w:szCs w:val="24"/>
        </w:rPr>
        <w:t xml:space="preserve">, Board Staff </w:t>
      </w:r>
      <w:r w:rsidR="008B0AD2">
        <w:rPr>
          <w:rFonts w:ascii="Arial" w:hAnsi="Arial" w:cs="Arial"/>
          <w:color w:val="0070C0"/>
          <w:sz w:val="24"/>
          <w:szCs w:val="24"/>
        </w:rPr>
        <w:t xml:space="preserve">recommended making </w:t>
      </w:r>
      <w:r w:rsidR="00410A08">
        <w:rPr>
          <w:rFonts w:ascii="Arial" w:hAnsi="Arial" w:cs="Arial"/>
          <w:color w:val="0070C0"/>
          <w:sz w:val="24"/>
          <w:szCs w:val="24"/>
        </w:rPr>
        <w:t>these</w:t>
      </w:r>
      <w:r w:rsidR="008B0AD2">
        <w:rPr>
          <w:rFonts w:ascii="Arial" w:hAnsi="Arial" w:cs="Arial"/>
          <w:color w:val="0070C0"/>
          <w:sz w:val="24"/>
          <w:szCs w:val="24"/>
        </w:rPr>
        <w:t xml:space="preserve"> changes to the stand alone Appendix D Tariff</w:t>
      </w:r>
      <w:r w:rsidR="000A0BFD">
        <w:rPr>
          <w:rFonts w:ascii="Arial" w:hAnsi="Arial" w:cs="Arial"/>
          <w:color w:val="0070C0"/>
          <w:sz w:val="24"/>
          <w:szCs w:val="24"/>
        </w:rPr>
        <w:t xml:space="preserve"> and confirm all items once the IRM model was approved.</w:t>
      </w:r>
      <w:r w:rsidR="008B0AD2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F87719" w:rsidRDefault="00E704EB" w:rsidP="00153BBA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825F2D">
        <w:rPr>
          <w:rFonts w:ascii="Arial" w:hAnsi="Arial" w:cs="Arial"/>
          <w:color w:val="0070C0"/>
          <w:sz w:val="24"/>
          <w:szCs w:val="24"/>
        </w:rPr>
        <w:t xml:space="preserve">To ensure correctness at the time of issuance of the Tariff of Rates and Charges, the </w:t>
      </w:r>
      <w:proofErr w:type="gramStart"/>
      <w:r w:rsidR="00825F2D">
        <w:rPr>
          <w:rFonts w:ascii="Arial" w:hAnsi="Arial" w:cs="Arial"/>
          <w:color w:val="0070C0"/>
          <w:sz w:val="24"/>
          <w:szCs w:val="24"/>
        </w:rPr>
        <w:t xml:space="preserve">effective </w:t>
      </w:r>
      <w:r w:rsidR="00234808">
        <w:rPr>
          <w:rFonts w:ascii="Arial" w:hAnsi="Arial" w:cs="Arial"/>
          <w:color w:val="0070C0"/>
          <w:sz w:val="24"/>
          <w:szCs w:val="24"/>
        </w:rPr>
        <w:t xml:space="preserve"> until</w:t>
      </w:r>
      <w:proofErr w:type="gramEnd"/>
      <w:r w:rsidR="00234808">
        <w:rPr>
          <w:rFonts w:ascii="Arial" w:hAnsi="Arial" w:cs="Arial"/>
          <w:color w:val="0070C0"/>
          <w:sz w:val="24"/>
          <w:szCs w:val="24"/>
        </w:rPr>
        <w:t xml:space="preserve"> </w:t>
      </w:r>
      <w:r w:rsidR="00825F2D">
        <w:rPr>
          <w:rFonts w:ascii="Arial" w:hAnsi="Arial" w:cs="Arial"/>
          <w:color w:val="0070C0"/>
          <w:sz w:val="24"/>
          <w:szCs w:val="24"/>
        </w:rPr>
        <w:t xml:space="preserve">date </w:t>
      </w:r>
      <w:r w:rsidR="00F87719">
        <w:rPr>
          <w:rFonts w:ascii="Arial" w:hAnsi="Arial" w:cs="Arial"/>
          <w:color w:val="0070C0"/>
          <w:sz w:val="24"/>
          <w:szCs w:val="24"/>
        </w:rPr>
        <w:t>should be December 31, 2019 for:</w:t>
      </w:r>
    </w:p>
    <w:p w:rsidR="00F87719" w:rsidRDefault="00825F2D" w:rsidP="00F87719">
      <w:pPr>
        <w:pStyle w:val="ListParagraph"/>
        <w:numPr>
          <w:ilvl w:val="0"/>
          <w:numId w:val="29"/>
        </w:numPr>
        <w:rPr>
          <w:rFonts w:ascii="Arial" w:hAnsi="Arial" w:cs="Arial"/>
          <w:color w:val="0070C0"/>
          <w:sz w:val="24"/>
          <w:szCs w:val="24"/>
        </w:rPr>
      </w:pPr>
      <w:r w:rsidRPr="00F87719">
        <w:rPr>
          <w:rFonts w:ascii="Arial" w:hAnsi="Arial" w:cs="Arial"/>
          <w:color w:val="0070C0"/>
          <w:sz w:val="24"/>
          <w:szCs w:val="24"/>
        </w:rPr>
        <w:t>Rate Rider of G</w:t>
      </w:r>
      <w:r w:rsidR="005A55A1" w:rsidRPr="00F87719">
        <w:rPr>
          <w:rFonts w:ascii="Arial" w:hAnsi="Arial" w:cs="Arial"/>
          <w:color w:val="0070C0"/>
          <w:sz w:val="24"/>
          <w:szCs w:val="24"/>
        </w:rPr>
        <w:t xml:space="preserve">lobal Adjustment Account (2019), </w:t>
      </w:r>
    </w:p>
    <w:p w:rsidR="00F87719" w:rsidRDefault="005A55A1" w:rsidP="00F87719">
      <w:pPr>
        <w:pStyle w:val="ListParagraph"/>
        <w:numPr>
          <w:ilvl w:val="0"/>
          <w:numId w:val="29"/>
        </w:numPr>
        <w:rPr>
          <w:rFonts w:ascii="Arial" w:hAnsi="Arial" w:cs="Arial"/>
          <w:color w:val="0070C0"/>
          <w:sz w:val="24"/>
          <w:szCs w:val="24"/>
        </w:rPr>
      </w:pPr>
      <w:r w:rsidRPr="00F87719">
        <w:rPr>
          <w:rFonts w:ascii="Arial" w:hAnsi="Arial" w:cs="Arial"/>
          <w:color w:val="0070C0"/>
          <w:sz w:val="24"/>
          <w:szCs w:val="24"/>
        </w:rPr>
        <w:t>Rate Rider for Disposition of Deferral/V</w:t>
      </w:r>
      <w:r w:rsidR="00F87719">
        <w:rPr>
          <w:rFonts w:ascii="Arial" w:hAnsi="Arial" w:cs="Arial"/>
          <w:color w:val="0070C0"/>
          <w:sz w:val="24"/>
          <w:szCs w:val="24"/>
        </w:rPr>
        <w:t>ari</w:t>
      </w:r>
      <w:r w:rsidR="00CA04DB">
        <w:rPr>
          <w:rFonts w:ascii="Arial" w:hAnsi="Arial" w:cs="Arial"/>
          <w:color w:val="0070C0"/>
          <w:sz w:val="24"/>
          <w:szCs w:val="24"/>
        </w:rPr>
        <w:t>a</w:t>
      </w:r>
      <w:r w:rsidR="00F87719">
        <w:rPr>
          <w:rFonts w:ascii="Arial" w:hAnsi="Arial" w:cs="Arial"/>
          <w:color w:val="0070C0"/>
          <w:sz w:val="24"/>
          <w:szCs w:val="24"/>
        </w:rPr>
        <w:t xml:space="preserve">nce Accounts (2019) and </w:t>
      </w:r>
    </w:p>
    <w:p w:rsidR="00865A58" w:rsidRPr="00F87719" w:rsidRDefault="005A55A1" w:rsidP="00153BBA">
      <w:pPr>
        <w:pStyle w:val="ListParagraph"/>
        <w:numPr>
          <w:ilvl w:val="0"/>
          <w:numId w:val="29"/>
        </w:numPr>
        <w:rPr>
          <w:rFonts w:ascii="Arial" w:hAnsi="Arial" w:cs="Arial"/>
          <w:color w:val="0070C0"/>
          <w:sz w:val="24"/>
          <w:szCs w:val="24"/>
        </w:rPr>
      </w:pPr>
      <w:r w:rsidRPr="00F87719">
        <w:rPr>
          <w:rFonts w:ascii="Arial" w:hAnsi="Arial" w:cs="Arial"/>
          <w:color w:val="0070C0"/>
          <w:sz w:val="24"/>
          <w:szCs w:val="24"/>
        </w:rPr>
        <w:t>Rate Rider for Applicat</w:t>
      </w:r>
      <w:r w:rsidR="00F87719" w:rsidRPr="00F87719">
        <w:rPr>
          <w:rFonts w:ascii="Arial" w:hAnsi="Arial" w:cs="Arial"/>
          <w:color w:val="0070C0"/>
          <w:sz w:val="24"/>
          <w:szCs w:val="24"/>
        </w:rPr>
        <w:t xml:space="preserve">ion of Tax Change (2019) </w:t>
      </w:r>
    </w:p>
    <w:p w:rsidR="006B1D5A" w:rsidRDefault="004239D7" w:rsidP="00410A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Question-6</w:t>
      </w:r>
    </w:p>
    <w:p w:rsidR="004239D7" w:rsidRDefault="004239D7" w:rsidP="00423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Pr="004239D7">
        <w:rPr>
          <w:rFonts w:ascii="Arial" w:hAnsi="Arial" w:cs="Arial"/>
          <w:b/>
          <w:sz w:val="24"/>
          <w:szCs w:val="24"/>
        </w:rPr>
        <w:t>Rate Generator Model, Tab 9 – Shared Tax – Rate Rider</w:t>
      </w:r>
    </w:p>
    <w:p w:rsidR="004239D7" w:rsidRDefault="004239D7" w:rsidP="00423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EB-2018-0029, Application, Page 13</w:t>
      </w:r>
    </w:p>
    <w:p w:rsidR="004239D7" w:rsidRDefault="004239D7" w:rsidP="00423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Chapter 3 Filing Requirements, Page 19</w:t>
      </w:r>
    </w:p>
    <w:p w:rsidR="004239D7" w:rsidRDefault="004239D7" w:rsidP="004239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39D7" w:rsidRDefault="004D7237" w:rsidP="000B6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ENWIN</w:t>
      </w:r>
      <w:r w:rsidR="004239D7">
        <w:rPr>
          <w:rFonts w:ascii="Arial" w:hAnsi="Arial" w:cs="Arial"/>
          <w:sz w:val="24"/>
          <w:szCs w:val="24"/>
        </w:rPr>
        <w:t xml:space="preserve"> </w:t>
      </w:r>
      <w:r w:rsidR="004239D7" w:rsidRPr="004239D7">
        <w:rPr>
          <w:rFonts w:ascii="Arial" w:hAnsi="Arial" w:cs="Arial"/>
          <w:sz w:val="24"/>
          <w:szCs w:val="24"/>
        </w:rPr>
        <w:t>is proposing an eight-month per</w:t>
      </w:r>
      <w:r w:rsidR="00E9516F">
        <w:rPr>
          <w:rFonts w:ascii="Arial" w:hAnsi="Arial" w:cs="Arial"/>
          <w:sz w:val="24"/>
          <w:szCs w:val="24"/>
        </w:rPr>
        <w:t>iod for the disposition of its tax change rate r</w:t>
      </w:r>
      <w:r w:rsidR="004239D7" w:rsidRPr="004239D7">
        <w:rPr>
          <w:rFonts w:ascii="Arial" w:hAnsi="Arial" w:cs="Arial"/>
          <w:sz w:val="24"/>
          <w:szCs w:val="24"/>
        </w:rPr>
        <w:t>ider.</w:t>
      </w:r>
      <w:r w:rsidR="004239D7">
        <w:rPr>
          <w:rFonts w:ascii="Arial" w:hAnsi="Arial" w:cs="Arial"/>
          <w:sz w:val="24"/>
          <w:szCs w:val="24"/>
        </w:rPr>
        <w:t xml:space="preserve"> The Chapter 3 Filing Requirements indicate that</w:t>
      </w:r>
      <w:r w:rsidR="004239D7" w:rsidRPr="004239D7">
        <w:t xml:space="preserve"> </w:t>
      </w:r>
      <w:r w:rsidR="004239D7">
        <w:rPr>
          <w:rFonts w:ascii="Arial" w:hAnsi="Arial" w:cs="Arial"/>
          <w:sz w:val="24"/>
          <w:szCs w:val="24"/>
        </w:rPr>
        <w:t>any tax-sharing amounts “</w:t>
      </w:r>
      <w:r w:rsidR="004239D7" w:rsidRPr="004239D7">
        <w:rPr>
          <w:rFonts w:ascii="Arial" w:hAnsi="Arial" w:cs="Arial"/>
          <w:sz w:val="24"/>
          <w:szCs w:val="24"/>
        </w:rPr>
        <w:t>will be refunded to or recovered from customers over a 12-month period</w:t>
      </w:r>
      <w:r w:rsidR="004239D7">
        <w:rPr>
          <w:rFonts w:ascii="Arial" w:hAnsi="Arial" w:cs="Arial"/>
          <w:sz w:val="24"/>
          <w:szCs w:val="24"/>
        </w:rPr>
        <w:t xml:space="preserve">”. Therefore, the Rate Generator Model has been modelled to automatically calculate the tax-sharing riders over a 12-month period.  </w:t>
      </w:r>
    </w:p>
    <w:p w:rsidR="004239D7" w:rsidRDefault="004239D7" w:rsidP="000B6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</w:t>
      </w:r>
      <w:r w:rsidR="004D7237">
        <w:rPr>
          <w:rFonts w:ascii="Arial" w:hAnsi="Arial" w:cs="Arial"/>
          <w:sz w:val="24"/>
          <w:szCs w:val="24"/>
        </w:rPr>
        <w:t>ENWIN</w:t>
      </w:r>
      <w:r>
        <w:rPr>
          <w:rFonts w:ascii="Arial" w:hAnsi="Arial" w:cs="Arial"/>
          <w:sz w:val="24"/>
          <w:szCs w:val="24"/>
        </w:rPr>
        <w:t xml:space="preserve"> would like OEB staff to make this adjustment to the Rate Generator Model for this specific case</w:t>
      </w:r>
      <w:r w:rsidR="00E9516F">
        <w:rPr>
          <w:rFonts w:ascii="Arial" w:hAnsi="Arial" w:cs="Arial"/>
          <w:sz w:val="24"/>
          <w:szCs w:val="24"/>
        </w:rPr>
        <w:t xml:space="preserve"> (subject to approval by the OEB)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C3E9F" w:rsidRDefault="00323D73" w:rsidP="00323D73">
      <w:pPr>
        <w:rPr>
          <w:rFonts w:ascii="Arial" w:hAnsi="Arial" w:cs="Arial"/>
          <w:b/>
          <w:color w:val="0070C0"/>
          <w:sz w:val="24"/>
          <w:szCs w:val="24"/>
        </w:rPr>
      </w:pPr>
      <w:r w:rsidRPr="00153BBA"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323D73" w:rsidRPr="00153BBA" w:rsidRDefault="00CA04DB" w:rsidP="00323D73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Board Staff </w:t>
      </w:r>
      <w:r w:rsidR="00A00408">
        <w:rPr>
          <w:rFonts w:ascii="Arial" w:hAnsi="Arial" w:cs="Arial"/>
          <w:color w:val="0070C0"/>
          <w:sz w:val="24"/>
          <w:szCs w:val="24"/>
        </w:rPr>
        <w:t xml:space="preserve">(through the </w:t>
      </w:r>
      <w:hyperlink r:id="rId10" w:history="1">
        <w:r w:rsidR="00A00408" w:rsidRPr="005E39A2">
          <w:rPr>
            <w:rStyle w:val="Hyperlink"/>
            <w:rFonts w:ascii="Arial" w:hAnsi="Arial" w:cs="Arial"/>
            <w:sz w:val="24"/>
            <w:szCs w:val="24"/>
          </w:rPr>
          <w:t>ratemodels@oeb.ca</w:t>
        </w:r>
      </w:hyperlink>
      <w:r w:rsidR="00A00408">
        <w:rPr>
          <w:rFonts w:ascii="Arial" w:hAnsi="Arial" w:cs="Arial"/>
          <w:color w:val="0070C0"/>
          <w:sz w:val="24"/>
          <w:szCs w:val="24"/>
        </w:rPr>
        <w:t xml:space="preserve">) </w:t>
      </w:r>
      <w:r>
        <w:rPr>
          <w:rFonts w:ascii="Arial" w:hAnsi="Arial" w:cs="Arial"/>
          <w:color w:val="0070C0"/>
          <w:sz w:val="24"/>
          <w:szCs w:val="24"/>
        </w:rPr>
        <w:t xml:space="preserve">updated the Rate Generator Model </w:t>
      </w:r>
      <w:r w:rsidR="00A00408">
        <w:rPr>
          <w:rFonts w:ascii="Arial" w:hAnsi="Arial" w:cs="Arial"/>
          <w:color w:val="0070C0"/>
          <w:sz w:val="24"/>
          <w:szCs w:val="24"/>
        </w:rPr>
        <w:t>t</w:t>
      </w:r>
      <w:r w:rsidR="0045026C">
        <w:rPr>
          <w:rFonts w:ascii="Arial" w:hAnsi="Arial" w:cs="Arial"/>
          <w:color w:val="0070C0"/>
          <w:sz w:val="24"/>
          <w:szCs w:val="24"/>
        </w:rPr>
        <w:t>o reflect the 8-month period for the Shared Tax – Rate Rider (subject to approval by the OEB) on September 6, 2018.</w:t>
      </w:r>
    </w:p>
    <w:p w:rsidR="000B62DB" w:rsidRDefault="00775E4D" w:rsidP="000B62DB">
      <w:pPr>
        <w:rPr>
          <w:rFonts w:ascii="Arial" w:hAnsi="Arial" w:cs="Arial"/>
          <w:b/>
          <w:sz w:val="24"/>
          <w:szCs w:val="24"/>
        </w:rPr>
      </w:pPr>
      <w:r w:rsidRPr="00775E4D">
        <w:rPr>
          <w:rFonts w:ascii="Arial" w:hAnsi="Arial" w:cs="Arial"/>
          <w:b/>
          <w:sz w:val="24"/>
          <w:szCs w:val="24"/>
        </w:rPr>
        <w:t>GA Analysis Workform Questions</w:t>
      </w:r>
    </w:p>
    <w:p w:rsidR="00800351" w:rsidRPr="00800351" w:rsidRDefault="004239D7" w:rsidP="00800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Question-7</w:t>
      </w:r>
    </w:p>
    <w:p w:rsidR="00800351" w:rsidRDefault="00800351" w:rsidP="00800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351">
        <w:rPr>
          <w:rFonts w:ascii="Arial" w:hAnsi="Arial" w:cs="Arial"/>
          <w:b/>
          <w:sz w:val="24"/>
          <w:szCs w:val="24"/>
        </w:rPr>
        <w:t>Ref: GA Workform for 2017 and DVA Continuity Schedule – principal adjustments column</w:t>
      </w:r>
    </w:p>
    <w:p w:rsidR="00800351" w:rsidRPr="00800351" w:rsidRDefault="00800351" w:rsidP="00800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351" w:rsidRPr="00800351" w:rsidRDefault="004D7237" w:rsidP="008003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ENWIN</w:t>
      </w:r>
      <w:r w:rsidR="00800351" w:rsidRPr="00800351">
        <w:rPr>
          <w:rFonts w:ascii="Arial" w:hAnsi="Arial" w:cs="Arial"/>
          <w:sz w:val="24"/>
          <w:szCs w:val="24"/>
          <w:lang w:val="en-US"/>
        </w:rPr>
        <w:t xml:space="preserve"> has not completed columns G and H for unbilled related differences under Note 4 of the GA Workform. However, unbilled related differences are shown for 2017 under Note 5 of the GA Workform, consistent with the amount under “Principal Adjustments” on the DVA Continuity Schedule. </w:t>
      </w:r>
    </w:p>
    <w:p w:rsidR="00800351" w:rsidRPr="00800351" w:rsidRDefault="00800351" w:rsidP="00800351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why has </w:t>
      </w:r>
      <w:r w:rsidR="004D7237">
        <w:rPr>
          <w:rFonts w:ascii="Arial" w:hAnsi="Arial" w:cs="Arial"/>
          <w:sz w:val="24"/>
          <w:szCs w:val="24"/>
          <w:lang w:val="en-US"/>
        </w:rPr>
        <w:t>ENWIN</w:t>
      </w:r>
      <w:r w:rsidRPr="0080035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has </w:t>
      </w:r>
      <w:r w:rsidRPr="00800351">
        <w:rPr>
          <w:rFonts w:ascii="Arial" w:hAnsi="Arial" w:cs="Arial"/>
          <w:sz w:val="24"/>
          <w:szCs w:val="24"/>
          <w:lang w:val="en-US"/>
        </w:rPr>
        <w:t>not completed Note 4?</w:t>
      </w:r>
    </w:p>
    <w:p w:rsidR="00800351" w:rsidRPr="00800351" w:rsidRDefault="00800351" w:rsidP="00800351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US"/>
        </w:rPr>
      </w:pPr>
      <w:r w:rsidRPr="00800351">
        <w:rPr>
          <w:rFonts w:ascii="Arial" w:hAnsi="Arial" w:cs="Arial"/>
          <w:sz w:val="24"/>
          <w:szCs w:val="24"/>
          <w:lang w:val="en-US"/>
        </w:rPr>
        <w:t>Please complete columns G and H under Note 4 of the GA Workform.</w:t>
      </w:r>
    </w:p>
    <w:p w:rsidR="00323D73" w:rsidRPr="00323D73" w:rsidRDefault="00323D73" w:rsidP="00323D73">
      <w:pPr>
        <w:rPr>
          <w:rFonts w:ascii="Arial" w:hAnsi="Arial" w:cs="Arial"/>
          <w:b/>
          <w:color w:val="0070C0"/>
          <w:sz w:val="24"/>
          <w:szCs w:val="24"/>
        </w:rPr>
      </w:pPr>
      <w:r w:rsidRPr="00323D73">
        <w:rPr>
          <w:rFonts w:ascii="Arial" w:hAnsi="Arial" w:cs="Arial"/>
          <w:b/>
          <w:color w:val="0070C0"/>
          <w:sz w:val="24"/>
          <w:szCs w:val="24"/>
        </w:rPr>
        <w:t xml:space="preserve">RESPONSE – </w:t>
      </w:r>
      <w:r>
        <w:rPr>
          <w:rFonts w:ascii="Arial" w:hAnsi="Arial" w:cs="Arial"/>
          <w:b/>
          <w:color w:val="0070C0"/>
          <w:sz w:val="24"/>
          <w:szCs w:val="24"/>
        </w:rPr>
        <w:t>REGULATORY</w:t>
      </w:r>
    </w:p>
    <w:p w:rsidR="00A56110" w:rsidRDefault="002906DB" w:rsidP="002906D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ENWIN calculated the Non-RPP Class B Including Loss Factor Billed Consumption (kWh)</w:t>
      </w:r>
      <w:r w:rsidR="00764A7B">
        <w:rPr>
          <w:rFonts w:ascii="Arial" w:hAnsi="Arial" w:cs="Arial"/>
          <w:color w:val="0070C0"/>
          <w:sz w:val="24"/>
          <w:szCs w:val="24"/>
        </w:rPr>
        <w:t>, Item F under note 4</w:t>
      </w:r>
      <w:r w:rsidR="00FB0005">
        <w:rPr>
          <w:rFonts w:ascii="Arial" w:hAnsi="Arial" w:cs="Arial"/>
          <w:color w:val="0070C0"/>
          <w:sz w:val="24"/>
          <w:szCs w:val="24"/>
        </w:rPr>
        <w:t xml:space="preserve"> in the model</w:t>
      </w:r>
      <w:r w:rsidR="00764A7B">
        <w:rPr>
          <w:rFonts w:ascii="Arial" w:hAnsi="Arial" w:cs="Arial"/>
          <w:color w:val="0070C0"/>
          <w:sz w:val="24"/>
          <w:szCs w:val="24"/>
        </w:rPr>
        <w:t xml:space="preserve">, </w:t>
      </w:r>
      <w:r>
        <w:rPr>
          <w:rFonts w:ascii="Arial" w:hAnsi="Arial" w:cs="Arial"/>
          <w:color w:val="0070C0"/>
          <w:sz w:val="24"/>
          <w:szCs w:val="24"/>
        </w:rPr>
        <w:t>using actual billed</w:t>
      </w:r>
      <w:r w:rsidR="00690DD9">
        <w:rPr>
          <w:rFonts w:ascii="Arial" w:hAnsi="Arial" w:cs="Arial"/>
          <w:color w:val="0070C0"/>
          <w:sz w:val="24"/>
          <w:szCs w:val="24"/>
        </w:rPr>
        <w:t xml:space="preserve"> (i.e. trued-up)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F86EF5">
        <w:rPr>
          <w:rFonts w:ascii="Arial" w:hAnsi="Arial" w:cs="Arial"/>
          <w:color w:val="0070C0"/>
          <w:sz w:val="24"/>
          <w:szCs w:val="24"/>
        </w:rPr>
        <w:t xml:space="preserve">kWh </w:t>
      </w:r>
      <w:r>
        <w:rPr>
          <w:rFonts w:ascii="Arial" w:hAnsi="Arial" w:cs="Arial"/>
          <w:color w:val="0070C0"/>
          <w:sz w:val="24"/>
          <w:szCs w:val="24"/>
        </w:rPr>
        <w:t xml:space="preserve">values </w:t>
      </w:r>
      <w:r w:rsidR="001B3ADA">
        <w:rPr>
          <w:rFonts w:ascii="Arial" w:hAnsi="Arial" w:cs="Arial"/>
          <w:color w:val="0070C0"/>
          <w:sz w:val="24"/>
          <w:szCs w:val="24"/>
        </w:rPr>
        <w:t xml:space="preserve">to </w:t>
      </w:r>
      <w:r w:rsidR="00AE51EF">
        <w:rPr>
          <w:rFonts w:ascii="Arial" w:hAnsi="Arial" w:cs="Arial"/>
          <w:color w:val="0070C0"/>
          <w:sz w:val="24"/>
          <w:szCs w:val="24"/>
        </w:rPr>
        <w:t xml:space="preserve">determine the Expected GA Variance.  </w:t>
      </w:r>
      <w:r w:rsidR="00690DD9">
        <w:rPr>
          <w:rFonts w:ascii="Arial" w:hAnsi="Arial" w:cs="Arial"/>
          <w:color w:val="0070C0"/>
          <w:sz w:val="24"/>
          <w:szCs w:val="24"/>
        </w:rPr>
        <w:t xml:space="preserve">It is therefore not necessary to make adjustments due to unbilled amounts in Item G and H of the GA Workform.  </w:t>
      </w:r>
      <w:r w:rsidR="001C4947">
        <w:rPr>
          <w:rFonts w:ascii="Arial" w:hAnsi="Arial" w:cs="Arial"/>
          <w:color w:val="0070C0"/>
          <w:sz w:val="24"/>
          <w:szCs w:val="24"/>
        </w:rPr>
        <w:t xml:space="preserve">This methodology </w:t>
      </w:r>
      <w:r w:rsidR="00A56110">
        <w:rPr>
          <w:rFonts w:ascii="Arial" w:hAnsi="Arial" w:cs="Arial"/>
          <w:color w:val="0070C0"/>
          <w:sz w:val="24"/>
          <w:szCs w:val="24"/>
        </w:rPr>
        <w:t>creates an accurate</w:t>
      </w:r>
      <w:r w:rsidR="00CF6F75">
        <w:rPr>
          <w:rFonts w:ascii="Arial" w:hAnsi="Arial" w:cs="Arial"/>
          <w:color w:val="0070C0"/>
          <w:sz w:val="24"/>
          <w:szCs w:val="24"/>
        </w:rPr>
        <w:t xml:space="preserve"> total of the </w:t>
      </w:r>
      <w:r w:rsidR="00B305AA">
        <w:rPr>
          <w:rFonts w:ascii="Arial" w:hAnsi="Arial" w:cs="Arial"/>
          <w:color w:val="0070C0"/>
          <w:sz w:val="24"/>
          <w:szCs w:val="24"/>
        </w:rPr>
        <w:t>“</w:t>
      </w:r>
      <w:r w:rsidR="00CF6F75">
        <w:rPr>
          <w:rFonts w:ascii="Arial" w:hAnsi="Arial" w:cs="Arial"/>
          <w:color w:val="0070C0"/>
          <w:sz w:val="24"/>
          <w:szCs w:val="24"/>
        </w:rPr>
        <w:t>Expected GA Variance</w:t>
      </w:r>
      <w:r w:rsidR="00B305AA">
        <w:rPr>
          <w:rFonts w:ascii="Arial" w:hAnsi="Arial" w:cs="Arial"/>
          <w:color w:val="0070C0"/>
          <w:sz w:val="24"/>
          <w:szCs w:val="24"/>
        </w:rPr>
        <w:t>”</w:t>
      </w:r>
      <w:r w:rsidR="001C4947">
        <w:rPr>
          <w:rFonts w:ascii="Arial" w:hAnsi="Arial" w:cs="Arial"/>
          <w:color w:val="0070C0"/>
          <w:sz w:val="24"/>
          <w:szCs w:val="24"/>
        </w:rPr>
        <w:t xml:space="preserve">.   </w:t>
      </w:r>
    </w:p>
    <w:p w:rsidR="00323D73" w:rsidRDefault="001C4947" w:rsidP="002906D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</w:t>
      </w:r>
      <w:r w:rsidR="00AE51EF">
        <w:rPr>
          <w:rFonts w:ascii="Arial" w:hAnsi="Arial" w:cs="Arial"/>
          <w:color w:val="0070C0"/>
          <w:sz w:val="24"/>
          <w:szCs w:val="24"/>
        </w:rPr>
        <w:t xml:space="preserve">his methodology was </w:t>
      </w:r>
      <w:r w:rsidR="00A62352">
        <w:rPr>
          <w:rFonts w:ascii="Arial" w:hAnsi="Arial" w:cs="Arial"/>
          <w:color w:val="0070C0"/>
          <w:sz w:val="24"/>
          <w:szCs w:val="24"/>
        </w:rPr>
        <w:t xml:space="preserve">used in </w:t>
      </w:r>
      <w:r w:rsidR="00AE51EF">
        <w:rPr>
          <w:rFonts w:ascii="Arial" w:hAnsi="Arial" w:cs="Arial"/>
          <w:color w:val="0070C0"/>
          <w:sz w:val="24"/>
          <w:szCs w:val="24"/>
        </w:rPr>
        <w:t>ENWIN</w:t>
      </w:r>
      <w:r w:rsidR="00A62352">
        <w:rPr>
          <w:rFonts w:ascii="Arial" w:hAnsi="Arial" w:cs="Arial"/>
          <w:color w:val="0070C0"/>
          <w:sz w:val="24"/>
          <w:szCs w:val="24"/>
        </w:rPr>
        <w:t xml:space="preserve">’s last IRM application </w:t>
      </w:r>
      <w:r w:rsidR="00AE51EF">
        <w:rPr>
          <w:rFonts w:ascii="Arial" w:hAnsi="Arial" w:cs="Arial"/>
          <w:color w:val="0070C0"/>
          <w:sz w:val="24"/>
          <w:szCs w:val="24"/>
        </w:rPr>
        <w:t>EB-2017-</w:t>
      </w:r>
      <w:r w:rsidR="00A62352">
        <w:rPr>
          <w:rFonts w:ascii="Arial" w:hAnsi="Arial" w:cs="Arial"/>
          <w:color w:val="0070C0"/>
          <w:sz w:val="24"/>
          <w:szCs w:val="24"/>
        </w:rPr>
        <w:t>0037.</w:t>
      </w:r>
    </w:p>
    <w:p w:rsidR="00AE51EF" w:rsidRDefault="00AE51EF" w:rsidP="00AE51EF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 breakdown of the calculation of the Non-RPP Class B: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004"/>
        <w:gridCol w:w="1699"/>
        <w:gridCol w:w="1704"/>
        <w:gridCol w:w="1510"/>
        <w:gridCol w:w="1558"/>
      </w:tblGrid>
      <w:tr w:rsidR="00F86EF5" w:rsidRPr="00F86EF5" w:rsidTr="004664D9">
        <w:trPr>
          <w:cantSplit/>
          <w:trHeight w:val="20"/>
        </w:trPr>
        <w:tc>
          <w:tcPr>
            <w:tcW w:w="1277" w:type="dxa"/>
            <w:tcBorders>
              <w:bottom w:val="nil"/>
            </w:tcBorders>
            <w:noWrap/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hideMark/>
          </w:tcPr>
          <w:p w:rsidR="00F86EF5" w:rsidRPr="00F86EF5" w:rsidRDefault="00AE51EF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Total Load </w:t>
            </w:r>
            <w:r w:rsidR="00F86EF5"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br/>
            </w:r>
            <w:r w:rsidR="00F86EF5" w:rsidRPr="00ED1AA6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</w:t>
            </w:r>
            <w:proofErr w:type="spellStart"/>
            <w:r w:rsidR="00F86EF5" w:rsidRPr="00ED1AA6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exc</w:t>
            </w:r>
            <w:proofErr w:type="spellEnd"/>
            <w:r w:rsidR="00F86EF5" w:rsidRPr="00ED1AA6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WMP inc Gen)</w:t>
            </w:r>
            <w:r w:rsidR="00F86EF5"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br/>
              <w:t>kWh</w:t>
            </w:r>
          </w:p>
        </w:tc>
        <w:tc>
          <w:tcPr>
            <w:tcW w:w="1699" w:type="dxa"/>
            <w:tcBorders>
              <w:bottom w:val="nil"/>
            </w:tcBorders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Class A </w:t>
            </w: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br/>
              <w:t>kWh</w:t>
            </w:r>
          </w:p>
        </w:tc>
        <w:tc>
          <w:tcPr>
            <w:tcW w:w="1704" w:type="dxa"/>
            <w:tcBorders>
              <w:bottom w:val="nil"/>
            </w:tcBorders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Class B kWh</w:t>
            </w: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br/>
              <w:t>(inc RPP)</w:t>
            </w:r>
          </w:p>
        </w:tc>
        <w:tc>
          <w:tcPr>
            <w:tcW w:w="1510" w:type="dxa"/>
            <w:tcBorders>
              <w:bottom w:val="nil"/>
            </w:tcBorders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RPP kWh</w:t>
            </w:r>
          </w:p>
        </w:tc>
        <w:tc>
          <w:tcPr>
            <w:tcW w:w="1558" w:type="dxa"/>
            <w:tcBorders>
              <w:bottom w:val="nil"/>
            </w:tcBorders>
            <w:hideMark/>
          </w:tcPr>
          <w:p w:rsid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Non-RPP Class B</w:t>
            </w:r>
          </w:p>
          <w:p w:rsidR="00CF6F75" w:rsidRPr="00F86EF5" w:rsidRDefault="00CF6F7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kWh</w:t>
            </w:r>
          </w:p>
        </w:tc>
      </w:tr>
      <w:tr w:rsidR="00F86EF5" w:rsidRPr="00F86EF5" w:rsidTr="004664D9">
        <w:trPr>
          <w:cantSplit/>
          <w:trHeight w:val="315"/>
        </w:trPr>
        <w:tc>
          <w:tcPr>
            <w:tcW w:w="1277" w:type="dxa"/>
            <w:tcBorders>
              <w:top w:val="nil"/>
            </w:tcBorders>
            <w:noWrap/>
            <w:hideMark/>
          </w:tcPr>
          <w:p w:rsidR="00F86EF5" w:rsidRPr="00F86EF5" w:rsidRDefault="00F86EF5" w:rsidP="00F86EF5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Month</w:t>
            </w:r>
          </w:p>
        </w:tc>
        <w:tc>
          <w:tcPr>
            <w:tcW w:w="2004" w:type="dxa"/>
            <w:tcBorders>
              <w:top w:val="nil"/>
            </w:tcBorders>
            <w:noWrap/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</w:t>
            </w:r>
          </w:p>
        </w:tc>
        <w:tc>
          <w:tcPr>
            <w:tcW w:w="1699" w:type="dxa"/>
            <w:tcBorders>
              <w:top w:val="nil"/>
            </w:tcBorders>
            <w:noWrap/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 = A - B</w:t>
            </w:r>
          </w:p>
        </w:tc>
        <w:tc>
          <w:tcPr>
            <w:tcW w:w="1510" w:type="dxa"/>
            <w:tcBorders>
              <w:top w:val="nil"/>
            </w:tcBorders>
            <w:noWrap/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</w:t>
            </w:r>
          </w:p>
        </w:tc>
        <w:tc>
          <w:tcPr>
            <w:tcW w:w="1558" w:type="dxa"/>
            <w:tcBorders>
              <w:top w:val="nil"/>
            </w:tcBorders>
            <w:noWrap/>
            <w:hideMark/>
          </w:tcPr>
          <w:p w:rsidR="00F86EF5" w:rsidRPr="00F86EF5" w:rsidRDefault="00F86EF5" w:rsidP="00F86EF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E = C </w:t>
            </w:r>
            <w:r w:rsidR="00CF6F7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–</w:t>
            </w:r>
            <w:r w:rsidRPr="00F86EF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D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1-Jan-17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190,415,639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33,851,019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156,564,620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86,660,352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69,904,268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1-Feb-17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165,325,305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30,658,775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134,666,530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72,334,518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62,332,012</w:t>
            </w:r>
          </w:p>
        </w:tc>
      </w:tr>
      <w:tr w:rsidR="00F86EF5" w:rsidRPr="00F86EF5" w:rsidTr="004664D9">
        <w:trPr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1-Mar-17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181,192,304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34,327,086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146,865,217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75,700,085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71,165,133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1-Apr-17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155,446,161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31,306,872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124,139,289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63,198,135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60,941,154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1-May-17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166,358,935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34,385,187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131,973,748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66,368,467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65,605,281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1-Jun-17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196,150,717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37,483,288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158,667,429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83,435,433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75,231,996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1-Jul-17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213,430,070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50,928,232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162,501,838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98,720,860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63,780,978</w:t>
            </w:r>
          </w:p>
        </w:tc>
      </w:tr>
      <w:tr w:rsidR="00F86EF5" w:rsidRPr="00F86EF5" w:rsidTr="00F86EF5">
        <w:trPr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1-Aug-17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201,769,798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54,135,988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147,633,811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89,564,534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58,069,277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1-Sep-17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184,808,426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51,975,871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132,832,555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77,435,800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55,396,754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1-Oct-17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162,862,670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45,906,009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116,956,661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70,652,219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46,304,442</w:t>
            </w:r>
          </w:p>
        </w:tc>
      </w:tr>
      <w:tr w:rsidR="00F86EF5" w:rsidRPr="00F86EF5" w:rsidTr="004664D9">
        <w:trPr>
          <w:cantSplit/>
          <w:trHeight w:val="300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1-Nov-17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172,373,660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49,861,780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122,511,880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72,923,460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49,588,420</w:t>
            </w:r>
          </w:p>
        </w:tc>
      </w:tr>
      <w:tr w:rsidR="00F86EF5" w:rsidRPr="00F86EF5" w:rsidTr="004664D9">
        <w:trPr>
          <w:cantSplit/>
          <w:trHeight w:val="315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1-Dec-17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187,470,613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47,557,017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139,913,595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89,435,824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color w:val="0070C0"/>
              </w:rPr>
            </w:pPr>
            <w:r w:rsidRPr="00ED1AA6">
              <w:rPr>
                <w:rFonts w:ascii="Arial" w:hAnsi="Arial" w:cs="Arial"/>
                <w:color w:val="0070C0"/>
              </w:rPr>
              <w:t>50,477,772</w:t>
            </w:r>
          </w:p>
        </w:tc>
      </w:tr>
      <w:tr w:rsidR="00F86EF5" w:rsidRPr="00F86EF5" w:rsidTr="004664D9">
        <w:trPr>
          <w:cantSplit/>
          <w:trHeight w:val="315"/>
        </w:trPr>
        <w:tc>
          <w:tcPr>
            <w:tcW w:w="1277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D1AA6">
              <w:rPr>
                <w:rFonts w:ascii="Arial" w:hAnsi="Arial" w:cs="Arial"/>
                <w:b/>
                <w:bCs/>
                <w:color w:val="0070C0"/>
              </w:rPr>
              <w:t>2017</w:t>
            </w:r>
          </w:p>
        </w:tc>
        <w:tc>
          <w:tcPr>
            <w:tcW w:w="20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D1AA6">
              <w:rPr>
                <w:rFonts w:ascii="Arial" w:hAnsi="Arial" w:cs="Arial"/>
                <w:b/>
                <w:bCs/>
                <w:color w:val="0070C0"/>
              </w:rPr>
              <w:t>2,177,604,297</w:t>
            </w:r>
          </w:p>
        </w:tc>
        <w:tc>
          <w:tcPr>
            <w:tcW w:w="1699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D1AA6">
              <w:rPr>
                <w:rFonts w:ascii="Arial" w:hAnsi="Arial" w:cs="Arial"/>
                <w:b/>
                <w:bCs/>
                <w:color w:val="0070C0"/>
              </w:rPr>
              <w:t>502,377,124</w:t>
            </w:r>
          </w:p>
        </w:tc>
        <w:tc>
          <w:tcPr>
            <w:tcW w:w="1704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D1AA6">
              <w:rPr>
                <w:rFonts w:ascii="Arial" w:hAnsi="Arial" w:cs="Arial"/>
                <w:b/>
                <w:bCs/>
                <w:color w:val="0070C0"/>
              </w:rPr>
              <w:t>1,675,227,174</w:t>
            </w:r>
          </w:p>
        </w:tc>
        <w:tc>
          <w:tcPr>
            <w:tcW w:w="1510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D1AA6">
              <w:rPr>
                <w:rFonts w:ascii="Arial" w:hAnsi="Arial" w:cs="Arial"/>
                <w:b/>
                <w:bCs/>
                <w:color w:val="0070C0"/>
              </w:rPr>
              <w:t>946,429,686</w:t>
            </w:r>
          </w:p>
        </w:tc>
        <w:tc>
          <w:tcPr>
            <w:tcW w:w="1558" w:type="dxa"/>
            <w:noWrap/>
            <w:hideMark/>
          </w:tcPr>
          <w:p w:rsidR="00F86EF5" w:rsidRPr="00ED1AA6" w:rsidRDefault="00F86EF5" w:rsidP="00795B6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D1AA6">
              <w:rPr>
                <w:rFonts w:ascii="Arial" w:hAnsi="Arial" w:cs="Arial"/>
                <w:b/>
                <w:bCs/>
                <w:color w:val="0070C0"/>
              </w:rPr>
              <w:t>728,797,488</w:t>
            </w:r>
          </w:p>
        </w:tc>
      </w:tr>
    </w:tbl>
    <w:p w:rsidR="00F86EF5" w:rsidRDefault="00F86EF5" w:rsidP="002906DB">
      <w:pPr>
        <w:rPr>
          <w:rFonts w:ascii="Arial" w:hAnsi="Arial" w:cs="Arial"/>
          <w:color w:val="0070C0"/>
          <w:sz w:val="24"/>
          <w:szCs w:val="24"/>
        </w:rPr>
      </w:pPr>
    </w:p>
    <w:p w:rsidR="00601B2D" w:rsidRDefault="00601B2D" w:rsidP="00601B2D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The amount of $180,380 under row 2b, note 5, Reconciling Items of the GA Workform relates to a formula error in the calculation, and could be moved to row 8, “Others as justified by distributor” of the Reconciling items.</w:t>
      </w:r>
    </w:p>
    <w:p w:rsidR="00F86EF5" w:rsidRPr="002906DB" w:rsidRDefault="00F86EF5" w:rsidP="002906DB">
      <w:pPr>
        <w:rPr>
          <w:rFonts w:ascii="Arial" w:hAnsi="Arial" w:cs="Arial"/>
          <w:color w:val="0070C0"/>
          <w:sz w:val="24"/>
          <w:szCs w:val="24"/>
        </w:rPr>
      </w:pPr>
    </w:p>
    <w:sectPr w:rsidR="00F86EF5" w:rsidRPr="002906DB" w:rsidSect="00EA0919"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1F" w:rsidRDefault="00066A1F" w:rsidP="00066A1F">
      <w:pPr>
        <w:spacing w:after="0" w:line="240" w:lineRule="auto"/>
      </w:pPr>
      <w:r>
        <w:separator/>
      </w:r>
    </w:p>
  </w:endnote>
  <w:endnote w:type="continuationSeparator" w:id="0">
    <w:p w:rsidR="00066A1F" w:rsidRDefault="00066A1F" w:rsidP="0006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14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A1F" w:rsidRDefault="00066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A1F" w:rsidRDefault="00066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1F" w:rsidRDefault="00066A1F" w:rsidP="00066A1F">
      <w:pPr>
        <w:spacing w:after="0" w:line="240" w:lineRule="auto"/>
      </w:pPr>
      <w:r>
        <w:separator/>
      </w:r>
    </w:p>
  </w:footnote>
  <w:footnote w:type="continuationSeparator" w:id="0">
    <w:p w:rsidR="00066A1F" w:rsidRDefault="00066A1F" w:rsidP="0006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72A4"/>
    <w:multiLevelType w:val="hybridMultilevel"/>
    <w:tmpl w:val="83248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58B5"/>
    <w:multiLevelType w:val="hybridMultilevel"/>
    <w:tmpl w:val="03368450"/>
    <w:lvl w:ilvl="0" w:tplc="6AC69730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8"/>
  </w:num>
  <w:num w:numId="5">
    <w:abstractNumId w:val="10"/>
  </w:num>
  <w:num w:numId="6">
    <w:abstractNumId w:val="7"/>
  </w:num>
  <w:num w:numId="7">
    <w:abstractNumId w:val="16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27"/>
  </w:num>
  <w:num w:numId="16">
    <w:abstractNumId w:val="6"/>
  </w:num>
  <w:num w:numId="17">
    <w:abstractNumId w:val="18"/>
  </w:num>
  <w:num w:numId="18">
    <w:abstractNumId w:val="25"/>
  </w:num>
  <w:num w:numId="19">
    <w:abstractNumId w:val="26"/>
  </w:num>
  <w:num w:numId="20">
    <w:abstractNumId w:val="9"/>
  </w:num>
  <w:num w:numId="21">
    <w:abstractNumId w:val="24"/>
  </w:num>
  <w:num w:numId="22">
    <w:abstractNumId w:val="8"/>
  </w:num>
  <w:num w:numId="23">
    <w:abstractNumId w:val="21"/>
  </w:num>
  <w:num w:numId="24">
    <w:abstractNumId w:val="19"/>
  </w:num>
  <w:num w:numId="25">
    <w:abstractNumId w:val="2"/>
  </w:num>
  <w:num w:numId="26">
    <w:abstractNumId w:val="14"/>
  </w:num>
  <w:num w:numId="27">
    <w:abstractNumId w:val="17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2"/>
    <w:rsid w:val="0003073C"/>
    <w:rsid w:val="00035337"/>
    <w:rsid w:val="00054071"/>
    <w:rsid w:val="00054159"/>
    <w:rsid w:val="0006126D"/>
    <w:rsid w:val="00066A1F"/>
    <w:rsid w:val="00067F57"/>
    <w:rsid w:val="00071BEC"/>
    <w:rsid w:val="00074514"/>
    <w:rsid w:val="000832D4"/>
    <w:rsid w:val="00085FD5"/>
    <w:rsid w:val="00090160"/>
    <w:rsid w:val="000A0BFD"/>
    <w:rsid w:val="000A63D9"/>
    <w:rsid w:val="000B3E7E"/>
    <w:rsid w:val="000B62DB"/>
    <w:rsid w:val="000D223C"/>
    <w:rsid w:val="000E4006"/>
    <w:rsid w:val="000F1E3A"/>
    <w:rsid w:val="001146D3"/>
    <w:rsid w:val="00114E0B"/>
    <w:rsid w:val="00124BB6"/>
    <w:rsid w:val="00153BBA"/>
    <w:rsid w:val="00164E99"/>
    <w:rsid w:val="00183CC8"/>
    <w:rsid w:val="00187E9B"/>
    <w:rsid w:val="001927C2"/>
    <w:rsid w:val="001A034F"/>
    <w:rsid w:val="001A4DCD"/>
    <w:rsid w:val="001B3ADA"/>
    <w:rsid w:val="001C4947"/>
    <w:rsid w:val="00203092"/>
    <w:rsid w:val="002208C0"/>
    <w:rsid w:val="00224C06"/>
    <w:rsid w:val="00234808"/>
    <w:rsid w:val="002407CD"/>
    <w:rsid w:val="0025687C"/>
    <w:rsid w:val="00274A48"/>
    <w:rsid w:val="002906DB"/>
    <w:rsid w:val="00291CCC"/>
    <w:rsid w:val="002A6415"/>
    <w:rsid w:val="002B7B7C"/>
    <w:rsid w:val="002C2BF2"/>
    <w:rsid w:val="002C7EF6"/>
    <w:rsid w:val="002E0C34"/>
    <w:rsid w:val="002E280B"/>
    <w:rsid w:val="002F4756"/>
    <w:rsid w:val="00302509"/>
    <w:rsid w:val="003049C5"/>
    <w:rsid w:val="00323D73"/>
    <w:rsid w:val="0033417F"/>
    <w:rsid w:val="00340C00"/>
    <w:rsid w:val="003702D1"/>
    <w:rsid w:val="00373FAD"/>
    <w:rsid w:val="003777B5"/>
    <w:rsid w:val="00381089"/>
    <w:rsid w:val="003832E7"/>
    <w:rsid w:val="00384C14"/>
    <w:rsid w:val="003A20A0"/>
    <w:rsid w:val="003A58B0"/>
    <w:rsid w:val="003A632C"/>
    <w:rsid w:val="003B39E4"/>
    <w:rsid w:val="003C0257"/>
    <w:rsid w:val="003C3E9F"/>
    <w:rsid w:val="003D50EC"/>
    <w:rsid w:val="003F07B7"/>
    <w:rsid w:val="00400DFC"/>
    <w:rsid w:val="00410A08"/>
    <w:rsid w:val="00412DC6"/>
    <w:rsid w:val="00414BD1"/>
    <w:rsid w:val="004239D7"/>
    <w:rsid w:val="004377B0"/>
    <w:rsid w:val="0045026C"/>
    <w:rsid w:val="004664D9"/>
    <w:rsid w:val="00472C81"/>
    <w:rsid w:val="00475032"/>
    <w:rsid w:val="004859EF"/>
    <w:rsid w:val="004D2DC8"/>
    <w:rsid w:val="004D7237"/>
    <w:rsid w:val="004E070F"/>
    <w:rsid w:val="004F0121"/>
    <w:rsid w:val="005164F5"/>
    <w:rsid w:val="0052560F"/>
    <w:rsid w:val="005666F2"/>
    <w:rsid w:val="00572064"/>
    <w:rsid w:val="00584369"/>
    <w:rsid w:val="00587A35"/>
    <w:rsid w:val="00596FBD"/>
    <w:rsid w:val="005A55A1"/>
    <w:rsid w:val="005F085F"/>
    <w:rsid w:val="005F4693"/>
    <w:rsid w:val="005F7487"/>
    <w:rsid w:val="00600A1A"/>
    <w:rsid w:val="00601B2D"/>
    <w:rsid w:val="0064279A"/>
    <w:rsid w:val="006579C3"/>
    <w:rsid w:val="006800F5"/>
    <w:rsid w:val="00690DD9"/>
    <w:rsid w:val="006A5D23"/>
    <w:rsid w:val="006B1D5A"/>
    <w:rsid w:val="006E3D58"/>
    <w:rsid w:val="006E5C6A"/>
    <w:rsid w:val="006F1D7B"/>
    <w:rsid w:val="006F1E68"/>
    <w:rsid w:val="00704EE5"/>
    <w:rsid w:val="007066E2"/>
    <w:rsid w:val="00722640"/>
    <w:rsid w:val="0073197E"/>
    <w:rsid w:val="00746080"/>
    <w:rsid w:val="0075201D"/>
    <w:rsid w:val="00764A7B"/>
    <w:rsid w:val="00772B57"/>
    <w:rsid w:val="00775E4D"/>
    <w:rsid w:val="00781D04"/>
    <w:rsid w:val="00795B6C"/>
    <w:rsid w:val="0079644B"/>
    <w:rsid w:val="007A23A1"/>
    <w:rsid w:val="007C2D45"/>
    <w:rsid w:val="007F49EB"/>
    <w:rsid w:val="00800351"/>
    <w:rsid w:val="00805FDA"/>
    <w:rsid w:val="00812C1B"/>
    <w:rsid w:val="00825F2D"/>
    <w:rsid w:val="00835AD0"/>
    <w:rsid w:val="00864045"/>
    <w:rsid w:val="00865A58"/>
    <w:rsid w:val="00866657"/>
    <w:rsid w:val="008747B3"/>
    <w:rsid w:val="008813C3"/>
    <w:rsid w:val="008926F0"/>
    <w:rsid w:val="008964E8"/>
    <w:rsid w:val="008A48F6"/>
    <w:rsid w:val="008A65B9"/>
    <w:rsid w:val="008B0AD2"/>
    <w:rsid w:val="008E4D4C"/>
    <w:rsid w:val="008E6045"/>
    <w:rsid w:val="0090113B"/>
    <w:rsid w:val="0093258A"/>
    <w:rsid w:val="0094373C"/>
    <w:rsid w:val="00944771"/>
    <w:rsid w:val="00944861"/>
    <w:rsid w:val="00946DEE"/>
    <w:rsid w:val="00947112"/>
    <w:rsid w:val="00951E2B"/>
    <w:rsid w:val="00952939"/>
    <w:rsid w:val="00961EA0"/>
    <w:rsid w:val="009A5C44"/>
    <w:rsid w:val="009B03AF"/>
    <w:rsid w:val="009C4216"/>
    <w:rsid w:val="009C6D36"/>
    <w:rsid w:val="009D5F4B"/>
    <w:rsid w:val="009E626E"/>
    <w:rsid w:val="009E7CBF"/>
    <w:rsid w:val="00A00408"/>
    <w:rsid w:val="00A07077"/>
    <w:rsid w:val="00A07FF4"/>
    <w:rsid w:val="00A50DD0"/>
    <w:rsid w:val="00A516B0"/>
    <w:rsid w:val="00A56110"/>
    <w:rsid w:val="00A5620A"/>
    <w:rsid w:val="00A62352"/>
    <w:rsid w:val="00A85385"/>
    <w:rsid w:val="00AA06D9"/>
    <w:rsid w:val="00AB37E0"/>
    <w:rsid w:val="00AC2406"/>
    <w:rsid w:val="00AC5FE1"/>
    <w:rsid w:val="00AD3FCF"/>
    <w:rsid w:val="00AE07BC"/>
    <w:rsid w:val="00AE51EF"/>
    <w:rsid w:val="00AE56CB"/>
    <w:rsid w:val="00AF57DE"/>
    <w:rsid w:val="00B03802"/>
    <w:rsid w:val="00B069AA"/>
    <w:rsid w:val="00B23A36"/>
    <w:rsid w:val="00B25576"/>
    <w:rsid w:val="00B25EF5"/>
    <w:rsid w:val="00B305AA"/>
    <w:rsid w:val="00B50EB2"/>
    <w:rsid w:val="00B6722A"/>
    <w:rsid w:val="00B82D78"/>
    <w:rsid w:val="00BA434C"/>
    <w:rsid w:val="00BD4F65"/>
    <w:rsid w:val="00BF33C7"/>
    <w:rsid w:val="00BF7B2A"/>
    <w:rsid w:val="00C06F9E"/>
    <w:rsid w:val="00C1121E"/>
    <w:rsid w:val="00C13E6B"/>
    <w:rsid w:val="00C2370B"/>
    <w:rsid w:val="00C554DC"/>
    <w:rsid w:val="00C624D5"/>
    <w:rsid w:val="00C848A0"/>
    <w:rsid w:val="00C878C5"/>
    <w:rsid w:val="00C96AEA"/>
    <w:rsid w:val="00CA04DB"/>
    <w:rsid w:val="00CA2B97"/>
    <w:rsid w:val="00CA607A"/>
    <w:rsid w:val="00CC0B6D"/>
    <w:rsid w:val="00CC7B4E"/>
    <w:rsid w:val="00CE1CD3"/>
    <w:rsid w:val="00CE4F01"/>
    <w:rsid w:val="00CF6F75"/>
    <w:rsid w:val="00D266C6"/>
    <w:rsid w:val="00D55546"/>
    <w:rsid w:val="00D6213C"/>
    <w:rsid w:val="00D647C0"/>
    <w:rsid w:val="00D77694"/>
    <w:rsid w:val="00D77B0F"/>
    <w:rsid w:val="00DB6B52"/>
    <w:rsid w:val="00DC7896"/>
    <w:rsid w:val="00DE5488"/>
    <w:rsid w:val="00DE75AC"/>
    <w:rsid w:val="00DF5A52"/>
    <w:rsid w:val="00E05319"/>
    <w:rsid w:val="00E17C58"/>
    <w:rsid w:val="00E231C2"/>
    <w:rsid w:val="00E429DA"/>
    <w:rsid w:val="00E475D7"/>
    <w:rsid w:val="00E5279F"/>
    <w:rsid w:val="00E62C2A"/>
    <w:rsid w:val="00E704EB"/>
    <w:rsid w:val="00E8586E"/>
    <w:rsid w:val="00E935E4"/>
    <w:rsid w:val="00E9516F"/>
    <w:rsid w:val="00E96A06"/>
    <w:rsid w:val="00EA0919"/>
    <w:rsid w:val="00EB5240"/>
    <w:rsid w:val="00EB6814"/>
    <w:rsid w:val="00EC0B55"/>
    <w:rsid w:val="00EC4181"/>
    <w:rsid w:val="00ED1AA6"/>
    <w:rsid w:val="00EE5ED7"/>
    <w:rsid w:val="00F034BF"/>
    <w:rsid w:val="00F233A3"/>
    <w:rsid w:val="00F26D30"/>
    <w:rsid w:val="00F57152"/>
    <w:rsid w:val="00F7362C"/>
    <w:rsid w:val="00F86EF5"/>
    <w:rsid w:val="00F87719"/>
    <w:rsid w:val="00F92F61"/>
    <w:rsid w:val="00FB0005"/>
    <w:rsid w:val="00FB6F10"/>
    <w:rsid w:val="00FC4CF8"/>
    <w:rsid w:val="00FC5DA7"/>
    <w:rsid w:val="00FD5A1C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F"/>
  </w:style>
  <w:style w:type="character" w:styleId="Hyperlink">
    <w:name w:val="Hyperlink"/>
    <w:basedOn w:val="DefaultParagraphFont"/>
    <w:uiPriority w:val="99"/>
    <w:unhideWhenUsed/>
    <w:rsid w:val="00A00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F"/>
  </w:style>
  <w:style w:type="character" w:styleId="Hyperlink">
    <w:name w:val="Hyperlink"/>
    <w:basedOn w:val="DefaultParagraphFont"/>
    <w:uiPriority w:val="99"/>
    <w:unhideWhenUsed/>
    <w:rsid w:val="00A00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temodels@oeb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A67E-A5CF-47F7-81DC-5D94BDD3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Broadfoot</dc:creator>
  <cp:lastModifiedBy>June Broadfoot</cp:lastModifiedBy>
  <cp:revision>3</cp:revision>
  <cp:lastPrinted>2014-09-29T14:43:00Z</cp:lastPrinted>
  <dcterms:created xsi:type="dcterms:W3CDTF">2018-11-20T21:01:00Z</dcterms:created>
  <dcterms:modified xsi:type="dcterms:W3CDTF">2018-11-20T21:02:00Z</dcterms:modified>
</cp:coreProperties>
</file>