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839" w:rsidRPr="00CC3ACA" w:rsidRDefault="00F65839" w:rsidP="00F65839">
      <w:pPr>
        <w:autoSpaceDE w:val="0"/>
        <w:autoSpaceDN w:val="0"/>
        <w:adjustRightInd w:val="0"/>
        <w:spacing w:line="360" w:lineRule="auto"/>
        <w:jc w:val="center"/>
        <w:rPr>
          <w:rFonts w:ascii="Arial" w:hAnsi="Arial" w:cs="Arial"/>
          <w:b/>
          <w:bCs/>
          <w:sz w:val="22"/>
          <w:szCs w:val="22"/>
        </w:rPr>
      </w:pPr>
    </w:p>
    <w:p w:rsidR="00F65839" w:rsidRPr="00CC3ACA" w:rsidRDefault="00F65839" w:rsidP="00F65839">
      <w:pPr>
        <w:autoSpaceDE w:val="0"/>
        <w:autoSpaceDN w:val="0"/>
        <w:adjustRightInd w:val="0"/>
        <w:spacing w:line="360" w:lineRule="auto"/>
        <w:jc w:val="center"/>
        <w:rPr>
          <w:rFonts w:ascii="Arial" w:hAnsi="Arial" w:cs="Arial"/>
          <w:b/>
          <w:bCs/>
          <w:sz w:val="22"/>
          <w:szCs w:val="22"/>
        </w:rPr>
      </w:pPr>
    </w:p>
    <w:p w:rsidR="00F65839" w:rsidRDefault="00CC3ACA" w:rsidP="00F65839">
      <w:pPr>
        <w:autoSpaceDE w:val="0"/>
        <w:autoSpaceDN w:val="0"/>
        <w:adjustRightInd w:val="0"/>
        <w:spacing w:line="360" w:lineRule="auto"/>
        <w:jc w:val="center"/>
        <w:rPr>
          <w:rFonts w:ascii="Arial" w:hAnsi="Arial" w:cs="Arial"/>
          <w:b/>
          <w:bCs/>
          <w:sz w:val="22"/>
          <w:szCs w:val="22"/>
        </w:rPr>
      </w:pPr>
      <w:r w:rsidRPr="00CC3ACA">
        <w:rPr>
          <w:rFonts w:ascii="Arial" w:hAnsi="Arial" w:cs="Arial"/>
          <w:b/>
          <w:bCs/>
          <w:sz w:val="22"/>
          <w:szCs w:val="22"/>
        </w:rPr>
        <w:t>EB-2018-0016</w:t>
      </w:r>
    </w:p>
    <w:p w:rsidR="004E59A3" w:rsidRPr="00C308F4" w:rsidRDefault="004E59A3" w:rsidP="004E59A3">
      <w:pPr>
        <w:pStyle w:val="Quote1"/>
        <w:jc w:val="both"/>
        <w:rPr>
          <w:rFonts w:ascii="Arial" w:hAnsi="Arial" w:cs="Arial"/>
          <w:sz w:val="22"/>
          <w:szCs w:val="22"/>
        </w:rPr>
      </w:pPr>
      <w:r w:rsidRPr="00C308F4">
        <w:rPr>
          <w:rFonts w:ascii="Arial" w:hAnsi="Arial" w:cs="Arial"/>
          <w:b/>
          <w:bCs/>
          <w:sz w:val="22"/>
          <w:szCs w:val="22"/>
        </w:rPr>
        <w:t>IN THE MATTER OF</w:t>
      </w:r>
      <w:r w:rsidRPr="00C308F4">
        <w:rPr>
          <w:rFonts w:ascii="Arial" w:hAnsi="Arial" w:cs="Arial"/>
          <w:sz w:val="22"/>
          <w:szCs w:val="22"/>
        </w:rPr>
        <w:t xml:space="preserve"> an Application by Alectra Utilities Corporation to the Ontario Energy Board for an Order or Orders approving or fixing just and reasonable rates and other service charges for the distribution of electricity as of January 1, 2019.</w:t>
      </w:r>
    </w:p>
    <w:p w:rsidR="00F65839" w:rsidRPr="00CC3ACA" w:rsidRDefault="00F65839" w:rsidP="00F65839">
      <w:pPr>
        <w:spacing w:line="360" w:lineRule="auto"/>
        <w:ind w:left="1440"/>
        <w:rPr>
          <w:rFonts w:ascii="Arial" w:hAnsi="Arial" w:cs="Arial"/>
          <w:sz w:val="22"/>
          <w:szCs w:val="22"/>
          <w:lang w:val="en-US"/>
        </w:rPr>
      </w:pPr>
    </w:p>
    <w:p w:rsidR="00F65839" w:rsidRPr="00CC3ACA" w:rsidRDefault="00CC3ACA" w:rsidP="00F65839">
      <w:pPr>
        <w:autoSpaceDE w:val="0"/>
        <w:autoSpaceDN w:val="0"/>
        <w:adjustRightInd w:val="0"/>
        <w:spacing w:line="360" w:lineRule="auto"/>
        <w:jc w:val="center"/>
        <w:rPr>
          <w:rFonts w:ascii="Arial" w:hAnsi="Arial" w:cs="Arial"/>
          <w:b/>
          <w:bCs/>
          <w:sz w:val="22"/>
          <w:szCs w:val="22"/>
        </w:rPr>
      </w:pPr>
      <w:r w:rsidRPr="00CC3ACA">
        <w:rPr>
          <w:rFonts w:ascii="Arial" w:hAnsi="Arial" w:cs="Arial"/>
          <w:b/>
          <w:bCs/>
          <w:sz w:val="22"/>
          <w:szCs w:val="22"/>
        </w:rPr>
        <w:t>ALECTRA UTILITIES CORPORATION</w:t>
      </w:r>
    </w:p>
    <w:p w:rsidR="00F65839" w:rsidRPr="00CC3ACA" w:rsidRDefault="00F65839" w:rsidP="00F65839">
      <w:pPr>
        <w:autoSpaceDE w:val="0"/>
        <w:autoSpaceDN w:val="0"/>
        <w:adjustRightInd w:val="0"/>
        <w:spacing w:line="360" w:lineRule="auto"/>
        <w:jc w:val="center"/>
        <w:rPr>
          <w:rFonts w:ascii="Arial" w:hAnsi="Arial" w:cs="Arial"/>
          <w:b/>
          <w:bCs/>
          <w:sz w:val="22"/>
          <w:szCs w:val="22"/>
        </w:rPr>
      </w:pPr>
      <w:r w:rsidRPr="00CC3ACA">
        <w:rPr>
          <w:rFonts w:ascii="Arial" w:hAnsi="Arial" w:cs="Arial"/>
          <w:b/>
          <w:bCs/>
          <w:sz w:val="22"/>
          <w:szCs w:val="22"/>
        </w:rPr>
        <w:t>SETTLEMENT PROPOSAL</w:t>
      </w:r>
    </w:p>
    <w:p w:rsidR="00F65839" w:rsidRPr="00CC3ACA" w:rsidRDefault="002C53C8" w:rsidP="00F65839">
      <w:pPr>
        <w:autoSpaceDE w:val="0"/>
        <w:autoSpaceDN w:val="0"/>
        <w:adjustRightInd w:val="0"/>
        <w:spacing w:line="360" w:lineRule="auto"/>
        <w:jc w:val="center"/>
        <w:rPr>
          <w:rFonts w:ascii="Arial" w:hAnsi="Arial" w:cs="Arial"/>
          <w:b/>
          <w:bCs/>
          <w:sz w:val="22"/>
          <w:szCs w:val="22"/>
        </w:rPr>
      </w:pPr>
      <w:r>
        <w:rPr>
          <w:rFonts w:ascii="Arial" w:hAnsi="Arial" w:cs="Arial"/>
          <w:b/>
          <w:bCs/>
          <w:sz w:val="22"/>
          <w:szCs w:val="22"/>
        </w:rPr>
        <w:t>DECEMBER 6</w:t>
      </w:r>
      <w:r w:rsidR="00CC3ACA" w:rsidRPr="00CC3ACA">
        <w:rPr>
          <w:rFonts w:ascii="Arial" w:hAnsi="Arial" w:cs="Arial"/>
          <w:b/>
          <w:bCs/>
          <w:sz w:val="22"/>
          <w:szCs w:val="22"/>
        </w:rPr>
        <w:t>, 2018</w:t>
      </w:r>
    </w:p>
    <w:p w:rsidR="00F65839" w:rsidRPr="00CC3ACA" w:rsidRDefault="00F65839" w:rsidP="00F65839">
      <w:pPr>
        <w:autoSpaceDE w:val="0"/>
        <w:autoSpaceDN w:val="0"/>
        <w:adjustRightInd w:val="0"/>
        <w:spacing w:line="360" w:lineRule="auto"/>
        <w:jc w:val="center"/>
        <w:rPr>
          <w:rFonts w:ascii="Arial" w:hAnsi="Arial" w:cs="Arial"/>
          <w:b/>
          <w:bCs/>
          <w:sz w:val="22"/>
          <w:szCs w:val="22"/>
        </w:rPr>
      </w:pPr>
    </w:p>
    <w:p w:rsidR="00F65839" w:rsidRPr="00CC3ACA" w:rsidRDefault="00F65839" w:rsidP="00F65839">
      <w:pPr>
        <w:pStyle w:val="BodyText"/>
        <w:rPr>
          <w:rFonts w:ascii="Arial" w:hAnsi="Arial" w:cs="Arial"/>
          <w:b/>
          <w:bCs/>
          <w:sz w:val="22"/>
          <w:szCs w:val="22"/>
        </w:rPr>
      </w:pPr>
    </w:p>
    <w:p w:rsidR="00F65839" w:rsidRPr="00CC3ACA" w:rsidRDefault="00F65839" w:rsidP="00F65839">
      <w:pPr>
        <w:pStyle w:val="BodyText"/>
        <w:rPr>
          <w:rFonts w:ascii="Arial" w:hAnsi="Arial" w:cs="Arial"/>
          <w:b/>
          <w:bCs/>
          <w:sz w:val="22"/>
          <w:szCs w:val="22"/>
        </w:rPr>
      </w:pPr>
    </w:p>
    <w:p w:rsidR="00F65839" w:rsidRPr="00CC3ACA" w:rsidRDefault="00F65839" w:rsidP="00F65839">
      <w:pPr>
        <w:pStyle w:val="BodyText"/>
        <w:rPr>
          <w:rFonts w:ascii="Arial" w:hAnsi="Arial" w:cs="Arial"/>
          <w:b/>
          <w:bCs/>
          <w:sz w:val="22"/>
          <w:szCs w:val="22"/>
        </w:rPr>
      </w:pPr>
    </w:p>
    <w:p w:rsidR="00F65839" w:rsidRPr="00CC3ACA" w:rsidRDefault="00F65839" w:rsidP="00F65839">
      <w:pPr>
        <w:pStyle w:val="BodyText"/>
        <w:rPr>
          <w:rFonts w:ascii="Arial" w:hAnsi="Arial" w:cs="Arial"/>
          <w:sz w:val="22"/>
          <w:szCs w:val="22"/>
        </w:rPr>
        <w:sectPr w:rsidR="00F65839" w:rsidRPr="00CC3ACA" w:rsidSect="0038788A">
          <w:footerReference w:type="default" r:id="rId7"/>
          <w:headerReference w:type="first" r:id="rId8"/>
          <w:pgSz w:w="12240" w:h="15840"/>
          <w:pgMar w:top="1440" w:right="1800" w:bottom="1440" w:left="1800" w:header="720" w:footer="720" w:gutter="0"/>
          <w:cols w:space="720"/>
          <w:noEndnote/>
          <w:docGrid w:linePitch="360"/>
        </w:sectPr>
      </w:pPr>
    </w:p>
    <w:p w:rsidR="00F65839" w:rsidRPr="00CC3ACA" w:rsidRDefault="00CC3ACA" w:rsidP="00F65839">
      <w:pPr>
        <w:pStyle w:val="BodyText"/>
        <w:jc w:val="center"/>
        <w:rPr>
          <w:rFonts w:ascii="Arial" w:hAnsi="Arial" w:cs="Arial"/>
          <w:b/>
          <w:sz w:val="22"/>
          <w:szCs w:val="22"/>
        </w:rPr>
      </w:pPr>
      <w:r w:rsidRPr="00CC3ACA">
        <w:rPr>
          <w:rFonts w:ascii="Arial" w:hAnsi="Arial" w:cs="Arial"/>
          <w:b/>
          <w:bCs/>
          <w:sz w:val="22"/>
          <w:szCs w:val="22"/>
        </w:rPr>
        <w:t>Alectra Utilities Corporation</w:t>
      </w:r>
    </w:p>
    <w:p w:rsidR="00F65839" w:rsidRPr="00CC3ACA" w:rsidRDefault="00CC3ACA" w:rsidP="00F65839">
      <w:pPr>
        <w:pStyle w:val="BodyText"/>
        <w:jc w:val="center"/>
        <w:rPr>
          <w:rFonts w:ascii="Arial" w:hAnsi="Arial" w:cs="Arial"/>
          <w:b/>
          <w:bCs/>
          <w:sz w:val="22"/>
          <w:szCs w:val="22"/>
        </w:rPr>
      </w:pPr>
      <w:r w:rsidRPr="00CC3ACA">
        <w:rPr>
          <w:rFonts w:ascii="Arial" w:hAnsi="Arial" w:cs="Arial"/>
          <w:b/>
          <w:bCs/>
          <w:sz w:val="22"/>
          <w:szCs w:val="22"/>
        </w:rPr>
        <w:t>EB-2018-0016</w:t>
      </w:r>
    </w:p>
    <w:p w:rsidR="00F65839" w:rsidRPr="00CC3ACA" w:rsidRDefault="00F65839" w:rsidP="00F65839">
      <w:pPr>
        <w:pStyle w:val="BodyText"/>
        <w:jc w:val="center"/>
        <w:rPr>
          <w:rFonts w:ascii="Arial" w:hAnsi="Arial" w:cs="Arial"/>
          <w:sz w:val="22"/>
          <w:szCs w:val="22"/>
        </w:rPr>
      </w:pPr>
      <w:r w:rsidRPr="00CC3ACA">
        <w:rPr>
          <w:rFonts w:ascii="Arial" w:hAnsi="Arial" w:cs="Arial"/>
          <w:b/>
          <w:sz w:val="22"/>
          <w:szCs w:val="22"/>
        </w:rPr>
        <w:t>Settlement Proposal</w:t>
      </w:r>
    </w:p>
    <w:p w:rsidR="00F65839" w:rsidRPr="00CC3ACA" w:rsidRDefault="00F65839" w:rsidP="00F65839">
      <w:pPr>
        <w:pStyle w:val="BodyText"/>
        <w:rPr>
          <w:rFonts w:ascii="Arial" w:hAnsi="Arial" w:cs="Arial"/>
          <w:sz w:val="22"/>
          <w:szCs w:val="22"/>
        </w:rPr>
      </w:pPr>
      <w:r w:rsidRPr="00CC3ACA">
        <w:rPr>
          <w:rFonts w:ascii="Arial" w:hAnsi="Arial" w:cs="Arial"/>
          <w:b/>
          <w:sz w:val="22"/>
          <w:szCs w:val="22"/>
        </w:rPr>
        <w:t xml:space="preserve">Filed with OEB: </w:t>
      </w:r>
      <w:r w:rsidR="00CC3ACA" w:rsidRPr="00CC3ACA">
        <w:rPr>
          <w:rFonts w:ascii="Arial" w:hAnsi="Arial" w:cs="Arial"/>
          <w:sz w:val="22"/>
          <w:szCs w:val="22"/>
        </w:rPr>
        <w:t>December 6</w:t>
      </w:r>
      <w:r w:rsidRPr="00CC3ACA">
        <w:rPr>
          <w:rFonts w:ascii="Arial" w:hAnsi="Arial" w:cs="Arial"/>
          <w:sz w:val="22"/>
          <w:szCs w:val="22"/>
        </w:rPr>
        <w:t>, 2018</w:t>
      </w:r>
    </w:p>
    <w:p w:rsidR="00CC3ACA" w:rsidRPr="00CC3ACA" w:rsidRDefault="00CC3ACA" w:rsidP="00AF1D60">
      <w:pPr>
        <w:pStyle w:val="BodyText"/>
        <w:spacing w:line="276" w:lineRule="auto"/>
        <w:rPr>
          <w:rFonts w:ascii="Arial" w:hAnsi="Arial" w:cs="Arial"/>
          <w:sz w:val="22"/>
          <w:szCs w:val="22"/>
        </w:rPr>
      </w:pPr>
      <w:r w:rsidRPr="00CC3ACA">
        <w:rPr>
          <w:rFonts w:ascii="Arial" w:hAnsi="Arial" w:cs="Arial"/>
          <w:sz w:val="22"/>
          <w:szCs w:val="22"/>
        </w:rPr>
        <w:t xml:space="preserve">Alectra Utilities Corporation (“Alectra Utilities” or the “Applicant”) filed an application with the Ontario Energy Board (“OEB” or the “Board”) on June 7, 2018, under section 78 of the </w:t>
      </w:r>
      <w:r w:rsidRPr="00CC3ACA">
        <w:rPr>
          <w:rFonts w:ascii="Arial" w:hAnsi="Arial" w:cs="Arial"/>
          <w:i/>
          <w:sz w:val="22"/>
          <w:szCs w:val="22"/>
        </w:rPr>
        <w:t>Ontario Energy Board Act, 1998</w:t>
      </w:r>
      <w:r w:rsidRPr="00CC3ACA">
        <w:rPr>
          <w:rFonts w:ascii="Arial" w:hAnsi="Arial" w:cs="Arial"/>
          <w:sz w:val="22"/>
          <w:szCs w:val="22"/>
        </w:rPr>
        <w:t xml:space="preserve">, </w:t>
      </w:r>
      <w:r w:rsidR="006442B0">
        <w:rPr>
          <w:rFonts w:ascii="Arial" w:hAnsi="Arial" w:cs="Arial"/>
          <w:sz w:val="22"/>
          <w:szCs w:val="22"/>
        </w:rPr>
        <w:t xml:space="preserve">(the “Act”) </w:t>
      </w:r>
      <w:r w:rsidRPr="00CC3ACA">
        <w:rPr>
          <w:rFonts w:ascii="Arial" w:hAnsi="Arial" w:cs="Arial"/>
          <w:sz w:val="22"/>
          <w:szCs w:val="22"/>
        </w:rPr>
        <w:t xml:space="preserve">seeking approval for changes to its electricity distribution rates </w:t>
      </w:r>
      <w:r w:rsidR="006442B0">
        <w:rPr>
          <w:rFonts w:ascii="Arial" w:hAnsi="Arial" w:cs="Arial"/>
          <w:sz w:val="22"/>
          <w:szCs w:val="22"/>
        </w:rPr>
        <w:t xml:space="preserve">(“EDR”) </w:t>
      </w:r>
      <w:r w:rsidRPr="00CC3ACA">
        <w:rPr>
          <w:rFonts w:ascii="Arial" w:hAnsi="Arial" w:cs="Arial"/>
          <w:sz w:val="22"/>
          <w:szCs w:val="22"/>
        </w:rPr>
        <w:t xml:space="preserve">for each of its Horizon Utilities, Brampton, PowerStream and Enersource rate zones (“RZs”) to be effective January 1, 2019 (the “Application”).  </w:t>
      </w:r>
    </w:p>
    <w:p w:rsidR="00DE6757" w:rsidRPr="00DE6757" w:rsidRDefault="00DE6757" w:rsidP="00AF1D60">
      <w:pPr>
        <w:tabs>
          <w:tab w:val="left" w:pos="720"/>
        </w:tabs>
        <w:spacing w:before="32" w:line="276" w:lineRule="auto"/>
        <w:ind w:right="-20"/>
        <w:rPr>
          <w:rFonts w:ascii="Arial" w:eastAsia="Arial" w:hAnsi="Arial" w:cs="Arial"/>
          <w:spacing w:val="2"/>
          <w:sz w:val="22"/>
          <w:szCs w:val="22"/>
          <w:lang w:val="en-US"/>
        </w:rPr>
      </w:pPr>
      <w:r>
        <w:rPr>
          <w:rFonts w:ascii="Arial" w:eastAsia="Arial" w:hAnsi="Arial" w:cs="Arial"/>
          <w:spacing w:val="2"/>
          <w:sz w:val="22"/>
          <w:szCs w:val="22"/>
        </w:rPr>
        <w:t>In its Notice of Application and subsequent Procedural Order (“PO”) #2, the OEB identified that the following issues would be</w:t>
      </w:r>
      <w:r>
        <w:rPr>
          <w:rFonts w:ascii="Arial" w:eastAsia="Arial" w:hAnsi="Arial" w:cs="Arial"/>
          <w:spacing w:val="2"/>
          <w:sz w:val="22"/>
          <w:szCs w:val="22"/>
          <w:lang w:val="en-US"/>
        </w:rPr>
        <w:t xml:space="preserve"> eligible for cost recovery:</w:t>
      </w:r>
      <w:r w:rsidRPr="00DE6757">
        <w:rPr>
          <w:rFonts w:ascii="Arial" w:eastAsia="Arial" w:hAnsi="Arial" w:cs="Arial"/>
          <w:spacing w:val="2"/>
          <w:sz w:val="22"/>
          <w:szCs w:val="22"/>
          <w:lang w:val="en-US"/>
        </w:rPr>
        <w:t xml:space="preserve"> </w:t>
      </w:r>
    </w:p>
    <w:p w:rsidR="00DE6757" w:rsidRPr="00DE6757" w:rsidRDefault="00DE6757" w:rsidP="00AF1D60">
      <w:pPr>
        <w:tabs>
          <w:tab w:val="left" w:pos="720"/>
          <w:tab w:val="left" w:pos="990"/>
        </w:tabs>
        <w:spacing w:before="32" w:line="276" w:lineRule="auto"/>
        <w:ind w:left="720" w:right="-20"/>
        <w:rPr>
          <w:rFonts w:ascii="Arial" w:eastAsia="Arial" w:hAnsi="Arial" w:cs="Arial"/>
          <w:spacing w:val="2"/>
          <w:sz w:val="22"/>
          <w:szCs w:val="22"/>
          <w:lang w:val="en-US"/>
        </w:rPr>
      </w:pPr>
      <w:r w:rsidRPr="00DE6757">
        <w:rPr>
          <w:rFonts w:ascii="Arial" w:eastAsia="Arial" w:hAnsi="Arial" w:cs="Arial"/>
          <w:spacing w:val="2"/>
          <w:sz w:val="22"/>
          <w:szCs w:val="22"/>
          <w:lang w:val="en-US"/>
        </w:rPr>
        <w:t>• the balances and disposition of the deferral accounts related to the change in capitalization policy for each of the Bra</w:t>
      </w:r>
      <w:r>
        <w:rPr>
          <w:rFonts w:ascii="Arial" w:eastAsia="Arial" w:hAnsi="Arial" w:cs="Arial"/>
          <w:spacing w:val="2"/>
          <w:sz w:val="22"/>
          <w:szCs w:val="22"/>
          <w:lang w:val="en-US"/>
        </w:rPr>
        <w:t>mpton and Enersource rate zones;</w:t>
      </w:r>
    </w:p>
    <w:p w:rsidR="00DE6757" w:rsidRPr="00DE6757" w:rsidRDefault="00DE6757" w:rsidP="00AF1D60">
      <w:pPr>
        <w:tabs>
          <w:tab w:val="left" w:pos="720"/>
          <w:tab w:val="left" w:pos="990"/>
        </w:tabs>
        <w:spacing w:before="32" w:line="276" w:lineRule="auto"/>
        <w:ind w:left="720" w:right="-20"/>
        <w:rPr>
          <w:rFonts w:ascii="Arial" w:eastAsia="Arial" w:hAnsi="Arial" w:cs="Arial"/>
          <w:spacing w:val="2"/>
          <w:sz w:val="22"/>
          <w:szCs w:val="22"/>
          <w:lang w:val="en-US"/>
        </w:rPr>
      </w:pPr>
      <w:r w:rsidRPr="00DE6757">
        <w:rPr>
          <w:rFonts w:ascii="Arial" w:eastAsia="Arial" w:hAnsi="Arial" w:cs="Arial"/>
          <w:spacing w:val="2"/>
          <w:sz w:val="22"/>
          <w:szCs w:val="22"/>
          <w:lang w:val="en-US"/>
        </w:rPr>
        <w:t>• the earnings sharing mechanism for the Horizon rate zone, including the effect on it from the change in capitalization policy</w:t>
      </w:r>
      <w:r>
        <w:rPr>
          <w:rFonts w:ascii="Arial" w:eastAsia="Arial" w:hAnsi="Arial" w:cs="Arial"/>
          <w:spacing w:val="2"/>
          <w:sz w:val="22"/>
          <w:szCs w:val="22"/>
          <w:lang w:val="en-US"/>
        </w:rPr>
        <w:t>; and</w:t>
      </w:r>
    </w:p>
    <w:p w:rsidR="00DE6757" w:rsidRPr="00DE6757" w:rsidRDefault="00DE6757" w:rsidP="00AF1D60">
      <w:pPr>
        <w:tabs>
          <w:tab w:val="left" w:pos="720"/>
          <w:tab w:val="left" w:pos="990"/>
        </w:tabs>
        <w:spacing w:before="32" w:line="276" w:lineRule="auto"/>
        <w:ind w:left="720" w:right="-20"/>
        <w:rPr>
          <w:rFonts w:ascii="Arial" w:eastAsia="Arial" w:hAnsi="Arial" w:cs="Arial"/>
          <w:spacing w:val="2"/>
          <w:sz w:val="22"/>
          <w:szCs w:val="22"/>
          <w:lang w:val="en-US"/>
        </w:rPr>
      </w:pPr>
      <w:r w:rsidRPr="00DE6757">
        <w:rPr>
          <w:rFonts w:ascii="Arial" w:eastAsia="Arial" w:hAnsi="Arial" w:cs="Arial"/>
          <w:spacing w:val="2"/>
          <w:sz w:val="22"/>
          <w:szCs w:val="22"/>
          <w:lang w:val="en-US"/>
        </w:rPr>
        <w:t>• the increment capital modules for each of the Enerso</w:t>
      </w:r>
      <w:r>
        <w:rPr>
          <w:rFonts w:ascii="Arial" w:eastAsia="Arial" w:hAnsi="Arial" w:cs="Arial"/>
          <w:spacing w:val="2"/>
          <w:sz w:val="22"/>
          <w:szCs w:val="22"/>
          <w:lang w:val="en-US"/>
        </w:rPr>
        <w:t>urce and PowerStream rate zones.</w:t>
      </w:r>
    </w:p>
    <w:p w:rsidR="00DE6757" w:rsidRDefault="00DE6757" w:rsidP="00AF1D60">
      <w:pPr>
        <w:tabs>
          <w:tab w:val="left" w:pos="720"/>
          <w:tab w:val="left" w:pos="990"/>
        </w:tabs>
        <w:spacing w:before="32" w:line="276" w:lineRule="auto"/>
        <w:ind w:left="720" w:right="-20"/>
        <w:rPr>
          <w:rFonts w:ascii="Arial" w:eastAsia="Arial" w:hAnsi="Arial" w:cs="Arial"/>
          <w:spacing w:val="2"/>
          <w:sz w:val="22"/>
          <w:szCs w:val="22"/>
        </w:rPr>
      </w:pPr>
    </w:p>
    <w:p w:rsidR="00B0490B" w:rsidRDefault="00DE6757" w:rsidP="00AF1D60">
      <w:pPr>
        <w:tabs>
          <w:tab w:val="left" w:pos="720"/>
        </w:tabs>
        <w:spacing w:before="32" w:line="276" w:lineRule="auto"/>
        <w:ind w:right="-20"/>
        <w:rPr>
          <w:rFonts w:ascii="Arial" w:eastAsia="Arial" w:hAnsi="Arial" w:cs="Arial"/>
          <w:spacing w:val="2"/>
          <w:sz w:val="22"/>
          <w:szCs w:val="22"/>
        </w:rPr>
      </w:pPr>
      <w:r>
        <w:rPr>
          <w:rFonts w:ascii="Arial" w:eastAsia="Arial" w:hAnsi="Arial" w:cs="Arial"/>
          <w:spacing w:val="2"/>
          <w:sz w:val="22"/>
          <w:szCs w:val="22"/>
        </w:rPr>
        <w:t xml:space="preserve">Subsequently, in PO #3, </w:t>
      </w:r>
      <w:r w:rsidR="006442B0">
        <w:rPr>
          <w:rFonts w:ascii="Arial" w:eastAsia="Arial" w:hAnsi="Arial" w:cs="Arial"/>
          <w:spacing w:val="2"/>
          <w:sz w:val="22"/>
          <w:szCs w:val="22"/>
        </w:rPr>
        <w:t xml:space="preserve">the </w:t>
      </w:r>
      <w:r w:rsidR="00B0490B">
        <w:rPr>
          <w:rFonts w:ascii="Arial" w:eastAsia="Arial" w:hAnsi="Arial" w:cs="Arial"/>
          <w:spacing w:val="2"/>
          <w:sz w:val="22"/>
          <w:szCs w:val="22"/>
        </w:rPr>
        <w:t xml:space="preserve">Board ordered that the first issue identified above would be addressed in Alectra Utilities’ 2020 EDR Application.  Specifically, </w:t>
      </w:r>
      <w:r>
        <w:rPr>
          <w:rFonts w:ascii="Arial" w:eastAsia="Arial" w:hAnsi="Arial" w:cs="Arial"/>
          <w:spacing w:val="2"/>
          <w:sz w:val="22"/>
          <w:szCs w:val="22"/>
        </w:rPr>
        <w:t xml:space="preserve">the </w:t>
      </w:r>
      <w:r w:rsidR="00B0490B">
        <w:rPr>
          <w:rFonts w:ascii="Arial" w:eastAsia="Arial" w:hAnsi="Arial" w:cs="Arial"/>
          <w:spacing w:val="2"/>
          <w:sz w:val="22"/>
          <w:szCs w:val="22"/>
        </w:rPr>
        <w:t>Board stated:</w:t>
      </w:r>
    </w:p>
    <w:p w:rsidR="00B0490B" w:rsidRDefault="00B0490B" w:rsidP="00AF1D60">
      <w:pPr>
        <w:tabs>
          <w:tab w:val="left" w:pos="720"/>
        </w:tabs>
        <w:spacing w:before="32" w:line="276" w:lineRule="auto"/>
        <w:ind w:right="-20"/>
        <w:rPr>
          <w:rFonts w:ascii="Arial" w:eastAsia="Arial" w:hAnsi="Arial" w:cs="Arial"/>
          <w:spacing w:val="2"/>
          <w:sz w:val="22"/>
          <w:szCs w:val="22"/>
        </w:rPr>
      </w:pPr>
    </w:p>
    <w:p w:rsidR="00B0490B" w:rsidRPr="00CC3ACA" w:rsidRDefault="00B0490B" w:rsidP="00AF1D60">
      <w:pPr>
        <w:pStyle w:val="BodyText"/>
        <w:spacing w:line="276" w:lineRule="auto"/>
        <w:ind w:left="720" w:right="720"/>
        <w:rPr>
          <w:rFonts w:ascii="Arial" w:hAnsi="Arial" w:cs="Arial"/>
          <w:i/>
          <w:sz w:val="22"/>
          <w:szCs w:val="22"/>
        </w:rPr>
      </w:pPr>
      <w:r w:rsidRPr="00CC3ACA">
        <w:rPr>
          <w:rFonts w:ascii="Arial" w:hAnsi="Arial" w:cs="Arial"/>
          <w:i/>
          <w:sz w:val="22"/>
          <w:szCs w:val="22"/>
        </w:rPr>
        <w:t>Given that the OEB wants to assess different options, there were two approaches it considered. The first was to direct Alectra Utilities to complete the information requested by SEC to file in this 2019 rate proceeding. The second was to defer consideration of this issue and direct Alectra Utilities to file a comparison of different options and its preferred option in its 2020 rate application. The OEB is adopting the latter approach as it will allow Alectra Utilities sufficient time to consider different options and provide supporting evidence. In developing options, Alectra Utilities is expected to take into consideration options proposed in this proceeding, including options involving adjustments to rate base</w:t>
      </w:r>
      <w:r>
        <w:rPr>
          <w:rStyle w:val="FootnoteReference"/>
          <w:rFonts w:ascii="Arial" w:hAnsi="Arial" w:cs="Arial"/>
          <w:i/>
          <w:sz w:val="22"/>
          <w:szCs w:val="22"/>
        </w:rPr>
        <w:footnoteReference w:id="1"/>
      </w:r>
      <w:r w:rsidRPr="00CC3ACA">
        <w:rPr>
          <w:rFonts w:ascii="Arial" w:hAnsi="Arial" w:cs="Arial"/>
          <w:i/>
          <w:sz w:val="22"/>
          <w:szCs w:val="22"/>
        </w:rPr>
        <w:t>.</w:t>
      </w:r>
    </w:p>
    <w:p w:rsidR="00CC3ACA" w:rsidRDefault="006442B0" w:rsidP="00AF1D60">
      <w:pPr>
        <w:tabs>
          <w:tab w:val="left" w:pos="720"/>
        </w:tabs>
        <w:spacing w:before="32" w:line="276" w:lineRule="auto"/>
        <w:ind w:right="-20"/>
        <w:rPr>
          <w:rFonts w:ascii="Arial" w:hAnsi="Arial" w:cs="Arial"/>
          <w:sz w:val="22"/>
          <w:szCs w:val="22"/>
        </w:rPr>
      </w:pPr>
      <w:r>
        <w:rPr>
          <w:rFonts w:ascii="Arial" w:eastAsia="Arial" w:hAnsi="Arial" w:cs="Arial"/>
          <w:spacing w:val="2"/>
          <w:sz w:val="22"/>
          <w:szCs w:val="22"/>
        </w:rPr>
        <w:t>Also in PO #3, i</w:t>
      </w:r>
      <w:r w:rsidR="00B0490B">
        <w:rPr>
          <w:rFonts w:ascii="Arial" w:eastAsia="Arial" w:hAnsi="Arial" w:cs="Arial"/>
          <w:spacing w:val="2"/>
          <w:sz w:val="22"/>
          <w:szCs w:val="22"/>
        </w:rPr>
        <w:t xml:space="preserve">n relation to the </w:t>
      </w:r>
      <w:r>
        <w:rPr>
          <w:rFonts w:ascii="Arial" w:eastAsia="Arial" w:hAnsi="Arial" w:cs="Arial"/>
          <w:spacing w:val="2"/>
          <w:sz w:val="22"/>
          <w:szCs w:val="22"/>
        </w:rPr>
        <w:t>Horizon Rate Zone (“</w:t>
      </w:r>
      <w:r w:rsidR="00B0490B">
        <w:rPr>
          <w:rFonts w:ascii="Arial" w:eastAsia="Arial" w:hAnsi="Arial" w:cs="Arial"/>
          <w:spacing w:val="2"/>
          <w:sz w:val="22"/>
          <w:szCs w:val="22"/>
        </w:rPr>
        <w:t>H</w:t>
      </w:r>
      <w:r>
        <w:rPr>
          <w:rFonts w:ascii="Arial" w:eastAsia="Arial" w:hAnsi="Arial" w:cs="Arial"/>
          <w:spacing w:val="2"/>
          <w:sz w:val="22"/>
          <w:szCs w:val="22"/>
        </w:rPr>
        <w:t xml:space="preserve">RZ”) </w:t>
      </w:r>
      <w:r w:rsidR="00B0490B">
        <w:rPr>
          <w:rFonts w:ascii="Arial" w:eastAsia="Arial" w:hAnsi="Arial" w:cs="Arial"/>
          <w:spacing w:val="2"/>
          <w:sz w:val="22"/>
          <w:szCs w:val="22"/>
        </w:rPr>
        <w:t xml:space="preserve">Earnings Sharing Mechanism (“ESM”), the Board concluded that it would hold an oral </w:t>
      </w:r>
      <w:r w:rsidR="00CC3ACA">
        <w:rPr>
          <w:rFonts w:ascii="Arial" w:hAnsi="Arial" w:cs="Arial"/>
          <w:sz w:val="22"/>
          <w:szCs w:val="22"/>
        </w:rPr>
        <w:t xml:space="preserve">hearing on two items: i) the allocation of costs between </w:t>
      </w:r>
      <w:r w:rsidR="00CC3ACA" w:rsidRPr="00CC3ACA">
        <w:rPr>
          <w:rFonts w:ascii="Arial" w:hAnsi="Arial" w:cs="Arial"/>
          <w:sz w:val="22"/>
          <w:szCs w:val="22"/>
        </w:rPr>
        <w:t>Alectra Utilities and the Horizon rate zone</w:t>
      </w:r>
      <w:r w:rsidR="00CC3ACA">
        <w:rPr>
          <w:rFonts w:ascii="Arial" w:hAnsi="Arial" w:cs="Arial"/>
          <w:sz w:val="22"/>
          <w:szCs w:val="22"/>
        </w:rPr>
        <w:t xml:space="preserve">; and ii) </w:t>
      </w:r>
      <w:r w:rsidR="00CC3ACA" w:rsidRPr="00CC3ACA">
        <w:rPr>
          <w:rFonts w:ascii="Arial" w:hAnsi="Arial" w:cs="Arial"/>
          <w:sz w:val="22"/>
          <w:szCs w:val="22"/>
        </w:rPr>
        <w:t xml:space="preserve">the interaction between the </w:t>
      </w:r>
      <w:r w:rsidR="00CC3ACA" w:rsidRPr="008C2D6D">
        <w:rPr>
          <w:rFonts w:ascii="Arial" w:hAnsi="Arial" w:cs="Arial"/>
          <w:sz w:val="22"/>
          <w:szCs w:val="22"/>
        </w:rPr>
        <w:t>H</w:t>
      </w:r>
      <w:r>
        <w:rPr>
          <w:rFonts w:ascii="Arial" w:hAnsi="Arial" w:cs="Arial"/>
          <w:sz w:val="22"/>
          <w:szCs w:val="22"/>
        </w:rPr>
        <w:t xml:space="preserve">RZ </w:t>
      </w:r>
      <w:r w:rsidR="00CC3ACA" w:rsidRPr="00CC3ACA">
        <w:rPr>
          <w:rFonts w:ascii="Arial" w:hAnsi="Arial" w:cs="Arial"/>
          <w:sz w:val="22"/>
          <w:szCs w:val="22"/>
        </w:rPr>
        <w:t>ESM calculation and the change in capitalization policy</w:t>
      </w:r>
      <w:r w:rsidR="00B0490B">
        <w:rPr>
          <w:rFonts w:ascii="Arial" w:hAnsi="Arial" w:cs="Arial"/>
          <w:sz w:val="22"/>
          <w:szCs w:val="22"/>
        </w:rPr>
        <w:t>.</w:t>
      </w:r>
    </w:p>
    <w:p w:rsidR="00A47FCD" w:rsidRDefault="00A47FCD" w:rsidP="00AF1D60">
      <w:pPr>
        <w:tabs>
          <w:tab w:val="left" w:pos="720"/>
        </w:tabs>
        <w:spacing w:before="32" w:line="276" w:lineRule="auto"/>
        <w:ind w:right="-20"/>
        <w:rPr>
          <w:rFonts w:ascii="Arial" w:hAnsi="Arial" w:cs="Arial"/>
          <w:sz w:val="22"/>
          <w:szCs w:val="22"/>
        </w:rPr>
      </w:pPr>
    </w:p>
    <w:p w:rsidR="00B0490B" w:rsidRDefault="00B0490B" w:rsidP="00AF1D60">
      <w:pPr>
        <w:pStyle w:val="BodyText"/>
        <w:spacing w:line="276" w:lineRule="auto"/>
        <w:rPr>
          <w:rFonts w:ascii="Arial" w:hAnsi="Arial" w:cs="Arial"/>
          <w:sz w:val="22"/>
          <w:szCs w:val="22"/>
        </w:rPr>
      </w:pPr>
      <w:r>
        <w:rPr>
          <w:rFonts w:ascii="Arial" w:hAnsi="Arial" w:cs="Arial"/>
          <w:sz w:val="22"/>
          <w:szCs w:val="22"/>
        </w:rPr>
        <w:t>The Board commenced an oral hearing on December 5, 2018.  All intervening parties approved by the OEB in the proceeding were in attendance.  Specifically, the attendees were</w:t>
      </w:r>
      <w:r w:rsidR="006442B0">
        <w:rPr>
          <w:rFonts w:ascii="Arial" w:hAnsi="Arial" w:cs="Arial"/>
          <w:sz w:val="22"/>
          <w:szCs w:val="22"/>
        </w:rPr>
        <w:t xml:space="preserve"> the</w:t>
      </w:r>
      <w:r>
        <w:rPr>
          <w:rFonts w:ascii="Arial" w:hAnsi="Arial" w:cs="Arial"/>
          <w:sz w:val="22"/>
          <w:szCs w:val="22"/>
        </w:rPr>
        <w:t xml:space="preserve">: Association of Major Power Consumers of Ontario (“AMPCO”); Building Owners and Managers Association (“BOMA”); </w:t>
      </w:r>
      <w:r w:rsidR="00F65839" w:rsidRPr="00CC3ACA">
        <w:rPr>
          <w:rFonts w:ascii="Arial" w:hAnsi="Arial" w:cs="Arial"/>
          <w:sz w:val="22"/>
          <w:szCs w:val="22"/>
        </w:rPr>
        <w:t>Consumers Council of Canada (CCC”);</w:t>
      </w:r>
      <w:r>
        <w:rPr>
          <w:rFonts w:ascii="Arial" w:hAnsi="Arial" w:cs="Arial"/>
          <w:sz w:val="22"/>
          <w:szCs w:val="22"/>
        </w:rPr>
        <w:t xml:space="preserve"> Energy Probe; </w:t>
      </w:r>
      <w:r w:rsidR="00F65839" w:rsidRPr="00CC3ACA">
        <w:rPr>
          <w:rFonts w:ascii="Arial" w:hAnsi="Arial" w:cs="Arial"/>
          <w:sz w:val="22"/>
          <w:szCs w:val="22"/>
        </w:rPr>
        <w:t>School Energy Coalition (“SEC”); and</w:t>
      </w:r>
      <w:r>
        <w:rPr>
          <w:rFonts w:ascii="Arial" w:hAnsi="Arial" w:cs="Arial"/>
          <w:sz w:val="22"/>
          <w:szCs w:val="22"/>
        </w:rPr>
        <w:t xml:space="preserve"> </w:t>
      </w:r>
      <w:r w:rsidR="00F65839" w:rsidRPr="00CC3ACA">
        <w:rPr>
          <w:rFonts w:ascii="Arial" w:hAnsi="Arial" w:cs="Arial"/>
          <w:sz w:val="22"/>
          <w:szCs w:val="22"/>
        </w:rPr>
        <w:t>Vulnerable Energy Consumers Coalition (“VECC”).</w:t>
      </w:r>
      <w:r>
        <w:rPr>
          <w:rFonts w:ascii="Arial" w:hAnsi="Arial" w:cs="Arial"/>
          <w:sz w:val="22"/>
          <w:szCs w:val="22"/>
        </w:rPr>
        <w:t xml:space="preserve"> Board staff also attended the oral hearing.  </w:t>
      </w:r>
    </w:p>
    <w:p w:rsidR="00F65839" w:rsidRPr="00CC3ACA" w:rsidRDefault="00B0490B" w:rsidP="00AF1D60">
      <w:pPr>
        <w:pStyle w:val="BodyText"/>
        <w:spacing w:line="276" w:lineRule="auto"/>
        <w:rPr>
          <w:rFonts w:ascii="Arial" w:hAnsi="Arial" w:cs="Arial"/>
          <w:sz w:val="22"/>
          <w:szCs w:val="22"/>
        </w:rPr>
      </w:pPr>
      <w:r>
        <w:rPr>
          <w:rFonts w:ascii="Arial" w:hAnsi="Arial" w:cs="Arial"/>
          <w:sz w:val="22"/>
          <w:szCs w:val="22"/>
        </w:rPr>
        <w:t xml:space="preserve">Alectra Utilities </w:t>
      </w:r>
      <w:r w:rsidR="00F65839" w:rsidRPr="00CC3ACA">
        <w:rPr>
          <w:rFonts w:ascii="Arial" w:hAnsi="Arial" w:cs="Arial"/>
          <w:sz w:val="22"/>
          <w:szCs w:val="22"/>
        </w:rPr>
        <w:t>and the Intervenors are collectively referred to below as the “Parties”.</w:t>
      </w:r>
    </w:p>
    <w:p w:rsidR="00B0490B" w:rsidRDefault="00B0490B" w:rsidP="00AF1D60">
      <w:pPr>
        <w:pStyle w:val="BodyText"/>
        <w:spacing w:line="276" w:lineRule="auto"/>
        <w:rPr>
          <w:rFonts w:ascii="Arial" w:hAnsi="Arial" w:cs="Arial"/>
          <w:sz w:val="22"/>
          <w:szCs w:val="22"/>
        </w:rPr>
      </w:pPr>
      <w:r>
        <w:rPr>
          <w:rFonts w:ascii="Arial" w:hAnsi="Arial" w:cs="Arial"/>
          <w:sz w:val="22"/>
          <w:szCs w:val="22"/>
        </w:rPr>
        <w:t xml:space="preserve">Shortly after the start of the oral hearing, the Parties participated in a settlement conference for the purpose of resolving the </w:t>
      </w:r>
      <w:r w:rsidR="00893EBE">
        <w:rPr>
          <w:rFonts w:ascii="Arial" w:hAnsi="Arial" w:cs="Arial"/>
          <w:sz w:val="22"/>
          <w:szCs w:val="22"/>
        </w:rPr>
        <w:t>most effective approach</w:t>
      </w:r>
      <w:r>
        <w:rPr>
          <w:rFonts w:ascii="Arial" w:hAnsi="Arial" w:cs="Arial"/>
          <w:sz w:val="22"/>
          <w:szCs w:val="22"/>
        </w:rPr>
        <w:t xml:space="preserve"> to address</w:t>
      </w:r>
      <w:r w:rsidR="00893EBE">
        <w:rPr>
          <w:rFonts w:ascii="Arial" w:hAnsi="Arial" w:cs="Arial"/>
          <w:sz w:val="22"/>
          <w:szCs w:val="22"/>
        </w:rPr>
        <w:t>ing</w:t>
      </w:r>
      <w:r>
        <w:rPr>
          <w:rFonts w:ascii="Arial" w:hAnsi="Arial" w:cs="Arial"/>
          <w:sz w:val="22"/>
          <w:szCs w:val="22"/>
        </w:rPr>
        <w:t xml:space="preserve"> </w:t>
      </w:r>
      <w:r w:rsidR="006442B0">
        <w:rPr>
          <w:rFonts w:ascii="Arial" w:hAnsi="Arial" w:cs="Arial"/>
          <w:sz w:val="22"/>
          <w:szCs w:val="22"/>
        </w:rPr>
        <w:t xml:space="preserve">the </w:t>
      </w:r>
      <w:r>
        <w:rPr>
          <w:rFonts w:ascii="Arial" w:hAnsi="Arial" w:cs="Arial"/>
          <w:sz w:val="22"/>
          <w:szCs w:val="22"/>
        </w:rPr>
        <w:t>issues related to the HRZ ESM, as set out above.</w:t>
      </w:r>
    </w:p>
    <w:p w:rsidR="00B0490B" w:rsidRDefault="00B0490B" w:rsidP="00AF1D60">
      <w:pPr>
        <w:tabs>
          <w:tab w:val="left" w:pos="720"/>
        </w:tabs>
        <w:spacing w:before="32" w:line="276" w:lineRule="auto"/>
        <w:ind w:right="-20"/>
        <w:rPr>
          <w:rFonts w:ascii="Arial" w:eastAsia="Arial" w:hAnsi="Arial" w:cs="Arial"/>
          <w:spacing w:val="2"/>
          <w:sz w:val="22"/>
          <w:szCs w:val="22"/>
          <w:lang w:val="en-US"/>
        </w:rPr>
      </w:pPr>
      <w:r>
        <w:rPr>
          <w:rFonts w:ascii="Arial" w:hAnsi="Arial" w:cs="Arial"/>
          <w:sz w:val="22"/>
          <w:szCs w:val="22"/>
        </w:rPr>
        <w:t xml:space="preserve">The Parties agree that the allocation of costs between </w:t>
      </w:r>
      <w:r w:rsidRPr="00CC3ACA">
        <w:rPr>
          <w:rFonts w:ascii="Arial" w:hAnsi="Arial" w:cs="Arial"/>
          <w:sz w:val="22"/>
          <w:szCs w:val="22"/>
        </w:rPr>
        <w:t>Alectra Utilities</w:t>
      </w:r>
      <w:r w:rsidR="00893EBE">
        <w:rPr>
          <w:rFonts w:ascii="Arial" w:hAnsi="Arial" w:cs="Arial"/>
          <w:sz w:val="22"/>
          <w:szCs w:val="22"/>
        </w:rPr>
        <w:t xml:space="preserve"> rate zones</w:t>
      </w:r>
      <w:r w:rsidRPr="00CC3ACA">
        <w:rPr>
          <w:rFonts w:ascii="Arial" w:hAnsi="Arial" w:cs="Arial"/>
          <w:sz w:val="22"/>
          <w:szCs w:val="22"/>
        </w:rPr>
        <w:t xml:space="preserve"> </w:t>
      </w:r>
      <w:r w:rsidR="00893EBE">
        <w:rPr>
          <w:rFonts w:ascii="Arial" w:hAnsi="Arial" w:cs="Arial"/>
          <w:sz w:val="22"/>
          <w:szCs w:val="22"/>
        </w:rPr>
        <w:t>to determine</w:t>
      </w:r>
      <w:r w:rsidRPr="00CC3ACA">
        <w:rPr>
          <w:rFonts w:ascii="Arial" w:hAnsi="Arial" w:cs="Arial"/>
          <w:sz w:val="22"/>
          <w:szCs w:val="22"/>
        </w:rPr>
        <w:t xml:space="preserve"> the </w:t>
      </w:r>
      <w:r w:rsidR="006442B0">
        <w:rPr>
          <w:rFonts w:ascii="Arial" w:hAnsi="Arial" w:cs="Arial"/>
          <w:sz w:val="22"/>
          <w:szCs w:val="22"/>
        </w:rPr>
        <w:t xml:space="preserve">HRZ </w:t>
      </w:r>
      <w:r w:rsidR="00893EBE">
        <w:rPr>
          <w:rFonts w:ascii="Arial" w:hAnsi="Arial" w:cs="Arial"/>
          <w:sz w:val="22"/>
          <w:szCs w:val="22"/>
        </w:rPr>
        <w:t xml:space="preserve">ROE and thus the </w:t>
      </w:r>
      <w:r w:rsidR="006442B0">
        <w:rPr>
          <w:rFonts w:ascii="Arial" w:hAnsi="Arial" w:cs="Arial"/>
          <w:sz w:val="22"/>
          <w:szCs w:val="22"/>
        </w:rPr>
        <w:t>ESM</w:t>
      </w:r>
      <w:r w:rsidR="004E59A3">
        <w:rPr>
          <w:rFonts w:ascii="Arial" w:hAnsi="Arial" w:cs="Arial"/>
          <w:sz w:val="22"/>
          <w:szCs w:val="22"/>
        </w:rPr>
        <w:t xml:space="preserve"> for 2017; and </w:t>
      </w:r>
      <w:r w:rsidRPr="00CC3ACA">
        <w:rPr>
          <w:rFonts w:ascii="Arial" w:hAnsi="Arial" w:cs="Arial"/>
          <w:sz w:val="22"/>
          <w:szCs w:val="22"/>
        </w:rPr>
        <w:t>the interaction between the calculation and the change in capitalization policy</w:t>
      </w:r>
      <w:r w:rsidR="00893EBE">
        <w:rPr>
          <w:rFonts w:ascii="Arial" w:hAnsi="Arial" w:cs="Arial"/>
          <w:sz w:val="22"/>
          <w:szCs w:val="22"/>
        </w:rPr>
        <w:t>,</w:t>
      </w:r>
      <w:r>
        <w:rPr>
          <w:rFonts w:ascii="Arial" w:hAnsi="Arial" w:cs="Arial"/>
          <w:sz w:val="22"/>
          <w:szCs w:val="22"/>
        </w:rPr>
        <w:t xml:space="preserve"> should be deferred to the 2020 EDR Application proceeding</w:t>
      </w:r>
      <w:r w:rsidR="004E59A3">
        <w:rPr>
          <w:rFonts w:ascii="Arial" w:hAnsi="Arial" w:cs="Arial"/>
          <w:sz w:val="22"/>
          <w:szCs w:val="22"/>
        </w:rPr>
        <w:t xml:space="preserve">.  These items would </w:t>
      </w:r>
      <w:r>
        <w:rPr>
          <w:rFonts w:ascii="Arial" w:hAnsi="Arial" w:cs="Arial"/>
          <w:sz w:val="22"/>
          <w:szCs w:val="22"/>
        </w:rPr>
        <w:t xml:space="preserve">be heard at the same time as the Board considers </w:t>
      </w:r>
      <w:r w:rsidR="004E59A3" w:rsidRPr="00DE6757">
        <w:rPr>
          <w:rFonts w:ascii="Arial" w:eastAsia="Arial" w:hAnsi="Arial" w:cs="Arial"/>
          <w:spacing w:val="2"/>
          <w:sz w:val="22"/>
          <w:szCs w:val="22"/>
          <w:lang w:val="en-US"/>
        </w:rPr>
        <w:t>the balances and disposition of the deferral accounts related to the change in capitalization policy for each of the Bra</w:t>
      </w:r>
      <w:r w:rsidR="004E59A3">
        <w:rPr>
          <w:rFonts w:ascii="Arial" w:eastAsia="Arial" w:hAnsi="Arial" w:cs="Arial"/>
          <w:spacing w:val="2"/>
          <w:sz w:val="22"/>
          <w:szCs w:val="22"/>
          <w:lang w:val="en-US"/>
        </w:rPr>
        <w:t>mpton and Enersource rate zones.</w:t>
      </w:r>
      <w:r w:rsidR="00AF1D60">
        <w:rPr>
          <w:rFonts w:ascii="Arial" w:eastAsia="Arial" w:hAnsi="Arial" w:cs="Arial"/>
          <w:spacing w:val="2"/>
          <w:sz w:val="22"/>
          <w:szCs w:val="22"/>
          <w:lang w:val="en-US"/>
        </w:rPr>
        <w:t xml:space="preserve">  </w:t>
      </w:r>
      <w:r w:rsidR="00086447">
        <w:rPr>
          <w:rFonts w:ascii="Arial" w:eastAsia="Arial" w:hAnsi="Arial" w:cs="Arial"/>
          <w:spacing w:val="2"/>
          <w:sz w:val="22"/>
          <w:szCs w:val="22"/>
          <w:lang w:val="en-US"/>
        </w:rPr>
        <w:t>The P</w:t>
      </w:r>
      <w:r w:rsidR="00AF1D60" w:rsidRPr="00AF1D60">
        <w:rPr>
          <w:rFonts w:ascii="Arial" w:eastAsia="Arial" w:hAnsi="Arial" w:cs="Arial"/>
          <w:spacing w:val="2"/>
          <w:sz w:val="22"/>
          <w:szCs w:val="22"/>
          <w:lang w:val="en-US"/>
        </w:rPr>
        <w:t>arties believe their suggested approach will promote reg</w:t>
      </w:r>
      <w:r w:rsidR="00086447">
        <w:rPr>
          <w:rFonts w:ascii="Arial" w:eastAsia="Arial" w:hAnsi="Arial" w:cs="Arial"/>
          <w:spacing w:val="2"/>
          <w:sz w:val="22"/>
          <w:szCs w:val="22"/>
          <w:lang w:val="en-US"/>
        </w:rPr>
        <w:t>ulatory efficiency. The issues sh</w:t>
      </w:r>
      <w:r w:rsidR="00AF1D60" w:rsidRPr="00AF1D60">
        <w:rPr>
          <w:rFonts w:ascii="Arial" w:eastAsia="Arial" w:hAnsi="Arial" w:cs="Arial"/>
          <w:spacing w:val="2"/>
          <w:sz w:val="22"/>
          <w:szCs w:val="22"/>
          <w:lang w:val="en-US"/>
        </w:rPr>
        <w:t>ould be discussed and debated once, at the sam</w:t>
      </w:r>
      <w:r w:rsidR="00AF1D60">
        <w:rPr>
          <w:rFonts w:ascii="Arial" w:eastAsia="Arial" w:hAnsi="Arial" w:cs="Arial"/>
          <w:spacing w:val="2"/>
          <w:sz w:val="22"/>
          <w:szCs w:val="22"/>
          <w:lang w:val="en-US"/>
        </w:rPr>
        <w:t>e time, to the benefit of the B</w:t>
      </w:r>
      <w:r w:rsidR="00086447">
        <w:rPr>
          <w:rFonts w:ascii="Arial" w:eastAsia="Arial" w:hAnsi="Arial" w:cs="Arial"/>
          <w:spacing w:val="2"/>
          <w:sz w:val="22"/>
          <w:szCs w:val="22"/>
          <w:lang w:val="en-US"/>
        </w:rPr>
        <w:t>oard and the P</w:t>
      </w:r>
      <w:r w:rsidR="00AF1D60" w:rsidRPr="00AF1D60">
        <w:rPr>
          <w:rFonts w:ascii="Arial" w:eastAsia="Arial" w:hAnsi="Arial" w:cs="Arial"/>
          <w:spacing w:val="2"/>
          <w:sz w:val="22"/>
          <w:szCs w:val="22"/>
          <w:lang w:val="en-US"/>
        </w:rPr>
        <w:t xml:space="preserve">arties. </w:t>
      </w:r>
      <w:r w:rsidR="00AF1D60">
        <w:rPr>
          <w:rFonts w:ascii="Arial" w:eastAsia="Arial" w:hAnsi="Arial" w:cs="Arial"/>
          <w:spacing w:val="2"/>
          <w:sz w:val="22"/>
          <w:szCs w:val="22"/>
          <w:lang w:val="en-US"/>
        </w:rPr>
        <w:t xml:space="preserve"> </w:t>
      </w:r>
      <w:r w:rsidR="00893EBE">
        <w:rPr>
          <w:rFonts w:ascii="Arial" w:eastAsia="Arial" w:hAnsi="Arial" w:cs="Arial"/>
          <w:spacing w:val="2"/>
          <w:sz w:val="22"/>
          <w:szCs w:val="22"/>
          <w:lang w:val="en-US"/>
        </w:rPr>
        <w:t>In addition, while the 2017 and 2018 ESM would be dealt with in the same proceeding, they would be dealt with as separate calculations, but the process would still achieve some regulatory efficiency by allowing the Parties and the Board to deal with the cost allocation issues, many of which will be common from year to year, all at once.</w:t>
      </w:r>
    </w:p>
    <w:p w:rsidR="00AF1D60" w:rsidDel="00F63F52" w:rsidRDefault="00AF1D60" w:rsidP="00AF1D60">
      <w:pPr>
        <w:tabs>
          <w:tab w:val="left" w:pos="720"/>
        </w:tabs>
        <w:spacing w:before="32" w:line="276" w:lineRule="auto"/>
        <w:ind w:right="-20"/>
        <w:rPr>
          <w:rFonts w:ascii="Arial" w:hAnsi="Arial" w:cs="Arial"/>
          <w:sz w:val="22"/>
          <w:szCs w:val="22"/>
        </w:rPr>
      </w:pPr>
    </w:p>
    <w:p w:rsidR="00F65839" w:rsidRPr="00CC3ACA" w:rsidRDefault="00F65839" w:rsidP="00AF1D60">
      <w:pPr>
        <w:pStyle w:val="BodyText"/>
        <w:spacing w:line="276" w:lineRule="auto"/>
        <w:rPr>
          <w:rFonts w:ascii="Arial" w:hAnsi="Arial" w:cs="Arial"/>
          <w:sz w:val="22"/>
          <w:szCs w:val="22"/>
        </w:rPr>
      </w:pPr>
      <w:r w:rsidRPr="00CC3ACA">
        <w:rPr>
          <w:rFonts w:ascii="Arial" w:hAnsi="Arial" w:cs="Arial"/>
          <w:sz w:val="22"/>
          <w:szCs w:val="22"/>
        </w:rPr>
        <w:t>This document is called a “Settlement Proposal” because it is a proposal by the Parties t</w:t>
      </w:r>
      <w:r w:rsidR="006442B0">
        <w:rPr>
          <w:rFonts w:ascii="Arial" w:hAnsi="Arial" w:cs="Arial"/>
          <w:sz w:val="22"/>
          <w:szCs w:val="22"/>
        </w:rPr>
        <w:t>o the Board to settle the issue</w:t>
      </w:r>
      <w:r w:rsidR="004E59A3">
        <w:rPr>
          <w:rFonts w:ascii="Arial" w:hAnsi="Arial" w:cs="Arial"/>
          <w:sz w:val="22"/>
          <w:szCs w:val="22"/>
        </w:rPr>
        <w:t xml:space="preserve"> identified above</w:t>
      </w:r>
      <w:r w:rsidRPr="00CC3ACA">
        <w:rPr>
          <w:rFonts w:ascii="Arial" w:hAnsi="Arial" w:cs="Arial"/>
          <w:sz w:val="22"/>
          <w:szCs w:val="22"/>
        </w:rPr>
        <w:t xml:space="preserve">.  It is termed a proposal as between the Parties and the Board.  However, as between the Parties, and subject only to the Board’s approval of this Settlement Proposal, this document is intended to be a legal agreement, creating mutual obligations, and binding and enforceable in accordance with its terms.  </w:t>
      </w:r>
      <w:r w:rsidR="004E59A3">
        <w:rPr>
          <w:rFonts w:ascii="Arial" w:hAnsi="Arial" w:cs="Arial"/>
          <w:sz w:val="22"/>
          <w:szCs w:val="22"/>
        </w:rPr>
        <w:t>T</w:t>
      </w:r>
      <w:r w:rsidRPr="00CC3ACA">
        <w:rPr>
          <w:rFonts w:ascii="Arial" w:hAnsi="Arial" w:cs="Arial"/>
          <w:sz w:val="22"/>
          <w:szCs w:val="22"/>
        </w:rPr>
        <w:t>his agreement is subject to a condition subsequent, that if it is not accepted by the Board in its entirety, then unless amended by the Parties it is null and void and of no further effect.  In entering into this agreement, the Parties understand and agree that, pursuant to the Act, the Board has exclusive jurisdiction with respect to the interpretation and enforcement of the terms hereof.</w:t>
      </w:r>
    </w:p>
    <w:p w:rsidR="004E59A3" w:rsidRDefault="00F65839" w:rsidP="00AF1D60">
      <w:pPr>
        <w:pStyle w:val="BodyText"/>
        <w:spacing w:line="276" w:lineRule="auto"/>
        <w:rPr>
          <w:rFonts w:ascii="Arial" w:hAnsi="Arial" w:cs="Arial"/>
          <w:sz w:val="22"/>
          <w:szCs w:val="22"/>
          <w:lang w:val="en-US"/>
        </w:rPr>
      </w:pPr>
      <w:r w:rsidRPr="00CC3ACA">
        <w:rPr>
          <w:rFonts w:ascii="Arial" w:hAnsi="Arial" w:cs="Arial"/>
          <w:sz w:val="22"/>
          <w:szCs w:val="22"/>
          <w:lang w:val="en-US"/>
        </w:rPr>
        <w:t>The Parties acknowledge</w:t>
      </w:r>
      <w:r w:rsidR="004E59A3">
        <w:rPr>
          <w:rFonts w:ascii="Arial" w:hAnsi="Arial" w:cs="Arial"/>
          <w:sz w:val="22"/>
          <w:szCs w:val="22"/>
          <w:lang w:val="en-US"/>
        </w:rPr>
        <w:t xml:space="preserve"> that the settlement conference</w:t>
      </w:r>
      <w:r w:rsidRPr="00CC3ACA">
        <w:rPr>
          <w:rFonts w:ascii="Arial" w:hAnsi="Arial" w:cs="Arial"/>
          <w:sz w:val="22"/>
          <w:szCs w:val="22"/>
          <w:lang w:val="en-US"/>
        </w:rPr>
        <w:t xml:space="preserve"> is confidential in accordance with the Practice Direction</w:t>
      </w:r>
      <w:r w:rsidR="006442B0">
        <w:rPr>
          <w:rFonts w:ascii="Arial" w:hAnsi="Arial" w:cs="Arial"/>
          <w:sz w:val="22"/>
          <w:szCs w:val="22"/>
          <w:lang w:val="en-US"/>
        </w:rPr>
        <w:t xml:space="preserve"> on Settlement Conferences</w:t>
      </w:r>
      <w:r w:rsidRPr="00CC3ACA">
        <w:rPr>
          <w:rFonts w:ascii="Arial" w:hAnsi="Arial" w:cs="Arial"/>
          <w:sz w:val="22"/>
          <w:szCs w:val="22"/>
          <w:lang w:val="en-US"/>
        </w:rPr>
        <w:t xml:space="preserve">. The Parties understand that confidentiality in that context does not have the same meaning as confidentiality in the Board’s Practice Direction on Confidential Filings, and the rules of that latter document do not apply. Instead, in this settlement conference, and in this Agreement, the Parties have interpreted “confidential” to mean that the </w:t>
      </w:r>
      <w:r w:rsidR="004E59A3">
        <w:rPr>
          <w:rFonts w:ascii="Arial" w:hAnsi="Arial" w:cs="Arial"/>
          <w:sz w:val="22"/>
          <w:szCs w:val="22"/>
          <w:lang w:val="en-US"/>
        </w:rPr>
        <w:t xml:space="preserve">information </w:t>
      </w:r>
      <w:r w:rsidRPr="00CC3ACA">
        <w:rPr>
          <w:rFonts w:ascii="Arial" w:hAnsi="Arial" w:cs="Arial"/>
          <w:sz w:val="22"/>
          <w:szCs w:val="22"/>
          <w:lang w:val="en-US"/>
        </w:rPr>
        <w:t xml:space="preserve">provided during the course of the settlement </w:t>
      </w:r>
      <w:r w:rsidR="004E59A3">
        <w:rPr>
          <w:rFonts w:ascii="Arial" w:hAnsi="Arial" w:cs="Arial"/>
          <w:sz w:val="22"/>
          <w:szCs w:val="22"/>
          <w:lang w:val="en-US"/>
        </w:rPr>
        <w:t>conference</w:t>
      </w:r>
      <w:r w:rsidRPr="00CC3ACA">
        <w:rPr>
          <w:rFonts w:ascii="Arial" w:hAnsi="Arial" w:cs="Arial"/>
          <w:sz w:val="22"/>
          <w:szCs w:val="22"/>
          <w:lang w:val="en-US"/>
        </w:rPr>
        <w:t>,</w:t>
      </w:r>
      <w:r w:rsidR="004E59A3">
        <w:rPr>
          <w:rFonts w:ascii="Arial" w:hAnsi="Arial" w:cs="Arial"/>
          <w:sz w:val="22"/>
          <w:szCs w:val="22"/>
          <w:lang w:val="en-US"/>
        </w:rPr>
        <w:t xml:space="preserve"> </w:t>
      </w:r>
      <w:r w:rsidRPr="00CC3ACA">
        <w:rPr>
          <w:rFonts w:ascii="Arial" w:hAnsi="Arial" w:cs="Arial"/>
          <w:sz w:val="22"/>
          <w:szCs w:val="22"/>
          <w:lang w:val="en-US"/>
        </w:rPr>
        <w:t xml:space="preserve">are strictly privileged and without prejudice. </w:t>
      </w:r>
    </w:p>
    <w:p w:rsidR="00F65839" w:rsidRPr="00CC3ACA" w:rsidRDefault="00317113" w:rsidP="00AF1D60">
      <w:pPr>
        <w:pStyle w:val="BodyText"/>
        <w:spacing w:line="276" w:lineRule="auto"/>
        <w:rPr>
          <w:rFonts w:ascii="Arial" w:hAnsi="Arial" w:cs="Arial"/>
          <w:sz w:val="22"/>
          <w:szCs w:val="22"/>
        </w:rPr>
      </w:pPr>
      <w:r>
        <w:rPr>
          <w:rFonts w:ascii="Arial" w:hAnsi="Arial" w:cs="Arial"/>
          <w:sz w:val="22"/>
          <w:szCs w:val="22"/>
        </w:rPr>
        <w:t>B</w:t>
      </w:r>
      <w:r w:rsidR="004E59A3">
        <w:rPr>
          <w:rFonts w:ascii="Arial" w:hAnsi="Arial" w:cs="Arial"/>
          <w:sz w:val="22"/>
          <w:szCs w:val="22"/>
        </w:rPr>
        <w:t xml:space="preserve">ased on the foregoing, </w:t>
      </w:r>
      <w:r w:rsidR="00F65839" w:rsidRPr="00CC3ACA">
        <w:rPr>
          <w:rFonts w:ascii="Arial" w:hAnsi="Arial" w:cs="Arial"/>
          <w:sz w:val="22"/>
          <w:szCs w:val="22"/>
        </w:rPr>
        <w:t xml:space="preserve">the Parties agree that this Settlement Proposal is appropriate and recommend its acceptance by the Board. </w:t>
      </w:r>
    </w:p>
    <w:p w:rsidR="00E65E4B" w:rsidRPr="00CC3ACA" w:rsidRDefault="00E65E4B">
      <w:pPr>
        <w:rPr>
          <w:rFonts w:ascii="Arial" w:hAnsi="Arial" w:cs="Arial"/>
          <w:sz w:val="22"/>
          <w:szCs w:val="22"/>
        </w:rPr>
      </w:pPr>
    </w:p>
    <w:sectPr w:rsidR="00E65E4B" w:rsidRPr="00CC3AC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D62" w:rsidRDefault="004C6D62">
      <w:r>
        <w:separator/>
      </w:r>
    </w:p>
  </w:endnote>
  <w:endnote w:type="continuationSeparator" w:id="0">
    <w:p w:rsidR="004C6D62" w:rsidRDefault="004C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395890"/>
      <w:docPartObj>
        <w:docPartGallery w:val="Page Numbers (Bottom of Page)"/>
        <w:docPartUnique/>
      </w:docPartObj>
    </w:sdtPr>
    <w:sdtEndPr>
      <w:rPr>
        <w:noProof/>
      </w:rPr>
    </w:sdtEndPr>
    <w:sdtContent>
      <w:p w:rsidR="003C67B1" w:rsidRDefault="00F65839">
        <w:pPr>
          <w:pStyle w:val="Footer"/>
          <w:jc w:val="center"/>
        </w:pPr>
        <w:r>
          <w:fldChar w:fldCharType="begin"/>
        </w:r>
        <w:r>
          <w:instrText xml:space="preserve"> PAGE   \* MERGEFORMAT </w:instrText>
        </w:r>
        <w:r>
          <w:fldChar w:fldCharType="separate"/>
        </w:r>
        <w:r w:rsidR="002C53C8">
          <w:rPr>
            <w:noProof/>
          </w:rPr>
          <w:t>3</w:t>
        </w:r>
        <w:r>
          <w:rPr>
            <w:noProof/>
          </w:rPr>
          <w:fldChar w:fldCharType="end"/>
        </w:r>
      </w:p>
    </w:sdtContent>
  </w:sdt>
  <w:p w:rsidR="003C67B1" w:rsidRDefault="004C6D62">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D62" w:rsidRDefault="004C6D62">
      <w:r>
        <w:separator/>
      </w:r>
    </w:p>
  </w:footnote>
  <w:footnote w:type="continuationSeparator" w:id="0">
    <w:p w:rsidR="004C6D62" w:rsidRDefault="004C6D62">
      <w:r>
        <w:continuationSeparator/>
      </w:r>
    </w:p>
  </w:footnote>
  <w:footnote w:id="1">
    <w:p w:rsidR="00B0490B" w:rsidRPr="008C2D6D" w:rsidRDefault="00B0490B" w:rsidP="00B0490B">
      <w:pPr>
        <w:pStyle w:val="FootnoteText"/>
        <w:rPr>
          <w:lang w:val="en-US"/>
        </w:rPr>
      </w:pPr>
      <w:r>
        <w:rPr>
          <w:rStyle w:val="FootnoteReference"/>
        </w:rPr>
        <w:footnoteRef/>
      </w:r>
      <w:r>
        <w:t xml:space="preserve"> </w:t>
      </w:r>
      <w:r>
        <w:rPr>
          <w:lang w:val="en-US"/>
        </w:rPr>
        <w:t>EB-2018-0016 – Decision on Confidentiality and Procedural Order No. 3, dated November 8, 2018, p.2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7B1" w:rsidRPr="000F171D" w:rsidRDefault="00F65839" w:rsidP="000F171D">
    <w:pPr>
      <w:pStyle w:val="Header"/>
      <w:jc w:val="right"/>
      <w:rPr>
        <w:sz w:val="20"/>
      </w:rPr>
    </w:pPr>
    <w:r>
      <w:rPr>
        <w:sz w:val="20"/>
      </w:rPr>
      <w:t>PUC Distribution Inc.</w:t>
    </w:r>
  </w:p>
  <w:p w:rsidR="003C67B1" w:rsidRPr="000F171D" w:rsidRDefault="00F65839" w:rsidP="000F171D">
    <w:pPr>
      <w:pStyle w:val="Header"/>
      <w:jc w:val="right"/>
      <w:rPr>
        <w:sz w:val="20"/>
      </w:rPr>
    </w:pPr>
    <w:r>
      <w:rPr>
        <w:sz w:val="20"/>
      </w:rPr>
      <w:t>EB-2017-0071</w:t>
    </w:r>
  </w:p>
  <w:p w:rsidR="003C67B1" w:rsidRPr="000F171D" w:rsidRDefault="00F65839" w:rsidP="000F171D">
    <w:pPr>
      <w:pStyle w:val="Header"/>
      <w:jc w:val="right"/>
      <w:rPr>
        <w:sz w:val="16"/>
        <w:szCs w:val="16"/>
      </w:rPr>
    </w:pPr>
    <w:r w:rsidRPr="000F171D">
      <w:rPr>
        <w:sz w:val="20"/>
      </w:rPr>
      <w:t>Settlement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39"/>
    <w:rsid w:val="00007765"/>
    <w:rsid w:val="00086447"/>
    <w:rsid w:val="000D22D9"/>
    <w:rsid w:val="00196426"/>
    <w:rsid w:val="002C53C8"/>
    <w:rsid w:val="00317113"/>
    <w:rsid w:val="004C6D62"/>
    <w:rsid w:val="004E59A3"/>
    <w:rsid w:val="005177AC"/>
    <w:rsid w:val="00517F5D"/>
    <w:rsid w:val="00590E42"/>
    <w:rsid w:val="00621772"/>
    <w:rsid w:val="006442B0"/>
    <w:rsid w:val="007E2FDF"/>
    <w:rsid w:val="00893EBE"/>
    <w:rsid w:val="008C2D6D"/>
    <w:rsid w:val="008E038D"/>
    <w:rsid w:val="00996A23"/>
    <w:rsid w:val="00A47FCD"/>
    <w:rsid w:val="00A70DBA"/>
    <w:rsid w:val="00A761A6"/>
    <w:rsid w:val="00A84B6C"/>
    <w:rsid w:val="00AC272E"/>
    <w:rsid w:val="00AF1D60"/>
    <w:rsid w:val="00B0490B"/>
    <w:rsid w:val="00C10D74"/>
    <w:rsid w:val="00C5235F"/>
    <w:rsid w:val="00CC3ACA"/>
    <w:rsid w:val="00DE6757"/>
    <w:rsid w:val="00E65E4B"/>
    <w:rsid w:val="00F63F52"/>
    <w:rsid w:val="00F658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3570"/>
  <w15:docId w15:val="{4BC120C3-0031-4F2E-B6A5-AAF3FEB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839"/>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6583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F65839"/>
    <w:pPr>
      <w:spacing w:after="240"/>
    </w:pPr>
  </w:style>
  <w:style w:type="character" w:customStyle="1" w:styleId="BodyTextChar">
    <w:name w:val="Body Text Char"/>
    <w:aliases w:val="BT Char"/>
    <w:basedOn w:val="DefaultParagraphFont"/>
    <w:link w:val="BodyText"/>
    <w:rsid w:val="00F65839"/>
    <w:rPr>
      <w:rFonts w:ascii="Times New Roman" w:eastAsia="Times New Roman" w:hAnsi="Times New Roman" w:cs="Times New Roman"/>
      <w:sz w:val="24"/>
      <w:szCs w:val="24"/>
    </w:rPr>
  </w:style>
  <w:style w:type="paragraph" w:styleId="Header">
    <w:name w:val="header"/>
    <w:basedOn w:val="Normal"/>
    <w:link w:val="HeaderChar"/>
    <w:rsid w:val="00F65839"/>
    <w:pPr>
      <w:tabs>
        <w:tab w:val="center" w:pos="4680"/>
        <w:tab w:val="right" w:pos="9360"/>
      </w:tabs>
    </w:pPr>
  </w:style>
  <w:style w:type="character" w:customStyle="1" w:styleId="HeaderChar">
    <w:name w:val="Header Char"/>
    <w:basedOn w:val="DefaultParagraphFont"/>
    <w:link w:val="Header"/>
    <w:rsid w:val="00F65839"/>
    <w:rPr>
      <w:rFonts w:ascii="Times New Roman" w:eastAsia="Times New Roman" w:hAnsi="Times New Roman" w:cs="Times New Roman"/>
      <w:sz w:val="24"/>
      <w:szCs w:val="24"/>
    </w:rPr>
  </w:style>
  <w:style w:type="paragraph" w:styleId="Footer">
    <w:name w:val="footer"/>
    <w:basedOn w:val="Normal"/>
    <w:link w:val="FooterChar"/>
    <w:uiPriority w:val="99"/>
    <w:rsid w:val="00F65839"/>
    <w:pPr>
      <w:tabs>
        <w:tab w:val="center" w:pos="4680"/>
        <w:tab w:val="right" w:pos="9360"/>
      </w:tabs>
    </w:pPr>
  </w:style>
  <w:style w:type="character" w:customStyle="1" w:styleId="FooterChar">
    <w:name w:val="Footer Char"/>
    <w:basedOn w:val="DefaultParagraphFont"/>
    <w:link w:val="Footer"/>
    <w:uiPriority w:val="99"/>
    <w:rsid w:val="00F65839"/>
    <w:rPr>
      <w:rFonts w:ascii="Times New Roman" w:eastAsia="Times New Roman" w:hAnsi="Times New Roman" w:cs="Times New Roman"/>
      <w:sz w:val="24"/>
      <w:szCs w:val="24"/>
    </w:rPr>
  </w:style>
  <w:style w:type="paragraph" w:styleId="TOC1">
    <w:name w:val="toc 1"/>
    <w:basedOn w:val="Normal"/>
    <w:next w:val="Normal"/>
    <w:autoRedefine/>
    <w:uiPriority w:val="39"/>
    <w:qFormat/>
    <w:rsid w:val="00F65839"/>
    <w:pPr>
      <w:tabs>
        <w:tab w:val="left" w:pos="-540"/>
        <w:tab w:val="right" w:leader="dot" w:pos="9350"/>
      </w:tabs>
      <w:jc w:val="left"/>
    </w:pPr>
    <w:rPr>
      <w:rFonts w:asciiTheme="majorHAnsi" w:hAnsiTheme="majorHAnsi"/>
      <w:b/>
      <w:bCs/>
      <w:caps/>
    </w:rPr>
  </w:style>
  <w:style w:type="paragraph" w:styleId="TOC2">
    <w:name w:val="toc 2"/>
    <w:basedOn w:val="Normal"/>
    <w:next w:val="Normal"/>
    <w:autoRedefine/>
    <w:uiPriority w:val="39"/>
    <w:qFormat/>
    <w:rsid w:val="00F65839"/>
    <w:pPr>
      <w:tabs>
        <w:tab w:val="left" w:pos="-540"/>
      </w:tabs>
      <w:jc w:val="left"/>
    </w:pPr>
    <w:rPr>
      <w:rFonts w:asciiTheme="minorHAnsi" w:hAnsiTheme="minorHAnsi" w:cstheme="minorHAnsi"/>
      <w:b/>
      <w:bCs/>
      <w:noProof/>
    </w:rPr>
  </w:style>
  <w:style w:type="character" w:styleId="Hyperlink">
    <w:name w:val="Hyperlink"/>
    <w:basedOn w:val="DefaultParagraphFont"/>
    <w:uiPriority w:val="99"/>
    <w:unhideWhenUsed/>
    <w:rsid w:val="00F65839"/>
    <w:rPr>
      <w:color w:val="0000FF" w:themeColor="hyperlink"/>
      <w:u w:val="single"/>
    </w:rPr>
  </w:style>
  <w:style w:type="character" w:customStyle="1" w:styleId="Heading1Char">
    <w:name w:val="Heading 1 Char"/>
    <w:basedOn w:val="DefaultParagraphFont"/>
    <w:link w:val="Heading1"/>
    <w:uiPriority w:val="9"/>
    <w:rsid w:val="00F6583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65839"/>
    <w:pPr>
      <w:spacing w:before="480" w:line="276" w:lineRule="auto"/>
      <w:jc w:val="left"/>
      <w:outlineLvl w:val="9"/>
    </w:pPr>
    <w:rPr>
      <w:b/>
      <w:bCs/>
      <w:sz w:val="28"/>
      <w:szCs w:val="28"/>
      <w:lang w:val="en-US" w:eastAsia="ja-JP"/>
    </w:rPr>
  </w:style>
  <w:style w:type="character" w:styleId="Strong">
    <w:name w:val="Strong"/>
    <w:basedOn w:val="DefaultParagraphFont"/>
    <w:qFormat/>
    <w:rsid w:val="00F65839"/>
    <w:rPr>
      <w:b/>
      <w:bCs/>
    </w:rPr>
  </w:style>
  <w:style w:type="paragraph" w:styleId="FootnoteText">
    <w:name w:val="footnote text"/>
    <w:basedOn w:val="Normal"/>
    <w:link w:val="FootnoteTextChar"/>
    <w:uiPriority w:val="99"/>
    <w:semiHidden/>
    <w:unhideWhenUsed/>
    <w:rsid w:val="008C2D6D"/>
    <w:rPr>
      <w:sz w:val="20"/>
      <w:szCs w:val="20"/>
    </w:rPr>
  </w:style>
  <w:style w:type="character" w:customStyle="1" w:styleId="FootnoteTextChar">
    <w:name w:val="Footnote Text Char"/>
    <w:basedOn w:val="DefaultParagraphFont"/>
    <w:link w:val="FootnoteText"/>
    <w:uiPriority w:val="99"/>
    <w:semiHidden/>
    <w:rsid w:val="008C2D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C2D6D"/>
    <w:rPr>
      <w:vertAlign w:val="superscript"/>
    </w:rPr>
  </w:style>
  <w:style w:type="paragraph" w:customStyle="1" w:styleId="Quote1">
    <w:name w:val="Quote 1&quot;"/>
    <w:basedOn w:val="Normal"/>
    <w:next w:val="BodyText"/>
    <w:rsid w:val="004E59A3"/>
    <w:pPr>
      <w:spacing w:after="240"/>
      <w:ind w:left="1440" w:right="1440"/>
      <w:jc w:val="left"/>
    </w:pPr>
    <w:rPr>
      <w:szCs w:val="20"/>
      <w:lang w:val="en-US"/>
    </w:rPr>
  </w:style>
  <w:style w:type="paragraph" w:styleId="BalloonText">
    <w:name w:val="Balloon Text"/>
    <w:basedOn w:val="Normal"/>
    <w:link w:val="BalloonTextChar"/>
    <w:uiPriority w:val="99"/>
    <w:semiHidden/>
    <w:unhideWhenUsed/>
    <w:rsid w:val="00F63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F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6E86B-550E-4BD9-882B-39383F5E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PowerStream</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Price</dc:creator>
  <cp:lastModifiedBy>Alison Price</cp:lastModifiedBy>
  <cp:revision>3</cp:revision>
  <cp:lastPrinted>2018-12-06T13:34:00Z</cp:lastPrinted>
  <dcterms:created xsi:type="dcterms:W3CDTF">2018-12-06T13:34:00Z</dcterms:created>
  <dcterms:modified xsi:type="dcterms:W3CDTF">2018-12-06T13:42:00Z</dcterms:modified>
</cp:coreProperties>
</file>