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080" w:rsidRPr="00394351" w:rsidRDefault="00941CC2" w:rsidP="00D0773D">
      <w:pPr>
        <w:jc w:val="center"/>
        <w:rPr>
          <w:rFonts w:ascii="Arial" w:hAnsi="Arial" w:cs="Arial"/>
          <w:b/>
          <w:sz w:val="28"/>
          <w:szCs w:val="28"/>
        </w:rPr>
      </w:pPr>
      <w:r>
        <w:rPr>
          <w:rFonts w:ascii="Arial" w:hAnsi="Arial" w:cs="Arial"/>
          <w:b/>
          <w:sz w:val="28"/>
          <w:szCs w:val="28"/>
        </w:rPr>
        <w:t>N</w:t>
      </w:r>
      <w:r w:rsidR="000923CB">
        <w:rPr>
          <w:rFonts w:ascii="Arial" w:hAnsi="Arial" w:cs="Arial"/>
          <w:b/>
          <w:sz w:val="28"/>
          <w:szCs w:val="28"/>
        </w:rPr>
        <w:t>orthern Ontario Wires</w:t>
      </w:r>
      <w:r>
        <w:rPr>
          <w:rFonts w:ascii="Arial" w:hAnsi="Arial" w:cs="Arial"/>
          <w:b/>
          <w:sz w:val="28"/>
          <w:szCs w:val="28"/>
        </w:rPr>
        <w:t xml:space="preserve"> Inc.</w:t>
      </w:r>
      <w:r w:rsidR="00B56997">
        <w:rPr>
          <w:rFonts w:ascii="Arial" w:hAnsi="Arial" w:cs="Arial"/>
          <w:b/>
          <w:sz w:val="28"/>
          <w:szCs w:val="28"/>
        </w:rPr>
        <w:t xml:space="preserve"> </w:t>
      </w:r>
      <w:r w:rsidR="000923CB">
        <w:rPr>
          <w:rFonts w:ascii="Arial" w:hAnsi="Arial" w:cs="Arial"/>
          <w:b/>
          <w:sz w:val="28"/>
          <w:szCs w:val="28"/>
        </w:rPr>
        <w:t>(Northern Ontario Wires)</w:t>
      </w:r>
    </w:p>
    <w:p w:rsidR="002F218C" w:rsidRPr="002F218C" w:rsidRDefault="00866E79" w:rsidP="00394351">
      <w:pPr>
        <w:jc w:val="center"/>
        <w:rPr>
          <w:rFonts w:ascii="Arial" w:hAnsi="Arial" w:cs="Arial"/>
          <w:b/>
          <w:sz w:val="24"/>
          <w:szCs w:val="24"/>
        </w:rPr>
      </w:pPr>
      <w:r>
        <w:rPr>
          <w:rFonts w:ascii="Arial" w:hAnsi="Arial" w:cs="Arial"/>
          <w:b/>
          <w:sz w:val="24"/>
          <w:szCs w:val="24"/>
        </w:rPr>
        <w:t>2019</w:t>
      </w:r>
      <w:r w:rsidR="0021184B" w:rsidRPr="002F218C">
        <w:rPr>
          <w:rFonts w:ascii="Arial" w:hAnsi="Arial" w:cs="Arial"/>
          <w:b/>
          <w:sz w:val="24"/>
          <w:szCs w:val="24"/>
        </w:rPr>
        <w:t xml:space="preserve"> </w:t>
      </w:r>
      <w:r w:rsidR="00D80EDE" w:rsidRPr="002F218C">
        <w:rPr>
          <w:rFonts w:ascii="Arial" w:hAnsi="Arial" w:cs="Arial"/>
          <w:b/>
          <w:sz w:val="24"/>
          <w:szCs w:val="24"/>
        </w:rPr>
        <w:t>IRM</w:t>
      </w:r>
      <w:r w:rsidR="002F218C" w:rsidRPr="002F218C">
        <w:rPr>
          <w:rFonts w:ascii="Arial" w:hAnsi="Arial" w:cs="Arial"/>
          <w:b/>
          <w:sz w:val="24"/>
          <w:szCs w:val="24"/>
        </w:rPr>
        <w:t xml:space="preserve"> Application</w:t>
      </w:r>
    </w:p>
    <w:p w:rsidR="00394351" w:rsidRPr="002F218C" w:rsidRDefault="00D0773D" w:rsidP="00394351">
      <w:pPr>
        <w:jc w:val="center"/>
        <w:rPr>
          <w:rFonts w:ascii="Arial" w:hAnsi="Arial" w:cs="Arial"/>
          <w:b/>
          <w:sz w:val="24"/>
          <w:szCs w:val="24"/>
        </w:rPr>
      </w:pPr>
      <w:r w:rsidRPr="002F218C">
        <w:rPr>
          <w:rFonts w:ascii="Arial" w:hAnsi="Arial" w:cs="Arial"/>
          <w:b/>
          <w:sz w:val="24"/>
          <w:szCs w:val="24"/>
        </w:rPr>
        <w:t>EB-201</w:t>
      </w:r>
      <w:r w:rsidR="00866E79">
        <w:rPr>
          <w:rFonts w:ascii="Arial" w:hAnsi="Arial" w:cs="Arial"/>
          <w:b/>
          <w:sz w:val="24"/>
          <w:szCs w:val="24"/>
        </w:rPr>
        <w:t>8-00</w:t>
      </w:r>
      <w:r w:rsidR="00941CC2">
        <w:rPr>
          <w:rFonts w:ascii="Arial" w:hAnsi="Arial" w:cs="Arial"/>
          <w:b/>
          <w:sz w:val="24"/>
          <w:szCs w:val="24"/>
        </w:rPr>
        <w:t>5</w:t>
      </w:r>
      <w:r w:rsidR="000923CB">
        <w:rPr>
          <w:rFonts w:ascii="Arial" w:hAnsi="Arial" w:cs="Arial"/>
          <w:b/>
          <w:sz w:val="24"/>
          <w:szCs w:val="24"/>
        </w:rPr>
        <w:t>8</w:t>
      </w:r>
      <w:r w:rsidR="00B20109" w:rsidRPr="002F218C">
        <w:rPr>
          <w:rFonts w:ascii="Arial" w:hAnsi="Arial" w:cs="Arial"/>
          <w:b/>
          <w:sz w:val="24"/>
          <w:szCs w:val="24"/>
        </w:rPr>
        <w:t xml:space="preserve">                                                                                                                                                                                                                                                                                                          </w:t>
      </w:r>
      <w:r w:rsidR="002F218C" w:rsidRPr="002F218C">
        <w:rPr>
          <w:rFonts w:ascii="Arial" w:hAnsi="Arial" w:cs="Arial"/>
          <w:b/>
          <w:sz w:val="24"/>
          <w:szCs w:val="24"/>
        </w:rPr>
        <w:t xml:space="preserve">                           </w:t>
      </w:r>
    </w:p>
    <w:p w:rsidR="00304228" w:rsidRPr="002F218C" w:rsidRDefault="002F218C" w:rsidP="00CC447E">
      <w:pPr>
        <w:jc w:val="center"/>
        <w:rPr>
          <w:rFonts w:ascii="Arial" w:hAnsi="Arial" w:cs="Arial"/>
          <w:b/>
          <w:sz w:val="24"/>
          <w:szCs w:val="24"/>
        </w:rPr>
      </w:pPr>
      <w:r w:rsidRPr="002F218C">
        <w:rPr>
          <w:rFonts w:ascii="Arial" w:hAnsi="Arial" w:cs="Arial"/>
          <w:b/>
          <w:sz w:val="24"/>
          <w:szCs w:val="24"/>
        </w:rPr>
        <w:t>Application Analysis</w:t>
      </w:r>
    </w:p>
    <w:p w:rsidR="00E6651E" w:rsidRPr="002F218C" w:rsidRDefault="00985074" w:rsidP="00304228">
      <w:pPr>
        <w:jc w:val="center"/>
        <w:rPr>
          <w:rFonts w:ascii="Arial" w:hAnsi="Arial" w:cs="Arial"/>
          <w:b/>
          <w:sz w:val="24"/>
          <w:szCs w:val="24"/>
        </w:rPr>
      </w:pPr>
      <w:r>
        <w:rPr>
          <w:rFonts w:ascii="Arial" w:hAnsi="Arial" w:cs="Arial"/>
          <w:b/>
          <w:sz w:val="24"/>
          <w:szCs w:val="24"/>
        </w:rPr>
        <w:t>November</w:t>
      </w:r>
      <w:r w:rsidR="001D5347">
        <w:rPr>
          <w:rFonts w:ascii="Arial" w:hAnsi="Arial" w:cs="Arial"/>
          <w:b/>
          <w:sz w:val="24"/>
          <w:szCs w:val="24"/>
        </w:rPr>
        <w:t xml:space="preserve"> </w:t>
      </w:r>
      <w:r w:rsidR="00AE2DE6">
        <w:rPr>
          <w:rFonts w:ascii="Arial" w:hAnsi="Arial" w:cs="Arial"/>
          <w:b/>
          <w:sz w:val="24"/>
          <w:szCs w:val="24"/>
        </w:rPr>
        <w:t>26</w:t>
      </w:r>
      <w:r w:rsidR="00450CB6">
        <w:rPr>
          <w:rFonts w:ascii="Arial" w:hAnsi="Arial" w:cs="Arial"/>
          <w:b/>
          <w:sz w:val="24"/>
          <w:szCs w:val="24"/>
        </w:rPr>
        <w:t>, 2018</w:t>
      </w:r>
    </w:p>
    <w:p w:rsidR="00450CB6" w:rsidRDefault="00450CB6" w:rsidP="00A668A7">
      <w:pPr>
        <w:spacing w:after="0" w:line="240" w:lineRule="auto"/>
        <w:rPr>
          <w:rFonts w:ascii="Arial" w:hAnsi="Arial" w:cs="Arial"/>
          <w:b/>
          <w:sz w:val="24"/>
          <w:szCs w:val="24"/>
        </w:rPr>
      </w:pPr>
    </w:p>
    <w:p w:rsidR="00962E45" w:rsidRDefault="00962E45" w:rsidP="00A668A7">
      <w:pPr>
        <w:spacing w:after="0" w:line="240" w:lineRule="auto"/>
        <w:rPr>
          <w:rFonts w:ascii="Arial" w:hAnsi="Arial" w:cs="Arial"/>
          <w:b/>
          <w:sz w:val="24"/>
          <w:szCs w:val="24"/>
        </w:rPr>
      </w:pPr>
      <w:r>
        <w:rPr>
          <w:rFonts w:ascii="Arial" w:hAnsi="Arial" w:cs="Arial"/>
          <w:b/>
          <w:sz w:val="24"/>
          <w:szCs w:val="24"/>
        </w:rPr>
        <w:t>Staff Question #1</w:t>
      </w:r>
    </w:p>
    <w:p w:rsidR="00962E45" w:rsidRDefault="00962E45" w:rsidP="00A668A7">
      <w:pPr>
        <w:spacing w:after="0" w:line="240" w:lineRule="auto"/>
        <w:rPr>
          <w:rFonts w:ascii="Arial" w:hAnsi="Arial" w:cs="Arial"/>
          <w:b/>
          <w:sz w:val="24"/>
          <w:szCs w:val="24"/>
        </w:rPr>
      </w:pPr>
      <w:r>
        <w:rPr>
          <w:rFonts w:ascii="Arial" w:hAnsi="Arial" w:cs="Arial"/>
          <w:b/>
          <w:sz w:val="24"/>
          <w:szCs w:val="24"/>
        </w:rPr>
        <w:t>Ref: Rate Generator Model, Tab 3 Continuity Schedule</w:t>
      </w:r>
    </w:p>
    <w:p w:rsidR="00962E45" w:rsidRDefault="00962E45" w:rsidP="00A668A7">
      <w:pPr>
        <w:spacing w:after="0" w:line="240" w:lineRule="auto"/>
        <w:rPr>
          <w:rFonts w:ascii="Arial" w:hAnsi="Arial" w:cs="Arial"/>
          <w:b/>
          <w:sz w:val="24"/>
          <w:szCs w:val="24"/>
        </w:rPr>
      </w:pPr>
    </w:p>
    <w:p w:rsidR="003E2201" w:rsidRDefault="003E2201" w:rsidP="003E2201">
      <w:pPr>
        <w:rPr>
          <w:rFonts w:ascii="Arial" w:hAnsi="Arial" w:cs="Arial"/>
          <w:sz w:val="24"/>
          <w:szCs w:val="24"/>
        </w:rPr>
      </w:pPr>
      <w:r>
        <w:rPr>
          <w:rFonts w:ascii="Arial" w:hAnsi="Arial" w:cs="Arial"/>
          <w:sz w:val="24"/>
          <w:szCs w:val="24"/>
        </w:rPr>
        <w:t>T</w:t>
      </w:r>
      <w:r w:rsidRPr="00096D51">
        <w:rPr>
          <w:rFonts w:ascii="Arial" w:hAnsi="Arial" w:cs="Arial"/>
          <w:sz w:val="24"/>
          <w:szCs w:val="24"/>
        </w:rPr>
        <w:t xml:space="preserve">he table from </w:t>
      </w:r>
      <w:r>
        <w:rPr>
          <w:rFonts w:ascii="Arial" w:hAnsi="Arial" w:cs="Arial"/>
          <w:sz w:val="24"/>
          <w:szCs w:val="24"/>
        </w:rPr>
        <w:t xml:space="preserve">Northern Ontario Wires’ 2017 cost of service </w:t>
      </w:r>
      <w:r w:rsidRPr="00096D51">
        <w:rPr>
          <w:rFonts w:ascii="Arial" w:hAnsi="Arial" w:cs="Arial"/>
          <w:sz w:val="24"/>
          <w:szCs w:val="24"/>
        </w:rPr>
        <w:t>Decision</w:t>
      </w:r>
      <w:r>
        <w:rPr>
          <w:rStyle w:val="FootnoteReference"/>
          <w:rFonts w:ascii="Arial" w:hAnsi="Arial" w:cs="Arial"/>
          <w:sz w:val="24"/>
          <w:szCs w:val="24"/>
        </w:rPr>
        <w:footnoteReference w:id="1"/>
      </w:r>
      <w:r w:rsidRPr="00096D51">
        <w:rPr>
          <w:rFonts w:ascii="Arial" w:hAnsi="Arial" w:cs="Arial"/>
          <w:sz w:val="24"/>
          <w:szCs w:val="24"/>
        </w:rPr>
        <w:t xml:space="preserve"> which identified the principal and interest amounts approved for disposition, is reproduced below.</w:t>
      </w:r>
    </w:p>
    <w:p w:rsidR="003E2201" w:rsidRDefault="0048512A" w:rsidP="003E2201">
      <w:pPr>
        <w:rPr>
          <w:rFonts w:ascii="Arial" w:hAnsi="Arial" w:cs="Arial"/>
          <w:sz w:val="24"/>
          <w:szCs w:val="24"/>
        </w:rPr>
      </w:pPr>
      <w:r>
        <w:rPr>
          <w:noProof/>
          <w:lang w:eastAsia="en-CA"/>
        </w:rPr>
        <w:drawing>
          <wp:inline distT="0" distB="0" distL="0" distR="0" wp14:anchorId="2DE49944" wp14:editId="2CE2AA04">
            <wp:extent cx="5943600" cy="2030730"/>
            <wp:effectExtent l="19050" t="19050" r="19050" b="266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030730"/>
                    </a:xfrm>
                    <a:prstGeom prst="rect">
                      <a:avLst/>
                    </a:prstGeom>
                    <a:ln>
                      <a:solidFill>
                        <a:schemeClr val="tx1"/>
                      </a:solidFill>
                    </a:ln>
                  </pic:spPr>
                </pic:pic>
              </a:graphicData>
            </a:graphic>
          </wp:inline>
        </w:drawing>
      </w:r>
    </w:p>
    <w:p w:rsidR="003E2201" w:rsidRDefault="003E2201" w:rsidP="003E2201">
      <w:pPr>
        <w:pStyle w:val="ListParagraph"/>
        <w:numPr>
          <w:ilvl w:val="0"/>
          <w:numId w:val="4"/>
        </w:numPr>
        <w:ind w:left="360"/>
        <w:rPr>
          <w:rFonts w:ascii="Arial" w:hAnsi="Arial" w:cs="Arial"/>
          <w:sz w:val="24"/>
          <w:szCs w:val="24"/>
        </w:rPr>
      </w:pPr>
      <w:r w:rsidRPr="00096D51">
        <w:rPr>
          <w:rFonts w:ascii="Arial" w:hAnsi="Arial" w:cs="Arial"/>
          <w:sz w:val="24"/>
          <w:szCs w:val="24"/>
        </w:rPr>
        <w:t xml:space="preserve">OEB staff notes that the </w:t>
      </w:r>
      <w:r>
        <w:rPr>
          <w:rFonts w:ascii="Arial" w:hAnsi="Arial" w:cs="Arial"/>
          <w:sz w:val="24"/>
          <w:szCs w:val="24"/>
        </w:rPr>
        <w:t xml:space="preserve">“OEB-Approved Disposition during 2017” and </w:t>
      </w:r>
      <w:r w:rsidRPr="00096D51">
        <w:rPr>
          <w:rFonts w:ascii="Arial" w:hAnsi="Arial" w:cs="Arial"/>
          <w:sz w:val="24"/>
          <w:szCs w:val="24"/>
        </w:rPr>
        <w:t>“Interest Disposition during 201</w:t>
      </w:r>
      <w:r>
        <w:rPr>
          <w:rFonts w:ascii="Arial" w:hAnsi="Arial" w:cs="Arial"/>
          <w:sz w:val="24"/>
          <w:szCs w:val="24"/>
        </w:rPr>
        <w:t>7</w:t>
      </w:r>
      <w:r w:rsidRPr="00096D51">
        <w:rPr>
          <w:rFonts w:ascii="Arial" w:hAnsi="Arial" w:cs="Arial"/>
          <w:sz w:val="24"/>
          <w:szCs w:val="24"/>
        </w:rPr>
        <w:t xml:space="preserve"> – instructed by OEB” do not reconcile with the </w:t>
      </w:r>
      <w:r>
        <w:rPr>
          <w:rFonts w:ascii="Arial" w:hAnsi="Arial" w:cs="Arial"/>
          <w:sz w:val="24"/>
          <w:szCs w:val="24"/>
        </w:rPr>
        <w:t xml:space="preserve">approved amounts </w:t>
      </w:r>
      <w:r w:rsidRPr="00096D51">
        <w:rPr>
          <w:rFonts w:ascii="Arial" w:hAnsi="Arial" w:cs="Arial"/>
          <w:sz w:val="24"/>
          <w:szCs w:val="24"/>
        </w:rPr>
        <w:t>in the 201</w:t>
      </w:r>
      <w:r>
        <w:rPr>
          <w:rFonts w:ascii="Arial" w:hAnsi="Arial" w:cs="Arial"/>
          <w:sz w:val="24"/>
          <w:szCs w:val="24"/>
        </w:rPr>
        <w:t>7</w:t>
      </w:r>
      <w:r w:rsidRPr="00096D51">
        <w:rPr>
          <w:rFonts w:ascii="Arial" w:hAnsi="Arial" w:cs="Arial"/>
          <w:sz w:val="24"/>
          <w:szCs w:val="24"/>
        </w:rPr>
        <w:t xml:space="preserve"> </w:t>
      </w:r>
      <w:r>
        <w:rPr>
          <w:rFonts w:ascii="Arial" w:hAnsi="Arial" w:cs="Arial"/>
          <w:sz w:val="24"/>
          <w:szCs w:val="24"/>
        </w:rPr>
        <w:t xml:space="preserve">cost of service </w:t>
      </w:r>
      <w:r w:rsidR="00975113">
        <w:rPr>
          <w:rFonts w:ascii="Arial" w:hAnsi="Arial" w:cs="Arial"/>
          <w:sz w:val="24"/>
          <w:szCs w:val="24"/>
        </w:rPr>
        <w:t>Decision in</w:t>
      </w:r>
      <w:r w:rsidR="00E6183C">
        <w:rPr>
          <w:rFonts w:ascii="Arial" w:hAnsi="Arial" w:cs="Arial"/>
          <w:sz w:val="24"/>
          <w:szCs w:val="24"/>
        </w:rPr>
        <w:t xml:space="preserve"> Account 1595 (2015).</w:t>
      </w:r>
    </w:p>
    <w:p w:rsidR="003E2201" w:rsidRDefault="003E2201" w:rsidP="003E2201">
      <w:pPr>
        <w:ind w:left="360"/>
        <w:rPr>
          <w:rFonts w:ascii="Arial" w:hAnsi="Arial" w:cs="Arial"/>
          <w:sz w:val="24"/>
          <w:szCs w:val="24"/>
        </w:rPr>
      </w:pPr>
      <w:r w:rsidRPr="009363EA">
        <w:rPr>
          <w:rFonts w:ascii="Arial" w:hAnsi="Arial" w:cs="Arial"/>
          <w:sz w:val="24"/>
          <w:szCs w:val="24"/>
        </w:rPr>
        <w:t xml:space="preserve">Please reconcile </w:t>
      </w:r>
      <w:r w:rsidR="00E6183C">
        <w:rPr>
          <w:rFonts w:ascii="Arial" w:hAnsi="Arial" w:cs="Arial"/>
          <w:sz w:val="24"/>
          <w:szCs w:val="24"/>
        </w:rPr>
        <w:t>the difference</w:t>
      </w:r>
      <w:r w:rsidRPr="009363EA">
        <w:rPr>
          <w:rFonts w:ascii="Arial" w:hAnsi="Arial" w:cs="Arial"/>
          <w:sz w:val="24"/>
          <w:szCs w:val="24"/>
        </w:rPr>
        <w:t xml:space="preserve">. If the input into the Rate Generator Model is an </w:t>
      </w:r>
      <w:proofErr w:type="gramStart"/>
      <w:r w:rsidRPr="009363EA">
        <w:rPr>
          <w:rFonts w:ascii="Arial" w:hAnsi="Arial" w:cs="Arial"/>
          <w:sz w:val="24"/>
          <w:szCs w:val="24"/>
        </w:rPr>
        <w:t>error</w:t>
      </w:r>
      <w:proofErr w:type="gramEnd"/>
      <w:r w:rsidRPr="009363EA">
        <w:rPr>
          <w:rFonts w:ascii="Arial" w:hAnsi="Arial" w:cs="Arial"/>
          <w:sz w:val="24"/>
          <w:szCs w:val="24"/>
        </w:rPr>
        <w:t xml:space="preserve"> please provide corrections and OEB staff will make the necessary changes to the model. </w:t>
      </w:r>
    </w:p>
    <w:p w:rsidR="003B6D9A" w:rsidRPr="00BA2D12" w:rsidRDefault="003B6D9A" w:rsidP="003E2201">
      <w:pPr>
        <w:ind w:left="360"/>
        <w:rPr>
          <w:rFonts w:ascii="Arial" w:hAnsi="Arial" w:cs="Arial"/>
          <w:i/>
          <w:sz w:val="24"/>
          <w:szCs w:val="24"/>
        </w:rPr>
      </w:pPr>
      <w:r w:rsidRPr="00BA2D12">
        <w:rPr>
          <w:rFonts w:ascii="Arial" w:hAnsi="Arial" w:cs="Arial"/>
          <w:i/>
          <w:sz w:val="24"/>
          <w:szCs w:val="24"/>
        </w:rPr>
        <w:t>NOW Inc. notes that there is no difference in the OEB approved disposition in 2017. There was no claim for disposition in the 2017 cost of service application or decision in regards to Account 1595 (2015). As noted in the image above, the check to dispose account is not selected for the account in question.</w:t>
      </w:r>
      <w:r w:rsidR="00687663">
        <w:rPr>
          <w:rFonts w:ascii="Arial" w:hAnsi="Arial" w:cs="Arial"/>
          <w:i/>
          <w:sz w:val="24"/>
          <w:szCs w:val="24"/>
        </w:rPr>
        <w:t xml:space="preserve"> The Account 1595 (2015) was disposed in the 2018 IRM Rate Application.</w:t>
      </w:r>
    </w:p>
    <w:p w:rsidR="00962E45" w:rsidRDefault="00E6183C">
      <w:pPr>
        <w:rPr>
          <w:rFonts w:ascii="Arial" w:hAnsi="Arial" w:cs="Arial"/>
          <w:b/>
          <w:sz w:val="24"/>
          <w:szCs w:val="24"/>
        </w:rPr>
      </w:pPr>
      <w:r>
        <w:rPr>
          <w:noProof/>
          <w:lang w:eastAsia="en-CA"/>
        </w:rPr>
        <w:lastRenderedPageBreak/>
        <w:drawing>
          <wp:inline distT="0" distB="0" distL="0" distR="0" wp14:anchorId="52B86449" wp14:editId="7A92BA2B">
            <wp:extent cx="5943600" cy="2218690"/>
            <wp:effectExtent l="19050" t="19050" r="19050" b="1016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218690"/>
                    </a:xfrm>
                    <a:prstGeom prst="rect">
                      <a:avLst/>
                    </a:prstGeom>
                    <a:ln>
                      <a:solidFill>
                        <a:schemeClr val="tx1"/>
                      </a:solidFill>
                    </a:ln>
                  </pic:spPr>
                </pic:pic>
              </a:graphicData>
            </a:graphic>
          </wp:inline>
        </w:drawing>
      </w:r>
    </w:p>
    <w:p w:rsidR="0048512A" w:rsidRDefault="0048512A" w:rsidP="00A668A7">
      <w:pPr>
        <w:spacing w:after="0" w:line="240" w:lineRule="auto"/>
        <w:rPr>
          <w:rFonts w:ascii="Arial" w:hAnsi="Arial" w:cs="Arial"/>
          <w:b/>
          <w:sz w:val="24"/>
          <w:szCs w:val="24"/>
        </w:rPr>
      </w:pPr>
    </w:p>
    <w:p w:rsidR="0048512A" w:rsidRDefault="0048512A">
      <w:pPr>
        <w:rPr>
          <w:rFonts w:ascii="Arial" w:hAnsi="Arial" w:cs="Arial"/>
          <w:b/>
          <w:sz w:val="24"/>
          <w:szCs w:val="24"/>
        </w:rPr>
      </w:pPr>
      <w:r>
        <w:rPr>
          <w:rFonts w:ascii="Arial" w:hAnsi="Arial" w:cs="Arial"/>
          <w:b/>
          <w:sz w:val="24"/>
          <w:szCs w:val="24"/>
        </w:rPr>
        <w:br w:type="page"/>
      </w:r>
    </w:p>
    <w:p w:rsidR="000069CF" w:rsidRDefault="001F5CB6" w:rsidP="00A668A7">
      <w:pPr>
        <w:spacing w:after="0" w:line="240" w:lineRule="auto"/>
        <w:rPr>
          <w:rFonts w:ascii="Arial" w:hAnsi="Arial" w:cs="Arial"/>
          <w:b/>
          <w:sz w:val="24"/>
          <w:szCs w:val="24"/>
        </w:rPr>
      </w:pPr>
      <w:r w:rsidRPr="005F41E7">
        <w:rPr>
          <w:rFonts w:ascii="Arial" w:hAnsi="Arial" w:cs="Arial"/>
          <w:b/>
          <w:sz w:val="24"/>
          <w:szCs w:val="24"/>
        </w:rPr>
        <w:lastRenderedPageBreak/>
        <w:t xml:space="preserve">Staff </w:t>
      </w:r>
      <w:r w:rsidR="00E02478" w:rsidRPr="005F41E7">
        <w:rPr>
          <w:rFonts w:ascii="Arial" w:hAnsi="Arial" w:cs="Arial"/>
          <w:b/>
          <w:sz w:val="24"/>
          <w:szCs w:val="24"/>
        </w:rPr>
        <w:t xml:space="preserve">Question </w:t>
      </w:r>
      <w:r w:rsidRPr="005F41E7">
        <w:rPr>
          <w:rFonts w:ascii="Arial" w:hAnsi="Arial" w:cs="Arial"/>
          <w:b/>
          <w:sz w:val="24"/>
          <w:szCs w:val="24"/>
        </w:rPr>
        <w:t>#</w:t>
      </w:r>
      <w:r w:rsidR="00962E45">
        <w:rPr>
          <w:rFonts w:ascii="Arial" w:hAnsi="Arial" w:cs="Arial"/>
          <w:b/>
          <w:sz w:val="24"/>
          <w:szCs w:val="24"/>
        </w:rPr>
        <w:t>2</w:t>
      </w:r>
    </w:p>
    <w:p w:rsidR="009F51BA" w:rsidRPr="006D301C" w:rsidRDefault="009F51BA" w:rsidP="009F51BA">
      <w:pPr>
        <w:spacing w:after="0" w:line="240" w:lineRule="auto"/>
        <w:rPr>
          <w:rFonts w:ascii="Arial" w:hAnsi="Arial" w:cs="Arial"/>
          <w:b/>
          <w:sz w:val="24"/>
          <w:szCs w:val="24"/>
        </w:rPr>
      </w:pPr>
      <w:r w:rsidRPr="006D301C">
        <w:rPr>
          <w:rFonts w:ascii="Arial" w:hAnsi="Arial" w:cs="Arial"/>
          <w:b/>
          <w:sz w:val="24"/>
          <w:szCs w:val="24"/>
        </w:rPr>
        <w:t>Ref: Rate Generator Model, Tabs 6.1a GA Allocation and 6.2a CBR_B Allocation</w:t>
      </w:r>
    </w:p>
    <w:p w:rsidR="009F51BA" w:rsidRPr="006D301C" w:rsidRDefault="009F51BA" w:rsidP="009F51BA">
      <w:pPr>
        <w:spacing w:after="0" w:line="240" w:lineRule="auto"/>
        <w:rPr>
          <w:rFonts w:ascii="Arial" w:hAnsi="Arial" w:cs="Arial"/>
          <w:b/>
          <w:sz w:val="24"/>
          <w:szCs w:val="24"/>
        </w:rPr>
      </w:pPr>
    </w:p>
    <w:p w:rsidR="009F51BA" w:rsidRDefault="009F51BA" w:rsidP="009F51BA">
      <w:pPr>
        <w:rPr>
          <w:rFonts w:ascii="Arial" w:hAnsi="Arial" w:cs="Arial"/>
          <w:sz w:val="24"/>
        </w:rPr>
      </w:pPr>
      <w:r w:rsidRPr="006D301C">
        <w:rPr>
          <w:rFonts w:ascii="Arial" w:hAnsi="Arial" w:cs="Arial"/>
          <w:sz w:val="24"/>
        </w:rPr>
        <w:t xml:space="preserve">OEB staff has done a calculation for the kWh’s entered in Tab 6.1a GA Allocation (i.e. </w:t>
      </w:r>
      <w:r>
        <w:rPr>
          <w:rFonts w:ascii="Arial" w:hAnsi="Arial" w:cs="Arial"/>
          <w:sz w:val="24"/>
        </w:rPr>
        <w:t>59,051,612</w:t>
      </w:r>
      <w:r w:rsidRPr="006D301C">
        <w:rPr>
          <w:rFonts w:ascii="Arial" w:hAnsi="Arial" w:cs="Arial"/>
          <w:sz w:val="24"/>
        </w:rPr>
        <w:t>)</w:t>
      </w:r>
      <w:r>
        <w:rPr>
          <w:rFonts w:ascii="Arial" w:hAnsi="Arial" w:cs="Arial"/>
          <w:sz w:val="24"/>
        </w:rPr>
        <w:t xml:space="preserve"> and Tab 6.2a CBR-B Allocation (110,661,119)</w:t>
      </w:r>
      <w:r w:rsidRPr="006D301C">
        <w:rPr>
          <w:rFonts w:ascii="Arial" w:hAnsi="Arial" w:cs="Arial"/>
          <w:sz w:val="24"/>
        </w:rPr>
        <w:t xml:space="preserve">. Please review the image below and confirm if </w:t>
      </w:r>
      <w:r w:rsidR="007B39DF">
        <w:rPr>
          <w:rFonts w:ascii="Arial" w:hAnsi="Arial" w:cs="Arial"/>
          <w:sz w:val="24"/>
        </w:rPr>
        <w:t>Northern Ontario Wires</w:t>
      </w:r>
      <w:r w:rsidRPr="006D301C">
        <w:rPr>
          <w:rFonts w:ascii="Arial" w:hAnsi="Arial" w:cs="Arial"/>
          <w:sz w:val="24"/>
        </w:rPr>
        <w:t xml:space="preserve"> agrees with OEB staff’s calculation. If </w:t>
      </w:r>
      <w:r>
        <w:rPr>
          <w:rFonts w:ascii="Arial" w:hAnsi="Arial" w:cs="Arial"/>
          <w:sz w:val="24"/>
        </w:rPr>
        <w:t xml:space="preserve">Northern Ontario Wires </w:t>
      </w:r>
      <w:r w:rsidRPr="006D301C">
        <w:rPr>
          <w:rFonts w:ascii="Arial" w:hAnsi="Arial" w:cs="Arial"/>
          <w:sz w:val="24"/>
        </w:rPr>
        <w:t>agrees, please make the necessary correction</w:t>
      </w:r>
      <w:r>
        <w:rPr>
          <w:rFonts w:ascii="Arial" w:hAnsi="Arial" w:cs="Arial"/>
          <w:sz w:val="24"/>
        </w:rPr>
        <w:t>s</w:t>
      </w:r>
      <w:r w:rsidRPr="006D301C">
        <w:rPr>
          <w:rFonts w:ascii="Arial" w:hAnsi="Arial" w:cs="Arial"/>
          <w:sz w:val="24"/>
        </w:rPr>
        <w:t xml:space="preserve"> to the model</w:t>
      </w:r>
      <w:r>
        <w:rPr>
          <w:rFonts w:ascii="Arial" w:hAnsi="Arial" w:cs="Arial"/>
          <w:sz w:val="24"/>
        </w:rPr>
        <w:t>.</w:t>
      </w:r>
      <w:r w:rsidRPr="006D301C">
        <w:rPr>
          <w:rFonts w:ascii="Arial" w:hAnsi="Arial" w:cs="Arial"/>
          <w:sz w:val="24"/>
        </w:rPr>
        <w:t xml:space="preserve"> </w:t>
      </w:r>
    </w:p>
    <w:p w:rsidR="005C43D3" w:rsidRPr="00BA2D12" w:rsidRDefault="005C43D3" w:rsidP="009F51BA">
      <w:pPr>
        <w:rPr>
          <w:rFonts w:ascii="Arial" w:hAnsi="Arial" w:cs="Arial"/>
          <w:i/>
          <w:sz w:val="24"/>
        </w:rPr>
      </w:pPr>
      <w:r w:rsidRPr="00BA2D12">
        <w:rPr>
          <w:rFonts w:ascii="Arial" w:hAnsi="Arial" w:cs="Arial"/>
          <w:i/>
          <w:sz w:val="24"/>
        </w:rPr>
        <w:t>NOW Inc. agrees with OEB staff calculations.</w:t>
      </w:r>
    </w:p>
    <w:p w:rsidR="00273434" w:rsidRPr="00BA2D12" w:rsidRDefault="00273434" w:rsidP="009F51BA">
      <w:pPr>
        <w:rPr>
          <w:rFonts w:ascii="Arial" w:hAnsi="Arial" w:cs="Arial"/>
          <w:i/>
          <w:sz w:val="24"/>
        </w:rPr>
      </w:pPr>
      <w:r w:rsidRPr="00BA2D12">
        <w:rPr>
          <w:rFonts w:ascii="Arial" w:hAnsi="Arial" w:cs="Arial"/>
          <w:i/>
          <w:sz w:val="24"/>
        </w:rPr>
        <w:t>No amount is included in D20 in Tab 6.2a as a result of Staff Question # 3.</w:t>
      </w:r>
    </w:p>
    <w:p w:rsidR="009F51BA" w:rsidRPr="009F51BA" w:rsidRDefault="009F51BA" w:rsidP="009F51BA">
      <w:pPr>
        <w:jc w:val="center"/>
        <w:rPr>
          <w:rFonts w:ascii="Arial" w:hAnsi="Arial" w:cs="Arial"/>
          <w:b/>
          <w:sz w:val="24"/>
        </w:rPr>
      </w:pPr>
      <w:r w:rsidRPr="009F51BA">
        <w:rPr>
          <w:rFonts w:ascii="Arial" w:hAnsi="Arial" w:cs="Arial"/>
          <w:b/>
          <w:sz w:val="24"/>
        </w:rPr>
        <w:t>Tab 6.1a GA Allocation</w:t>
      </w:r>
    </w:p>
    <w:p w:rsidR="009F51BA" w:rsidRDefault="009F51BA" w:rsidP="009F51BA">
      <w:pPr>
        <w:rPr>
          <w:rFonts w:ascii="Arial" w:hAnsi="Arial" w:cs="Arial"/>
          <w:b/>
          <w:sz w:val="28"/>
          <w:szCs w:val="24"/>
        </w:rPr>
      </w:pPr>
      <w:r>
        <w:rPr>
          <w:noProof/>
          <w:lang w:eastAsia="en-CA"/>
        </w:rPr>
        <w:drawing>
          <wp:inline distT="0" distB="0" distL="0" distR="0" wp14:anchorId="0ADD7DC6" wp14:editId="6E2EDDD5">
            <wp:extent cx="5943600" cy="1139190"/>
            <wp:effectExtent l="19050" t="19050" r="19050" b="22860"/>
            <wp:docPr id="2" name="Picture 2" descr="C:\Users\wongch\AppData\Local\Temp\SNAGHTML89b0c0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ongch\AppData\Local\Temp\SNAGHTML89b0c03c.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1139190"/>
                    </a:xfrm>
                    <a:prstGeom prst="rect">
                      <a:avLst/>
                    </a:prstGeom>
                    <a:noFill/>
                    <a:ln>
                      <a:solidFill>
                        <a:sysClr val="windowText" lastClr="000000"/>
                      </a:solidFill>
                    </a:ln>
                  </pic:spPr>
                </pic:pic>
              </a:graphicData>
            </a:graphic>
          </wp:inline>
        </w:drawing>
      </w:r>
    </w:p>
    <w:p w:rsidR="009F51BA" w:rsidRDefault="009F51BA" w:rsidP="009F51BA">
      <w:pPr>
        <w:rPr>
          <w:rFonts w:ascii="Arial" w:hAnsi="Arial" w:cs="Arial"/>
          <w:b/>
          <w:sz w:val="28"/>
          <w:szCs w:val="24"/>
        </w:rPr>
      </w:pPr>
    </w:p>
    <w:p w:rsidR="009F51BA" w:rsidRPr="009F51BA" w:rsidRDefault="009F51BA" w:rsidP="009F51BA">
      <w:pPr>
        <w:jc w:val="center"/>
        <w:rPr>
          <w:rFonts w:ascii="Arial" w:hAnsi="Arial" w:cs="Arial"/>
          <w:b/>
          <w:sz w:val="24"/>
        </w:rPr>
      </w:pPr>
      <w:r w:rsidRPr="009F51BA">
        <w:rPr>
          <w:rFonts w:ascii="Arial" w:hAnsi="Arial" w:cs="Arial"/>
          <w:b/>
          <w:sz w:val="24"/>
        </w:rPr>
        <w:t xml:space="preserve">Tab 6.2a CBR </w:t>
      </w:r>
      <w:proofErr w:type="spellStart"/>
      <w:r w:rsidRPr="009F51BA">
        <w:rPr>
          <w:rFonts w:ascii="Arial" w:hAnsi="Arial" w:cs="Arial"/>
          <w:b/>
          <w:sz w:val="24"/>
        </w:rPr>
        <w:t>B_Allocation</w:t>
      </w:r>
      <w:proofErr w:type="spellEnd"/>
    </w:p>
    <w:p w:rsidR="009F51BA" w:rsidRDefault="009F51BA" w:rsidP="009F51BA">
      <w:pPr>
        <w:rPr>
          <w:rFonts w:ascii="Arial" w:hAnsi="Arial" w:cs="Arial"/>
          <w:b/>
          <w:sz w:val="28"/>
          <w:szCs w:val="24"/>
        </w:rPr>
      </w:pPr>
      <w:r>
        <w:rPr>
          <w:noProof/>
          <w:lang w:eastAsia="en-CA"/>
        </w:rPr>
        <w:drawing>
          <wp:inline distT="0" distB="0" distL="0" distR="0" wp14:anchorId="18D50593" wp14:editId="472D7F1C">
            <wp:extent cx="5943600" cy="1185450"/>
            <wp:effectExtent l="19050" t="19050" r="19050" b="15240"/>
            <wp:docPr id="1" name="Picture 1" descr="C:\Users\wongch\AppData\Local\Temp\SNAGHTML89b2f26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ongch\AppData\Local\Temp\SNAGHTML89b2f26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1185450"/>
                    </a:xfrm>
                    <a:prstGeom prst="rect">
                      <a:avLst/>
                    </a:prstGeom>
                    <a:noFill/>
                    <a:ln>
                      <a:solidFill>
                        <a:schemeClr val="tx1"/>
                      </a:solidFill>
                    </a:ln>
                  </pic:spPr>
                </pic:pic>
              </a:graphicData>
            </a:graphic>
          </wp:inline>
        </w:drawing>
      </w:r>
    </w:p>
    <w:p w:rsidR="009F51BA" w:rsidRDefault="00EB6E16" w:rsidP="009F51BA">
      <w:pPr>
        <w:rPr>
          <w:rFonts w:ascii="Arial" w:hAnsi="Arial" w:cs="Arial"/>
          <w:b/>
          <w:sz w:val="28"/>
          <w:szCs w:val="24"/>
        </w:rPr>
      </w:pPr>
      <w:r w:rsidRPr="00EB6E16">
        <w:rPr>
          <w:noProof/>
          <w:lang w:eastAsia="en-CA"/>
        </w:rPr>
        <w:lastRenderedPageBreak/>
        <w:drawing>
          <wp:inline distT="0" distB="0" distL="0" distR="0">
            <wp:extent cx="5029200" cy="2640781"/>
            <wp:effectExtent l="19050" t="19050" r="19050" b="266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1596" cy="2647290"/>
                    </a:xfrm>
                    <a:prstGeom prst="rect">
                      <a:avLst/>
                    </a:prstGeom>
                    <a:noFill/>
                    <a:ln>
                      <a:solidFill>
                        <a:schemeClr val="tx1"/>
                      </a:solidFill>
                    </a:ln>
                  </pic:spPr>
                </pic:pic>
              </a:graphicData>
            </a:graphic>
          </wp:inline>
        </w:drawing>
      </w:r>
    </w:p>
    <w:p w:rsidR="00EB4EDC" w:rsidRDefault="00EB4EDC" w:rsidP="00D1286A">
      <w:pPr>
        <w:spacing w:after="0"/>
        <w:rPr>
          <w:rFonts w:ascii="Arial" w:hAnsi="Arial" w:cs="Arial"/>
          <w:b/>
          <w:sz w:val="24"/>
          <w:szCs w:val="24"/>
        </w:rPr>
      </w:pPr>
    </w:p>
    <w:p w:rsidR="00EB4EDC" w:rsidRPr="005F41E7" w:rsidRDefault="00EB4EDC" w:rsidP="00EB4EDC">
      <w:pPr>
        <w:tabs>
          <w:tab w:val="left" w:pos="360"/>
        </w:tabs>
        <w:autoSpaceDE w:val="0"/>
        <w:autoSpaceDN w:val="0"/>
        <w:spacing w:after="0"/>
        <w:rPr>
          <w:rFonts w:ascii="Arial" w:hAnsi="Arial" w:cs="Arial"/>
          <w:b/>
          <w:sz w:val="24"/>
          <w:szCs w:val="24"/>
          <w:lang w:val="en-US"/>
        </w:rPr>
      </w:pPr>
      <w:r>
        <w:rPr>
          <w:rFonts w:ascii="Arial" w:hAnsi="Arial" w:cs="Arial"/>
          <w:b/>
          <w:sz w:val="24"/>
          <w:szCs w:val="24"/>
          <w:lang w:val="en-US"/>
        </w:rPr>
        <w:t>Staff Question #3</w:t>
      </w:r>
    </w:p>
    <w:p w:rsidR="00EB4EDC" w:rsidRPr="00083BF0" w:rsidRDefault="00EB4EDC" w:rsidP="00EB4EDC">
      <w:pPr>
        <w:spacing w:after="0" w:line="240" w:lineRule="auto"/>
        <w:rPr>
          <w:rFonts w:ascii="Arial" w:hAnsi="Arial" w:cs="Arial"/>
          <w:b/>
          <w:sz w:val="24"/>
          <w:szCs w:val="24"/>
        </w:rPr>
      </w:pPr>
      <w:r>
        <w:rPr>
          <w:rFonts w:ascii="Arial" w:hAnsi="Arial" w:cs="Arial"/>
          <w:b/>
          <w:sz w:val="24"/>
          <w:szCs w:val="24"/>
        </w:rPr>
        <w:t>Re</w:t>
      </w:r>
      <w:r w:rsidRPr="00083BF0">
        <w:rPr>
          <w:rFonts w:ascii="Arial" w:hAnsi="Arial" w:cs="Arial"/>
          <w:b/>
          <w:sz w:val="24"/>
          <w:szCs w:val="24"/>
        </w:rPr>
        <w:t>f: Rate Generator Model, Tab 6.2a CBR_B Allocation</w:t>
      </w:r>
    </w:p>
    <w:p w:rsidR="00EB4EDC" w:rsidRPr="00083BF0" w:rsidRDefault="00EB4EDC" w:rsidP="00EB4EDC">
      <w:pPr>
        <w:spacing w:after="0" w:line="240" w:lineRule="auto"/>
        <w:rPr>
          <w:rFonts w:ascii="Arial" w:hAnsi="Arial" w:cs="Arial"/>
          <w:b/>
          <w:sz w:val="24"/>
          <w:szCs w:val="24"/>
        </w:rPr>
      </w:pPr>
    </w:p>
    <w:p w:rsidR="00EB4EDC" w:rsidRPr="00B87FBE" w:rsidRDefault="00EB4EDC" w:rsidP="00EB4EDC">
      <w:pPr>
        <w:spacing w:after="0" w:line="240" w:lineRule="auto"/>
        <w:rPr>
          <w:rFonts w:ascii="Arial" w:hAnsi="Arial" w:cs="Arial"/>
          <w:sz w:val="24"/>
          <w:szCs w:val="24"/>
        </w:rPr>
      </w:pPr>
      <w:r w:rsidRPr="00B87FBE">
        <w:rPr>
          <w:rFonts w:ascii="Arial" w:hAnsi="Arial" w:cs="Arial"/>
          <w:sz w:val="24"/>
          <w:szCs w:val="24"/>
        </w:rPr>
        <w:t xml:space="preserve">OEB staff notes that </w:t>
      </w:r>
      <w:r>
        <w:rPr>
          <w:rFonts w:ascii="Arial" w:hAnsi="Arial" w:cs="Arial"/>
          <w:sz w:val="24"/>
          <w:szCs w:val="24"/>
        </w:rPr>
        <w:t xml:space="preserve">Northern Ontario Wires’ </w:t>
      </w:r>
      <w:r w:rsidRPr="00B87FBE">
        <w:rPr>
          <w:rFonts w:ascii="Arial" w:hAnsi="Arial" w:cs="Arial"/>
          <w:sz w:val="24"/>
          <w:szCs w:val="24"/>
        </w:rPr>
        <w:t xml:space="preserve">original filing showed immaterial amounts allocated to transition customers for CBR Class </w:t>
      </w:r>
      <w:r>
        <w:rPr>
          <w:rFonts w:ascii="Arial" w:hAnsi="Arial" w:cs="Arial"/>
          <w:sz w:val="24"/>
          <w:szCs w:val="24"/>
        </w:rPr>
        <w:t xml:space="preserve">B. </w:t>
      </w:r>
      <w:proofErr w:type="gramStart"/>
      <w:r w:rsidRPr="00B87FBE">
        <w:rPr>
          <w:rFonts w:ascii="Arial" w:hAnsi="Arial" w:cs="Arial"/>
          <w:sz w:val="24"/>
          <w:szCs w:val="24"/>
        </w:rPr>
        <w:t>Therefore</w:t>
      </w:r>
      <w:proofErr w:type="gramEnd"/>
      <w:r w:rsidRPr="00B87FBE">
        <w:rPr>
          <w:rFonts w:ascii="Arial" w:hAnsi="Arial" w:cs="Arial"/>
          <w:sz w:val="24"/>
          <w:szCs w:val="24"/>
        </w:rPr>
        <w:t xml:space="preserve"> a distributor is to transfer the entire OEB-approved CBR Class B amount into the Account 1580 WMS control account to be disposed through the general purpose Group 1 DVA rate riders. OEB staff notes that the Rate Generator Model is designed to automatically do this, however cell D20 on Tab 6.2a should be zeroed out to not show the immaterial allocation. </w:t>
      </w:r>
    </w:p>
    <w:p w:rsidR="00EB4EDC" w:rsidRPr="00083BF0" w:rsidRDefault="00EB4EDC" w:rsidP="00EB4EDC">
      <w:pPr>
        <w:pStyle w:val="ListParagraph"/>
        <w:spacing w:after="0" w:line="240" w:lineRule="auto"/>
        <w:rPr>
          <w:rFonts w:ascii="Arial" w:hAnsi="Arial" w:cs="Arial"/>
          <w:sz w:val="24"/>
          <w:szCs w:val="24"/>
        </w:rPr>
      </w:pPr>
    </w:p>
    <w:p w:rsidR="00EB4EDC" w:rsidRDefault="00EB4EDC" w:rsidP="00EB4EDC">
      <w:pPr>
        <w:pStyle w:val="ListParagraph"/>
        <w:numPr>
          <w:ilvl w:val="0"/>
          <w:numId w:val="29"/>
        </w:numPr>
        <w:spacing w:after="0" w:line="240" w:lineRule="auto"/>
        <w:ind w:left="360"/>
        <w:rPr>
          <w:rFonts w:ascii="Arial" w:hAnsi="Arial" w:cs="Arial"/>
          <w:sz w:val="24"/>
          <w:szCs w:val="24"/>
        </w:rPr>
      </w:pPr>
      <w:r w:rsidRPr="00083BF0">
        <w:rPr>
          <w:rFonts w:ascii="Arial" w:hAnsi="Arial" w:cs="Arial"/>
          <w:sz w:val="24"/>
          <w:szCs w:val="24"/>
        </w:rPr>
        <w:t xml:space="preserve">OEB staff has made this change to </w:t>
      </w:r>
      <w:r>
        <w:rPr>
          <w:rFonts w:ascii="Arial" w:hAnsi="Arial" w:cs="Arial"/>
          <w:sz w:val="24"/>
          <w:szCs w:val="24"/>
        </w:rPr>
        <w:t>Northern Ontario Wires’</w:t>
      </w:r>
      <w:r w:rsidRPr="00083BF0">
        <w:rPr>
          <w:rFonts w:ascii="Arial" w:hAnsi="Arial" w:cs="Arial"/>
          <w:sz w:val="24"/>
          <w:szCs w:val="24"/>
        </w:rPr>
        <w:t xml:space="preserve"> model and has provided it along with these questions. Please confirm if </w:t>
      </w:r>
      <w:r>
        <w:rPr>
          <w:rFonts w:ascii="Arial" w:hAnsi="Arial" w:cs="Arial"/>
          <w:sz w:val="24"/>
          <w:szCs w:val="24"/>
        </w:rPr>
        <w:t>Northern Ontario Wires</w:t>
      </w:r>
      <w:r w:rsidRPr="00083BF0">
        <w:rPr>
          <w:rFonts w:ascii="Arial" w:hAnsi="Arial" w:cs="Arial"/>
          <w:sz w:val="24"/>
          <w:szCs w:val="24"/>
        </w:rPr>
        <w:t xml:space="preserve"> agrees. </w:t>
      </w:r>
    </w:p>
    <w:p w:rsidR="008B2414" w:rsidRDefault="008B2414" w:rsidP="00273434">
      <w:pPr>
        <w:spacing w:after="0" w:line="240" w:lineRule="auto"/>
        <w:rPr>
          <w:rFonts w:ascii="Arial" w:hAnsi="Arial" w:cs="Arial"/>
          <w:i/>
          <w:sz w:val="24"/>
          <w:szCs w:val="24"/>
        </w:rPr>
      </w:pPr>
    </w:p>
    <w:p w:rsidR="00273434" w:rsidRPr="00BA2D12" w:rsidRDefault="00273434" w:rsidP="00273434">
      <w:pPr>
        <w:spacing w:after="0" w:line="240" w:lineRule="auto"/>
        <w:rPr>
          <w:rFonts w:ascii="Arial" w:hAnsi="Arial" w:cs="Arial"/>
          <w:i/>
          <w:sz w:val="24"/>
          <w:szCs w:val="24"/>
        </w:rPr>
      </w:pPr>
      <w:r w:rsidRPr="00BA2D12">
        <w:rPr>
          <w:rFonts w:ascii="Arial" w:hAnsi="Arial" w:cs="Arial"/>
          <w:i/>
          <w:sz w:val="24"/>
          <w:szCs w:val="24"/>
        </w:rPr>
        <w:t>NOW Inc. agrees with OEB staff.</w:t>
      </w:r>
    </w:p>
    <w:p w:rsidR="00EB4EDC" w:rsidRDefault="00EB4EDC" w:rsidP="00D1286A">
      <w:pPr>
        <w:spacing w:after="0"/>
        <w:rPr>
          <w:rFonts w:ascii="Arial" w:hAnsi="Arial" w:cs="Arial"/>
          <w:b/>
          <w:sz w:val="24"/>
          <w:szCs w:val="24"/>
        </w:rPr>
      </w:pPr>
    </w:p>
    <w:p w:rsidR="00EB4EDC" w:rsidRDefault="00EB4EDC" w:rsidP="00D1286A">
      <w:pPr>
        <w:spacing w:after="0"/>
        <w:rPr>
          <w:rFonts w:ascii="Arial" w:hAnsi="Arial" w:cs="Arial"/>
          <w:b/>
          <w:sz w:val="24"/>
          <w:szCs w:val="24"/>
        </w:rPr>
      </w:pPr>
    </w:p>
    <w:p w:rsidR="00D1286A" w:rsidRDefault="00EB4EDC" w:rsidP="00D1286A">
      <w:pPr>
        <w:spacing w:after="0"/>
        <w:rPr>
          <w:rFonts w:ascii="Arial" w:hAnsi="Arial" w:cs="Arial"/>
          <w:b/>
          <w:sz w:val="24"/>
          <w:szCs w:val="24"/>
        </w:rPr>
      </w:pPr>
      <w:r>
        <w:rPr>
          <w:rFonts w:ascii="Arial" w:hAnsi="Arial" w:cs="Arial"/>
          <w:b/>
          <w:sz w:val="24"/>
          <w:szCs w:val="24"/>
        </w:rPr>
        <w:t>Staff Question #4</w:t>
      </w:r>
    </w:p>
    <w:p w:rsidR="00D1286A" w:rsidRPr="003D404F" w:rsidRDefault="00D1286A" w:rsidP="00D1286A">
      <w:pPr>
        <w:rPr>
          <w:rFonts w:ascii="Arial" w:hAnsi="Arial" w:cs="Arial"/>
          <w:sz w:val="24"/>
          <w:szCs w:val="24"/>
        </w:rPr>
      </w:pPr>
      <w:r w:rsidRPr="003D404F">
        <w:rPr>
          <w:rFonts w:ascii="Arial" w:hAnsi="Arial" w:cs="Arial"/>
          <w:b/>
          <w:sz w:val="24"/>
          <w:szCs w:val="24"/>
        </w:rPr>
        <w:t xml:space="preserve">Ref: EB-2017-0066 - 2016 GA Analysis </w:t>
      </w:r>
      <w:proofErr w:type="spellStart"/>
      <w:r w:rsidRPr="003D404F">
        <w:rPr>
          <w:rFonts w:ascii="Arial" w:hAnsi="Arial" w:cs="Arial"/>
          <w:b/>
          <w:sz w:val="24"/>
          <w:szCs w:val="24"/>
        </w:rPr>
        <w:t>Workform</w:t>
      </w:r>
      <w:proofErr w:type="spellEnd"/>
      <w:r w:rsidRPr="003D404F">
        <w:rPr>
          <w:rFonts w:ascii="Arial" w:hAnsi="Arial" w:cs="Arial"/>
          <w:b/>
          <w:sz w:val="24"/>
          <w:szCs w:val="24"/>
        </w:rPr>
        <w:t xml:space="preserve">; 2017 GA Analysis </w:t>
      </w:r>
      <w:proofErr w:type="spellStart"/>
      <w:r w:rsidRPr="003D404F">
        <w:rPr>
          <w:rFonts w:ascii="Arial" w:hAnsi="Arial" w:cs="Arial"/>
          <w:b/>
          <w:sz w:val="24"/>
          <w:szCs w:val="24"/>
        </w:rPr>
        <w:t>Workform</w:t>
      </w:r>
      <w:proofErr w:type="spellEnd"/>
      <w:r w:rsidRPr="003D404F">
        <w:rPr>
          <w:rFonts w:ascii="Arial" w:hAnsi="Arial" w:cs="Arial"/>
          <w:b/>
          <w:sz w:val="24"/>
          <w:szCs w:val="24"/>
        </w:rPr>
        <w:t>; 2019 Rate Generator Model</w:t>
      </w:r>
    </w:p>
    <w:p w:rsidR="00D1286A" w:rsidRPr="003D404F" w:rsidRDefault="00D1286A" w:rsidP="00D1286A">
      <w:pPr>
        <w:rPr>
          <w:rFonts w:ascii="Arial" w:hAnsi="Arial" w:cs="Arial"/>
          <w:sz w:val="24"/>
          <w:szCs w:val="24"/>
        </w:rPr>
      </w:pPr>
      <w:r w:rsidRPr="003D404F">
        <w:rPr>
          <w:rFonts w:ascii="Arial" w:hAnsi="Arial" w:cs="Arial"/>
          <w:sz w:val="24"/>
          <w:szCs w:val="24"/>
        </w:rPr>
        <w:t xml:space="preserve">In the prior year’s GA Analysis </w:t>
      </w:r>
      <w:proofErr w:type="spellStart"/>
      <w:r w:rsidRPr="003D404F">
        <w:rPr>
          <w:rFonts w:ascii="Arial" w:hAnsi="Arial" w:cs="Arial"/>
          <w:sz w:val="24"/>
          <w:szCs w:val="24"/>
        </w:rPr>
        <w:t>Workform</w:t>
      </w:r>
      <w:proofErr w:type="spellEnd"/>
      <w:r w:rsidRPr="003D404F">
        <w:rPr>
          <w:rFonts w:ascii="Arial" w:hAnsi="Arial" w:cs="Arial"/>
          <w:sz w:val="24"/>
          <w:szCs w:val="24"/>
        </w:rPr>
        <w:t xml:space="preserve"> (EB-2017-0066), an amount of $77,780 was included as a reconciling item to account for differences in the RPP and Non-RPP proration of GA charges. This adjustment is identified in cell AV29 of the 2019 Rate Generator Model. Further, this amount is also reversed as a credit entry in cell BF29.</w:t>
      </w:r>
    </w:p>
    <w:p w:rsidR="00D1286A" w:rsidRDefault="00D1286A" w:rsidP="00D1286A">
      <w:pPr>
        <w:pStyle w:val="ListParagraph"/>
        <w:numPr>
          <w:ilvl w:val="0"/>
          <w:numId w:val="25"/>
        </w:numPr>
        <w:spacing w:after="160" w:line="259" w:lineRule="auto"/>
        <w:rPr>
          <w:rFonts w:ascii="Arial" w:hAnsi="Arial" w:cs="Arial"/>
          <w:sz w:val="24"/>
          <w:szCs w:val="24"/>
        </w:rPr>
      </w:pPr>
      <w:r w:rsidRPr="003D404F">
        <w:rPr>
          <w:rFonts w:ascii="Arial" w:hAnsi="Arial" w:cs="Arial"/>
          <w:sz w:val="24"/>
          <w:szCs w:val="24"/>
        </w:rPr>
        <w:t>Please confirm in which fiscal year this adjustment was journalized to the general ledger of Northern Ontario Wires?</w:t>
      </w:r>
    </w:p>
    <w:p w:rsidR="00061DFB" w:rsidRPr="00BA2D12" w:rsidRDefault="00BA2D12" w:rsidP="00061DFB">
      <w:pPr>
        <w:spacing w:after="160" w:line="259" w:lineRule="auto"/>
        <w:ind w:left="360"/>
        <w:rPr>
          <w:rFonts w:ascii="Arial" w:hAnsi="Arial" w:cs="Arial"/>
          <w:i/>
          <w:sz w:val="24"/>
          <w:szCs w:val="24"/>
        </w:rPr>
      </w:pPr>
      <w:r w:rsidRPr="00BA2D12">
        <w:rPr>
          <w:rFonts w:ascii="Arial" w:hAnsi="Arial" w:cs="Arial"/>
          <w:i/>
          <w:sz w:val="24"/>
          <w:szCs w:val="24"/>
        </w:rPr>
        <w:lastRenderedPageBreak/>
        <w:t>The adjustment was not journalized to the general ledger for NOW Inc. until 2018.</w:t>
      </w:r>
      <w:r w:rsidR="00FF1312">
        <w:rPr>
          <w:rFonts w:ascii="Arial" w:hAnsi="Arial" w:cs="Arial"/>
          <w:i/>
          <w:sz w:val="24"/>
          <w:szCs w:val="24"/>
        </w:rPr>
        <w:t xml:space="preserve"> As such the Continuity Schedule has been adjus</w:t>
      </w:r>
      <w:bookmarkStart w:id="0" w:name="_GoBack"/>
      <w:bookmarkEnd w:id="0"/>
      <w:r w:rsidR="00FF1312">
        <w:rPr>
          <w:rFonts w:ascii="Arial" w:hAnsi="Arial" w:cs="Arial"/>
          <w:i/>
          <w:sz w:val="24"/>
          <w:szCs w:val="24"/>
        </w:rPr>
        <w:t>ted to remove the reversal in 2017 in BF29 as well as the projected interest balance being updated.</w:t>
      </w:r>
    </w:p>
    <w:p w:rsidR="00D1286A" w:rsidRDefault="00D1286A" w:rsidP="00D1286A">
      <w:pPr>
        <w:pStyle w:val="ListParagraph"/>
        <w:numPr>
          <w:ilvl w:val="0"/>
          <w:numId w:val="25"/>
        </w:numPr>
        <w:spacing w:after="160" w:line="259" w:lineRule="auto"/>
        <w:rPr>
          <w:rFonts w:ascii="Arial" w:hAnsi="Arial" w:cs="Arial"/>
          <w:sz w:val="24"/>
          <w:szCs w:val="24"/>
        </w:rPr>
      </w:pPr>
      <w:r w:rsidRPr="003D404F">
        <w:rPr>
          <w:rFonts w:ascii="Arial" w:hAnsi="Arial" w:cs="Arial"/>
          <w:sz w:val="24"/>
          <w:szCs w:val="24"/>
        </w:rPr>
        <w:t xml:space="preserve">If this adjustment was recorded in fiscal 2017, please explain why a reconciling item in the 2017 GA Analysis </w:t>
      </w:r>
      <w:proofErr w:type="spellStart"/>
      <w:r w:rsidRPr="003D404F">
        <w:rPr>
          <w:rFonts w:ascii="Arial" w:hAnsi="Arial" w:cs="Arial"/>
          <w:sz w:val="24"/>
          <w:szCs w:val="24"/>
        </w:rPr>
        <w:t>Workform</w:t>
      </w:r>
      <w:proofErr w:type="spellEnd"/>
      <w:r w:rsidRPr="003D404F">
        <w:rPr>
          <w:rFonts w:ascii="Arial" w:hAnsi="Arial" w:cs="Arial"/>
          <w:sz w:val="24"/>
          <w:szCs w:val="24"/>
        </w:rPr>
        <w:t xml:space="preserve"> is not required, as a credit of $77,780 to reconcile the impact of this adjustment pertaining to 2016. If necessary, please update the GA Analysis </w:t>
      </w:r>
      <w:proofErr w:type="spellStart"/>
      <w:r w:rsidRPr="003D404F">
        <w:rPr>
          <w:rFonts w:ascii="Arial" w:hAnsi="Arial" w:cs="Arial"/>
          <w:sz w:val="24"/>
          <w:szCs w:val="24"/>
        </w:rPr>
        <w:t>Workform</w:t>
      </w:r>
      <w:proofErr w:type="spellEnd"/>
      <w:r w:rsidRPr="003D404F">
        <w:rPr>
          <w:rFonts w:ascii="Arial" w:hAnsi="Arial" w:cs="Arial"/>
          <w:sz w:val="24"/>
          <w:szCs w:val="24"/>
        </w:rPr>
        <w:t xml:space="preserve"> accordingly.</w:t>
      </w:r>
    </w:p>
    <w:p w:rsidR="00BA2D12" w:rsidRPr="00236227" w:rsidRDefault="00236227" w:rsidP="00BA2D12">
      <w:pPr>
        <w:spacing w:after="160" w:line="259" w:lineRule="auto"/>
        <w:rPr>
          <w:rFonts w:ascii="Arial" w:hAnsi="Arial" w:cs="Arial"/>
          <w:i/>
          <w:sz w:val="24"/>
          <w:szCs w:val="24"/>
        </w:rPr>
      </w:pPr>
      <w:r>
        <w:rPr>
          <w:rFonts w:ascii="Arial" w:hAnsi="Arial" w:cs="Arial"/>
          <w:i/>
          <w:sz w:val="24"/>
          <w:szCs w:val="24"/>
        </w:rPr>
        <w:t>There is no reconciling item required in fiscal 2017 as there in no adjustment recorded in the 2017 general ledger. The reconciling credit of $77,780 will occur in the 2018 GA Analysis.</w:t>
      </w:r>
    </w:p>
    <w:p w:rsidR="00D1286A" w:rsidRDefault="00D1286A" w:rsidP="00D1286A">
      <w:pPr>
        <w:pStyle w:val="ListParagraph"/>
        <w:numPr>
          <w:ilvl w:val="0"/>
          <w:numId w:val="25"/>
        </w:numPr>
        <w:spacing w:after="160" w:line="259" w:lineRule="auto"/>
        <w:rPr>
          <w:rFonts w:ascii="Arial" w:hAnsi="Arial" w:cs="Arial"/>
          <w:sz w:val="24"/>
          <w:szCs w:val="24"/>
        </w:rPr>
      </w:pPr>
      <w:r w:rsidRPr="003D404F">
        <w:rPr>
          <w:rFonts w:ascii="Arial" w:hAnsi="Arial" w:cs="Arial"/>
          <w:sz w:val="24"/>
          <w:szCs w:val="24"/>
        </w:rPr>
        <w:t xml:space="preserve">If the adjustment made in part b) above is entered into the 2017 GA Analysis </w:t>
      </w:r>
      <w:proofErr w:type="spellStart"/>
      <w:r w:rsidRPr="003D404F">
        <w:rPr>
          <w:rFonts w:ascii="Arial" w:hAnsi="Arial" w:cs="Arial"/>
          <w:sz w:val="24"/>
          <w:szCs w:val="24"/>
        </w:rPr>
        <w:t>Workform</w:t>
      </w:r>
      <w:proofErr w:type="spellEnd"/>
      <w:r w:rsidRPr="003D404F">
        <w:rPr>
          <w:rFonts w:ascii="Arial" w:hAnsi="Arial" w:cs="Arial"/>
          <w:sz w:val="24"/>
          <w:szCs w:val="24"/>
        </w:rPr>
        <w:t>, the unresolved difference breaches the 1% materiality threshold. Please comment on whether there are other potential reconciling items to consider to explain the unresolved difference.</w:t>
      </w:r>
    </w:p>
    <w:p w:rsidR="00236227" w:rsidRPr="00236227" w:rsidRDefault="00236227" w:rsidP="00236227">
      <w:pPr>
        <w:spacing w:after="160" w:line="259" w:lineRule="auto"/>
        <w:rPr>
          <w:rFonts w:ascii="Arial" w:hAnsi="Arial" w:cs="Arial"/>
          <w:i/>
          <w:sz w:val="24"/>
          <w:szCs w:val="24"/>
        </w:rPr>
      </w:pPr>
      <w:r w:rsidRPr="00236227">
        <w:rPr>
          <w:rFonts w:ascii="Arial" w:hAnsi="Arial" w:cs="Arial"/>
          <w:i/>
          <w:sz w:val="24"/>
          <w:szCs w:val="24"/>
        </w:rPr>
        <w:t>As noted in b) the reconciling item is not to be added back in the 2017 GA Analysis as the entry was not recorded in 2017. As a result</w:t>
      </w:r>
      <w:r>
        <w:rPr>
          <w:rFonts w:ascii="Arial" w:hAnsi="Arial" w:cs="Arial"/>
          <w:i/>
          <w:sz w:val="24"/>
          <w:szCs w:val="24"/>
        </w:rPr>
        <w:t>,</w:t>
      </w:r>
      <w:r w:rsidRPr="00236227">
        <w:rPr>
          <w:rFonts w:ascii="Arial" w:hAnsi="Arial" w:cs="Arial"/>
          <w:i/>
          <w:sz w:val="24"/>
          <w:szCs w:val="24"/>
        </w:rPr>
        <w:t xml:space="preserve"> the Net Change in Principal Balance in the GL in the 2017 GA Analysis does not include the general journal adjustment which would be offset by the credit reconciling item. </w:t>
      </w:r>
    </w:p>
    <w:p w:rsidR="00236227" w:rsidRPr="00236227" w:rsidRDefault="008B2414" w:rsidP="00236227">
      <w:pPr>
        <w:spacing w:after="160" w:line="259" w:lineRule="auto"/>
        <w:rPr>
          <w:rFonts w:ascii="Arial" w:hAnsi="Arial" w:cs="Arial"/>
          <w:i/>
          <w:sz w:val="24"/>
          <w:szCs w:val="24"/>
        </w:rPr>
      </w:pPr>
      <w:r>
        <w:rPr>
          <w:rFonts w:ascii="Arial" w:hAnsi="Arial" w:cs="Arial"/>
          <w:i/>
          <w:sz w:val="24"/>
          <w:szCs w:val="24"/>
        </w:rPr>
        <w:t>Therefore,</w:t>
      </w:r>
      <w:r w:rsidR="00236227" w:rsidRPr="00236227">
        <w:rPr>
          <w:rFonts w:ascii="Arial" w:hAnsi="Arial" w:cs="Arial"/>
          <w:i/>
          <w:sz w:val="24"/>
          <w:szCs w:val="24"/>
        </w:rPr>
        <w:t xml:space="preserve"> the unresolved difference remains at $2,543 and below the 1% materiality threshold.</w:t>
      </w:r>
    </w:p>
    <w:p w:rsidR="00D1286A" w:rsidRPr="003D404F" w:rsidRDefault="00D1286A" w:rsidP="00D1286A">
      <w:pPr>
        <w:rPr>
          <w:rFonts w:ascii="Arial" w:hAnsi="Arial" w:cs="Arial"/>
          <w:b/>
          <w:sz w:val="24"/>
          <w:szCs w:val="24"/>
        </w:rPr>
      </w:pPr>
    </w:p>
    <w:p w:rsidR="00D1286A" w:rsidRPr="003D404F" w:rsidRDefault="00D1286A" w:rsidP="003D404F">
      <w:pPr>
        <w:spacing w:after="0"/>
        <w:rPr>
          <w:rFonts w:ascii="Arial" w:hAnsi="Arial" w:cs="Arial"/>
          <w:sz w:val="24"/>
          <w:szCs w:val="24"/>
        </w:rPr>
      </w:pPr>
      <w:r w:rsidRPr="003D404F">
        <w:rPr>
          <w:rFonts w:ascii="Arial" w:hAnsi="Arial" w:cs="Arial"/>
          <w:b/>
          <w:sz w:val="24"/>
          <w:szCs w:val="24"/>
        </w:rPr>
        <w:t>Staff Question #</w:t>
      </w:r>
      <w:r w:rsidR="00EB4EDC">
        <w:rPr>
          <w:rFonts w:ascii="Arial" w:hAnsi="Arial" w:cs="Arial"/>
          <w:b/>
          <w:sz w:val="24"/>
          <w:szCs w:val="24"/>
        </w:rPr>
        <w:t>5</w:t>
      </w:r>
    </w:p>
    <w:p w:rsidR="00D1286A" w:rsidRDefault="00D1286A" w:rsidP="003D404F">
      <w:pPr>
        <w:spacing w:after="0" w:line="240" w:lineRule="auto"/>
        <w:rPr>
          <w:rFonts w:ascii="Arial" w:hAnsi="Arial" w:cs="Arial"/>
          <w:b/>
          <w:sz w:val="24"/>
          <w:szCs w:val="24"/>
        </w:rPr>
      </w:pPr>
      <w:r w:rsidRPr="003D404F">
        <w:rPr>
          <w:rFonts w:ascii="Arial" w:hAnsi="Arial" w:cs="Arial"/>
          <w:b/>
          <w:sz w:val="24"/>
          <w:szCs w:val="24"/>
        </w:rPr>
        <w:t>Ref: Application page 7 of 9</w:t>
      </w:r>
    </w:p>
    <w:p w:rsidR="003D404F" w:rsidRPr="003D404F" w:rsidRDefault="003D404F" w:rsidP="003D404F">
      <w:pPr>
        <w:spacing w:after="0" w:line="240" w:lineRule="auto"/>
        <w:rPr>
          <w:rFonts w:ascii="Arial" w:hAnsi="Arial" w:cs="Arial"/>
          <w:sz w:val="24"/>
          <w:szCs w:val="24"/>
        </w:rPr>
      </w:pPr>
    </w:p>
    <w:p w:rsidR="00D1286A" w:rsidRPr="003D404F" w:rsidRDefault="00D1286A" w:rsidP="00D1286A">
      <w:pPr>
        <w:rPr>
          <w:rFonts w:ascii="Arial" w:hAnsi="Arial" w:cs="Arial"/>
          <w:sz w:val="24"/>
          <w:szCs w:val="24"/>
        </w:rPr>
      </w:pPr>
      <w:r w:rsidRPr="003D404F">
        <w:rPr>
          <w:rFonts w:ascii="Arial" w:hAnsi="Arial" w:cs="Arial"/>
          <w:sz w:val="24"/>
          <w:szCs w:val="24"/>
        </w:rPr>
        <w:t>Northern Ontario Wires is proposing to refund its transitional Class A customer from 2017 their attributable GA and CBR amounts as a one-time adjustment rather than twelve equal instalments.</w:t>
      </w:r>
    </w:p>
    <w:p w:rsidR="00D1286A" w:rsidRDefault="00D1286A" w:rsidP="00D1286A">
      <w:pPr>
        <w:rPr>
          <w:rFonts w:ascii="Arial" w:hAnsi="Arial" w:cs="Arial"/>
          <w:sz w:val="24"/>
          <w:szCs w:val="24"/>
        </w:rPr>
      </w:pPr>
      <w:r w:rsidRPr="003D404F">
        <w:rPr>
          <w:rFonts w:ascii="Arial" w:hAnsi="Arial" w:cs="Arial"/>
          <w:sz w:val="24"/>
          <w:szCs w:val="24"/>
        </w:rPr>
        <w:t>Please indicate in which month Northern Ontario Wires is proposing to issue this refund.</w:t>
      </w:r>
    </w:p>
    <w:p w:rsidR="00FB21B3" w:rsidRPr="00FB21B3" w:rsidRDefault="00FB21B3" w:rsidP="00D1286A">
      <w:pPr>
        <w:rPr>
          <w:rFonts w:ascii="Arial" w:hAnsi="Arial" w:cs="Arial"/>
          <w:i/>
          <w:sz w:val="24"/>
          <w:szCs w:val="24"/>
        </w:rPr>
      </w:pPr>
      <w:r>
        <w:rPr>
          <w:rFonts w:ascii="Arial" w:hAnsi="Arial" w:cs="Arial"/>
          <w:i/>
          <w:sz w:val="24"/>
          <w:szCs w:val="24"/>
        </w:rPr>
        <w:t>NOW Inc. is proposing to issue the refund when billing May 2019 consumption which would be on the June 2019 billing.</w:t>
      </w:r>
    </w:p>
    <w:p w:rsidR="003D404F" w:rsidRDefault="003D404F" w:rsidP="003D404F">
      <w:pPr>
        <w:spacing w:after="0"/>
        <w:rPr>
          <w:rFonts w:ascii="Arial" w:hAnsi="Arial" w:cs="Arial"/>
          <w:b/>
          <w:sz w:val="24"/>
          <w:szCs w:val="24"/>
        </w:rPr>
      </w:pPr>
    </w:p>
    <w:p w:rsidR="00D1286A" w:rsidRPr="003D404F" w:rsidRDefault="00D1286A" w:rsidP="003D404F">
      <w:pPr>
        <w:spacing w:after="0"/>
        <w:rPr>
          <w:rFonts w:ascii="Arial" w:hAnsi="Arial" w:cs="Arial"/>
          <w:sz w:val="24"/>
          <w:szCs w:val="24"/>
        </w:rPr>
      </w:pPr>
      <w:r w:rsidRPr="003D404F">
        <w:rPr>
          <w:rFonts w:ascii="Arial" w:hAnsi="Arial" w:cs="Arial"/>
          <w:b/>
          <w:sz w:val="24"/>
          <w:szCs w:val="24"/>
        </w:rPr>
        <w:t>Staff Question #</w:t>
      </w:r>
      <w:r w:rsidR="00EB4EDC">
        <w:rPr>
          <w:rFonts w:ascii="Arial" w:hAnsi="Arial" w:cs="Arial"/>
          <w:b/>
          <w:sz w:val="24"/>
          <w:szCs w:val="24"/>
        </w:rPr>
        <w:t>6</w:t>
      </w:r>
    </w:p>
    <w:p w:rsidR="003D404F" w:rsidRDefault="00D1286A" w:rsidP="003D404F">
      <w:pPr>
        <w:spacing w:after="0" w:line="240" w:lineRule="auto"/>
        <w:rPr>
          <w:rFonts w:ascii="Arial" w:hAnsi="Arial" w:cs="Arial"/>
          <w:b/>
          <w:sz w:val="24"/>
          <w:szCs w:val="24"/>
        </w:rPr>
      </w:pPr>
      <w:r w:rsidRPr="003D404F">
        <w:rPr>
          <w:rFonts w:ascii="Arial" w:hAnsi="Arial" w:cs="Arial"/>
          <w:b/>
          <w:sz w:val="24"/>
          <w:szCs w:val="24"/>
        </w:rPr>
        <w:t xml:space="preserve">Ref: Application page 7 of 9; GA Analysis </w:t>
      </w:r>
      <w:proofErr w:type="spellStart"/>
      <w:r w:rsidRPr="003D404F">
        <w:rPr>
          <w:rFonts w:ascii="Arial" w:hAnsi="Arial" w:cs="Arial"/>
          <w:b/>
          <w:sz w:val="24"/>
          <w:szCs w:val="24"/>
        </w:rPr>
        <w:t>Workform</w:t>
      </w:r>
      <w:proofErr w:type="spellEnd"/>
    </w:p>
    <w:p w:rsidR="003D404F" w:rsidRPr="003D404F" w:rsidRDefault="003D404F" w:rsidP="003D404F">
      <w:pPr>
        <w:spacing w:after="0" w:line="240" w:lineRule="auto"/>
        <w:rPr>
          <w:rFonts w:ascii="Arial" w:hAnsi="Arial" w:cs="Arial"/>
          <w:b/>
          <w:sz w:val="24"/>
          <w:szCs w:val="24"/>
        </w:rPr>
      </w:pPr>
    </w:p>
    <w:p w:rsidR="00D1286A" w:rsidRPr="003D404F" w:rsidRDefault="00D1286A" w:rsidP="003D404F">
      <w:pPr>
        <w:spacing w:after="0" w:line="240" w:lineRule="auto"/>
        <w:rPr>
          <w:rFonts w:ascii="Arial" w:hAnsi="Arial" w:cs="Arial"/>
          <w:sz w:val="24"/>
          <w:szCs w:val="24"/>
        </w:rPr>
      </w:pPr>
      <w:r w:rsidRPr="003D404F">
        <w:rPr>
          <w:rFonts w:ascii="Arial" w:hAnsi="Arial" w:cs="Arial"/>
          <w:sz w:val="24"/>
          <w:szCs w:val="24"/>
        </w:rPr>
        <w:t xml:space="preserve">Northern Ontario Wires has included a debit adjustment of $252,264 to Account 1588 and a credit adjustment of $252,264 to Account 1589 to account for Class A </w:t>
      </w:r>
      <w:r w:rsidRPr="003D404F">
        <w:rPr>
          <w:rFonts w:ascii="Arial" w:hAnsi="Arial" w:cs="Arial"/>
          <w:sz w:val="24"/>
          <w:szCs w:val="24"/>
        </w:rPr>
        <w:lastRenderedPageBreak/>
        <w:t>consumption that was incorrectly factored into the split of GA expenses between RPP and Non-RPP customers.</w:t>
      </w:r>
    </w:p>
    <w:p w:rsidR="00900AD4" w:rsidRDefault="00D1286A" w:rsidP="00D1286A">
      <w:pPr>
        <w:pStyle w:val="ListParagraph"/>
        <w:numPr>
          <w:ilvl w:val="0"/>
          <w:numId w:val="26"/>
        </w:numPr>
        <w:spacing w:after="160" w:line="259" w:lineRule="auto"/>
        <w:rPr>
          <w:rFonts w:ascii="Arial" w:hAnsi="Arial" w:cs="Arial"/>
          <w:sz w:val="24"/>
          <w:szCs w:val="24"/>
        </w:rPr>
      </w:pPr>
      <w:r w:rsidRPr="003D404F">
        <w:rPr>
          <w:rFonts w:ascii="Arial" w:hAnsi="Arial" w:cs="Arial"/>
          <w:sz w:val="24"/>
          <w:szCs w:val="24"/>
        </w:rPr>
        <w:t>Please provide the supporting calculations for how this number was quantified. Specifically, please show what the RPP/Non-RPP consumption splits were for the affected period(s), how the Class A consumption was determined, and how the correct RPP/Non-RPP splits were calculated.</w:t>
      </w:r>
    </w:p>
    <w:p w:rsidR="00D1286A" w:rsidRDefault="00900AD4" w:rsidP="00900AD4">
      <w:pPr>
        <w:spacing w:after="160" w:line="259" w:lineRule="auto"/>
        <w:ind w:left="360"/>
        <w:rPr>
          <w:rFonts w:ascii="Arial" w:hAnsi="Arial" w:cs="Arial"/>
          <w:i/>
          <w:sz w:val="24"/>
          <w:szCs w:val="24"/>
        </w:rPr>
      </w:pPr>
      <w:r w:rsidRPr="00900AD4">
        <w:rPr>
          <w:rFonts w:ascii="Arial" w:hAnsi="Arial" w:cs="Arial"/>
          <w:i/>
          <w:sz w:val="24"/>
          <w:szCs w:val="24"/>
        </w:rPr>
        <w:t>See attached image for results of how the $252,264 was quantified. Included in the image are the change in RPP/Non RPP consumption sp</w:t>
      </w:r>
      <w:r w:rsidR="00D27DE0">
        <w:rPr>
          <w:rFonts w:ascii="Arial" w:hAnsi="Arial" w:cs="Arial"/>
          <w:i/>
          <w:sz w:val="24"/>
          <w:szCs w:val="24"/>
        </w:rPr>
        <w:t>l</w:t>
      </w:r>
      <w:r w:rsidRPr="00900AD4">
        <w:rPr>
          <w:rFonts w:ascii="Arial" w:hAnsi="Arial" w:cs="Arial"/>
          <w:i/>
          <w:sz w:val="24"/>
          <w:szCs w:val="24"/>
        </w:rPr>
        <w:t>its, once Class A consumption was removed. The periods impacted were from July to December when NOW Inc. first customer migrated to Class A. The Class A consumption was taken from the Class A customer account and removed from the Non-RPP billed consumption used to calculate the RPP/Non-RPP split.</w:t>
      </w:r>
      <w:r w:rsidR="00D1286A" w:rsidRPr="00900AD4">
        <w:rPr>
          <w:rFonts w:ascii="Arial" w:hAnsi="Arial" w:cs="Arial"/>
          <w:i/>
          <w:sz w:val="24"/>
          <w:szCs w:val="24"/>
        </w:rPr>
        <w:t xml:space="preserve"> </w:t>
      </w:r>
      <w:r w:rsidRPr="00900AD4">
        <w:rPr>
          <w:rFonts w:ascii="Arial" w:hAnsi="Arial" w:cs="Arial"/>
          <w:i/>
          <w:sz w:val="24"/>
          <w:szCs w:val="24"/>
        </w:rPr>
        <w:t>The $252,264 amount was determined by calculating the variance between the consumption splits that include and exclude Class A consumption multiplied by the amount billed by the IESO Type 148.</w:t>
      </w:r>
    </w:p>
    <w:p w:rsidR="00900AD4" w:rsidRDefault="00D2162C" w:rsidP="00F679B6">
      <w:pPr>
        <w:spacing w:after="160" w:line="259" w:lineRule="auto"/>
        <w:ind w:left="-567" w:right="-705"/>
        <w:rPr>
          <w:rFonts w:ascii="Arial" w:hAnsi="Arial" w:cs="Arial"/>
          <w:i/>
          <w:sz w:val="24"/>
          <w:szCs w:val="24"/>
        </w:rPr>
      </w:pPr>
      <w:r w:rsidRPr="00D2162C">
        <w:rPr>
          <w:noProof/>
          <w:lang w:eastAsia="en-CA"/>
        </w:rPr>
        <w:drawing>
          <wp:inline distT="0" distB="0" distL="0" distR="0">
            <wp:extent cx="6605626" cy="3293373"/>
            <wp:effectExtent l="0" t="0" r="508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17294" cy="3299190"/>
                    </a:xfrm>
                    <a:prstGeom prst="rect">
                      <a:avLst/>
                    </a:prstGeom>
                    <a:noFill/>
                    <a:ln>
                      <a:noFill/>
                    </a:ln>
                  </pic:spPr>
                </pic:pic>
              </a:graphicData>
            </a:graphic>
          </wp:inline>
        </w:drawing>
      </w:r>
    </w:p>
    <w:p w:rsidR="00900AD4" w:rsidRPr="00900AD4" w:rsidRDefault="00900AD4" w:rsidP="00900AD4">
      <w:pPr>
        <w:spacing w:after="160" w:line="259" w:lineRule="auto"/>
        <w:ind w:left="360"/>
        <w:rPr>
          <w:rFonts w:ascii="Arial" w:hAnsi="Arial" w:cs="Arial"/>
          <w:i/>
          <w:sz w:val="24"/>
          <w:szCs w:val="24"/>
        </w:rPr>
      </w:pPr>
    </w:p>
    <w:p w:rsidR="00D1286A" w:rsidRDefault="00D1286A" w:rsidP="00D1286A">
      <w:pPr>
        <w:pStyle w:val="ListParagraph"/>
        <w:numPr>
          <w:ilvl w:val="0"/>
          <w:numId w:val="26"/>
        </w:numPr>
        <w:spacing w:after="160" w:line="259" w:lineRule="auto"/>
        <w:rPr>
          <w:rFonts w:ascii="Arial" w:hAnsi="Arial" w:cs="Arial"/>
          <w:sz w:val="24"/>
          <w:szCs w:val="24"/>
        </w:rPr>
      </w:pPr>
      <w:r w:rsidRPr="003D404F">
        <w:rPr>
          <w:rFonts w:ascii="Arial" w:hAnsi="Arial" w:cs="Arial"/>
          <w:sz w:val="24"/>
          <w:szCs w:val="24"/>
        </w:rPr>
        <w:t>Please indicate which months these reallocations affect.</w:t>
      </w:r>
    </w:p>
    <w:p w:rsidR="00D27DE0" w:rsidRPr="00D27DE0" w:rsidRDefault="00D27DE0" w:rsidP="00D27DE0">
      <w:pPr>
        <w:spacing w:after="160" w:line="259" w:lineRule="auto"/>
        <w:rPr>
          <w:rFonts w:ascii="Arial" w:hAnsi="Arial" w:cs="Arial"/>
          <w:i/>
          <w:sz w:val="24"/>
          <w:szCs w:val="24"/>
        </w:rPr>
      </w:pPr>
      <w:r w:rsidRPr="00D27DE0">
        <w:rPr>
          <w:rFonts w:ascii="Arial" w:hAnsi="Arial" w:cs="Arial"/>
          <w:i/>
          <w:sz w:val="24"/>
          <w:szCs w:val="24"/>
        </w:rPr>
        <w:t>As seen in a) the impacted months are from July to December.</w:t>
      </w:r>
    </w:p>
    <w:p w:rsidR="00D1286A" w:rsidRDefault="00D1286A" w:rsidP="00D1286A">
      <w:pPr>
        <w:pStyle w:val="ListParagraph"/>
        <w:numPr>
          <w:ilvl w:val="0"/>
          <w:numId w:val="26"/>
        </w:numPr>
        <w:spacing w:after="160" w:line="259" w:lineRule="auto"/>
        <w:rPr>
          <w:rFonts w:ascii="Arial" w:hAnsi="Arial" w:cs="Arial"/>
          <w:sz w:val="24"/>
          <w:szCs w:val="24"/>
        </w:rPr>
      </w:pPr>
      <w:r w:rsidRPr="003D404F">
        <w:rPr>
          <w:rFonts w:ascii="Arial" w:hAnsi="Arial" w:cs="Arial"/>
          <w:sz w:val="24"/>
          <w:szCs w:val="24"/>
        </w:rPr>
        <w:t>Please indicate in which fiscal year this adjustment was recorded in Northern Ontario Wires’ general ledger.</w:t>
      </w:r>
    </w:p>
    <w:p w:rsidR="00D27DE0" w:rsidRPr="00D27DE0" w:rsidRDefault="00D27DE0" w:rsidP="00D27DE0">
      <w:pPr>
        <w:spacing w:after="160" w:line="259" w:lineRule="auto"/>
        <w:rPr>
          <w:rFonts w:ascii="Arial" w:hAnsi="Arial" w:cs="Arial"/>
          <w:i/>
          <w:sz w:val="24"/>
          <w:szCs w:val="24"/>
        </w:rPr>
      </w:pPr>
      <w:r w:rsidRPr="00D27DE0">
        <w:rPr>
          <w:rFonts w:ascii="Arial" w:hAnsi="Arial" w:cs="Arial"/>
          <w:i/>
          <w:sz w:val="24"/>
          <w:szCs w:val="24"/>
        </w:rPr>
        <w:t>The adjustment was recorded in NOW Inc.’s general ledger in 2018.</w:t>
      </w:r>
    </w:p>
    <w:p w:rsidR="00D1286A" w:rsidRDefault="00D1286A" w:rsidP="00D1286A">
      <w:pPr>
        <w:pStyle w:val="ListParagraph"/>
        <w:numPr>
          <w:ilvl w:val="0"/>
          <w:numId w:val="26"/>
        </w:numPr>
        <w:spacing w:after="160" w:line="259" w:lineRule="auto"/>
        <w:rPr>
          <w:rFonts w:ascii="Arial" w:hAnsi="Arial" w:cs="Arial"/>
          <w:sz w:val="24"/>
          <w:szCs w:val="24"/>
        </w:rPr>
      </w:pPr>
      <w:r w:rsidRPr="003D404F">
        <w:rPr>
          <w:rFonts w:ascii="Arial" w:hAnsi="Arial" w:cs="Arial"/>
          <w:sz w:val="24"/>
          <w:szCs w:val="24"/>
        </w:rPr>
        <w:lastRenderedPageBreak/>
        <w:t>Please confirm that this reallocation of GA expenses is a correction of prior splits of IESO Charge Type 148 and would not affect the RPP Settlement True-up amounts of Northern Ontario Wires for the months in question.</w:t>
      </w:r>
    </w:p>
    <w:p w:rsidR="00D27DE0" w:rsidRPr="00D27DE0" w:rsidRDefault="00D27DE0" w:rsidP="00D27DE0">
      <w:pPr>
        <w:spacing w:after="160" w:line="259" w:lineRule="auto"/>
        <w:rPr>
          <w:rFonts w:ascii="Arial" w:hAnsi="Arial" w:cs="Arial"/>
          <w:i/>
          <w:sz w:val="24"/>
          <w:szCs w:val="24"/>
        </w:rPr>
      </w:pPr>
      <w:r w:rsidRPr="00D27DE0">
        <w:rPr>
          <w:rFonts w:ascii="Arial" w:hAnsi="Arial" w:cs="Arial"/>
          <w:i/>
          <w:sz w:val="24"/>
          <w:szCs w:val="24"/>
        </w:rPr>
        <w:t>NOW Inc. confirms that this reallocation of GA expenses is a correction of prior splits of IESO Charge Type 148 and does not affect the RPP Settlement True-up amounts.</w:t>
      </w:r>
    </w:p>
    <w:p w:rsidR="00D1286A" w:rsidRPr="003D404F" w:rsidRDefault="00D1286A" w:rsidP="00D1286A">
      <w:pPr>
        <w:rPr>
          <w:rFonts w:ascii="Arial" w:hAnsi="Arial" w:cs="Arial"/>
          <w:sz w:val="24"/>
          <w:szCs w:val="24"/>
        </w:rPr>
      </w:pPr>
    </w:p>
    <w:p w:rsidR="00D1286A" w:rsidRPr="003D404F" w:rsidRDefault="00EB4EDC" w:rsidP="003D404F">
      <w:pPr>
        <w:spacing w:after="0"/>
        <w:rPr>
          <w:rFonts w:ascii="Arial" w:hAnsi="Arial" w:cs="Arial"/>
          <w:sz w:val="24"/>
          <w:szCs w:val="24"/>
        </w:rPr>
      </w:pPr>
      <w:r>
        <w:rPr>
          <w:rFonts w:ascii="Arial" w:hAnsi="Arial" w:cs="Arial"/>
          <w:b/>
          <w:sz w:val="24"/>
          <w:szCs w:val="24"/>
        </w:rPr>
        <w:t>Staff Question #7</w:t>
      </w:r>
    </w:p>
    <w:p w:rsidR="00D1286A" w:rsidRPr="003D404F" w:rsidRDefault="00D1286A" w:rsidP="003D404F">
      <w:pPr>
        <w:spacing w:after="0" w:line="240" w:lineRule="auto"/>
        <w:rPr>
          <w:rFonts w:ascii="Arial" w:hAnsi="Arial" w:cs="Arial"/>
          <w:b/>
          <w:sz w:val="24"/>
          <w:szCs w:val="24"/>
        </w:rPr>
      </w:pPr>
      <w:r w:rsidRPr="003D404F">
        <w:rPr>
          <w:rFonts w:ascii="Arial" w:hAnsi="Arial" w:cs="Arial"/>
          <w:b/>
          <w:sz w:val="24"/>
          <w:szCs w:val="24"/>
        </w:rPr>
        <w:t xml:space="preserve">Ref: Application page 7 of 9; GA Analysis </w:t>
      </w:r>
      <w:proofErr w:type="spellStart"/>
      <w:r w:rsidRPr="003D404F">
        <w:rPr>
          <w:rFonts w:ascii="Arial" w:hAnsi="Arial" w:cs="Arial"/>
          <w:b/>
          <w:sz w:val="24"/>
          <w:szCs w:val="24"/>
        </w:rPr>
        <w:t>Workform</w:t>
      </w:r>
      <w:proofErr w:type="spellEnd"/>
    </w:p>
    <w:p w:rsidR="003D404F" w:rsidRDefault="003D404F" w:rsidP="003D404F">
      <w:pPr>
        <w:spacing w:after="0"/>
        <w:rPr>
          <w:rFonts w:ascii="Arial" w:hAnsi="Arial" w:cs="Arial"/>
          <w:sz w:val="24"/>
          <w:szCs w:val="24"/>
        </w:rPr>
      </w:pPr>
    </w:p>
    <w:p w:rsidR="00D1286A" w:rsidRPr="003D404F" w:rsidRDefault="00D1286A" w:rsidP="003D404F">
      <w:pPr>
        <w:spacing w:after="0"/>
        <w:rPr>
          <w:rFonts w:ascii="Arial" w:hAnsi="Arial" w:cs="Arial"/>
          <w:sz w:val="24"/>
          <w:szCs w:val="24"/>
        </w:rPr>
      </w:pPr>
      <w:r w:rsidRPr="003D404F">
        <w:rPr>
          <w:rFonts w:ascii="Arial" w:hAnsi="Arial" w:cs="Arial"/>
          <w:sz w:val="24"/>
          <w:szCs w:val="24"/>
        </w:rPr>
        <w:t>Northern Ontario Wires indicated that a correction for an IESO bill in December 2017 will result in a credit of $82,113 being received (and has split the credit as $42,452 to Account 1588 and $39,661 to Account 1589).</w:t>
      </w:r>
    </w:p>
    <w:p w:rsidR="00D1286A" w:rsidRDefault="00D1286A" w:rsidP="00D1286A">
      <w:pPr>
        <w:pStyle w:val="ListParagraph"/>
        <w:numPr>
          <w:ilvl w:val="0"/>
          <w:numId w:val="27"/>
        </w:numPr>
        <w:spacing w:after="160" w:line="259" w:lineRule="auto"/>
        <w:rPr>
          <w:rFonts w:ascii="Arial" w:hAnsi="Arial" w:cs="Arial"/>
          <w:sz w:val="24"/>
          <w:szCs w:val="24"/>
        </w:rPr>
      </w:pPr>
      <w:r w:rsidRPr="003D404F">
        <w:rPr>
          <w:rFonts w:ascii="Arial" w:hAnsi="Arial" w:cs="Arial"/>
          <w:sz w:val="24"/>
          <w:szCs w:val="24"/>
        </w:rPr>
        <w:t>Please indicate when this over-charge was discovered.</w:t>
      </w:r>
    </w:p>
    <w:p w:rsidR="002C125F" w:rsidRPr="002C125F" w:rsidRDefault="002C125F" w:rsidP="002C125F">
      <w:pPr>
        <w:spacing w:after="160" w:line="259" w:lineRule="auto"/>
        <w:rPr>
          <w:rFonts w:ascii="Arial" w:hAnsi="Arial" w:cs="Arial"/>
          <w:i/>
          <w:sz w:val="24"/>
          <w:szCs w:val="24"/>
        </w:rPr>
      </w:pPr>
      <w:r w:rsidRPr="002C125F">
        <w:rPr>
          <w:rFonts w:ascii="Arial" w:hAnsi="Arial" w:cs="Arial"/>
          <w:i/>
          <w:sz w:val="24"/>
          <w:szCs w:val="24"/>
        </w:rPr>
        <w:t>This over-charge was discovered in April 2018.</w:t>
      </w:r>
    </w:p>
    <w:p w:rsidR="00D1286A" w:rsidRDefault="00D1286A" w:rsidP="00D1286A">
      <w:pPr>
        <w:pStyle w:val="ListParagraph"/>
        <w:numPr>
          <w:ilvl w:val="0"/>
          <w:numId w:val="27"/>
        </w:numPr>
        <w:spacing w:after="160" w:line="259" w:lineRule="auto"/>
        <w:rPr>
          <w:rFonts w:ascii="Arial" w:hAnsi="Arial" w:cs="Arial"/>
          <w:sz w:val="24"/>
          <w:szCs w:val="24"/>
        </w:rPr>
      </w:pPr>
      <w:r w:rsidRPr="003D404F">
        <w:rPr>
          <w:rFonts w:ascii="Arial" w:hAnsi="Arial" w:cs="Arial"/>
          <w:sz w:val="24"/>
          <w:szCs w:val="24"/>
        </w:rPr>
        <w:t>Please indicate in which fiscal year the credit has been recorded in the general ledger of Northern Ontario Wires.</w:t>
      </w:r>
    </w:p>
    <w:p w:rsidR="002C125F" w:rsidRPr="002C125F" w:rsidRDefault="002C125F" w:rsidP="002C125F">
      <w:pPr>
        <w:spacing w:after="160" w:line="259" w:lineRule="auto"/>
        <w:rPr>
          <w:rFonts w:ascii="Arial" w:hAnsi="Arial" w:cs="Arial"/>
          <w:i/>
          <w:sz w:val="24"/>
          <w:szCs w:val="24"/>
        </w:rPr>
      </w:pPr>
      <w:r w:rsidRPr="002C125F">
        <w:rPr>
          <w:rFonts w:ascii="Arial" w:hAnsi="Arial" w:cs="Arial"/>
          <w:i/>
          <w:sz w:val="24"/>
          <w:szCs w:val="24"/>
        </w:rPr>
        <w:t>The credit has been recorded in the 2018 fiscal year.</w:t>
      </w:r>
    </w:p>
    <w:p w:rsidR="00D1286A" w:rsidRDefault="00D1286A" w:rsidP="00D1286A">
      <w:pPr>
        <w:pStyle w:val="ListParagraph"/>
        <w:numPr>
          <w:ilvl w:val="0"/>
          <w:numId w:val="27"/>
        </w:numPr>
        <w:spacing w:after="160" w:line="259" w:lineRule="auto"/>
        <w:rPr>
          <w:rFonts w:ascii="Arial" w:hAnsi="Arial" w:cs="Arial"/>
          <w:sz w:val="24"/>
          <w:szCs w:val="24"/>
        </w:rPr>
      </w:pPr>
      <w:r w:rsidRPr="003D404F">
        <w:rPr>
          <w:rFonts w:ascii="Arial" w:hAnsi="Arial" w:cs="Arial"/>
          <w:sz w:val="24"/>
          <w:szCs w:val="24"/>
        </w:rPr>
        <w:t>At this point, has the IESO acknowledged this error and confirmed that a credit in this amount will be provided to Northern Ontario Wires?</w:t>
      </w:r>
    </w:p>
    <w:p w:rsidR="002C125F" w:rsidRPr="002C125F" w:rsidRDefault="002C125F" w:rsidP="002C125F">
      <w:pPr>
        <w:spacing w:after="160" w:line="259" w:lineRule="auto"/>
        <w:rPr>
          <w:rFonts w:ascii="Arial" w:hAnsi="Arial" w:cs="Arial"/>
          <w:i/>
          <w:sz w:val="24"/>
          <w:szCs w:val="24"/>
        </w:rPr>
      </w:pPr>
      <w:r w:rsidRPr="002C125F">
        <w:rPr>
          <w:rFonts w:ascii="Arial" w:hAnsi="Arial" w:cs="Arial"/>
          <w:i/>
          <w:sz w:val="24"/>
          <w:szCs w:val="24"/>
        </w:rPr>
        <w:t>The IESO has acknowledged the error and have indicated that settlements should have it corrected on the December 2018 invoice.</w:t>
      </w:r>
    </w:p>
    <w:p w:rsidR="003D404F" w:rsidRDefault="003D404F" w:rsidP="00D1286A">
      <w:pPr>
        <w:rPr>
          <w:rFonts w:ascii="Arial" w:hAnsi="Arial" w:cs="Arial"/>
          <w:b/>
          <w:sz w:val="24"/>
          <w:szCs w:val="24"/>
        </w:rPr>
      </w:pPr>
    </w:p>
    <w:p w:rsidR="00D1286A" w:rsidRPr="003D404F" w:rsidRDefault="00EB4EDC" w:rsidP="003D404F">
      <w:pPr>
        <w:spacing w:after="0"/>
        <w:rPr>
          <w:rFonts w:ascii="Arial" w:hAnsi="Arial" w:cs="Arial"/>
          <w:b/>
          <w:sz w:val="24"/>
          <w:szCs w:val="24"/>
        </w:rPr>
      </w:pPr>
      <w:r>
        <w:rPr>
          <w:rFonts w:ascii="Arial" w:hAnsi="Arial" w:cs="Arial"/>
          <w:b/>
          <w:sz w:val="24"/>
          <w:szCs w:val="24"/>
        </w:rPr>
        <w:t>Staff Question #8</w:t>
      </w:r>
    </w:p>
    <w:p w:rsidR="00D1286A" w:rsidRDefault="00D1286A" w:rsidP="003D404F">
      <w:pPr>
        <w:spacing w:after="0"/>
        <w:rPr>
          <w:rFonts w:ascii="Arial" w:hAnsi="Arial" w:cs="Arial"/>
          <w:b/>
          <w:sz w:val="24"/>
          <w:szCs w:val="24"/>
        </w:rPr>
      </w:pPr>
      <w:r w:rsidRPr="003D404F">
        <w:rPr>
          <w:rFonts w:ascii="Arial" w:hAnsi="Arial" w:cs="Arial"/>
          <w:b/>
          <w:sz w:val="24"/>
          <w:szCs w:val="24"/>
        </w:rPr>
        <w:t>Ref: Application page 5 of 9; 2019 Rate Generator Model</w:t>
      </w:r>
    </w:p>
    <w:p w:rsidR="003D404F" w:rsidRPr="003D404F" w:rsidRDefault="003D404F" w:rsidP="003D404F">
      <w:pPr>
        <w:spacing w:after="0"/>
        <w:rPr>
          <w:rFonts w:ascii="Arial" w:hAnsi="Arial" w:cs="Arial"/>
          <w:sz w:val="24"/>
          <w:szCs w:val="24"/>
        </w:rPr>
      </w:pPr>
    </w:p>
    <w:p w:rsidR="00D1286A" w:rsidRPr="003D404F" w:rsidRDefault="00D1286A" w:rsidP="00D1286A">
      <w:pPr>
        <w:rPr>
          <w:rFonts w:ascii="Arial" w:hAnsi="Arial" w:cs="Arial"/>
          <w:sz w:val="24"/>
          <w:szCs w:val="24"/>
        </w:rPr>
      </w:pPr>
      <w:r w:rsidRPr="003D404F">
        <w:rPr>
          <w:rFonts w:ascii="Arial" w:hAnsi="Arial" w:cs="Arial"/>
          <w:sz w:val="24"/>
          <w:szCs w:val="24"/>
        </w:rPr>
        <w:t>In Part 6 of the Application (Global Adjustment) Northern Ontario Wires has indicated:</w:t>
      </w:r>
    </w:p>
    <w:p w:rsidR="00D1286A" w:rsidRPr="003D404F" w:rsidRDefault="00D1286A" w:rsidP="00D1286A">
      <w:pPr>
        <w:rPr>
          <w:rFonts w:ascii="Arial" w:hAnsi="Arial" w:cs="Arial"/>
          <w:sz w:val="24"/>
          <w:szCs w:val="24"/>
        </w:rPr>
      </w:pPr>
      <w:r w:rsidRPr="003D404F">
        <w:rPr>
          <w:rFonts w:ascii="Arial" w:hAnsi="Arial" w:cs="Arial"/>
          <w:sz w:val="24"/>
          <w:szCs w:val="24"/>
        </w:rPr>
        <w:t>“TOU Meters are read at month end based on the calendar month. There is no estimate for these meters as actual consumption is provided…Conventional meters are read on the first of the month so no estimation is required.”</w:t>
      </w:r>
    </w:p>
    <w:p w:rsidR="00D1286A" w:rsidRPr="003D404F" w:rsidRDefault="00D1286A" w:rsidP="00D1286A">
      <w:pPr>
        <w:rPr>
          <w:rFonts w:ascii="Arial" w:hAnsi="Arial" w:cs="Arial"/>
          <w:sz w:val="24"/>
          <w:szCs w:val="24"/>
        </w:rPr>
      </w:pPr>
      <w:r w:rsidRPr="003D404F">
        <w:rPr>
          <w:rFonts w:ascii="Arial" w:hAnsi="Arial" w:cs="Arial"/>
          <w:sz w:val="24"/>
          <w:szCs w:val="24"/>
        </w:rPr>
        <w:t>In addition, Northern Ontario Wires has indicated:</w:t>
      </w:r>
    </w:p>
    <w:p w:rsidR="00D1286A" w:rsidRPr="003D404F" w:rsidRDefault="00D1286A" w:rsidP="00D1286A">
      <w:pPr>
        <w:rPr>
          <w:rFonts w:ascii="Arial" w:hAnsi="Arial" w:cs="Arial"/>
          <w:sz w:val="24"/>
          <w:szCs w:val="24"/>
        </w:rPr>
      </w:pPr>
      <w:r w:rsidRPr="003D404F">
        <w:rPr>
          <w:rFonts w:ascii="Arial" w:hAnsi="Arial" w:cs="Arial"/>
          <w:sz w:val="24"/>
          <w:szCs w:val="24"/>
        </w:rPr>
        <w:t>“As part of the RPP settlement process, NOW Inc. provides estimates to the IESO based on historical consumption and true up the consumption monthly as part of its settlement true up process as described below. The actual data is available in the subsequent month’s billing batches.”</w:t>
      </w:r>
    </w:p>
    <w:p w:rsidR="0032318E" w:rsidRDefault="00D1286A" w:rsidP="00D1286A">
      <w:pPr>
        <w:pStyle w:val="ListParagraph"/>
        <w:numPr>
          <w:ilvl w:val="0"/>
          <w:numId w:val="28"/>
        </w:numPr>
        <w:spacing w:after="160" w:line="259" w:lineRule="auto"/>
        <w:rPr>
          <w:rFonts w:ascii="Arial" w:hAnsi="Arial" w:cs="Arial"/>
          <w:sz w:val="24"/>
          <w:szCs w:val="24"/>
        </w:rPr>
      </w:pPr>
      <w:r w:rsidRPr="003D404F">
        <w:rPr>
          <w:rFonts w:ascii="Arial" w:hAnsi="Arial" w:cs="Arial"/>
          <w:sz w:val="24"/>
          <w:szCs w:val="24"/>
        </w:rPr>
        <w:lastRenderedPageBreak/>
        <w:t>Please explain or reconcile the two statements above. Specifically, why is there a need to provide estimates to the IESO initially and true up based on subsequent month’s billing batches, if actual consumption is available prior to the date in which initial RPP settlement amounts are reported to the IESO?</w:t>
      </w:r>
    </w:p>
    <w:p w:rsidR="0032318E" w:rsidRPr="0032318E" w:rsidRDefault="0032318E" w:rsidP="0032318E">
      <w:pPr>
        <w:spacing w:after="160" w:line="259" w:lineRule="auto"/>
        <w:rPr>
          <w:rFonts w:ascii="Arial" w:hAnsi="Arial" w:cs="Arial"/>
          <w:i/>
          <w:sz w:val="24"/>
          <w:szCs w:val="24"/>
        </w:rPr>
      </w:pPr>
      <w:r w:rsidRPr="0032318E">
        <w:rPr>
          <w:rFonts w:ascii="Arial" w:hAnsi="Arial" w:cs="Arial"/>
          <w:i/>
          <w:sz w:val="24"/>
          <w:szCs w:val="24"/>
        </w:rPr>
        <w:t xml:space="preserve">The statements above referring to no estimate on the meter reads and estimates provided to the IESO are a result of timing, and not estimated figures. The consumption that is read at the end of the month and reported to the IESO is actual consumption data. </w:t>
      </w:r>
    </w:p>
    <w:p w:rsidR="00D1286A" w:rsidRPr="0032318E" w:rsidRDefault="0032318E" w:rsidP="0032318E">
      <w:pPr>
        <w:spacing w:after="160" w:line="259" w:lineRule="auto"/>
        <w:rPr>
          <w:rFonts w:ascii="Arial" w:hAnsi="Arial" w:cs="Arial"/>
          <w:i/>
          <w:sz w:val="24"/>
          <w:szCs w:val="24"/>
        </w:rPr>
      </w:pPr>
      <w:r w:rsidRPr="0032318E">
        <w:rPr>
          <w:rFonts w:ascii="Arial" w:hAnsi="Arial" w:cs="Arial"/>
          <w:i/>
          <w:sz w:val="24"/>
          <w:szCs w:val="24"/>
        </w:rPr>
        <w:t>In the second statement above, the “estimates to the IESO” is in reference to actual consumption data that is from the previous month (</w:t>
      </w:r>
      <w:proofErr w:type="spellStart"/>
      <w:r w:rsidRPr="0032318E">
        <w:rPr>
          <w:rFonts w:ascii="Arial" w:hAnsi="Arial" w:cs="Arial"/>
          <w:i/>
          <w:sz w:val="24"/>
          <w:szCs w:val="24"/>
        </w:rPr>
        <w:t>Eg</w:t>
      </w:r>
      <w:proofErr w:type="spellEnd"/>
      <w:r w:rsidRPr="0032318E">
        <w:rPr>
          <w:rFonts w:ascii="Arial" w:hAnsi="Arial" w:cs="Arial"/>
          <w:i/>
          <w:sz w:val="24"/>
          <w:szCs w:val="24"/>
        </w:rPr>
        <w:t>. July Filing done in the first four days of August uses actual June consumption.) The true up for June is done and reported in the same July filing which results in a one-month lag on RPP true-ups. This format is done as a result of the timing of data in the NOW Inc. billing system. The actual consumption for the month of filing is only available in the subsequent month’s report.</w:t>
      </w:r>
      <w:r w:rsidR="00D1286A" w:rsidRPr="0032318E">
        <w:rPr>
          <w:rFonts w:ascii="Arial" w:hAnsi="Arial" w:cs="Arial"/>
          <w:i/>
          <w:sz w:val="24"/>
          <w:szCs w:val="24"/>
        </w:rPr>
        <w:t xml:space="preserve"> </w:t>
      </w:r>
    </w:p>
    <w:p w:rsidR="00D1286A" w:rsidRDefault="00D1286A" w:rsidP="00D1286A">
      <w:pPr>
        <w:pStyle w:val="ListParagraph"/>
        <w:numPr>
          <w:ilvl w:val="0"/>
          <w:numId w:val="28"/>
        </w:numPr>
        <w:spacing w:after="160" w:line="259" w:lineRule="auto"/>
        <w:rPr>
          <w:rFonts w:ascii="Arial" w:hAnsi="Arial" w:cs="Arial"/>
          <w:sz w:val="24"/>
          <w:szCs w:val="24"/>
        </w:rPr>
      </w:pPr>
      <w:r w:rsidRPr="003D404F">
        <w:rPr>
          <w:rFonts w:ascii="Arial" w:hAnsi="Arial" w:cs="Arial"/>
          <w:sz w:val="24"/>
          <w:szCs w:val="24"/>
        </w:rPr>
        <w:t>Please confirm that, with respect to the initial RPP Settlement figures (submitted four days after a particular month-end to the IESO), the only element of RPP Settlement that is based on estimates is the GA rate used (1</w:t>
      </w:r>
      <w:r w:rsidRPr="003D404F">
        <w:rPr>
          <w:rFonts w:ascii="Arial" w:hAnsi="Arial" w:cs="Arial"/>
          <w:sz w:val="24"/>
          <w:szCs w:val="24"/>
          <w:vertAlign w:val="superscript"/>
        </w:rPr>
        <w:t>st</w:t>
      </w:r>
      <w:r w:rsidRPr="003D404F">
        <w:rPr>
          <w:rFonts w:ascii="Arial" w:hAnsi="Arial" w:cs="Arial"/>
          <w:sz w:val="24"/>
          <w:szCs w:val="24"/>
        </w:rPr>
        <w:t xml:space="preserve"> or 2</w:t>
      </w:r>
      <w:r w:rsidRPr="003D404F">
        <w:rPr>
          <w:rFonts w:ascii="Arial" w:hAnsi="Arial" w:cs="Arial"/>
          <w:sz w:val="24"/>
          <w:szCs w:val="24"/>
          <w:vertAlign w:val="superscript"/>
        </w:rPr>
        <w:t>nd</w:t>
      </w:r>
      <w:r w:rsidRPr="003D404F">
        <w:rPr>
          <w:rFonts w:ascii="Arial" w:hAnsi="Arial" w:cs="Arial"/>
          <w:sz w:val="24"/>
          <w:szCs w:val="24"/>
        </w:rPr>
        <w:t xml:space="preserve"> estimate is used initially) to calculate the GA attributable to RPP customers in that particular settlement month which is subsequently trued up to actual GA rate. If not, please clarify OEB staff’s understanding of which items are being trued up for the purposes of RPP settlement each month. </w:t>
      </w:r>
    </w:p>
    <w:p w:rsidR="0032318E" w:rsidRPr="006C1106" w:rsidRDefault="006C1106" w:rsidP="0032318E">
      <w:pPr>
        <w:spacing w:after="160" w:line="259" w:lineRule="auto"/>
        <w:rPr>
          <w:rFonts w:ascii="Arial" w:hAnsi="Arial" w:cs="Arial"/>
          <w:i/>
          <w:sz w:val="24"/>
          <w:szCs w:val="24"/>
        </w:rPr>
      </w:pPr>
      <w:r w:rsidRPr="006C1106">
        <w:rPr>
          <w:rFonts w:ascii="Arial" w:hAnsi="Arial" w:cs="Arial"/>
          <w:i/>
          <w:sz w:val="24"/>
          <w:szCs w:val="24"/>
        </w:rPr>
        <w:t>NOW Inc. confirms that the only element of the RPP settlement that is based on estimates is the GA rate (first estimate) used to calculate the GA attributable to RPP customers in that particular settlement month which is subsequently trued up to the actual GA rate.</w:t>
      </w:r>
    </w:p>
    <w:p w:rsidR="00D1286A" w:rsidRDefault="00D1286A" w:rsidP="00D1286A">
      <w:pPr>
        <w:spacing w:after="0"/>
        <w:rPr>
          <w:rFonts w:ascii="Arial" w:hAnsi="Arial" w:cs="Arial"/>
          <w:b/>
          <w:sz w:val="24"/>
          <w:szCs w:val="24"/>
        </w:rPr>
      </w:pPr>
    </w:p>
    <w:p w:rsidR="002A447C" w:rsidRDefault="002A447C" w:rsidP="00D1286A">
      <w:pPr>
        <w:spacing w:after="0"/>
        <w:rPr>
          <w:rFonts w:ascii="Arial" w:hAnsi="Arial" w:cs="Arial"/>
          <w:b/>
          <w:sz w:val="24"/>
          <w:szCs w:val="24"/>
        </w:rPr>
      </w:pPr>
    </w:p>
    <w:p w:rsidR="002A447C" w:rsidRDefault="002A447C" w:rsidP="00D1286A">
      <w:pPr>
        <w:spacing w:after="0"/>
        <w:rPr>
          <w:rFonts w:ascii="Arial" w:hAnsi="Arial" w:cs="Arial"/>
          <w:b/>
          <w:sz w:val="24"/>
          <w:szCs w:val="24"/>
        </w:rPr>
      </w:pPr>
      <w:r>
        <w:rPr>
          <w:rFonts w:ascii="Arial" w:hAnsi="Arial" w:cs="Arial"/>
          <w:b/>
          <w:sz w:val="24"/>
          <w:szCs w:val="24"/>
        </w:rPr>
        <w:t>Update</w:t>
      </w:r>
      <w:r w:rsidR="00EB4EDC">
        <w:rPr>
          <w:rFonts w:ascii="Arial" w:hAnsi="Arial" w:cs="Arial"/>
          <w:b/>
          <w:sz w:val="24"/>
          <w:szCs w:val="24"/>
        </w:rPr>
        <w:t>s</w:t>
      </w:r>
      <w:r>
        <w:rPr>
          <w:rFonts w:ascii="Arial" w:hAnsi="Arial" w:cs="Arial"/>
          <w:b/>
          <w:sz w:val="24"/>
          <w:szCs w:val="24"/>
        </w:rPr>
        <w:t xml:space="preserve"> to the Rate Generator Model:</w:t>
      </w:r>
    </w:p>
    <w:p w:rsidR="00FF7D96" w:rsidRPr="005231A5" w:rsidRDefault="00FF7D96" w:rsidP="00FF7D96">
      <w:pPr>
        <w:pStyle w:val="ListParagraph"/>
        <w:numPr>
          <w:ilvl w:val="0"/>
          <w:numId w:val="30"/>
        </w:numPr>
        <w:autoSpaceDE w:val="0"/>
        <w:autoSpaceDN w:val="0"/>
        <w:adjustRightInd w:val="0"/>
        <w:spacing w:after="0" w:line="240" w:lineRule="auto"/>
        <w:rPr>
          <w:rFonts w:ascii="Arial" w:hAnsi="Arial" w:cs="Arial"/>
          <w:sz w:val="24"/>
          <w:szCs w:val="24"/>
        </w:rPr>
      </w:pPr>
      <w:r w:rsidRPr="005231A5">
        <w:rPr>
          <w:rFonts w:ascii="Arial" w:hAnsi="Arial" w:cs="Arial"/>
          <w:sz w:val="24"/>
          <w:szCs w:val="24"/>
        </w:rPr>
        <w:t>Tab 6.2a CBR_B Allocation Staff Question #3 above</w:t>
      </w:r>
    </w:p>
    <w:p w:rsidR="00FF7D96" w:rsidRDefault="002A447C" w:rsidP="00EB4EDC">
      <w:pPr>
        <w:pStyle w:val="ListParagraph"/>
        <w:numPr>
          <w:ilvl w:val="0"/>
          <w:numId w:val="30"/>
        </w:numPr>
        <w:spacing w:after="0"/>
        <w:rPr>
          <w:rFonts w:ascii="Arial" w:hAnsi="Arial" w:cs="Arial"/>
          <w:sz w:val="24"/>
          <w:szCs w:val="24"/>
        </w:rPr>
      </w:pPr>
      <w:r w:rsidRPr="00EB4EDC">
        <w:rPr>
          <w:rFonts w:ascii="Arial" w:hAnsi="Arial" w:cs="Arial"/>
          <w:sz w:val="24"/>
          <w:szCs w:val="24"/>
        </w:rPr>
        <w:t>Tab 20 has been updated to reflect the DRP rate to $36.86.</w:t>
      </w:r>
      <w:r w:rsidR="00C43763" w:rsidRPr="00EB4EDC">
        <w:rPr>
          <w:rFonts w:ascii="Arial" w:hAnsi="Arial" w:cs="Arial"/>
          <w:sz w:val="24"/>
          <w:szCs w:val="24"/>
        </w:rPr>
        <w:t xml:space="preserve"> </w:t>
      </w:r>
    </w:p>
    <w:p w:rsidR="002A447C" w:rsidRPr="00FF7D96" w:rsidRDefault="00C43763" w:rsidP="00FF7D96">
      <w:pPr>
        <w:spacing w:after="0"/>
        <w:rPr>
          <w:rFonts w:ascii="Arial" w:hAnsi="Arial" w:cs="Arial"/>
          <w:sz w:val="24"/>
          <w:szCs w:val="24"/>
        </w:rPr>
      </w:pPr>
      <w:r w:rsidRPr="00FF7D96">
        <w:rPr>
          <w:rFonts w:ascii="Arial" w:hAnsi="Arial" w:cs="Arial"/>
          <w:sz w:val="24"/>
          <w:szCs w:val="24"/>
        </w:rPr>
        <w:t>If you have to make any adjustments to the model, please use the attached version.</w:t>
      </w:r>
    </w:p>
    <w:sectPr w:rsidR="002A447C" w:rsidRPr="00FF7D96" w:rsidSect="00EA0919">
      <w:headerReference w:type="default" r:id="rId14"/>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C3B" w:rsidRDefault="00066C3B" w:rsidP="00851418">
      <w:pPr>
        <w:spacing w:after="0" w:line="240" w:lineRule="auto"/>
      </w:pPr>
      <w:r>
        <w:separator/>
      </w:r>
    </w:p>
  </w:endnote>
  <w:endnote w:type="continuationSeparator" w:id="0">
    <w:p w:rsidR="00066C3B" w:rsidRDefault="00066C3B" w:rsidP="0085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C3B" w:rsidRDefault="00066C3B" w:rsidP="00851418">
      <w:pPr>
        <w:spacing w:after="0" w:line="240" w:lineRule="auto"/>
      </w:pPr>
      <w:r>
        <w:separator/>
      </w:r>
    </w:p>
  </w:footnote>
  <w:footnote w:type="continuationSeparator" w:id="0">
    <w:p w:rsidR="00066C3B" w:rsidRDefault="00066C3B" w:rsidP="00851418">
      <w:pPr>
        <w:spacing w:after="0" w:line="240" w:lineRule="auto"/>
      </w:pPr>
      <w:r>
        <w:continuationSeparator/>
      </w:r>
    </w:p>
  </w:footnote>
  <w:footnote w:id="1">
    <w:p w:rsidR="003E2201" w:rsidRPr="003B36F7" w:rsidRDefault="003E2201" w:rsidP="003E2201">
      <w:pPr>
        <w:pStyle w:val="FootnoteText"/>
        <w:rPr>
          <w:lang w:val="en-US"/>
        </w:rPr>
      </w:pPr>
      <w:r>
        <w:rPr>
          <w:rStyle w:val="FootnoteReference"/>
        </w:rPr>
        <w:footnoteRef/>
      </w:r>
      <w:r>
        <w:t xml:space="preserve"> </w:t>
      </w:r>
      <w:r>
        <w:rPr>
          <w:lang w:val="en-US"/>
        </w:rPr>
        <w:t>EB-2016-0096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418" w:rsidRPr="00DA5F69" w:rsidRDefault="00D5062F">
    <w:pPr>
      <w:pStyle w:val="Header"/>
      <w:rPr>
        <w:rFonts w:ascii="Arial" w:hAnsi="Arial" w:cs="Arial"/>
        <w:sz w:val="20"/>
        <w:szCs w:val="20"/>
      </w:rPr>
    </w:pPr>
    <w:r w:rsidRPr="00DA5F69">
      <w:rPr>
        <w:rFonts w:ascii="Arial" w:hAnsi="Arial" w:cs="Arial"/>
        <w:sz w:val="20"/>
        <w:szCs w:val="20"/>
      </w:rPr>
      <w:ptab w:relativeTo="margin" w:alignment="center" w:leader="none"/>
    </w:r>
    <w:r w:rsidRPr="00DA5F69">
      <w:rPr>
        <w:rFonts w:ascii="Arial" w:hAnsi="Arial" w:cs="Arial"/>
        <w:sz w:val="20"/>
        <w:szCs w:val="20"/>
      </w:rPr>
      <w:ptab w:relativeTo="margin" w:alignment="right" w:leader="none"/>
    </w:r>
    <w:r w:rsidR="00D5164A">
      <w:rPr>
        <w:rFonts w:ascii="Arial" w:hAnsi="Arial" w:cs="Arial"/>
        <w:sz w:val="20"/>
        <w:szCs w:val="20"/>
      </w:rPr>
      <w:t>N</w:t>
    </w:r>
    <w:r w:rsidR="000923CB">
      <w:rPr>
        <w:rFonts w:ascii="Arial" w:hAnsi="Arial" w:cs="Arial"/>
        <w:sz w:val="20"/>
        <w:szCs w:val="20"/>
      </w:rPr>
      <w:t>orthern Ontario Wires Inc.</w:t>
    </w:r>
  </w:p>
  <w:p w:rsidR="00D5062F" w:rsidRDefault="001B40BE">
    <w:pPr>
      <w:pStyle w:val="Header"/>
      <w:rPr>
        <w:rFonts w:ascii="Arial" w:hAnsi="Arial" w:cs="Arial"/>
        <w:sz w:val="20"/>
        <w:szCs w:val="20"/>
      </w:rPr>
    </w:pPr>
    <w:r>
      <w:rPr>
        <w:rFonts w:ascii="Arial" w:hAnsi="Arial" w:cs="Arial"/>
        <w:sz w:val="20"/>
        <w:szCs w:val="20"/>
      </w:rPr>
      <w:tab/>
    </w:r>
    <w:r>
      <w:rPr>
        <w:rFonts w:ascii="Arial" w:hAnsi="Arial" w:cs="Arial"/>
        <w:sz w:val="20"/>
        <w:szCs w:val="20"/>
      </w:rPr>
      <w:tab/>
      <w:t>EB-2018</w:t>
    </w:r>
    <w:r w:rsidR="00DA5F69" w:rsidRPr="00DA5F69">
      <w:rPr>
        <w:rFonts w:ascii="Arial" w:hAnsi="Arial" w:cs="Arial"/>
        <w:sz w:val="20"/>
        <w:szCs w:val="20"/>
      </w:rPr>
      <w:t>-00</w:t>
    </w:r>
    <w:r w:rsidR="000923CB">
      <w:rPr>
        <w:rFonts w:ascii="Arial" w:hAnsi="Arial" w:cs="Arial"/>
        <w:sz w:val="20"/>
        <w:szCs w:val="20"/>
      </w:rPr>
      <w:t>58</w:t>
    </w:r>
  </w:p>
  <w:p w:rsidR="00B34F02" w:rsidRPr="00DA5F69" w:rsidRDefault="00D5062F">
    <w:pPr>
      <w:pStyle w:val="Header"/>
      <w:rPr>
        <w:rFonts w:ascii="Arial" w:hAnsi="Arial" w:cs="Arial"/>
        <w:b/>
        <w:sz w:val="20"/>
        <w:szCs w:val="20"/>
      </w:rPr>
    </w:pPr>
    <w:r w:rsidRPr="00DA5F69">
      <w:rPr>
        <w:rFonts w:ascii="Arial" w:hAnsi="Arial" w:cs="Arial"/>
        <w:sz w:val="20"/>
        <w:szCs w:val="20"/>
      </w:rPr>
      <w:tab/>
    </w:r>
    <w:r w:rsidRPr="00DA5F69">
      <w:rPr>
        <w:rFonts w:ascii="Arial" w:hAnsi="Arial" w:cs="Arial"/>
        <w:sz w:val="20"/>
        <w:szCs w:val="20"/>
      </w:rPr>
      <w:tab/>
      <w:t xml:space="preserve">Page </w:t>
    </w:r>
    <w:r w:rsidRPr="00DA5F69">
      <w:rPr>
        <w:rFonts w:ascii="Arial" w:hAnsi="Arial" w:cs="Arial"/>
        <w:b/>
        <w:sz w:val="20"/>
        <w:szCs w:val="20"/>
      </w:rPr>
      <w:fldChar w:fldCharType="begin"/>
    </w:r>
    <w:r w:rsidRPr="00DA5F69">
      <w:rPr>
        <w:rFonts w:ascii="Arial" w:hAnsi="Arial" w:cs="Arial"/>
        <w:b/>
        <w:sz w:val="20"/>
        <w:szCs w:val="20"/>
      </w:rPr>
      <w:instrText xml:space="preserve"> PAGE  \* Arabic  \* MERGEFORMAT </w:instrText>
    </w:r>
    <w:r w:rsidRPr="00DA5F69">
      <w:rPr>
        <w:rFonts w:ascii="Arial" w:hAnsi="Arial" w:cs="Arial"/>
        <w:b/>
        <w:sz w:val="20"/>
        <w:szCs w:val="20"/>
      </w:rPr>
      <w:fldChar w:fldCharType="separate"/>
    </w:r>
    <w:r w:rsidR="00FF1312">
      <w:rPr>
        <w:rFonts w:ascii="Arial" w:hAnsi="Arial" w:cs="Arial"/>
        <w:b/>
        <w:noProof/>
        <w:sz w:val="20"/>
        <w:szCs w:val="20"/>
      </w:rPr>
      <w:t>5</w:t>
    </w:r>
    <w:r w:rsidRPr="00DA5F69">
      <w:rPr>
        <w:rFonts w:ascii="Arial" w:hAnsi="Arial" w:cs="Arial"/>
        <w:b/>
        <w:sz w:val="20"/>
        <w:szCs w:val="20"/>
      </w:rPr>
      <w:fldChar w:fldCharType="end"/>
    </w:r>
    <w:r w:rsidRPr="00DA5F69">
      <w:rPr>
        <w:rFonts w:ascii="Arial" w:hAnsi="Arial" w:cs="Arial"/>
        <w:sz w:val="20"/>
        <w:szCs w:val="20"/>
      </w:rPr>
      <w:t xml:space="preserve"> of </w:t>
    </w:r>
    <w:r w:rsidRPr="00DA5F69">
      <w:rPr>
        <w:rFonts w:ascii="Arial" w:hAnsi="Arial" w:cs="Arial"/>
        <w:b/>
        <w:sz w:val="20"/>
        <w:szCs w:val="20"/>
      </w:rPr>
      <w:fldChar w:fldCharType="begin"/>
    </w:r>
    <w:r w:rsidRPr="00DA5F69">
      <w:rPr>
        <w:rFonts w:ascii="Arial" w:hAnsi="Arial" w:cs="Arial"/>
        <w:b/>
        <w:sz w:val="20"/>
        <w:szCs w:val="20"/>
      </w:rPr>
      <w:instrText xml:space="preserve"> NUMPAGES  \* Arabic  \* MERGEFORMAT </w:instrText>
    </w:r>
    <w:r w:rsidRPr="00DA5F69">
      <w:rPr>
        <w:rFonts w:ascii="Arial" w:hAnsi="Arial" w:cs="Arial"/>
        <w:b/>
        <w:sz w:val="20"/>
        <w:szCs w:val="20"/>
      </w:rPr>
      <w:fldChar w:fldCharType="separate"/>
    </w:r>
    <w:r w:rsidR="00FF1312">
      <w:rPr>
        <w:rFonts w:ascii="Arial" w:hAnsi="Arial" w:cs="Arial"/>
        <w:b/>
        <w:noProof/>
        <w:sz w:val="20"/>
        <w:szCs w:val="20"/>
      </w:rPr>
      <w:t>8</w:t>
    </w:r>
    <w:r w:rsidRPr="00DA5F69">
      <w:rPr>
        <w:rFonts w:ascii="Arial" w:hAnsi="Arial" w:cs="Arial"/>
        <w:b/>
        <w:sz w:val="20"/>
        <w:szCs w:val="20"/>
      </w:rPr>
      <w:fldChar w:fldCharType="end"/>
    </w:r>
  </w:p>
  <w:p w:rsidR="00D5062F" w:rsidRDefault="00D5062F">
    <w:pPr>
      <w:pStyle w:val="Header"/>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7195"/>
    <w:multiLevelType w:val="hybridMultilevel"/>
    <w:tmpl w:val="AB92A3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37395"/>
    <w:multiLevelType w:val="hybridMultilevel"/>
    <w:tmpl w:val="051A18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C6B39"/>
    <w:multiLevelType w:val="hybridMultilevel"/>
    <w:tmpl w:val="19F412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7E67B52"/>
    <w:multiLevelType w:val="hybridMultilevel"/>
    <w:tmpl w:val="48E60550"/>
    <w:lvl w:ilvl="0" w:tplc="DFDC810C">
      <w:start w:val="1"/>
      <w:numFmt w:val="lowerLetter"/>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4" w15:restartNumberingAfterBreak="0">
    <w:nsid w:val="18B1066B"/>
    <w:multiLevelType w:val="hybridMultilevel"/>
    <w:tmpl w:val="95962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10C2A"/>
    <w:multiLevelType w:val="hybridMultilevel"/>
    <w:tmpl w:val="C9BCAAB2"/>
    <w:lvl w:ilvl="0" w:tplc="D510775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E64B57"/>
    <w:multiLevelType w:val="hybridMultilevel"/>
    <w:tmpl w:val="FF3E803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EDA28FE"/>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21631C4"/>
    <w:multiLevelType w:val="hybridMultilevel"/>
    <w:tmpl w:val="DEC4AD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38394C"/>
    <w:multiLevelType w:val="hybridMultilevel"/>
    <w:tmpl w:val="AF1424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894A0E"/>
    <w:multiLevelType w:val="hybridMultilevel"/>
    <w:tmpl w:val="7332A9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0A6302"/>
    <w:multiLevelType w:val="hybridMultilevel"/>
    <w:tmpl w:val="A184D3E6"/>
    <w:lvl w:ilvl="0" w:tplc="CBEEE570">
      <w:start w:val="1"/>
      <w:numFmt w:val="lowerLetter"/>
      <w:lvlText w:val="%1)"/>
      <w:lvlJc w:val="left"/>
      <w:pPr>
        <w:ind w:left="720" w:hanging="360"/>
      </w:pPr>
      <w:rPr>
        <w:rFonts w:ascii="Arial" w:hAnsi="Arial" w:cs="Arial"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3D1C5D"/>
    <w:multiLevelType w:val="hybridMultilevel"/>
    <w:tmpl w:val="1CEE3F4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C1F55"/>
    <w:multiLevelType w:val="hybridMultilevel"/>
    <w:tmpl w:val="CF08E3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AC1155"/>
    <w:multiLevelType w:val="hybridMultilevel"/>
    <w:tmpl w:val="2E9210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55759C"/>
    <w:multiLevelType w:val="hybridMultilevel"/>
    <w:tmpl w:val="B23E73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FF03BE"/>
    <w:multiLevelType w:val="hybridMultilevel"/>
    <w:tmpl w:val="B9C2D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6E7D22"/>
    <w:multiLevelType w:val="hybridMultilevel"/>
    <w:tmpl w:val="C772FE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F71630"/>
    <w:multiLevelType w:val="hybridMultilevel"/>
    <w:tmpl w:val="5492B8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E44D98"/>
    <w:multiLevelType w:val="hybridMultilevel"/>
    <w:tmpl w:val="EA4603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797C01"/>
    <w:multiLevelType w:val="hybridMultilevel"/>
    <w:tmpl w:val="C63A4638"/>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17D71BE"/>
    <w:multiLevelType w:val="hybridMultilevel"/>
    <w:tmpl w:val="ACA495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2731EA"/>
    <w:multiLevelType w:val="hybridMultilevel"/>
    <w:tmpl w:val="B4D01C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726D"/>
    <w:multiLevelType w:val="hybridMultilevel"/>
    <w:tmpl w:val="9AF8A810"/>
    <w:lvl w:ilvl="0" w:tplc="EE3E5888">
      <w:start w:val="1"/>
      <w:numFmt w:val="lowerLetter"/>
      <w:lvlText w:val="%1)"/>
      <w:lvlJc w:val="left"/>
      <w:pPr>
        <w:ind w:left="720" w:hanging="360"/>
      </w:pPr>
      <w:rPr>
        <w:rFonts w:ascii="Arial" w:eastAsiaTheme="minorHAnsi"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481BA5"/>
    <w:multiLevelType w:val="hybridMultilevel"/>
    <w:tmpl w:val="64B88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B9514A2"/>
    <w:multiLevelType w:val="hybridMultilevel"/>
    <w:tmpl w:val="3588F7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606BCB"/>
    <w:multiLevelType w:val="hybridMultilevel"/>
    <w:tmpl w:val="FE046E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577F22"/>
    <w:multiLevelType w:val="hybridMultilevel"/>
    <w:tmpl w:val="094C01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5C556D"/>
    <w:multiLevelType w:val="hybridMultilevel"/>
    <w:tmpl w:val="F73C506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DD53912"/>
    <w:multiLevelType w:val="hybridMultilevel"/>
    <w:tmpl w:val="F468DDF0"/>
    <w:lvl w:ilvl="0" w:tplc="04090011">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9"/>
  </w:num>
  <w:num w:numId="4">
    <w:abstractNumId w:val="15"/>
  </w:num>
  <w:num w:numId="5">
    <w:abstractNumId w:val="8"/>
  </w:num>
  <w:num w:numId="6">
    <w:abstractNumId w:val="23"/>
  </w:num>
  <w:num w:numId="7">
    <w:abstractNumId w:val="26"/>
  </w:num>
  <w:num w:numId="8">
    <w:abstractNumId w:val="30"/>
  </w:num>
  <w:num w:numId="9">
    <w:abstractNumId w:val="4"/>
  </w:num>
  <w:num w:numId="10">
    <w:abstractNumId w:val="11"/>
  </w:num>
  <w:num w:numId="11">
    <w:abstractNumId w:val="24"/>
  </w:num>
  <w:num w:numId="12">
    <w:abstractNumId w:val="18"/>
  </w:num>
  <w:num w:numId="13">
    <w:abstractNumId w:val="14"/>
  </w:num>
  <w:num w:numId="14">
    <w:abstractNumId w:val="21"/>
  </w:num>
  <w:num w:numId="15">
    <w:abstractNumId w:val="29"/>
  </w:num>
  <w:num w:numId="16">
    <w:abstractNumId w:val="6"/>
  </w:num>
  <w:num w:numId="17">
    <w:abstractNumId w:val="7"/>
  </w:num>
  <w:num w:numId="18">
    <w:abstractNumId w:val="25"/>
  </w:num>
  <w:num w:numId="19">
    <w:abstractNumId w:val="27"/>
  </w:num>
  <w:num w:numId="20">
    <w:abstractNumId w:val="12"/>
  </w:num>
  <w:num w:numId="21">
    <w:abstractNumId w:val="13"/>
  </w:num>
  <w:num w:numId="22">
    <w:abstractNumId w:val="22"/>
  </w:num>
  <w:num w:numId="23">
    <w:abstractNumId w:val="5"/>
  </w:num>
  <w:num w:numId="24">
    <w:abstractNumId w:val="3"/>
  </w:num>
  <w:num w:numId="25">
    <w:abstractNumId w:val="10"/>
  </w:num>
  <w:num w:numId="26">
    <w:abstractNumId w:val="17"/>
  </w:num>
  <w:num w:numId="27">
    <w:abstractNumId w:val="28"/>
  </w:num>
  <w:num w:numId="28">
    <w:abstractNumId w:val="1"/>
  </w:num>
  <w:num w:numId="29">
    <w:abstractNumId w:val="19"/>
  </w:num>
  <w:num w:numId="30">
    <w:abstractNumId w:val="16"/>
  </w:num>
  <w:num w:numId="3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6F8"/>
    <w:rsid w:val="00003BE1"/>
    <w:rsid w:val="000069CF"/>
    <w:rsid w:val="00011987"/>
    <w:rsid w:val="00012E51"/>
    <w:rsid w:val="0001354E"/>
    <w:rsid w:val="0001531F"/>
    <w:rsid w:val="00030D12"/>
    <w:rsid w:val="000414BC"/>
    <w:rsid w:val="00041BBD"/>
    <w:rsid w:val="000437D6"/>
    <w:rsid w:val="00046E03"/>
    <w:rsid w:val="0005541D"/>
    <w:rsid w:val="00061172"/>
    <w:rsid w:val="00061DFB"/>
    <w:rsid w:val="00066C3B"/>
    <w:rsid w:val="000843ED"/>
    <w:rsid w:val="000923CB"/>
    <w:rsid w:val="00096D51"/>
    <w:rsid w:val="000A1997"/>
    <w:rsid w:val="000B51CC"/>
    <w:rsid w:val="000C035C"/>
    <w:rsid w:val="000D2EAF"/>
    <w:rsid w:val="000E09DB"/>
    <w:rsid w:val="000E1DAE"/>
    <w:rsid w:val="000E4C7B"/>
    <w:rsid w:val="000F0FBB"/>
    <w:rsid w:val="001010C7"/>
    <w:rsid w:val="001027DF"/>
    <w:rsid w:val="00112D88"/>
    <w:rsid w:val="00145A2B"/>
    <w:rsid w:val="00146770"/>
    <w:rsid w:val="00150BE5"/>
    <w:rsid w:val="001563E4"/>
    <w:rsid w:val="00156B65"/>
    <w:rsid w:val="0016286E"/>
    <w:rsid w:val="0016330B"/>
    <w:rsid w:val="00163BCB"/>
    <w:rsid w:val="00171C5D"/>
    <w:rsid w:val="00175E69"/>
    <w:rsid w:val="0018179E"/>
    <w:rsid w:val="001A184E"/>
    <w:rsid w:val="001B1072"/>
    <w:rsid w:val="001B2AD3"/>
    <w:rsid w:val="001B40BE"/>
    <w:rsid w:val="001C7CA4"/>
    <w:rsid w:val="001D2BB6"/>
    <w:rsid w:val="001D5347"/>
    <w:rsid w:val="001D7086"/>
    <w:rsid w:val="001D7A71"/>
    <w:rsid w:val="001E069B"/>
    <w:rsid w:val="001E6EA6"/>
    <w:rsid w:val="001F5CB6"/>
    <w:rsid w:val="00204A40"/>
    <w:rsid w:val="00204CE7"/>
    <w:rsid w:val="0021184B"/>
    <w:rsid w:val="002152C0"/>
    <w:rsid w:val="0023076C"/>
    <w:rsid w:val="00233B92"/>
    <w:rsid w:val="00236227"/>
    <w:rsid w:val="002363C3"/>
    <w:rsid w:val="00241483"/>
    <w:rsid w:val="002510CD"/>
    <w:rsid w:val="002579E0"/>
    <w:rsid w:val="00261348"/>
    <w:rsid w:val="00272B65"/>
    <w:rsid w:val="00273434"/>
    <w:rsid w:val="00284B69"/>
    <w:rsid w:val="00286DC4"/>
    <w:rsid w:val="00293086"/>
    <w:rsid w:val="002966E4"/>
    <w:rsid w:val="0029762E"/>
    <w:rsid w:val="002A447C"/>
    <w:rsid w:val="002A72E9"/>
    <w:rsid w:val="002B7C64"/>
    <w:rsid w:val="002C125F"/>
    <w:rsid w:val="002C75F8"/>
    <w:rsid w:val="002D2F55"/>
    <w:rsid w:val="002F218C"/>
    <w:rsid w:val="00303671"/>
    <w:rsid w:val="00304228"/>
    <w:rsid w:val="00314EC6"/>
    <w:rsid w:val="0032318E"/>
    <w:rsid w:val="00323A89"/>
    <w:rsid w:val="00323BCB"/>
    <w:rsid w:val="0032442F"/>
    <w:rsid w:val="0032693C"/>
    <w:rsid w:val="00327176"/>
    <w:rsid w:val="00340E11"/>
    <w:rsid w:val="00351FEF"/>
    <w:rsid w:val="0035397C"/>
    <w:rsid w:val="00354A5F"/>
    <w:rsid w:val="00360806"/>
    <w:rsid w:val="003624ED"/>
    <w:rsid w:val="00370D5B"/>
    <w:rsid w:val="0037285F"/>
    <w:rsid w:val="003807A2"/>
    <w:rsid w:val="003834CA"/>
    <w:rsid w:val="003856F8"/>
    <w:rsid w:val="00393FCD"/>
    <w:rsid w:val="00394351"/>
    <w:rsid w:val="0039687D"/>
    <w:rsid w:val="0039794B"/>
    <w:rsid w:val="003A7960"/>
    <w:rsid w:val="003B6D9A"/>
    <w:rsid w:val="003C216A"/>
    <w:rsid w:val="003D404F"/>
    <w:rsid w:val="003E076C"/>
    <w:rsid w:val="003E2201"/>
    <w:rsid w:val="003E7D1C"/>
    <w:rsid w:val="003F1B00"/>
    <w:rsid w:val="003F1B82"/>
    <w:rsid w:val="003F609A"/>
    <w:rsid w:val="003F7D01"/>
    <w:rsid w:val="0040241E"/>
    <w:rsid w:val="00406CDC"/>
    <w:rsid w:val="00412DC6"/>
    <w:rsid w:val="0043160E"/>
    <w:rsid w:val="00442717"/>
    <w:rsid w:val="00450CB6"/>
    <w:rsid w:val="00451F53"/>
    <w:rsid w:val="00463CA8"/>
    <w:rsid w:val="00464D00"/>
    <w:rsid w:val="00471B90"/>
    <w:rsid w:val="00472EFF"/>
    <w:rsid w:val="004734FA"/>
    <w:rsid w:val="0047404F"/>
    <w:rsid w:val="00475BCE"/>
    <w:rsid w:val="0048512A"/>
    <w:rsid w:val="004934A8"/>
    <w:rsid w:val="004939A5"/>
    <w:rsid w:val="004A5F89"/>
    <w:rsid w:val="004C01D2"/>
    <w:rsid w:val="004C1F32"/>
    <w:rsid w:val="004D3930"/>
    <w:rsid w:val="004D46E0"/>
    <w:rsid w:val="004E3F70"/>
    <w:rsid w:val="004F04C5"/>
    <w:rsid w:val="004F4145"/>
    <w:rsid w:val="00511282"/>
    <w:rsid w:val="005117CF"/>
    <w:rsid w:val="005216D6"/>
    <w:rsid w:val="00522C87"/>
    <w:rsid w:val="005349C8"/>
    <w:rsid w:val="00545B8E"/>
    <w:rsid w:val="00553935"/>
    <w:rsid w:val="0056158D"/>
    <w:rsid w:val="0056326F"/>
    <w:rsid w:val="005879AC"/>
    <w:rsid w:val="005979B0"/>
    <w:rsid w:val="005A69AC"/>
    <w:rsid w:val="005B0481"/>
    <w:rsid w:val="005B4C39"/>
    <w:rsid w:val="005B6E11"/>
    <w:rsid w:val="005C35A4"/>
    <w:rsid w:val="005C36C3"/>
    <w:rsid w:val="005C43D3"/>
    <w:rsid w:val="005C4D50"/>
    <w:rsid w:val="005C5C6B"/>
    <w:rsid w:val="005D352B"/>
    <w:rsid w:val="005D772D"/>
    <w:rsid w:val="005E0591"/>
    <w:rsid w:val="005E77DD"/>
    <w:rsid w:val="005F1F8A"/>
    <w:rsid w:val="005F38E0"/>
    <w:rsid w:val="005F41E7"/>
    <w:rsid w:val="00601C3B"/>
    <w:rsid w:val="0060662D"/>
    <w:rsid w:val="006125B7"/>
    <w:rsid w:val="006167AB"/>
    <w:rsid w:val="006225E9"/>
    <w:rsid w:val="00634992"/>
    <w:rsid w:val="0063554D"/>
    <w:rsid w:val="00650A44"/>
    <w:rsid w:val="006546FF"/>
    <w:rsid w:val="006550FD"/>
    <w:rsid w:val="006561C4"/>
    <w:rsid w:val="006604B5"/>
    <w:rsid w:val="0066243E"/>
    <w:rsid w:val="006659F5"/>
    <w:rsid w:val="00687663"/>
    <w:rsid w:val="0069057C"/>
    <w:rsid w:val="00690FCD"/>
    <w:rsid w:val="00691C29"/>
    <w:rsid w:val="00692FC5"/>
    <w:rsid w:val="006A6276"/>
    <w:rsid w:val="006A62B9"/>
    <w:rsid w:val="006A6B6B"/>
    <w:rsid w:val="006A72DB"/>
    <w:rsid w:val="006B4DAB"/>
    <w:rsid w:val="006B7A95"/>
    <w:rsid w:val="006C1106"/>
    <w:rsid w:val="006C68C5"/>
    <w:rsid w:val="006D268A"/>
    <w:rsid w:val="006E1551"/>
    <w:rsid w:val="006F3EFE"/>
    <w:rsid w:val="00701FC4"/>
    <w:rsid w:val="00706907"/>
    <w:rsid w:val="007175F9"/>
    <w:rsid w:val="00722B60"/>
    <w:rsid w:val="007419C6"/>
    <w:rsid w:val="00746080"/>
    <w:rsid w:val="00772E59"/>
    <w:rsid w:val="00776FED"/>
    <w:rsid w:val="007829E5"/>
    <w:rsid w:val="00794B4A"/>
    <w:rsid w:val="007A64A9"/>
    <w:rsid w:val="007B39DF"/>
    <w:rsid w:val="007C5A54"/>
    <w:rsid w:val="007D3C19"/>
    <w:rsid w:val="007D51C9"/>
    <w:rsid w:val="007F40FF"/>
    <w:rsid w:val="00801BB6"/>
    <w:rsid w:val="00806D93"/>
    <w:rsid w:val="00807B44"/>
    <w:rsid w:val="00831DBE"/>
    <w:rsid w:val="00832A00"/>
    <w:rsid w:val="00834E7C"/>
    <w:rsid w:val="00850053"/>
    <w:rsid w:val="00851418"/>
    <w:rsid w:val="008539D9"/>
    <w:rsid w:val="00866E79"/>
    <w:rsid w:val="0087639C"/>
    <w:rsid w:val="0087688C"/>
    <w:rsid w:val="008A0688"/>
    <w:rsid w:val="008A57B0"/>
    <w:rsid w:val="008A5D3A"/>
    <w:rsid w:val="008A657C"/>
    <w:rsid w:val="008B2414"/>
    <w:rsid w:val="008B6D75"/>
    <w:rsid w:val="008C5CA5"/>
    <w:rsid w:val="008C5FAC"/>
    <w:rsid w:val="008C74E3"/>
    <w:rsid w:val="008F0FAA"/>
    <w:rsid w:val="008F688C"/>
    <w:rsid w:val="008F6B4E"/>
    <w:rsid w:val="008F73E8"/>
    <w:rsid w:val="00900330"/>
    <w:rsid w:val="00900AD4"/>
    <w:rsid w:val="00906622"/>
    <w:rsid w:val="009071CF"/>
    <w:rsid w:val="009138FC"/>
    <w:rsid w:val="00923824"/>
    <w:rsid w:val="00937121"/>
    <w:rsid w:val="00941CC2"/>
    <w:rsid w:val="00953C66"/>
    <w:rsid w:val="00962E45"/>
    <w:rsid w:val="009643D1"/>
    <w:rsid w:val="009677A0"/>
    <w:rsid w:val="00975113"/>
    <w:rsid w:val="009807D8"/>
    <w:rsid w:val="00983A06"/>
    <w:rsid w:val="00985074"/>
    <w:rsid w:val="00985D4D"/>
    <w:rsid w:val="00993F61"/>
    <w:rsid w:val="009B02A8"/>
    <w:rsid w:val="009C17CC"/>
    <w:rsid w:val="009C79A3"/>
    <w:rsid w:val="009D30CF"/>
    <w:rsid w:val="009E0910"/>
    <w:rsid w:val="009E1E72"/>
    <w:rsid w:val="009E4F0A"/>
    <w:rsid w:val="009F51BA"/>
    <w:rsid w:val="00A102CC"/>
    <w:rsid w:val="00A14832"/>
    <w:rsid w:val="00A16652"/>
    <w:rsid w:val="00A207D8"/>
    <w:rsid w:val="00A30E40"/>
    <w:rsid w:val="00A36FB3"/>
    <w:rsid w:val="00A41C6F"/>
    <w:rsid w:val="00A52E2A"/>
    <w:rsid w:val="00A532E2"/>
    <w:rsid w:val="00A56010"/>
    <w:rsid w:val="00A56508"/>
    <w:rsid w:val="00A668A7"/>
    <w:rsid w:val="00A704BA"/>
    <w:rsid w:val="00A713D4"/>
    <w:rsid w:val="00A71C61"/>
    <w:rsid w:val="00A71F2C"/>
    <w:rsid w:val="00A81A28"/>
    <w:rsid w:val="00A83349"/>
    <w:rsid w:val="00A92BB5"/>
    <w:rsid w:val="00A9717E"/>
    <w:rsid w:val="00AA06D9"/>
    <w:rsid w:val="00AB0B9E"/>
    <w:rsid w:val="00AD340F"/>
    <w:rsid w:val="00AE2DE6"/>
    <w:rsid w:val="00AF12C9"/>
    <w:rsid w:val="00AF288A"/>
    <w:rsid w:val="00AF2B0D"/>
    <w:rsid w:val="00B076A5"/>
    <w:rsid w:val="00B20109"/>
    <w:rsid w:val="00B22265"/>
    <w:rsid w:val="00B247C1"/>
    <w:rsid w:val="00B25576"/>
    <w:rsid w:val="00B314F3"/>
    <w:rsid w:val="00B34F02"/>
    <w:rsid w:val="00B37CD3"/>
    <w:rsid w:val="00B41852"/>
    <w:rsid w:val="00B56997"/>
    <w:rsid w:val="00B611D3"/>
    <w:rsid w:val="00B76EA7"/>
    <w:rsid w:val="00B97F5F"/>
    <w:rsid w:val="00B97FB4"/>
    <w:rsid w:val="00BA12EA"/>
    <w:rsid w:val="00BA2D12"/>
    <w:rsid w:val="00BC1A68"/>
    <w:rsid w:val="00BD4512"/>
    <w:rsid w:val="00BD52F2"/>
    <w:rsid w:val="00BD754D"/>
    <w:rsid w:val="00BE1A92"/>
    <w:rsid w:val="00BF7CFF"/>
    <w:rsid w:val="00C23F96"/>
    <w:rsid w:val="00C27332"/>
    <w:rsid w:val="00C42E7B"/>
    <w:rsid w:val="00C43763"/>
    <w:rsid w:val="00C5494D"/>
    <w:rsid w:val="00C6280A"/>
    <w:rsid w:val="00C63C8D"/>
    <w:rsid w:val="00C7140B"/>
    <w:rsid w:val="00C744C2"/>
    <w:rsid w:val="00C818E2"/>
    <w:rsid w:val="00CA0B82"/>
    <w:rsid w:val="00CA234C"/>
    <w:rsid w:val="00CA344E"/>
    <w:rsid w:val="00CA6CFD"/>
    <w:rsid w:val="00CB168B"/>
    <w:rsid w:val="00CC447E"/>
    <w:rsid w:val="00CC6D11"/>
    <w:rsid w:val="00CF0F7C"/>
    <w:rsid w:val="00D02D7F"/>
    <w:rsid w:val="00D0773D"/>
    <w:rsid w:val="00D1286A"/>
    <w:rsid w:val="00D215CA"/>
    <w:rsid w:val="00D2162C"/>
    <w:rsid w:val="00D21A42"/>
    <w:rsid w:val="00D2658F"/>
    <w:rsid w:val="00D27DE0"/>
    <w:rsid w:val="00D348BB"/>
    <w:rsid w:val="00D352AB"/>
    <w:rsid w:val="00D36BBE"/>
    <w:rsid w:val="00D47CBB"/>
    <w:rsid w:val="00D5062F"/>
    <w:rsid w:val="00D5164A"/>
    <w:rsid w:val="00D5227A"/>
    <w:rsid w:val="00D56A27"/>
    <w:rsid w:val="00D621FC"/>
    <w:rsid w:val="00D72628"/>
    <w:rsid w:val="00D80EDE"/>
    <w:rsid w:val="00D87B36"/>
    <w:rsid w:val="00D91B73"/>
    <w:rsid w:val="00D958A6"/>
    <w:rsid w:val="00D95CAA"/>
    <w:rsid w:val="00D95F3E"/>
    <w:rsid w:val="00D974D5"/>
    <w:rsid w:val="00D975C5"/>
    <w:rsid w:val="00DA09D0"/>
    <w:rsid w:val="00DA2484"/>
    <w:rsid w:val="00DA4B99"/>
    <w:rsid w:val="00DA5F69"/>
    <w:rsid w:val="00DB30CD"/>
    <w:rsid w:val="00DC2E85"/>
    <w:rsid w:val="00DC3F8F"/>
    <w:rsid w:val="00DD09DC"/>
    <w:rsid w:val="00DE1A3A"/>
    <w:rsid w:val="00DE6348"/>
    <w:rsid w:val="00DF6932"/>
    <w:rsid w:val="00E02478"/>
    <w:rsid w:val="00E2026C"/>
    <w:rsid w:val="00E23ECF"/>
    <w:rsid w:val="00E261A1"/>
    <w:rsid w:val="00E26699"/>
    <w:rsid w:val="00E2683A"/>
    <w:rsid w:val="00E2722C"/>
    <w:rsid w:val="00E31459"/>
    <w:rsid w:val="00E452BA"/>
    <w:rsid w:val="00E45775"/>
    <w:rsid w:val="00E6089B"/>
    <w:rsid w:val="00E6183C"/>
    <w:rsid w:val="00E63408"/>
    <w:rsid w:val="00E6651E"/>
    <w:rsid w:val="00E74B81"/>
    <w:rsid w:val="00E7523D"/>
    <w:rsid w:val="00E857B8"/>
    <w:rsid w:val="00E875F8"/>
    <w:rsid w:val="00E909A7"/>
    <w:rsid w:val="00E9387D"/>
    <w:rsid w:val="00EA0919"/>
    <w:rsid w:val="00EA2CF7"/>
    <w:rsid w:val="00EA6750"/>
    <w:rsid w:val="00EB4EDC"/>
    <w:rsid w:val="00EB68C4"/>
    <w:rsid w:val="00EB6E16"/>
    <w:rsid w:val="00EC0C97"/>
    <w:rsid w:val="00EC26AE"/>
    <w:rsid w:val="00ED120A"/>
    <w:rsid w:val="00ED3CE0"/>
    <w:rsid w:val="00ED3F0B"/>
    <w:rsid w:val="00EE450C"/>
    <w:rsid w:val="00EF616E"/>
    <w:rsid w:val="00F213C1"/>
    <w:rsid w:val="00F27A5F"/>
    <w:rsid w:val="00F34EDA"/>
    <w:rsid w:val="00F4428A"/>
    <w:rsid w:val="00F45C35"/>
    <w:rsid w:val="00F521D1"/>
    <w:rsid w:val="00F66E08"/>
    <w:rsid w:val="00F679B6"/>
    <w:rsid w:val="00F72F89"/>
    <w:rsid w:val="00F856E1"/>
    <w:rsid w:val="00F86479"/>
    <w:rsid w:val="00F91432"/>
    <w:rsid w:val="00F92F12"/>
    <w:rsid w:val="00F96ACE"/>
    <w:rsid w:val="00FB21B3"/>
    <w:rsid w:val="00FB3A11"/>
    <w:rsid w:val="00FC76AA"/>
    <w:rsid w:val="00FD5EDC"/>
    <w:rsid w:val="00FE72B3"/>
    <w:rsid w:val="00FE794E"/>
    <w:rsid w:val="00FF1312"/>
    <w:rsid w:val="00FF68CC"/>
    <w:rsid w:val="00FF6EA0"/>
    <w:rsid w:val="00FF72FA"/>
    <w:rsid w:val="00FF7D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13BC429"/>
  <w15:docId w15:val="{98FF87BC-ABA1-4955-85CA-7978A6FE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 w:type="paragraph" w:customStyle="1" w:styleId="Default">
    <w:name w:val="Default"/>
    <w:rsid w:val="00A56010"/>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9003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0330"/>
    <w:rPr>
      <w:sz w:val="20"/>
      <w:szCs w:val="20"/>
    </w:rPr>
  </w:style>
  <w:style w:type="character" w:styleId="FootnoteReference">
    <w:name w:val="footnote reference"/>
    <w:basedOn w:val="DefaultParagraphFont"/>
    <w:uiPriority w:val="99"/>
    <w:semiHidden/>
    <w:unhideWhenUsed/>
    <w:rsid w:val="00900330"/>
    <w:rPr>
      <w:vertAlign w:val="superscript"/>
    </w:rPr>
  </w:style>
  <w:style w:type="character" w:styleId="CommentReference">
    <w:name w:val="annotation reference"/>
    <w:basedOn w:val="DefaultParagraphFont"/>
    <w:uiPriority w:val="99"/>
    <w:semiHidden/>
    <w:unhideWhenUsed/>
    <w:rsid w:val="00772E59"/>
    <w:rPr>
      <w:sz w:val="16"/>
      <w:szCs w:val="16"/>
    </w:rPr>
  </w:style>
  <w:style w:type="paragraph" w:styleId="CommentText">
    <w:name w:val="annotation text"/>
    <w:basedOn w:val="Normal"/>
    <w:link w:val="CommentTextChar"/>
    <w:uiPriority w:val="99"/>
    <w:semiHidden/>
    <w:unhideWhenUsed/>
    <w:rsid w:val="00772E59"/>
    <w:pPr>
      <w:spacing w:line="240" w:lineRule="auto"/>
    </w:pPr>
    <w:rPr>
      <w:sz w:val="20"/>
      <w:szCs w:val="20"/>
    </w:rPr>
  </w:style>
  <w:style w:type="character" w:customStyle="1" w:styleId="CommentTextChar">
    <w:name w:val="Comment Text Char"/>
    <w:basedOn w:val="DefaultParagraphFont"/>
    <w:link w:val="CommentText"/>
    <w:uiPriority w:val="99"/>
    <w:semiHidden/>
    <w:rsid w:val="00772E59"/>
    <w:rPr>
      <w:sz w:val="20"/>
      <w:szCs w:val="20"/>
    </w:rPr>
  </w:style>
  <w:style w:type="paragraph" w:styleId="CommentSubject">
    <w:name w:val="annotation subject"/>
    <w:basedOn w:val="CommentText"/>
    <w:next w:val="CommentText"/>
    <w:link w:val="CommentSubjectChar"/>
    <w:uiPriority w:val="99"/>
    <w:semiHidden/>
    <w:unhideWhenUsed/>
    <w:rsid w:val="00772E59"/>
    <w:rPr>
      <w:b/>
      <w:bCs/>
    </w:rPr>
  </w:style>
  <w:style w:type="character" w:customStyle="1" w:styleId="CommentSubjectChar">
    <w:name w:val="Comment Subject Char"/>
    <w:basedOn w:val="CommentTextChar"/>
    <w:link w:val="CommentSubject"/>
    <w:uiPriority w:val="99"/>
    <w:semiHidden/>
    <w:rsid w:val="00772E59"/>
    <w:rPr>
      <w:b/>
      <w:bCs/>
      <w:sz w:val="20"/>
      <w:szCs w:val="20"/>
    </w:rPr>
  </w:style>
  <w:style w:type="table" w:styleId="TableGrid">
    <w:name w:val="Table Grid"/>
    <w:basedOn w:val="TableNormal"/>
    <w:uiPriority w:val="39"/>
    <w:rsid w:val="000E1D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456388">
      <w:bodyDiv w:val="1"/>
      <w:marLeft w:val="0"/>
      <w:marRight w:val="0"/>
      <w:marTop w:val="0"/>
      <w:marBottom w:val="0"/>
      <w:divBdr>
        <w:top w:val="none" w:sz="0" w:space="0" w:color="auto"/>
        <w:left w:val="none" w:sz="0" w:space="0" w:color="auto"/>
        <w:bottom w:val="none" w:sz="0" w:space="0" w:color="auto"/>
        <w:right w:val="none" w:sz="0" w:space="0" w:color="auto"/>
      </w:divBdr>
    </w:div>
    <w:div w:id="289092824">
      <w:bodyDiv w:val="1"/>
      <w:marLeft w:val="0"/>
      <w:marRight w:val="0"/>
      <w:marTop w:val="0"/>
      <w:marBottom w:val="0"/>
      <w:divBdr>
        <w:top w:val="none" w:sz="0" w:space="0" w:color="auto"/>
        <w:left w:val="none" w:sz="0" w:space="0" w:color="auto"/>
        <w:bottom w:val="none" w:sz="0" w:space="0" w:color="auto"/>
        <w:right w:val="none" w:sz="0" w:space="0" w:color="auto"/>
      </w:divBdr>
    </w:div>
    <w:div w:id="545416455">
      <w:bodyDiv w:val="1"/>
      <w:marLeft w:val="0"/>
      <w:marRight w:val="0"/>
      <w:marTop w:val="0"/>
      <w:marBottom w:val="0"/>
      <w:divBdr>
        <w:top w:val="none" w:sz="0" w:space="0" w:color="auto"/>
        <w:left w:val="none" w:sz="0" w:space="0" w:color="auto"/>
        <w:bottom w:val="none" w:sz="0" w:space="0" w:color="auto"/>
        <w:right w:val="none" w:sz="0" w:space="0" w:color="auto"/>
      </w:divBdr>
    </w:div>
    <w:div w:id="567544250">
      <w:bodyDiv w:val="1"/>
      <w:marLeft w:val="0"/>
      <w:marRight w:val="0"/>
      <w:marTop w:val="0"/>
      <w:marBottom w:val="0"/>
      <w:divBdr>
        <w:top w:val="none" w:sz="0" w:space="0" w:color="auto"/>
        <w:left w:val="none" w:sz="0" w:space="0" w:color="auto"/>
        <w:bottom w:val="none" w:sz="0" w:space="0" w:color="auto"/>
        <w:right w:val="none" w:sz="0" w:space="0" w:color="auto"/>
      </w:divBdr>
    </w:div>
    <w:div w:id="1299604929">
      <w:bodyDiv w:val="1"/>
      <w:marLeft w:val="0"/>
      <w:marRight w:val="0"/>
      <w:marTop w:val="0"/>
      <w:marBottom w:val="0"/>
      <w:divBdr>
        <w:top w:val="none" w:sz="0" w:space="0" w:color="auto"/>
        <w:left w:val="none" w:sz="0" w:space="0" w:color="auto"/>
        <w:bottom w:val="none" w:sz="0" w:space="0" w:color="auto"/>
        <w:right w:val="none" w:sz="0" w:space="0" w:color="auto"/>
      </w:divBdr>
    </w:div>
    <w:div w:id="1558005404">
      <w:bodyDiv w:val="1"/>
      <w:marLeft w:val="0"/>
      <w:marRight w:val="0"/>
      <w:marTop w:val="0"/>
      <w:marBottom w:val="0"/>
      <w:divBdr>
        <w:top w:val="none" w:sz="0" w:space="0" w:color="auto"/>
        <w:left w:val="none" w:sz="0" w:space="0" w:color="auto"/>
        <w:bottom w:val="none" w:sz="0" w:space="0" w:color="auto"/>
        <w:right w:val="none" w:sz="0" w:space="0" w:color="auto"/>
      </w:divBdr>
    </w:div>
    <w:div w:id="1621298351">
      <w:bodyDiv w:val="1"/>
      <w:marLeft w:val="0"/>
      <w:marRight w:val="0"/>
      <w:marTop w:val="0"/>
      <w:marBottom w:val="0"/>
      <w:divBdr>
        <w:top w:val="none" w:sz="0" w:space="0" w:color="auto"/>
        <w:left w:val="none" w:sz="0" w:space="0" w:color="auto"/>
        <w:bottom w:val="none" w:sz="0" w:space="0" w:color="auto"/>
        <w:right w:val="none" w:sz="0" w:space="0" w:color="auto"/>
      </w:divBdr>
    </w:div>
    <w:div w:id="179190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884CB-7AEA-4BD0-B351-6018F3F78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8</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EB-2015-0101</vt:lpstr>
    </vt:vector>
  </TitlesOfParts>
  <Company>Sioux Lookout Hydro Inc.</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EB-2015-0101</dc:title>
  <dc:creator>Katherine Wang</dc:creator>
  <cp:lastModifiedBy>Geoffrey Sutton</cp:lastModifiedBy>
  <cp:revision>12</cp:revision>
  <cp:lastPrinted>2018-11-21T17:14:00Z</cp:lastPrinted>
  <dcterms:created xsi:type="dcterms:W3CDTF">2018-11-26T13:53:00Z</dcterms:created>
  <dcterms:modified xsi:type="dcterms:W3CDTF">2018-12-11T20:00:00Z</dcterms:modified>
</cp:coreProperties>
</file>