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C606AA" w:rsidP="00D0773D">
      <w:pPr>
        <w:jc w:val="center"/>
        <w:rPr>
          <w:rFonts w:ascii="Arial" w:hAnsi="Arial" w:cs="Arial"/>
          <w:b/>
          <w:sz w:val="28"/>
          <w:szCs w:val="28"/>
        </w:rPr>
      </w:pPr>
      <w:bookmarkStart w:id="0" w:name="_GoBack"/>
      <w:bookmarkEnd w:id="0"/>
      <w:r>
        <w:rPr>
          <w:rFonts w:ascii="Arial" w:hAnsi="Arial" w:cs="Arial"/>
          <w:b/>
          <w:sz w:val="28"/>
          <w:szCs w:val="28"/>
        </w:rPr>
        <w:t>Atikokan Hydro Inc.</w:t>
      </w:r>
      <w:r w:rsidR="00B56997">
        <w:rPr>
          <w:rFonts w:ascii="Arial" w:hAnsi="Arial" w:cs="Arial"/>
          <w:b/>
          <w:sz w:val="28"/>
          <w:szCs w:val="28"/>
        </w:rPr>
        <w:t xml:space="preserve"> </w:t>
      </w:r>
      <w:r w:rsidR="002F218C">
        <w:rPr>
          <w:rFonts w:ascii="Arial" w:hAnsi="Arial" w:cs="Arial"/>
          <w:b/>
          <w:sz w:val="28"/>
          <w:szCs w:val="28"/>
        </w:rPr>
        <w:t>(</w:t>
      </w:r>
      <w:r>
        <w:rPr>
          <w:rFonts w:ascii="Arial" w:hAnsi="Arial" w:cs="Arial"/>
          <w:b/>
          <w:sz w:val="28"/>
          <w:szCs w:val="28"/>
        </w:rPr>
        <w:t>Atikokan Hydro</w:t>
      </w:r>
      <w:r w:rsidR="0066243E">
        <w:rPr>
          <w:rFonts w:ascii="Arial" w:hAnsi="Arial" w:cs="Arial"/>
          <w:b/>
          <w:sz w:val="28"/>
          <w:szCs w:val="28"/>
        </w:rPr>
        <w:t>)</w:t>
      </w:r>
    </w:p>
    <w:p w:rsidR="002F218C" w:rsidRPr="002F218C" w:rsidRDefault="00866E79" w:rsidP="00394351">
      <w:pPr>
        <w:jc w:val="center"/>
        <w:rPr>
          <w:rFonts w:ascii="Arial" w:hAnsi="Arial" w:cs="Arial"/>
          <w:b/>
          <w:sz w:val="24"/>
          <w:szCs w:val="24"/>
        </w:rPr>
      </w:pPr>
      <w:r>
        <w:rPr>
          <w:rFonts w:ascii="Arial" w:hAnsi="Arial" w:cs="Arial"/>
          <w:b/>
          <w:sz w:val="24"/>
          <w:szCs w:val="24"/>
        </w:rPr>
        <w:t>2019</w:t>
      </w:r>
      <w:r w:rsidR="0021184B" w:rsidRPr="002F218C">
        <w:rPr>
          <w:rFonts w:ascii="Arial" w:hAnsi="Arial" w:cs="Arial"/>
          <w:b/>
          <w:sz w:val="24"/>
          <w:szCs w:val="24"/>
        </w:rPr>
        <w:t xml:space="preserve"> </w:t>
      </w:r>
      <w:r w:rsidR="00D80EDE" w:rsidRPr="002F218C">
        <w:rPr>
          <w:rFonts w:ascii="Arial" w:hAnsi="Arial" w:cs="Arial"/>
          <w:b/>
          <w:sz w:val="24"/>
          <w:szCs w:val="24"/>
        </w:rPr>
        <w:t>IRM</w:t>
      </w:r>
      <w:r w:rsidR="002F218C" w:rsidRPr="002F218C">
        <w:rPr>
          <w:rFonts w:ascii="Arial" w:hAnsi="Arial" w:cs="Arial"/>
          <w:b/>
          <w:sz w:val="24"/>
          <w:szCs w:val="24"/>
        </w:rPr>
        <w:t xml:space="preserve"> Application</w:t>
      </w:r>
    </w:p>
    <w:p w:rsidR="00394351" w:rsidRPr="002F218C" w:rsidRDefault="00D0773D" w:rsidP="00394351">
      <w:pPr>
        <w:jc w:val="center"/>
        <w:rPr>
          <w:rFonts w:ascii="Arial" w:hAnsi="Arial" w:cs="Arial"/>
          <w:b/>
          <w:sz w:val="24"/>
          <w:szCs w:val="24"/>
        </w:rPr>
      </w:pPr>
      <w:r w:rsidRPr="002F218C">
        <w:rPr>
          <w:rFonts w:ascii="Arial" w:hAnsi="Arial" w:cs="Arial"/>
          <w:b/>
          <w:sz w:val="24"/>
          <w:szCs w:val="24"/>
        </w:rPr>
        <w:t>EB-201</w:t>
      </w:r>
      <w:r w:rsidR="00866E79">
        <w:rPr>
          <w:rFonts w:ascii="Arial" w:hAnsi="Arial" w:cs="Arial"/>
          <w:b/>
          <w:sz w:val="24"/>
          <w:szCs w:val="24"/>
        </w:rPr>
        <w:t>8-00</w:t>
      </w:r>
      <w:r w:rsidR="00C606AA">
        <w:rPr>
          <w:rFonts w:ascii="Arial" w:hAnsi="Arial" w:cs="Arial"/>
          <w:b/>
          <w:sz w:val="24"/>
          <w:szCs w:val="24"/>
        </w:rPr>
        <w:t>18</w:t>
      </w:r>
      <w:r w:rsidR="00B20109" w:rsidRPr="002F218C">
        <w:rPr>
          <w:rFonts w:ascii="Arial" w:hAnsi="Arial" w:cs="Arial"/>
          <w:b/>
          <w:sz w:val="24"/>
          <w:szCs w:val="24"/>
        </w:rPr>
        <w:t xml:space="preserve">                                                                                                                                                                                                                                                                                                         </w:t>
      </w:r>
      <w:r w:rsidR="002F218C" w:rsidRPr="002F218C">
        <w:rPr>
          <w:rFonts w:ascii="Arial" w:hAnsi="Arial" w:cs="Arial"/>
          <w:b/>
          <w:sz w:val="24"/>
          <w:szCs w:val="24"/>
        </w:rPr>
        <w:t xml:space="preserve">                           </w:t>
      </w:r>
    </w:p>
    <w:p w:rsidR="00304228" w:rsidRPr="002F218C" w:rsidRDefault="002F218C" w:rsidP="00CC447E">
      <w:pPr>
        <w:jc w:val="center"/>
        <w:rPr>
          <w:rFonts w:ascii="Arial" w:hAnsi="Arial" w:cs="Arial"/>
          <w:b/>
          <w:sz w:val="24"/>
          <w:szCs w:val="24"/>
        </w:rPr>
      </w:pPr>
      <w:r w:rsidRPr="002F218C">
        <w:rPr>
          <w:rFonts w:ascii="Arial" w:hAnsi="Arial" w:cs="Arial"/>
          <w:b/>
          <w:sz w:val="24"/>
          <w:szCs w:val="24"/>
        </w:rPr>
        <w:t>Application Analysis</w:t>
      </w:r>
    </w:p>
    <w:p w:rsidR="00E6651E" w:rsidRPr="002F218C" w:rsidRDefault="00F33C3D" w:rsidP="00304228">
      <w:pPr>
        <w:jc w:val="center"/>
        <w:rPr>
          <w:rFonts w:ascii="Arial" w:hAnsi="Arial" w:cs="Arial"/>
          <w:b/>
          <w:sz w:val="24"/>
          <w:szCs w:val="24"/>
        </w:rPr>
      </w:pPr>
      <w:r>
        <w:rPr>
          <w:rFonts w:ascii="Arial" w:hAnsi="Arial" w:cs="Arial"/>
          <w:b/>
          <w:sz w:val="24"/>
          <w:szCs w:val="24"/>
        </w:rPr>
        <w:t>November</w:t>
      </w:r>
      <w:r w:rsidR="001D5347">
        <w:rPr>
          <w:rFonts w:ascii="Arial" w:hAnsi="Arial" w:cs="Arial"/>
          <w:b/>
          <w:sz w:val="24"/>
          <w:szCs w:val="24"/>
        </w:rPr>
        <w:t xml:space="preserve"> </w:t>
      </w:r>
      <w:r w:rsidR="00941CC2">
        <w:rPr>
          <w:rFonts w:ascii="Arial" w:hAnsi="Arial" w:cs="Arial"/>
          <w:b/>
          <w:sz w:val="24"/>
          <w:szCs w:val="24"/>
        </w:rPr>
        <w:t>xx</w:t>
      </w:r>
      <w:r w:rsidR="00450CB6">
        <w:rPr>
          <w:rFonts w:ascii="Arial" w:hAnsi="Arial" w:cs="Arial"/>
          <w:b/>
          <w:sz w:val="24"/>
          <w:szCs w:val="24"/>
        </w:rPr>
        <w:t>, 2018</w:t>
      </w:r>
    </w:p>
    <w:p w:rsidR="00450CB6" w:rsidRDefault="00450CB6" w:rsidP="00A668A7">
      <w:pPr>
        <w:spacing w:after="0" w:line="240" w:lineRule="auto"/>
        <w:rPr>
          <w:rFonts w:ascii="Arial" w:hAnsi="Arial" w:cs="Arial"/>
          <w:b/>
          <w:sz w:val="24"/>
          <w:szCs w:val="24"/>
        </w:rPr>
      </w:pPr>
    </w:p>
    <w:p w:rsidR="000069CF" w:rsidRDefault="001F5CB6" w:rsidP="00A668A7">
      <w:pPr>
        <w:spacing w:after="0" w:line="240" w:lineRule="auto"/>
        <w:rPr>
          <w:rFonts w:ascii="Arial" w:hAnsi="Arial" w:cs="Arial"/>
          <w:b/>
          <w:sz w:val="24"/>
          <w:szCs w:val="24"/>
        </w:rPr>
      </w:pPr>
      <w:r>
        <w:rPr>
          <w:rFonts w:ascii="Arial" w:hAnsi="Arial" w:cs="Arial"/>
          <w:b/>
          <w:sz w:val="24"/>
          <w:szCs w:val="24"/>
        </w:rPr>
        <w:t xml:space="preserve">Staff </w:t>
      </w:r>
      <w:r w:rsidR="00E02478">
        <w:rPr>
          <w:rFonts w:ascii="Arial" w:hAnsi="Arial" w:cs="Arial"/>
          <w:b/>
          <w:sz w:val="24"/>
          <w:szCs w:val="24"/>
        </w:rPr>
        <w:t xml:space="preserve">Question </w:t>
      </w:r>
      <w:r>
        <w:rPr>
          <w:rFonts w:ascii="Arial" w:hAnsi="Arial" w:cs="Arial"/>
          <w:b/>
          <w:sz w:val="24"/>
          <w:szCs w:val="24"/>
        </w:rPr>
        <w:t>#</w:t>
      </w:r>
      <w:r w:rsidR="000069CF">
        <w:rPr>
          <w:rFonts w:ascii="Arial" w:hAnsi="Arial" w:cs="Arial"/>
          <w:b/>
          <w:sz w:val="24"/>
          <w:szCs w:val="24"/>
        </w:rPr>
        <w:t>1</w:t>
      </w:r>
    </w:p>
    <w:p w:rsidR="00ED120A" w:rsidRDefault="00355447" w:rsidP="00941CC2">
      <w:pPr>
        <w:autoSpaceDE w:val="0"/>
        <w:autoSpaceDN w:val="0"/>
        <w:rPr>
          <w:rFonts w:ascii="Arial" w:hAnsi="Arial" w:cs="Arial"/>
          <w:b/>
          <w:sz w:val="24"/>
          <w:szCs w:val="24"/>
          <w:lang w:val="en-US"/>
        </w:rPr>
      </w:pPr>
      <w:r>
        <w:rPr>
          <w:rFonts w:ascii="Arial" w:hAnsi="Arial" w:cs="Arial"/>
          <w:b/>
          <w:sz w:val="24"/>
          <w:szCs w:val="24"/>
          <w:lang w:val="en-US"/>
        </w:rPr>
        <w:t>Ref: Managers Summary page 5 of 29</w:t>
      </w:r>
    </w:p>
    <w:p w:rsidR="00355447" w:rsidRPr="00355447" w:rsidRDefault="00355447" w:rsidP="00941CC2">
      <w:pPr>
        <w:autoSpaceDE w:val="0"/>
        <w:autoSpaceDN w:val="0"/>
        <w:rPr>
          <w:rFonts w:ascii="Arial" w:hAnsi="Arial" w:cs="Arial"/>
          <w:sz w:val="24"/>
          <w:szCs w:val="24"/>
          <w:lang w:val="en-US"/>
        </w:rPr>
      </w:pPr>
      <w:r w:rsidRPr="00355447">
        <w:rPr>
          <w:rFonts w:ascii="Arial" w:hAnsi="Arial" w:cs="Arial"/>
          <w:sz w:val="24"/>
          <w:szCs w:val="24"/>
          <w:lang w:val="en-US"/>
        </w:rPr>
        <w:t>Atikokan Hydro stated in its managers summary that “the tariffs did not reflect the OEB’s most recent charges to the Ontario Electricity Support Program Recipient credit but Atikokan attest Atikokan has been in compliance with order EB-2016-0376”.</w:t>
      </w:r>
    </w:p>
    <w:p w:rsidR="00650C57" w:rsidRDefault="001B092E" w:rsidP="001B092E">
      <w:pPr>
        <w:pStyle w:val="ListParagraph"/>
        <w:numPr>
          <w:ilvl w:val="0"/>
          <w:numId w:val="22"/>
        </w:numPr>
        <w:tabs>
          <w:tab w:val="left" w:pos="360"/>
        </w:tabs>
        <w:autoSpaceDE w:val="0"/>
        <w:autoSpaceDN w:val="0"/>
        <w:ind w:left="360"/>
        <w:rPr>
          <w:rFonts w:ascii="Arial" w:hAnsi="Arial" w:cs="Arial"/>
          <w:sz w:val="24"/>
          <w:szCs w:val="24"/>
          <w:lang w:val="en-US"/>
        </w:rPr>
      </w:pPr>
      <w:r>
        <w:rPr>
          <w:rFonts w:ascii="Arial" w:hAnsi="Arial" w:cs="Arial"/>
          <w:sz w:val="24"/>
          <w:szCs w:val="24"/>
          <w:lang w:val="en-US"/>
        </w:rPr>
        <w:t xml:space="preserve">Please state why Atikokan Hydro </w:t>
      </w:r>
      <w:r w:rsidR="004B39CE">
        <w:rPr>
          <w:rFonts w:ascii="Arial" w:hAnsi="Arial" w:cs="Arial"/>
          <w:sz w:val="24"/>
          <w:szCs w:val="24"/>
          <w:lang w:val="en-US"/>
        </w:rPr>
        <w:t>included this statement in the Managers S</w:t>
      </w:r>
      <w:r>
        <w:rPr>
          <w:rFonts w:ascii="Arial" w:hAnsi="Arial" w:cs="Arial"/>
          <w:sz w:val="24"/>
          <w:szCs w:val="24"/>
          <w:lang w:val="en-US"/>
        </w:rPr>
        <w:t>ummary</w:t>
      </w:r>
    </w:p>
    <w:p w:rsidR="00355447" w:rsidRDefault="00355447" w:rsidP="00650C57">
      <w:pPr>
        <w:pStyle w:val="ListParagraph"/>
        <w:tabs>
          <w:tab w:val="left" w:pos="360"/>
        </w:tabs>
        <w:autoSpaceDE w:val="0"/>
        <w:autoSpaceDN w:val="0"/>
        <w:ind w:left="360"/>
        <w:rPr>
          <w:rFonts w:ascii="Arial" w:hAnsi="Arial" w:cs="Arial"/>
          <w:sz w:val="24"/>
          <w:szCs w:val="24"/>
          <w:lang w:val="en-US"/>
        </w:rPr>
      </w:pPr>
    </w:p>
    <w:p w:rsidR="00650C57" w:rsidRPr="006F3CDB" w:rsidRDefault="00650C57" w:rsidP="00650C57">
      <w:pPr>
        <w:pStyle w:val="ListParagraph"/>
        <w:tabs>
          <w:tab w:val="left" w:pos="360"/>
        </w:tabs>
        <w:autoSpaceDE w:val="0"/>
        <w:autoSpaceDN w:val="0"/>
        <w:ind w:left="360"/>
        <w:rPr>
          <w:rFonts w:ascii="Arial" w:hAnsi="Arial" w:cs="Arial"/>
          <w:b/>
          <w:sz w:val="24"/>
          <w:szCs w:val="24"/>
          <w:u w:val="single"/>
          <w:lang w:val="en-US"/>
        </w:rPr>
      </w:pPr>
      <w:r w:rsidRPr="006F3CDB">
        <w:rPr>
          <w:rFonts w:ascii="Arial" w:hAnsi="Arial" w:cs="Arial"/>
          <w:b/>
          <w:sz w:val="24"/>
          <w:szCs w:val="24"/>
          <w:u w:val="single"/>
          <w:lang w:val="en-US"/>
        </w:rPr>
        <w:t>RESPONSE</w:t>
      </w:r>
    </w:p>
    <w:p w:rsidR="00650C57" w:rsidRPr="001B092E" w:rsidRDefault="00650C57" w:rsidP="00650C57">
      <w:pPr>
        <w:pStyle w:val="ListParagraph"/>
        <w:tabs>
          <w:tab w:val="left" w:pos="360"/>
        </w:tabs>
        <w:autoSpaceDE w:val="0"/>
        <w:autoSpaceDN w:val="0"/>
        <w:ind w:left="360"/>
        <w:rPr>
          <w:rFonts w:ascii="Arial" w:hAnsi="Arial" w:cs="Arial"/>
          <w:sz w:val="24"/>
          <w:szCs w:val="24"/>
          <w:lang w:val="en-US"/>
        </w:rPr>
      </w:pPr>
      <w:r>
        <w:rPr>
          <w:rFonts w:ascii="Arial" w:hAnsi="Arial" w:cs="Arial"/>
          <w:sz w:val="24"/>
          <w:szCs w:val="24"/>
          <w:lang w:val="en-US"/>
        </w:rPr>
        <w:t xml:space="preserve">Please disregard this statement in the manager’s summary. </w:t>
      </w:r>
    </w:p>
    <w:p w:rsidR="00861DAE" w:rsidRDefault="00861DAE">
      <w:pPr>
        <w:rPr>
          <w:rFonts w:ascii="Arial" w:hAnsi="Arial" w:cs="Arial"/>
          <w:b/>
          <w:sz w:val="24"/>
          <w:szCs w:val="24"/>
        </w:rPr>
      </w:pPr>
      <w:r>
        <w:rPr>
          <w:rFonts w:ascii="Arial" w:hAnsi="Arial" w:cs="Arial"/>
          <w:b/>
          <w:sz w:val="24"/>
          <w:szCs w:val="24"/>
        </w:rPr>
        <w:br w:type="page"/>
      </w:r>
    </w:p>
    <w:p w:rsidR="00E17077" w:rsidRDefault="00E17077" w:rsidP="00E17077">
      <w:pPr>
        <w:spacing w:after="0"/>
        <w:jc w:val="both"/>
        <w:rPr>
          <w:rFonts w:ascii="Arial" w:hAnsi="Arial" w:cs="Arial"/>
          <w:b/>
          <w:sz w:val="24"/>
          <w:szCs w:val="24"/>
        </w:rPr>
      </w:pPr>
      <w:r>
        <w:rPr>
          <w:rFonts w:ascii="Arial" w:hAnsi="Arial" w:cs="Arial"/>
          <w:b/>
          <w:sz w:val="24"/>
          <w:szCs w:val="24"/>
        </w:rPr>
        <w:lastRenderedPageBreak/>
        <w:t>Staff Question #2</w:t>
      </w:r>
    </w:p>
    <w:p w:rsidR="00E17077" w:rsidRDefault="00E17077" w:rsidP="00861DAE">
      <w:pPr>
        <w:spacing w:after="0"/>
        <w:jc w:val="both"/>
        <w:rPr>
          <w:rFonts w:ascii="Arial" w:hAnsi="Arial" w:cs="Arial"/>
          <w:sz w:val="24"/>
          <w:szCs w:val="24"/>
        </w:rPr>
      </w:pPr>
      <w:r>
        <w:rPr>
          <w:rFonts w:ascii="Arial" w:hAnsi="Arial" w:cs="Arial"/>
          <w:b/>
          <w:sz w:val="24"/>
          <w:szCs w:val="24"/>
        </w:rPr>
        <w:t>Ref: Sheet 3 “Continuity Schedule” is reproduced below</w:t>
      </w:r>
    </w:p>
    <w:p w:rsidR="007565D6" w:rsidRDefault="007565D6" w:rsidP="00E17077">
      <w:pPr>
        <w:spacing w:after="0"/>
        <w:rPr>
          <w:rFonts w:ascii="Arial" w:hAnsi="Arial" w:cs="Arial"/>
          <w:sz w:val="24"/>
          <w:szCs w:val="24"/>
        </w:rPr>
      </w:pPr>
    </w:p>
    <w:p w:rsidR="00E17077" w:rsidRDefault="00E17077" w:rsidP="00E17077">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Atikokan Hydro’s 2017 cost of service </w:t>
      </w:r>
      <w:r w:rsidRPr="00096D51">
        <w:rPr>
          <w:rFonts w:ascii="Arial" w:hAnsi="Arial" w:cs="Arial"/>
          <w:sz w:val="24"/>
          <w:szCs w:val="24"/>
        </w:rPr>
        <w:t>Decision</w:t>
      </w:r>
      <w:r>
        <w:rPr>
          <w:rStyle w:val="FootnoteReference"/>
          <w:rFonts w:ascii="Arial" w:hAnsi="Arial" w:cs="Arial"/>
          <w:sz w:val="24"/>
          <w:szCs w:val="24"/>
        </w:rPr>
        <w:footnoteReference w:id="1"/>
      </w:r>
      <w:r w:rsidRPr="00096D51">
        <w:rPr>
          <w:rFonts w:ascii="Arial" w:hAnsi="Arial" w:cs="Arial"/>
          <w:sz w:val="24"/>
          <w:szCs w:val="24"/>
        </w:rPr>
        <w:t xml:space="preserve"> which identified the principal and interest amounts approved for disposition, is reproduced below.</w:t>
      </w:r>
    </w:p>
    <w:p w:rsidR="00E17077" w:rsidRDefault="00E17077" w:rsidP="00E17077">
      <w:pPr>
        <w:spacing w:after="0"/>
        <w:rPr>
          <w:rFonts w:ascii="Arial" w:hAnsi="Arial" w:cs="Arial"/>
          <w:sz w:val="24"/>
          <w:szCs w:val="24"/>
        </w:rPr>
      </w:pPr>
    </w:p>
    <w:p w:rsidR="00E17077" w:rsidRDefault="00861DAE" w:rsidP="00E17077">
      <w:pPr>
        <w:rPr>
          <w:rFonts w:ascii="Arial" w:hAnsi="Arial" w:cs="Arial"/>
          <w:sz w:val="24"/>
          <w:szCs w:val="24"/>
        </w:rPr>
      </w:pPr>
      <w:r>
        <w:rPr>
          <w:noProof/>
          <w:lang w:val="en-US"/>
        </w:rPr>
        <w:drawing>
          <wp:inline distT="0" distB="0" distL="0" distR="0" wp14:anchorId="00D285C9" wp14:editId="35763A3E">
            <wp:extent cx="5549900" cy="2872192"/>
            <wp:effectExtent l="19050" t="19050" r="12700" b="234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4016" cy="2874322"/>
                    </a:xfrm>
                    <a:prstGeom prst="rect">
                      <a:avLst/>
                    </a:prstGeom>
                    <a:ln>
                      <a:solidFill>
                        <a:sysClr val="windowText" lastClr="000000"/>
                      </a:solidFill>
                    </a:ln>
                  </pic:spPr>
                </pic:pic>
              </a:graphicData>
            </a:graphic>
          </wp:inline>
        </w:drawing>
      </w:r>
    </w:p>
    <w:p w:rsidR="00E17077" w:rsidRDefault="00E17077" w:rsidP="00E17077">
      <w:pPr>
        <w:pStyle w:val="ListParagraph"/>
        <w:numPr>
          <w:ilvl w:val="0"/>
          <w:numId w:val="4"/>
        </w:numPr>
        <w:ind w:left="360"/>
        <w:rPr>
          <w:rFonts w:ascii="Arial" w:hAnsi="Arial" w:cs="Arial"/>
          <w:sz w:val="24"/>
          <w:szCs w:val="24"/>
        </w:rPr>
      </w:pPr>
      <w:r w:rsidRPr="00096D51">
        <w:rPr>
          <w:rFonts w:ascii="Arial" w:hAnsi="Arial" w:cs="Arial"/>
          <w:sz w:val="24"/>
          <w:szCs w:val="24"/>
        </w:rPr>
        <w:t xml:space="preserve">OEB staff notes that the </w:t>
      </w:r>
      <w:r>
        <w:rPr>
          <w:rFonts w:ascii="Arial" w:hAnsi="Arial" w:cs="Arial"/>
          <w:sz w:val="24"/>
          <w:szCs w:val="24"/>
        </w:rPr>
        <w:t>“OEB-Approved Disposition during 2017” and i</w:t>
      </w:r>
      <w:r w:rsidRPr="00096D51">
        <w:rPr>
          <w:rFonts w:ascii="Arial" w:hAnsi="Arial" w:cs="Arial"/>
          <w:sz w:val="24"/>
          <w:szCs w:val="24"/>
        </w:rPr>
        <w:t>nterest Disposition during 201</w:t>
      </w:r>
      <w:r>
        <w:rPr>
          <w:rFonts w:ascii="Arial" w:hAnsi="Arial" w:cs="Arial"/>
          <w:sz w:val="24"/>
          <w:szCs w:val="24"/>
        </w:rPr>
        <w:t>7</w:t>
      </w:r>
      <w:r w:rsidRPr="00096D51">
        <w:rPr>
          <w:rFonts w:ascii="Arial" w:hAnsi="Arial" w:cs="Arial"/>
          <w:sz w:val="24"/>
          <w:szCs w:val="24"/>
        </w:rPr>
        <w:t xml:space="preserve"> do not reconcile with the </w:t>
      </w:r>
      <w:r>
        <w:rPr>
          <w:rFonts w:ascii="Arial" w:hAnsi="Arial" w:cs="Arial"/>
          <w:sz w:val="24"/>
          <w:szCs w:val="24"/>
        </w:rPr>
        <w:t xml:space="preserve">approved amounts </w:t>
      </w:r>
      <w:r w:rsidRPr="00096D51">
        <w:rPr>
          <w:rFonts w:ascii="Arial" w:hAnsi="Arial" w:cs="Arial"/>
          <w:sz w:val="24"/>
          <w:szCs w:val="24"/>
        </w:rPr>
        <w:t>in the 201</w:t>
      </w:r>
      <w:r>
        <w:rPr>
          <w:rFonts w:ascii="Arial" w:hAnsi="Arial" w:cs="Arial"/>
          <w:sz w:val="24"/>
          <w:szCs w:val="24"/>
        </w:rPr>
        <w:t>7</w:t>
      </w:r>
      <w:r w:rsidRPr="00096D51">
        <w:rPr>
          <w:rFonts w:ascii="Arial" w:hAnsi="Arial" w:cs="Arial"/>
          <w:sz w:val="24"/>
          <w:szCs w:val="24"/>
        </w:rPr>
        <w:t xml:space="preserve"> </w:t>
      </w:r>
      <w:r>
        <w:rPr>
          <w:rFonts w:ascii="Arial" w:hAnsi="Arial" w:cs="Arial"/>
          <w:sz w:val="24"/>
          <w:szCs w:val="24"/>
        </w:rPr>
        <w:t xml:space="preserve">cost of service </w:t>
      </w:r>
      <w:r w:rsidRPr="00096D51">
        <w:rPr>
          <w:rFonts w:ascii="Arial" w:hAnsi="Arial" w:cs="Arial"/>
          <w:sz w:val="24"/>
          <w:szCs w:val="24"/>
        </w:rPr>
        <w:t>Decision.</w:t>
      </w:r>
    </w:p>
    <w:p w:rsidR="00E17077" w:rsidRDefault="00E17077" w:rsidP="00E17077">
      <w:pPr>
        <w:ind w:left="360"/>
        <w:rPr>
          <w:rFonts w:ascii="Arial" w:hAnsi="Arial" w:cs="Arial"/>
          <w:sz w:val="24"/>
          <w:szCs w:val="24"/>
        </w:rPr>
      </w:pPr>
      <w:r w:rsidRPr="009363EA">
        <w:rPr>
          <w:rFonts w:ascii="Arial" w:hAnsi="Arial" w:cs="Arial"/>
          <w:sz w:val="24"/>
          <w:szCs w:val="24"/>
        </w:rPr>
        <w:t xml:space="preserve">Please reconcile differences. If the input into the Rate Generator Model is an error please provide corrections and OEB staff will make the necessary changes to the model. </w:t>
      </w:r>
    </w:p>
    <w:p w:rsidR="008F7389" w:rsidRDefault="008F7389" w:rsidP="00E17077">
      <w:pPr>
        <w:ind w:left="360"/>
        <w:rPr>
          <w:rFonts w:ascii="Arial" w:hAnsi="Arial" w:cs="Arial"/>
          <w:sz w:val="24"/>
          <w:szCs w:val="24"/>
        </w:rPr>
      </w:pPr>
    </w:p>
    <w:p w:rsidR="007565D6" w:rsidRDefault="007565D6" w:rsidP="007565D6">
      <w:pPr>
        <w:rPr>
          <w:rFonts w:ascii="Arial" w:hAnsi="Arial" w:cs="Arial"/>
          <w:sz w:val="24"/>
          <w:szCs w:val="24"/>
        </w:rPr>
      </w:pPr>
    </w:p>
    <w:p w:rsidR="00861DAE" w:rsidRDefault="00861DAE" w:rsidP="00861DAE">
      <w:pPr>
        <w:rPr>
          <w:rFonts w:ascii="Arial" w:hAnsi="Arial" w:cs="Arial"/>
          <w:sz w:val="24"/>
          <w:szCs w:val="24"/>
        </w:rPr>
      </w:pPr>
      <w:r>
        <w:rPr>
          <w:noProof/>
          <w:lang w:val="en-US"/>
        </w:rPr>
        <w:lastRenderedPageBreak/>
        <w:drawing>
          <wp:inline distT="0" distB="0" distL="0" distR="0" wp14:anchorId="6A264C6A" wp14:editId="4EE6C9EF">
            <wp:extent cx="5943600" cy="2239540"/>
            <wp:effectExtent l="19050" t="19050" r="19050" b="27940"/>
            <wp:docPr id="3" name="Picture 1" descr="C:\Users\wongch\AppData\Local\Temp\SNAGHTML18a8ed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ngch\AppData\Local\Temp\SNAGHTML18a8ed9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39540"/>
                    </a:xfrm>
                    <a:prstGeom prst="rect">
                      <a:avLst/>
                    </a:prstGeom>
                    <a:noFill/>
                    <a:ln>
                      <a:solidFill>
                        <a:sysClr val="windowText" lastClr="000000"/>
                      </a:solidFill>
                    </a:ln>
                  </pic:spPr>
                </pic:pic>
              </a:graphicData>
            </a:graphic>
          </wp:inline>
        </w:drawing>
      </w:r>
    </w:p>
    <w:p w:rsidR="00E75E9A" w:rsidRDefault="00E75E9A" w:rsidP="001460D9">
      <w:pPr>
        <w:ind w:left="360"/>
        <w:rPr>
          <w:rFonts w:ascii="Arial" w:hAnsi="Arial" w:cs="Arial"/>
          <w:b/>
          <w:sz w:val="24"/>
          <w:szCs w:val="24"/>
          <w:u w:val="single"/>
        </w:rPr>
      </w:pPr>
    </w:p>
    <w:p w:rsidR="001460D9" w:rsidRPr="006F3CDB" w:rsidRDefault="001460D9" w:rsidP="001460D9">
      <w:pPr>
        <w:ind w:left="360"/>
        <w:rPr>
          <w:rFonts w:ascii="Arial" w:hAnsi="Arial" w:cs="Arial"/>
          <w:b/>
          <w:sz w:val="24"/>
          <w:szCs w:val="24"/>
          <w:u w:val="single"/>
        </w:rPr>
      </w:pPr>
      <w:r w:rsidRPr="006F3CDB">
        <w:rPr>
          <w:rFonts w:ascii="Arial" w:hAnsi="Arial" w:cs="Arial"/>
          <w:b/>
          <w:sz w:val="24"/>
          <w:szCs w:val="24"/>
          <w:u w:val="single"/>
        </w:rPr>
        <w:t>RESPONSE</w:t>
      </w:r>
    </w:p>
    <w:p w:rsidR="001460D9" w:rsidRDefault="001460D9" w:rsidP="001460D9">
      <w:pPr>
        <w:ind w:left="360"/>
        <w:rPr>
          <w:rFonts w:ascii="Arial" w:hAnsi="Arial" w:cs="Arial"/>
          <w:sz w:val="24"/>
          <w:szCs w:val="24"/>
        </w:rPr>
      </w:pPr>
      <w:r>
        <w:rPr>
          <w:rFonts w:ascii="Arial" w:hAnsi="Arial" w:cs="Arial"/>
          <w:sz w:val="24"/>
          <w:szCs w:val="24"/>
        </w:rPr>
        <w:t>Atikokan inadvertently included the 2017 OEB Princip</w:t>
      </w:r>
      <w:r w:rsidR="00557400">
        <w:rPr>
          <w:rFonts w:ascii="Arial" w:hAnsi="Arial" w:cs="Arial"/>
          <w:sz w:val="24"/>
          <w:szCs w:val="24"/>
        </w:rPr>
        <w:t>al approved amounts for Account</w:t>
      </w:r>
      <w:r>
        <w:rPr>
          <w:rFonts w:ascii="Arial" w:hAnsi="Arial" w:cs="Arial"/>
          <w:sz w:val="24"/>
          <w:szCs w:val="24"/>
        </w:rPr>
        <w:t xml:space="preserve"> 1584 and 1586 in the column with the </w:t>
      </w:r>
      <w:r w:rsidR="00D42FD3">
        <w:rPr>
          <w:rFonts w:ascii="Arial" w:hAnsi="Arial" w:cs="Arial"/>
          <w:sz w:val="24"/>
          <w:szCs w:val="24"/>
        </w:rPr>
        <w:t>‘</w:t>
      </w:r>
      <w:r>
        <w:rPr>
          <w:rFonts w:ascii="Arial" w:hAnsi="Arial" w:cs="Arial"/>
          <w:sz w:val="24"/>
          <w:szCs w:val="24"/>
        </w:rPr>
        <w:t>Transactions Debit/(Credit) during 2017</w:t>
      </w:r>
      <w:r w:rsidR="00D42FD3">
        <w:rPr>
          <w:rFonts w:ascii="Arial" w:hAnsi="Arial" w:cs="Arial"/>
          <w:sz w:val="24"/>
          <w:szCs w:val="24"/>
        </w:rPr>
        <w:t>’</w:t>
      </w:r>
      <w:r>
        <w:rPr>
          <w:rFonts w:ascii="Arial" w:hAnsi="Arial" w:cs="Arial"/>
          <w:sz w:val="24"/>
          <w:szCs w:val="24"/>
        </w:rPr>
        <w:t xml:space="preserve">.  </w:t>
      </w:r>
    </w:p>
    <w:p w:rsidR="001460D9" w:rsidRDefault="001460D9" w:rsidP="001460D9">
      <w:pPr>
        <w:ind w:left="360"/>
        <w:rPr>
          <w:rFonts w:ascii="Arial" w:hAnsi="Arial" w:cs="Arial"/>
          <w:sz w:val="24"/>
          <w:szCs w:val="24"/>
        </w:rPr>
      </w:pPr>
      <w:r>
        <w:rPr>
          <w:rFonts w:ascii="Arial" w:hAnsi="Arial" w:cs="Arial"/>
          <w:sz w:val="24"/>
          <w:szCs w:val="24"/>
        </w:rPr>
        <w:t xml:space="preserve">The Global Adjustment interest amounts for Interest Jan 1 to Dec 13, 2017 and the OEB Approved Disposition during 2017 were reversed. The proposed correction has been made. </w:t>
      </w:r>
    </w:p>
    <w:p w:rsidR="001460D9" w:rsidRDefault="001460D9" w:rsidP="001460D9">
      <w:pPr>
        <w:ind w:left="360"/>
        <w:rPr>
          <w:rFonts w:ascii="Arial" w:hAnsi="Arial" w:cs="Arial"/>
          <w:sz w:val="24"/>
          <w:szCs w:val="24"/>
        </w:rPr>
      </w:pPr>
      <w:r>
        <w:rPr>
          <w:rFonts w:ascii="Arial" w:hAnsi="Arial" w:cs="Arial"/>
          <w:sz w:val="24"/>
          <w:szCs w:val="24"/>
        </w:rPr>
        <w:t>The Rate Generator Model should read as follows to address the input errors by Atikokan:</w:t>
      </w:r>
    </w:p>
    <w:p w:rsidR="00557400" w:rsidRDefault="00557400" w:rsidP="001460D9">
      <w:pPr>
        <w:ind w:left="360"/>
        <w:rPr>
          <w:rFonts w:ascii="Arial" w:hAnsi="Arial" w:cs="Arial"/>
          <w:sz w:val="24"/>
          <w:szCs w:val="24"/>
        </w:rPr>
      </w:pPr>
      <w:r w:rsidRPr="00557400">
        <w:rPr>
          <w:noProof/>
          <w:lang w:val="en-US"/>
        </w:rPr>
        <w:drawing>
          <wp:inline distT="0" distB="0" distL="0" distR="0">
            <wp:extent cx="5943600" cy="2208974"/>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08974"/>
                    </a:xfrm>
                    <a:prstGeom prst="rect">
                      <a:avLst/>
                    </a:prstGeom>
                    <a:noFill/>
                    <a:ln>
                      <a:noFill/>
                    </a:ln>
                  </pic:spPr>
                </pic:pic>
              </a:graphicData>
            </a:graphic>
          </wp:inline>
        </w:drawing>
      </w:r>
    </w:p>
    <w:p w:rsidR="007565D6" w:rsidRDefault="007565D6">
      <w:pPr>
        <w:rPr>
          <w:rFonts w:ascii="Arial" w:hAnsi="Arial" w:cs="Arial"/>
          <w:b/>
          <w:sz w:val="24"/>
          <w:szCs w:val="24"/>
        </w:rPr>
      </w:pPr>
    </w:p>
    <w:p w:rsidR="00E75E9A" w:rsidRDefault="00E75E9A">
      <w:pPr>
        <w:rPr>
          <w:rFonts w:ascii="Arial" w:hAnsi="Arial" w:cs="Arial"/>
          <w:b/>
          <w:sz w:val="24"/>
          <w:szCs w:val="24"/>
        </w:rPr>
      </w:pPr>
    </w:p>
    <w:p w:rsidR="007565D6" w:rsidRDefault="007565D6" w:rsidP="007565D6">
      <w:pPr>
        <w:spacing w:after="0"/>
        <w:jc w:val="both"/>
        <w:rPr>
          <w:rFonts w:ascii="Arial" w:hAnsi="Arial" w:cs="Arial"/>
          <w:b/>
          <w:sz w:val="24"/>
          <w:szCs w:val="24"/>
        </w:rPr>
      </w:pPr>
      <w:r>
        <w:rPr>
          <w:rFonts w:ascii="Arial" w:hAnsi="Arial" w:cs="Arial"/>
          <w:b/>
          <w:sz w:val="24"/>
          <w:szCs w:val="24"/>
        </w:rPr>
        <w:lastRenderedPageBreak/>
        <w:t>Staff Question #3</w:t>
      </w:r>
    </w:p>
    <w:p w:rsidR="007565D6" w:rsidRDefault="007565D6" w:rsidP="007565D6">
      <w:pPr>
        <w:spacing w:after="0"/>
        <w:jc w:val="both"/>
        <w:rPr>
          <w:rFonts w:ascii="Arial" w:hAnsi="Arial" w:cs="Arial"/>
          <w:sz w:val="24"/>
          <w:szCs w:val="24"/>
        </w:rPr>
      </w:pPr>
      <w:r>
        <w:rPr>
          <w:rFonts w:ascii="Arial" w:hAnsi="Arial" w:cs="Arial"/>
          <w:b/>
          <w:sz w:val="24"/>
          <w:szCs w:val="24"/>
        </w:rPr>
        <w:t>Ref: Sheet 3 “Continuity Schedule” is reproduced below</w:t>
      </w:r>
    </w:p>
    <w:p w:rsidR="007565D6" w:rsidRDefault="007565D6" w:rsidP="007565D6">
      <w:pPr>
        <w:spacing w:after="0"/>
        <w:rPr>
          <w:rFonts w:ascii="Arial" w:hAnsi="Arial" w:cs="Arial"/>
          <w:sz w:val="24"/>
          <w:szCs w:val="24"/>
        </w:rPr>
      </w:pPr>
    </w:p>
    <w:p w:rsidR="007565D6" w:rsidRDefault="007565D6" w:rsidP="007565D6">
      <w:pPr>
        <w:spacing w:after="0"/>
        <w:rPr>
          <w:rFonts w:ascii="Arial" w:hAnsi="Arial" w:cs="Arial"/>
          <w:sz w:val="24"/>
          <w:szCs w:val="24"/>
        </w:rPr>
      </w:pPr>
      <w:r>
        <w:rPr>
          <w:rFonts w:ascii="Arial" w:hAnsi="Arial" w:cs="Arial"/>
          <w:sz w:val="24"/>
          <w:szCs w:val="24"/>
        </w:rPr>
        <w:t>T</w:t>
      </w:r>
      <w:r w:rsidRPr="00096D51">
        <w:rPr>
          <w:rFonts w:ascii="Arial" w:hAnsi="Arial" w:cs="Arial"/>
          <w:sz w:val="24"/>
          <w:szCs w:val="24"/>
        </w:rPr>
        <w:t xml:space="preserve">he table from </w:t>
      </w:r>
      <w:r>
        <w:rPr>
          <w:rFonts w:ascii="Arial" w:hAnsi="Arial" w:cs="Arial"/>
          <w:sz w:val="24"/>
          <w:szCs w:val="24"/>
        </w:rPr>
        <w:t xml:space="preserve">Atikokan Hydro’s 2018 IRM </w:t>
      </w:r>
      <w:r w:rsidRPr="00096D51">
        <w:rPr>
          <w:rFonts w:ascii="Arial" w:hAnsi="Arial" w:cs="Arial"/>
          <w:sz w:val="24"/>
          <w:szCs w:val="24"/>
        </w:rPr>
        <w:t>Decision</w:t>
      </w:r>
      <w:r>
        <w:rPr>
          <w:rStyle w:val="FootnoteReference"/>
          <w:rFonts w:ascii="Arial" w:hAnsi="Arial" w:cs="Arial"/>
          <w:sz w:val="24"/>
          <w:szCs w:val="24"/>
        </w:rPr>
        <w:footnoteReference w:id="2"/>
      </w:r>
      <w:r w:rsidRPr="00096D51">
        <w:rPr>
          <w:rFonts w:ascii="Arial" w:hAnsi="Arial" w:cs="Arial"/>
          <w:sz w:val="24"/>
          <w:szCs w:val="24"/>
        </w:rPr>
        <w:t xml:space="preserve"> which identified the principal and interest amounts approved for disposition, is reproduced below.</w:t>
      </w:r>
    </w:p>
    <w:p w:rsidR="007565D6" w:rsidRDefault="007565D6" w:rsidP="007565D6">
      <w:pPr>
        <w:spacing w:after="0"/>
        <w:rPr>
          <w:rFonts w:ascii="Arial" w:hAnsi="Arial" w:cs="Arial"/>
          <w:sz w:val="24"/>
          <w:szCs w:val="24"/>
        </w:rPr>
      </w:pPr>
    </w:p>
    <w:p w:rsidR="007565D6" w:rsidRDefault="007565D6" w:rsidP="007565D6">
      <w:pPr>
        <w:spacing w:after="0"/>
        <w:jc w:val="center"/>
        <w:rPr>
          <w:rFonts w:ascii="Arial" w:hAnsi="Arial" w:cs="Arial"/>
          <w:sz w:val="24"/>
          <w:szCs w:val="24"/>
        </w:rPr>
      </w:pPr>
      <w:r>
        <w:rPr>
          <w:noProof/>
          <w:lang w:val="en-US"/>
        </w:rPr>
        <w:drawing>
          <wp:inline distT="0" distB="0" distL="0" distR="0" wp14:anchorId="12221EED" wp14:editId="75D9BE61">
            <wp:extent cx="5296172" cy="4305521"/>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6172" cy="4305521"/>
                    </a:xfrm>
                    <a:prstGeom prst="rect">
                      <a:avLst/>
                    </a:prstGeom>
                    <a:ln>
                      <a:solidFill>
                        <a:sysClr val="windowText" lastClr="000000"/>
                      </a:solidFill>
                    </a:ln>
                  </pic:spPr>
                </pic:pic>
              </a:graphicData>
            </a:graphic>
          </wp:inline>
        </w:drawing>
      </w:r>
    </w:p>
    <w:p w:rsidR="007565D6" w:rsidRDefault="007565D6" w:rsidP="007565D6">
      <w:pPr>
        <w:rPr>
          <w:rFonts w:ascii="Arial" w:hAnsi="Arial" w:cs="Arial"/>
          <w:sz w:val="24"/>
          <w:szCs w:val="24"/>
        </w:rPr>
      </w:pPr>
    </w:p>
    <w:p w:rsidR="007565D6" w:rsidRDefault="007565D6" w:rsidP="007565D6">
      <w:pPr>
        <w:pStyle w:val="ListParagraph"/>
        <w:numPr>
          <w:ilvl w:val="0"/>
          <w:numId w:val="4"/>
        </w:numPr>
        <w:rPr>
          <w:rFonts w:ascii="Arial" w:hAnsi="Arial" w:cs="Arial"/>
          <w:sz w:val="24"/>
          <w:szCs w:val="24"/>
        </w:rPr>
      </w:pPr>
      <w:r w:rsidRPr="00096D51">
        <w:rPr>
          <w:rFonts w:ascii="Arial" w:hAnsi="Arial" w:cs="Arial"/>
          <w:sz w:val="24"/>
          <w:szCs w:val="24"/>
        </w:rPr>
        <w:t xml:space="preserve">OEB staff notes that the </w:t>
      </w:r>
      <w:r>
        <w:rPr>
          <w:rFonts w:ascii="Arial" w:hAnsi="Arial" w:cs="Arial"/>
          <w:sz w:val="24"/>
          <w:szCs w:val="24"/>
        </w:rPr>
        <w:t>“OEB-Approved Disposition during 2018” and “I</w:t>
      </w:r>
      <w:r w:rsidRPr="00096D51">
        <w:rPr>
          <w:rFonts w:ascii="Arial" w:hAnsi="Arial" w:cs="Arial"/>
          <w:sz w:val="24"/>
          <w:szCs w:val="24"/>
        </w:rPr>
        <w:t>nterest Disposition during 201</w:t>
      </w:r>
      <w:r>
        <w:rPr>
          <w:rFonts w:ascii="Arial" w:hAnsi="Arial" w:cs="Arial"/>
          <w:sz w:val="24"/>
          <w:szCs w:val="24"/>
        </w:rPr>
        <w:t>8 instructed by OEB”</w:t>
      </w:r>
      <w:r w:rsidRPr="00096D51">
        <w:rPr>
          <w:rFonts w:ascii="Arial" w:hAnsi="Arial" w:cs="Arial"/>
          <w:sz w:val="24"/>
          <w:szCs w:val="24"/>
        </w:rPr>
        <w:t xml:space="preserve"> do not reconcile with the </w:t>
      </w:r>
      <w:r>
        <w:rPr>
          <w:rFonts w:ascii="Arial" w:hAnsi="Arial" w:cs="Arial"/>
          <w:sz w:val="24"/>
          <w:szCs w:val="24"/>
        </w:rPr>
        <w:t xml:space="preserve">approved amounts </w:t>
      </w:r>
      <w:r w:rsidRPr="00096D51">
        <w:rPr>
          <w:rFonts w:ascii="Arial" w:hAnsi="Arial" w:cs="Arial"/>
          <w:sz w:val="24"/>
          <w:szCs w:val="24"/>
        </w:rPr>
        <w:t>in the 201</w:t>
      </w:r>
      <w:r>
        <w:rPr>
          <w:rFonts w:ascii="Arial" w:hAnsi="Arial" w:cs="Arial"/>
          <w:sz w:val="24"/>
          <w:szCs w:val="24"/>
        </w:rPr>
        <w:t>7</w:t>
      </w:r>
      <w:r w:rsidRPr="00096D51">
        <w:rPr>
          <w:rFonts w:ascii="Arial" w:hAnsi="Arial" w:cs="Arial"/>
          <w:sz w:val="24"/>
          <w:szCs w:val="24"/>
        </w:rPr>
        <w:t xml:space="preserve"> </w:t>
      </w:r>
      <w:r>
        <w:rPr>
          <w:rFonts w:ascii="Arial" w:hAnsi="Arial" w:cs="Arial"/>
          <w:sz w:val="24"/>
          <w:szCs w:val="24"/>
        </w:rPr>
        <w:t xml:space="preserve">cost of service </w:t>
      </w:r>
      <w:r w:rsidRPr="00096D51">
        <w:rPr>
          <w:rFonts w:ascii="Arial" w:hAnsi="Arial" w:cs="Arial"/>
          <w:sz w:val="24"/>
          <w:szCs w:val="24"/>
        </w:rPr>
        <w:t>Decision.</w:t>
      </w:r>
    </w:p>
    <w:p w:rsidR="007565D6" w:rsidRDefault="007565D6" w:rsidP="007565D6">
      <w:pPr>
        <w:ind w:left="720"/>
        <w:rPr>
          <w:rFonts w:ascii="Arial" w:hAnsi="Arial" w:cs="Arial"/>
          <w:sz w:val="24"/>
          <w:szCs w:val="24"/>
        </w:rPr>
      </w:pPr>
      <w:r w:rsidRPr="009363EA">
        <w:rPr>
          <w:rFonts w:ascii="Arial" w:hAnsi="Arial" w:cs="Arial"/>
          <w:sz w:val="24"/>
          <w:szCs w:val="24"/>
        </w:rPr>
        <w:t xml:space="preserve">Please reconcile differences. If the input into the Rate Generator Model is an error please provide corrections and OEB staff will make the necessary changes to the model. </w:t>
      </w:r>
    </w:p>
    <w:p w:rsidR="007565D6" w:rsidRDefault="007565D6" w:rsidP="007565D6">
      <w:pPr>
        <w:ind w:left="360"/>
        <w:rPr>
          <w:rFonts w:ascii="Arial" w:hAnsi="Arial" w:cs="Arial"/>
          <w:sz w:val="24"/>
          <w:szCs w:val="24"/>
        </w:rPr>
      </w:pPr>
    </w:p>
    <w:p w:rsidR="007565D6" w:rsidRDefault="007565D6" w:rsidP="007565D6">
      <w:pPr>
        <w:rPr>
          <w:rFonts w:ascii="Arial" w:hAnsi="Arial" w:cs="Arial"/>
          <w:sz w:val="24"/>
          <w:szCs w:val="24"/>
        </w:rPr>
      </w:pPr>
      <w:r>
        <w:rPr>
          <w:noProof/>
          <w:lang w:val="en-US"/>
        </w:rPr>
        <w:lastRenderedPageBreak/>
        <w:drawing>
          <wp:inline distT="0" distB="0" distL="0" distR="0" wp14:anchorId="1AF4D62A" wp14:editId="28BF40D3">
            <wp:extent cx="5943600" cy="2642870"/>
            <wp:effectExtent l="19050" t="19050" r="19050" b="241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642870"/>
                    </a:xfrm>
                    <a:prstGeom prst="rect">
                      <a:avLst/>
                    </a:prstGeom>
                    <a:ln>
                      <a:solidFill>
                        <a:sysClr val="windowText" lastClr="000000"/>
                      </a:solidFill>
                    </a:ln>
                  </pic:spPr>
                </pic:pic>
              </a:graphicData>
            </a:graphic>
          </wp:inline>
        </w:drawing>
      </w:r>
    </w:p>
    <w:p w:rsidR="00E75E9A" w:rsidRDefault="00E75E9A" w:rsidP="00DC3EEB">
      <w:pPr>
        <w:spacing w:after="0"/>
        <w:jc w:val="both"/>
        <w:rPr>
          <w:rFonts w:ascii="Arial" w:hAnsi="Arial" w:cs="Arial"/>
          <w:b/>
          <w:sz w:val="24"/>
          <w:szCs w:val="24"/>
          <w:u w:val="single"/>
        </w:rPr>
      </w:pPr>
    </w:p>
    <w:p w:rsidR="00DC3EEB" w:rsidRPr="006F3CDB" w:rsidRDefault="007D232E" w:rsidP="00DC3EEB">
      <w:pPr>
        <w:spacing w:after="0"/>
        <w:jc w:val="both"/>
        <w:rPr>
          <w:rFonts w:ascii="Arial" w:hAnsi="Arial" w:cs="Arial"/>
          <w:b/>
          <w:sz w:val="24"/>
          <w:szCs w:val="24"/>
          <w:u w:val="single"/>
        </w:rPr>
      </w:pPr>
      <w:r w:rsidRPr="006F3CDB">
        <w:rPr>
          <w:rFonts w:ascii="Arial" w:hAnsi="Arial" w:cs="Arial"/>
          <w:b/>
          <w:sz w:val="24"/>
          <w:szCs w:val="24"/>
          <w:u w:val="single"/>
        </w:rPr>
        <w:t>RESPONSE</w:t>
      </w:r>
    </w:p>
    <w:p w:rsidR="006F3CDB" w:rsidRDefault="006F3CDB" w:rsidP="00DC3EEB">
      <w:pPr>
        <w:spacing w:after="0"/>
        <w:jc w:val="both"/>
        <w:rPr>
          <w:rFonts w:ascii="Arial" w:hAnsi="Arial" w:cs="Arial"/>
          <w:b/>
          <w:sz w:val="24"/>
          <w:szCs w:val="24"/>
        </w:rPr>
      </w:pPr>
    </w:p>
    <w:p w:rsidR="00D42FD3" w:rsidRDefault="006F3CDB" w:rsidP="00D42FD3">
      <w:pPr>
        <w:ind w:left="360"/>
        <w:rPr>
          <w:rFonts w:ascii="Arial" w:hAnsi="Arial" w:cs="Arial"/>
          <w:sz w:val="24"/>
          <w:szCs w:val="24"/>
        </w:rPr>
      </w:pPr>
      <w:r>
        <w:rPr>
          <w:rFonts w:ascii="Arial" w:hAnsi="Arial" w:cs="Arial"/>
          <w:sz w:val="24"/>
          <w:szCs w:val="24"/>
        </w:rPr>
        <w:t xml:space="preserve">The differences have been reconciled. </w:t>
      </w:r>
      <w:r w:rsidR="00D42FD3">
        <w:rPr>
          <w:rFonts w:ascii="Arial" w:hAnsi="Arial" w:cs="Arial"/>
          <w:sz w:val="24"/>
          <w:szCs w:val="24"/>
        </w:rPr>
        <w:t>The Rate Generator Model should read as follows to address the input errors by Atikokan:</w:t>
      </w:r>
    </w:p>
    <w:p w:rsidR="007D232E" w:rsidRDefault="006F3CDB" w:rsidP="00DC3EEB">
      <w:pPr>
        <w:spacing w:after="0"/>
        <w:jc w:val="both"/>
        <w:rPr>
          <w:rFonts w:ascii="Arial" w:hAnsi="Arial" w:cs="Arial"/>
          <w:b/>
          <w:sz w:val="24"/>
          <w:szCs w:val="24"/>
        </w:rPr>
      </w:pPr>
      <w:r w:rsidRPr="006F3CDB">
        <w:rPr>
          <w:noProof/>
          <w:lang w:val="en-US"/>
        </w:rPr>
        <w:drawing>
          <wp:inline distT="0" distB="0" distL="0" distR="0">
            <wp:extent cx="5943600" cy="3479180"/>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79180"/>
                    </a:xfrm>
                    <a:prstGeom prst="rect">
                      <a:avLst/>
                    </a:prstGeom>
                    <a:noFill/>
                    <a:ln>
                      <a:noFill/>
                    </a:ln>
                  </pic:spPr>
                </pic:pic>
              </a:graphicData>
            </a:graphic>
          </wp:inline>
        </w:drawing>
      </w:r>
    </w:p>
    <w:p w:rsidR="00DC3EEB" w:rsidRDefault="00DC3EEB" w:rsidP="00DC3EEB">
      <w:pPr>
        <w:spacing w:after="0"/>
        <w:jc w:val="both"/>
        <w:rPr>
          <w:rFonts w:ascii="Arial" w:hAnsi="Arial" w:cs="Arial"/>
          <w:b/>
          <w:sz w:val="24"/>
          <w:szCs w:val="24"/>
        </w:rPr>
      </w:pPr>
    </w:p>
    <w:p w:rsidR="00E75E9A" w:rsidRDefault="00E75E9A" w:rsidP="00DC3EEB">
      <w:pPr>
        <w:spacing w:after="0"/>
        <w:jc w:val="both"/>
        <w:rPr>
          <w:rFonts w:ascii="Arial" w:hAnsi="Arial" w:cs="Arial"/>
          <w:b/>
          <w:sz w:val="24"/>
          <w:szCs w:val="24"/>
        </w:rPr>
      </w:pPr>
    </w:p>
    <w:p w:rsidR="00E75E9A" w:rsidRDefault="00E75E9A" w:rsidP="00DC3EEB">
      <w:pPr>
        <w:spacing w:after="0"/>
        <w:jc w:val="both"/>
        <w:rPr>
          <w:rFonts w:ascii="Arial" w:hAnsi="Arial" w:cs="Arial"/>
          <w:b/>
          <w:sz w:val="24"/>
          <w:szCs w:val="24"/>
        </w:rPr>
      </w:pPr>
    </w:p>
    <w:p w:rsidR="00DC3EEB" w:rsidRDefault="00DC3EEB" w:rsidP="00DC3EEB">
      <w:pPr>
        <w:spacing w:after="0"/>
        <w:jc w:val="both"/>
        <w:rPr>
          <w:rFonts w:ascii="Arial" w:hAnsi="Arial" w:cs="Arial"/>
          <w:b/>
          <w:sz w:val="24"/>
          <w:szCs w:val="24"/>
        </w:rPr>
      </w:pPr>
      <w:r>
        <w:rPr>
          <w:rFonts w:ascii="Arial" w:hAnsi="Arial" w:cs="Arial"/>
          <w:b/>
          <w:sz w:val="24"/>
          <w:szCs w:val="24"/>
        </w:rPr>
        <w:lastRenderedPageBreak/>
        <w:t>Staff Question #4</w:t>
      </w:r>
    </w:p>
    <w:p w:rsidR="00DC3EEB" w:rsidRDefault="000E24FF" w:rsidP="00DC3EEB">
      <w:pPr>
        <w:spacing w:after="0"/>
        <w:jc w:val="both"/>
        <w:rPr>
          <w:rFonts w:ascii="Arial" w:hAnsi="Arial" w:cs="Arial"/>
          <w:b/>
          <w:sz w:val="24"/>
          <w:szCs w:val="24"/>
        </w:rPr>
      </w:pPr>
      <w:r>
        <w:rPr>
          <w:rFonts w:ascii="Arial" w:hAnsi="Arial" w:cs="Arial"/>
          <w:b/>
          <w:sz w:val="24"/>
          <w:szCs w:val="24"/>
        </w:rPr>
        <w:t>Ref: Sheet 10 “RTSR Current Rates” is reproduced below</w:t>
      </w:r>
    </w:p>
    <w:p w:rsidR="00360145" w:rsidRPr="00725069" w:rsidRDefault="00360145" w:rsidP="00360145">
      <w:pPr>
        <w:spacing w:after="0" w:line="240" w:lineRule="auto"/>
        <w:rPr>
          <w:rFonts w:ascii="Arial" w:hAnsi="Arial" w:cs="Arial"/>
          <w:b/>
          <w:sz w:val="24"/>
          <w:szCs w:val="24"/>
        </w:rPr>
      </w:pPr>
    </w:p>
    <w:p w:rsidR="00360145" w:rsidRPr="00725069" w:rsidRDefault="00360145" w:rsidP="005F516C">
      <w:pPr>
        <w:spacing w:after="0"/>
        <w:rPr>
          <w:rFonts w:ascii="Arial" w:hAnsi="Arial" w:cs="Arial"/>
          <w:sz w:val="24"/>
          <w:szCs w:val="24"/>
        </w:rPr>
      </w:pPr>
      <w:r w:rsidRPr="00725069">
        <w:rPr>
          <w:rFonts w:ascii="Arial" w:hAnsi="Arial" w:cs="Arial"/>
          <w:sz w:val="24"/>
          <w:szCs w:val="24"/>
        </w:rPr>
        <w:t xml:space="preserve">OEB staff is unable to reconcile the “Non-Loss Adjusted Metered kWh” and “Non-Loss Adjusted Metered kW” for GS 50 to 4,999 kW Service Classification with the reported amounts in </w:t>
      </w:r>
      <w:r>
        <w:rPr>
          <w:rFonts w:ascii="Arial" w:hAnsi="Arial" w:cs="Arial"/>
          <w:sz w:val="24"/>
          <w:szCs w:val="24"/>
        </w:rPr>
        <w:t>Atikokan Hydro</w:t>
      </w:r>
      <w:r w:rsidRPr="00725069">
        <w:rPr>
          <w:rFonts w:ascii="Arial" w:hAnsi="Arial" w:cs="Arial"/>
          <w:sz w:val="24"/>
          <w:szCs w:val="24"/>
        </w:rPr>
        <w:t>’s 2.1.5 RRR.</w:t>
      </w:r>
    </w:p>
    <w:p w:rsidR="00360145" w:rsidRPr="00725069" w:rsidRDefault="00360145" w:rsidP="005F516C">
      <w:pPr>
        <w:spacing w:after="0"/>
        <w:rPr>
          <w:rFonts w:ascii="Arial" w:hAnsi="Arial" w:cs="Arial"/>
          <w:sz w:val="24"/>
          <w:szCs w:val="24"/>
        </w:rPr>
      </w:pPr>
    </w:p>
    <w:p w:rsidR="00360145" w:rsidRPr="00725069" w:rsidRDefault="00360145" w:rsidP="005F516C">
      <w:pPr>
        <w:numPr>
          <w:ilvl w:val="0"/>
          <w:numId w:val="23"/>
        </w:numPr>
        <w:tabs>
          <w:tab w:val="left" w:pos="450"/>
        </w:tabs>
        <w:spacing w:after="0"/>
        <w:ind w:left="450" w:hanging="450"/>
        <w:contextualSpacing/>
        <w:rPr>
          <w:rFonts w:ascii="Arial" w:hAnsi="Arial" w:cs="Arial"/>
          <w:sz w:val="24"/>
          <w:szCs w:val="24"/>
        </w:rPr>
      </w:pPr>
      <w:r w:rsidRPr="00725069">
        <w:rPr>
          <w:rFonts w:ascii="Arial" w:hAnsi="Arial" w:cs="Arial"/>
          <w:sz w:val="24"/>
          <w:szCs w:val="24"/>
        </w:rPr>
        <w:t xml:space="preserve">If </w:t>
      </w:r>
      <w:r>
        <w:rPr>
          <w:rFonts w:ascii="Arial" w:hAnsi="Arial" w:cs="Arial"/>
          <w:sz w:val="24"/>
          <w:szCs w:val="24"/>
        </w:rPr>
        <w:t>Atikokan</w:t>
      </w:r>
      <w:r w:rsidRPr="00725069">
        <w:rPr>
          <w:rFonts w:ascii="Arial" w:hAnsi="Arial" w:cs="Arial"/>
          <w:sz w:val="24"/>
          <w:szCs w:val="24"/>
        </w:rPr>
        <w:t xml:space="preserve"> believes the figures entered are correct, please provide an explanation for these discrepancies.</w:t>
      </w:r>
    </w:p>
    <w:p w:rsidR="00360145" w:rsidRPr="00725069" w:rsidRDefault="00360145" w:rsidP="005F516C">
      <w:pPr>
        <w:tabs>
          <w:tab w:val="left" w:pos="450"/>
        </w:tabs>
        <w:spacing w:after="0"/>
        <w:rPr>
          <w:rFonts w:ascii="Arial" w:hAnsi="Arial" w:cs="Arial"/>
          <w:sz w:val="24"/>
          <w:szCs w:val="24"/>
        </w:rPr>
      </w:pPr>
    </w:p>
    <w:p w:rsidR="00360145" w:rsidRPr="00725069" w:rsidRDefault="00360145" w:rsidP="005F516C">
      <w:pPr>
        <w:numPr>
          <w:ilvl w:val="0"/>
          <w:numId w:val="23"/>
        </w:numPr>
        <w:tabs>
          <w:tab w:val="left" w:pos="450"/>
        </w:tabs>
        <w:spacing w:after="0"/>
        <w:ind w:left="450" w:hanging="450"/>
        <w:contextualSpacing/>
        <w:rPr>
          <w:rFonts w:ascii="Arial" w:hAnsi="Arial" w:cs="Arial"/>
          <w:sz w:val="24"/>
          <w:szCs w:val="24"/>
        </w:rPr>
      </w:pPr>
      <w:r w:rsidRPr="00725069">
        <w:rPr>
          <w:rFonts w:ascii="Arial" w:hAnsi="Arial" w:cs="Arial"/>
          <w:sz w:val="24"/>
          <w:szCs w:val="24"/>
        </w:rPr>
        <w:t xml:space="preserve">If </w:t>
      </w:r>
      <w:r>
        <w:rPr>
          <w:rFonts w:ascii="Arial" w:hAnsi="Arial" w:cs="Arial"/>
          <w:sz w:val="24"/>
          <w:szCs w:val="24"/>
        </w:rPr>
        <w:t>Atikokan Hydro</w:t>
      </w:r>
      <w:r w:rsidRPr="00725069">
        <w:rPr>
          <w:rFonts w:ascii="Arial" w:hAnsi="Arial" w:cs="Arial"/>
          <w:sz w:val="24"/>
          <w:szCs w:val="24"/>
        </w:rPr>
        <w:t xml:space="preserve"> believes these figures needs adjustments, please confirm and OEB staff will update the model with the figures as found in the RRR.</w:t>
      </w:r>
    </w:p>
    <w:p w:rsidR="00360145" w:rsidRPr="00725069" w:rsidRDefault="00360145" w:rsidP="00360145">
      <w:pPr>
        <w:spacing w:after="0" w:line="240" w:lineRule="auto"/>
        <w:rPr>
          <w:noProof/>
          <w:lang w:val="en-US"/>
        </w:rPr>
      </w:pPr>
    </w:p>
    <w:p w:rsidR="00FA6077" w:rsidRDefault="00FA6077" w:rsidP="00DC3EEB">
      <w:pPr>
        <w:spacing w:after="0"/>
        <w:jc w:val="both"/>
        <w:rPr>
          <w:rFonts w:ascii="Arial" w:hAnsi="Arial" w:cs="Arial"/>
          <w:b/>
          <w:sz w:val="24"/>
          <w:szCs w:val="24"/>
        </w:rPr>
      </w:pPr>
    </w:p>
    <w:p w:rsidR="00DC3EEB" w:rsidRDefault="00FA6077" w:rsidP="00DC3EEB">
      <w:pPr>
        <w:spacing w:after="0"/>
        <w:jc w:val="both"/>
        <w:rPr>
          <w:rFonts w:ascii="Arial" w:hAnsi="Arial" w:cs="Arial"/>
          <w:b/>
          <w:sz w:val="24"/>
          <w:szCs w:val="24"/>
        </w:rPr>
      </w:pPr>
      <w:r>
        <w:rPr>
          <w:noProof/>
          <w:lang w:val="en-US"/>
        </w:rPr>
        <w:drawing>
          <wp:inline distT="0" distB="0" distL="0" distR="0" wp14:anchorId="713ECA35" wp14:editId="07A5B012">
            <wp:extent cx="6462022" cy="1123950"/>
            <wp:effectExtent l="19050" t="19050" r="1524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62885" cy="1124100"/>
                    </a:xfrm>
                    <a:prstGeom prst="rect">
                      <a:avLst/>
                    </a:prstGeom>
                    <a:ln>
                      <a:solidFill>
                        <a:schemeClr val="accent1"/>
                      </a:solidFill>
                    </a:ln>
                  </pic:spPr>
                </pic:pic>
              </a:graphicData>
            </a:graphic>
          </wp:inline>
        </w:drawing>
      </w:r>
    </w:p>
    <w:p w:rsidR="007565D6" w:rsidRDefault="007565D6" w:rsidP="007565D6">
      <w:pPr>
        <w:rPr>
          <w:rFonts w:ascii="Arial" w:hAnsi="Arial" w:cs="Arial"/>
          <w:sz w:val="24"/>
          <w:szCs w:val="24"/>
        </w:rPr>
      </w:pPr>
    </w:p>
    <w:p w:rsidR="007D232E" w:rsidRPr="006F3CDB" w:rsidRDefault="007D232E">
      <w:pPr>
        <w:rPr>
          <w:rFonts w:ascii="Arial" w:hAnsi="Arial" w:cs="Arial"/>
          <w:b/>
          <w:sz w:val="24"/>
          <w:szCs w:val="24"/>
          <w:u w:val="single"/>
        </w:rPr>
      </w:pPr>
      <w:r w:rsidRPr="006F3CDB">
        <w:rPr>
          <w:rFonts w:ascii="Arial" w:hAnsi="Arial" w:cs="Arial"/>
          <w:b/>
          <w:sz w:val="24"/>
          <w:szCs w:val="24"/>
          <w:u w:val="single"/>
        </w:rPr>
        <w:t>RESPONSE</w:t>
      </w:r>
    </w:p>
    <w:p w:rsidR="00FA6077" w:rsidRPr="006F3CDB" w:rsidRDefault="007D232E">
      <w:pPr>
        <w:rPr>
          <w:rFonts w:ascii="Arial" w:hAnsi="Arial" w:cs="Arial"/>
          <w:color w:val="FF0000"/>
          <w:sz w:val="24"/>
          <w:szCs w:val="24"/>
          <w:u w:val="single"/>
        </w:rPr>
      </w:pPr>
      <w:r w:rsidRPr="006F3CDB">
        <w:rPr>
          <w:rFonts w:ascii="Arial" w:hAnsi="Arial" w:cs="Arial"/>
          <w:sz w:val="24"/>
          <w:szCs w:val="24"/>
        </w:rPr>
        <w:t xml:space="preserve">Atikokan agrees with OEB staff. The model should be revised to agree with the RRR. </w:t>
      </w:r>
      <w:r w:rsidR="00FA6077" w:rsidRPr="006F3CDB">
        <w:rPr>
          <w:rFonts w:ascii="Arial" w:hAnsi="Arial" w:cs="Arial"/>
          <w:color w:val="FF0000"/>
          <w:sz w:val="24"/>
          <w:szCs w:val="24"/>
          <w:u w:val="single"/>
        </w:rPr>
        <w:br w:type="page"/>
      </w:r>
    </w:p>
    <w:p w:rsidR="00E36FF9" w:rsidRDefault="00DC3EEB" w:rsidP="00E36FF9">
      <w:pPr>
        <w:spacing w:after="0"/>
        <w:jc w:val="both"/>
        <w:rPr>
          <w:rFonts w:ascii="Arial" w:hAnsi="Arial" w:cs="Arial"/>
          <w:b/>
          <w:sz w:val="24"/>
          <w:szCs w:val="24"/>
        </w:rPr>
      </w:pPr>
      <w:r>
        <w:rPr>
          <w:rFonts w:ascii="Arial" w:hAnsi="Arial" w:cs="Arial"/>
          <w:b/>
          <w:sz w:val="24"/>
          <w:szCs w:val="24"/>
        </w:rPr>
        <w:lastRenderedPageBreak/>
        <w:t>Staff Question #5</w:t>
      </w:r>
    </w:p>
    <w:p w:rsidR="004B39CE" w:rsidRPr="00AC7388" w:rsidRDefault="004B39CE" w:rsidP="004B39CE">
      <w:pPr>
        <w:rPr>
          <w:rFonts w:ascii="Arial" w:hAnsi="Arial" w:cs="Arial"/>
          <w:b/>
        </w:rPr>
      </w:pPr>
      <w:r w:rsidRPr="00AC7388">
        <w:rPr>
          <w:rFonts w:ascii="Arial" w:hAnsi="Arial" w:cs="Arial"/>
          <w:b/>
        </w:rPr>
        <w:t>Ref: Application and Evidence, p. 24 of 29</w:t>
      </w:r>
    </w:p>
    <w:p w:rsidR="004B39CE" w:rsidRPr="00AC7388" w:rsidRDefault="004B39CE" w:rsidP="004B39CE">
      <w:pPr>
        <w:pStyle w:val="ListParagraph"/>
        <w:numPr>
          <w:ilvl w:val="0"/>
          <w:numId w:val="25"/>
        </w:numPr>
        <w:spacing w:after="160" w:line="259" w:lineRule="auto"/>
        <w:rPr>
          <w:rFonts w:ascii="Arial" w:hAnsi="Arial" w:cs="Arial"/>
        </w:rPr>
      </w:pPr>
      <w:r w:rsidRPr="00AC7388">
        <w:rPr>
          <w:rFonts w:ascii="Arial" w:hAnsi="Arial" w:cs="Arial"/>
        </w:rPr>
        <w:t>The Applicant indicates that customers are billed on a monthly basis, please clarify if this means that they are billed consumption on a calendar months basis.</w:t>
      </w:r>
    </w:p>
    <w:p w:rsidR="004B39CE" w:rsidRDefault="004B39CE" w:rsidP="004B39CE">
      <w:pPr>
        <w:pStyle w:val="ListParagraph"/>
        <w:numPr>
          <w:ilvl w:val="0"/>
          <w:numId w:val="25"/>
        </w:numPr>
        <w:spacing w:after="160" w:line="259" w:lineRule="auto"/>
        <w:rPr>
          <w:rFonts w:ascii="Arial" w:hAnsi="Arial" w:cs="Arial"/>
        </w:rPr>
      </w:pPr>
      <w:r w:rsidRPr="00AC7388">
        <w:rPr>
          <w:rFonts w:ascii="Arial" w:hAnsi="Arial" w:cs="Arial"/>
        </w:rPr>
        <w:t>If the Applicant does not bill consumption on a calendar month basis, then please explain if the Applicant settles with the IESO based on actual billed consumption or based on actual monthly consumption (actual monthly consumption means the actual consumption consumed by the ratepayers for a given month)?</w:t>
      </w:r>
    </w:p>
    <w:p w:rsidR="00E75E9A" w:rsidRPr="00AC7388" w:rsidRDefault="00E75E9A" w:rsidP="00E75E9A">
      <w:pPr>
        <w:pStyle w:val="ListParagraph"/>
        <w:spacing w:after="160" w:line="259" w:lineRule="auto"/>
        <w:rPr>
          <w:rFonts w:ascii="Arial" w:hAnsi="Arial" w:cs="Arial"/>
        </w:rPr>
      </w:pPr>
    </w:p>
    <w:p w:rsidR="0014707E" w:rsidRPr="006F3CDB" w:rsidRDefault="007D232E" w:rsidP="004B39CE">
      <w:pPr>
        <w:rPr>
          <w:rFonts w:ascii="Arial" w:hAnsi="Arial" w:cs="Arial"/>
          <w:b/>
          <w:u w:val="single"/>
        </w:rPr>
      </w:pPr>
      <w:r w:rsidRPr="006F3CDB">
        <w:rPr>
          <w:rFonts w:ascii="Arial" w:hAnsi="Arial" w:cs="Arial"/>
          <w:b/>
          <w:u w:val="single"/>
        </w:rPr>
        <w:t>RESPONSE</w:t>
      </w:r>
    </w:p>
    <w:p w:rsidR="007D232E" w:rsidRDefault="007D232E" w:rsidP="007D232E">
      <w:pPr>
        <w:pStyle w:val="ListParagraph"/>
        <w:numPr>
          <w:ilvl w:val="0"/>
          <w:numId w:val="27"/>
        </w:numPr>
        <w:rPr>
          <w:rFonts w:ascii="Arial" w:hAnsi="Arial" w:cs="Arial"/>
          <w:sz w:val="24"/>
        </w:rPr>
      </w:pPr>
      <w:r w:rsidRPr="00E75E9A">
        <w:rPr>
          <w:rFonts w:ascii="Arial" w:hAnsi="Arial" w:cs="Arial"/>
          <w:sz w:val="24"/>
        </w:rPr>
        <w:t xml:space="preserve">Atikokan confirms its customers are billed </w:t>
      </w:r>
      <w:r w:rsidR="00E75E9A" w:rsidRPr="00E75E9A">
        <w:rPr>
          <w:rFonts w:ascii="Arial" w:hAnsi="Arial" w:cs="Arial"/>
          <w:sz w:val="24"/>
        </w:rPr>
        <w:t xml:space="preserve">consumption </w:t>
      </w:r>
      <w:r w:rsidRPr="00E75E9A">
        <w:rPr>
          <w:rFonts w:ascii="Arial" w:hAnsi="Arial" w:cs="Arial"/>
          <w:sz w:val="24"/>
        </w:rPr>
        <w:t xml:space="preserve">on a monthly calendar basis. </w:t>
      </w:r>
    </w:p>
    <w:p w:rsidR="00E75E9A" w:rsidRPr="00E75E9A" w:rsidRDefault="00E75E9A" w:rsidP="00E75E9A">
      <w:pPr>
        <w:pStyle w:val="ListParagraph"/>
        <w:rPr>
          <w:rFonts w:ascii="Arial" w:hAnsi="Arial" w:cs="Arial"/>
          <w:sz w:val="24"/>
        </w:rPr>
      </w:pPr>
    </w:p>
    <w:p w:rsidR="007D232E" w:rsidRPr="00E75E9A" w:rsidRDefault="007D232E" w:rsidP="007D232E">
      <w:pPr>
        <w:pStyle w:val="ListParagraph"/>
        <w:numPr>
          <w:ilvl w:val="0"/>
          <w:numId w:val="27"/>
        </w:numPr>
        <w:rPr>
          <w:rFonts w:ascii="Arial" w:hAnsi="Arial" w:cs="Arial"/>
          <w:sz w:val="24"/>
        </w:rPr>
      </w:pPr>
      <w:r w:rsidRPr="00E75E9A">
        <w:rPr>
          <w:rFonts w:ascii="Arial" w:hAnsi="Arial" w:cs="Arial"/>
          <w:sz w:val="24"/>
        </w:rPr>
        <w:t xml:space="preserve">Atikokan settles with the IESO based on a calendar month basis. </w:t>
      </w:r>
    </w:p>
    <w:p w:rsidR="00E75E9A" w:rsidRDefault="00E75E9A" w:rsidP="00E75E9A">
      <w:pPr>
        <w:pStyle w:val="ListParagraph"/>
        <w:rPr>
          <w:rFonts w:ascii="Arial" w:hAnsi="Arial" w:cs="Arial"/>
        </w:rPr>
      </w:pPr>
    </w:p>
    <w:p w:rsidR="00E75E9A" w:rsidRPr="006F3CDB" w:rsidRDefault="00E75E9A" w:rsidP="00E75E9A">
      <w:pPr>
        <w:pStyle w:val="ListParagraph"/>
        <w:rPr>
          <w:rFonts w:ascii="Arial" w:hAnsi="Arial" w:cs="Arial"/>
        </w:rPr>
      </w:pPr>
    </w:p>
    <w:p w:rsidR="0014707E" w:rsidRDefault="0014707E" w:rsidP="005F516C">
      <w:pPr>
        <w:spacing w:after="0"/>
        <w:rPr>
          <w:rFonts w:ascii="Arial" w:hAnsi="Arial" w:cs="Arial"/>
          <w:b/>
        </w:rPr>
      </w:pPr>
      <w:r>
        <w:rPr>
          <w:rFonts w:ascii="Arial" w:hAnsi="Arial" w:cs="Arial"/>
          <w:b/>
        </w:rPr>
        <w:t>Staff Question #6</w:t>
      </w:r>
    </w:p>
    <w:p w:rsidR="004B39CE" w:rsidRDefault="004B39CE" w:rsidP="005F516C">
      <w:pPr>
        <w:spacing w:after="0" w:line="240" w:lineRule="auto"/>
        <w:rPr>
          <w:rFonts w:ascii="Arial" w:hAnsi="Arial" w:cs="Arial"/>
          <w:b/>
        </w:rPr>
      </w:pPr>
      <w:r w:rsidRPr="00AC7388">
        <w:rPr>
          <w:rFonts w:ascii="Arial" w:hAnsi="Arial" w:cs="Arial"/>
          <w:b/>
        </w:rPr>
        <w:t>Ref: Appendix E, Responses to Question 3a and 3b</w:t>
      </w:r>
    </w:p>
    <w:p w:rsidR="005F516C" w:rsidRPr="00AC7388" w:rsidRDefault="005F516C" w:rsidP="005F516C">
      <w:pPr>
        <w:spacing w:after="0" w:line="240" w:lineRule="auto"/>
        <w:rPr>
          <w:rFonts w:ascii="Arial" w:hAnsi="Arial" w:cs="Arial"/>
        </w:rPr>
      </w:pPr>
    </w:p>
    <w:p w:rsidR="004B39CE" w:rsidRDefault="004B39CE" w:rsidP="005F516C">
      <w:pPr>
        <w:spacing w:after="0"/>
        <w:rPr>
          <w:rFonts w:ascii="Arial" w:hAnsi="Arial" w:cs="Arial"/>
        </w:rPr>
      </w:pPr>
      <w:r w:rsidRPr="00AC7388">
        <w:rPr>
          <w:rFonts w:ascii="Arial" w:hAnsi="Arial" w:cs="Arial"/>
        </w:rPr>
        <w:t>The responses provided relate to the initial recording and subsequent true-up of the CT 148 charge from the IESO.</w:t>
      </w:r>
    </w:p>
    <w:p w:rsidR="007561E5" w:rsidRPr="00AC7388" w:rsidRDefault="007561E5" w:rsidP="005F516C">
      <w:pPr>
        <w:spacing w:after="0"/>
        <w:rPr>
          <w:rFonts w:ascii="Arial" w:hAnsi="Arial" w:cs="Arial"/>
        </w:rPr>
      </w:pPr>
    </w:p>
    <w:p w:rsidR="004B39CE" w:rsidRDefault="004B39CE" w:rsidP="004B39CE">
      <w:pPr>
        <w:pStyle w:val="ListParagraph"/>
        <w:numPr>
          <w:ilvl w:val="0"/>
          <w:numId w:val="24"/>
        </w:numPr>
        <w:spacing w:after="160" w:line="259" w:lineRule="auto"/>
        <w:rPr>
          <w:rFonts w:ascii="Arial" w:hAnsi="Arial" w:cs="Arial"/>
        </w:rPr>
      </w:pPr>
      <w:r w:rsidRPr="00AC7388">
        <w:rPr>
          <w:rFonts w:ascii="Arial" w:hAnsi="Arial" w:cs="Arial"/>
        </w:rPr>
        <w:t>Please confirm that the Applicant waits to receive the actual CT 148 charge from the IESO prior to recording an amount in their G/L.  No amounts are recorded prior to the receipt of the IESO CT 148 invoice.</w:t>
      </w:r>
    </w:p>
    <w:p w:rsidR="007561E5" w:rsidRPr="00AC7388" w:rsidRDefault="007561E5" w:rsidP="007561E5">
      <w:pPr>
        <w:pStyle w:val="ListParagraph"/>
        <w:spacing w:after="160" w:line="259" w:lineRule="auto"/>
        <w:rPr>
          <w:rFonts w:ascii="Arial" w:hAnsi="Arial" w:cs="Arial"/>
        </w:rPr>
      </w:pPr>
    </w:p>
    <w:p w:rsidR="004B39CE" w:rsidRDefault="004B39CE" w:rsidP="004B39CE">
      <w:pPr>
        <w:pStyle w:val="ListParagraph"/>
        <w:numPr>
          <w:ilvl w:val="0"/>
          <w:numId w:val="24"/>
        </w:numPr>
        <w:spacing w:after="160" w:line="259" w:lineRule="auto"/>
        <w:rPr>
          <w:rFonts w:ascii="Arial" w:hAnsi="Arial" w:cs="Arial"/>
        </w:rPr>
      </w:pPr>
      <w:r w:rsidRPr="00AC7388">
        <w:rPr>
          <w:rFonts w:ascii="Arial" w:hAnsi="Arial" w:cs="Arial"/>
        </w:rPr>
        <w:t>In the response provide to 3a, the Applicant indicates that the CT 148 charge from the IESO is initially split between accounts 1588 and 1589 by taking the estimated RPP consumption for the month multiplied by the GA estimate for the month, which is then allocated to account 1588, and the residual going to account 1589. Question 3b, then goes on to ask how the Applicant then performs a true-up of this split, however the response provided does not address this process:  The description provided in the response to 3b appears to relate to the Applicant’s process to true-up CT 1142, not CT 148</w:t>
      </w:r>
      <w:r w:rsidR="00FB18CE">
        <w:rPr>
          <w:rFonts w:ascii="Arial" w:hAnsi="Arial" w:cs="Arial"/>
        </w:rPr>
        <w:t>.</w:t>
      </w:r>
    </w:p>
    <w:p w:rsidR="00FB18CE" w:rsidRPr="00FB18CE" w:rsidRDefault="00FB18CE" w:rsidP="00FB18CE">
      <w:pPr>
        <w:pStyle w:val="ListParagraph"/>
        <w:rPr>
          <w:rFonts w:ascii="Arial" w:hAnsi="Arial" w:cs="Arial"/>
        </w:rPr>
      </w:pPr>
    </w:p>
    <w:p w:rsidR="004B39CE" w:rsidRDefault="004B39CE" w:rsidP="004B39CE">
      <w:pPr>
        <w:pStyle w:val="ListParagraph"/>
        <w:numPr>
          <w:ilvl w:val="1"/>
          <w:numId w:val="24"/>
        </w:numPr>
        <w:spacing w:after="160" w:line="259" w:lineRule="auto"/>
        <w:rPr>
          <w:rFonts w:ascii="Arial" w:hAnsi="Arial" w:cs="Arial"/>
        </w:rPr>
      </w:pPr>
      <w:r w:rsidRPr="00AC7388">
        <w:rPr>
          <w:rFonts w:ascii="Arial" w:hAnsi="Arial" w:cs="Arial"/>
        </w:rPr>
        <w:t>Given that the applicant initially splits CT 148 from the IESO based on an estimate of RPP consumption and the GA rate, does the applicant then record a true up of this initial split based on the actual consumption and the actual GA Rate.</w:t>
      </w:r>
    </w:p>
    <w:p w:rsidR="00FB18CE" w:rsidRPr="00AC7388" w:rsidRDefault="00FB18CE" w:rsidP="00FB18CE">
      <w:pPr>
        <w:pStyle w:val="ListParagraph"/>
        <w:spacing w:after="160" w:line="259" w:lineRule="auto"/>
        <w:ind w:left="1440"/>
        <w:rPr>
          <w:rFonts w:ascii="Arial" w:hAnsi="Arial" w:cs="Arial"/>
        </w:rPr>
      </w:pPr>
    </w:p>
    <w:p w:rsidR="004B39CE" w:rsidRDefault="004B39CE" w:rsidP="004B39CE">
      <w:pPr>
        <w:pStyle w:val="ListParagraph"/>
        <w:numPr>
          <w:ilvl w:val="1"/>
          <w:numId w:val="24"/>
        </w:numPr>
        <w:spacing w:after="160" w:line="259" w:lineRule="auto"/>
        <w:rPr>
          <w:rFonts w:ascii="Arial" w:hAnsi="Arial" w:cs="Arial"/>
        </w:rPr>
      </w:pPr>
      <w:r w:rsidRPr="00AC7388">
        <w:rPr>
          <w:rFonts w:ascii="Arial" w:hAnsi="Arial" w:cs="Arial"/>
        </w:rPr>
        <w:t xml:space="preserve">If yes, please explain this process, detailing when it is done and how the calculations are performed. Also confirm whether all of the CT 148 true-up have </w:t>
      </w:r>
      <w:r w:rsidRPr="00AC7388">
        <w:rPr>
          <w:rFonts w:ascii="Arial" w:hAnsi="Arial" w:cs="Arial"/>
        </w:rPr>
        <w:lastRenderedPageBreak/>
        <w:t>been made and recorded as part of the December 31, 2017 balance in Account 1589 per the DVA continuity schedule.</w:t>
      </w:r>
    </w:p>
    <w:p w:rsidR="00FB18CE" w:rsidRPr="00FB18CE" w:rsidRDefault="00FB18CE" w:rsidP="00FB18CE">
      <w:pPr>
        <w:pStyle w:val="ListParagraph"/>
        <w:rPr>
          <w:rFonts w:ascii="Arial" w:hAnsi="Arial" w:cs="Arial"/>
        </w:rPr>
      </w:pPr>
    </w:p>
    <w:p w:rsidR="004B39CE" w:rsidRDefault="004B39CE" w:rsidP="004B39CE">
      <w:pPr>
        <w:pStyle w:val="ListParagraph"/>
        <w:numPr>
          <w:ilvl w:val="1"/>
          <w:numId w:val="24"/>
        </w:numPr>
        <w:spacing w:after="160" w:line="259" w:lineRule="auto"/>
        <w:rPr>
          <w:rFonts w:ascii="Arial" w:hAnsi="Arial" w:cs="Arial"/>
        </w:rPr>
      </w:pPr>
      <w:r w:rsidRPr="00AC7388">
        <w:rPr>
          <w:rFonts w:ascii="Arial" w:hAnsi="Arial" w:cs="Arial"/>
        </w:rPr>
        <w:t xml:space="preserve">If the Applicant does not true-up its initial split of CT148, please provide a calculation that quantifies the true-up that would be required for 2017.  </w:t>
      </w:r>
    </w:p>
    <w:p w:rsidR="00E75E9A" w:rsidRPr="00E75E9A" w:rsidRDefault="00E75E9A" w:rsidP="00E75E9A">
      <w:pPr>
        <w:spacing w:after="160" w:line="259" w:lineRule="auto"/>
        <w:rPr>
          <w:rFonts w:ascii="Arial" w:hAnsi="Arial" w:cs="Arial"/>
        </w:rPr>
      </w:pPr>
    </w:p>
    <w:p w:rsidR="0014707E" w:rsidRPr="006F3CDB" w:rsidRDefault="00EA465E" w:rsidP="004B39CE">
      <w:pPr>
        <w:rPr>
          <w:rFonts w:ascii="Arial" w:hAnsi="Arial" w:cs="Arial"/>
          <w:b/>
          <w:u w:val="single"/>
        </w:rPr>
      </w:pPr>
      <w:r w:rsidRPr="006F3CDB">
        <w:rPr>
          <w:rFonts w:ascii="Arial" w:hAnsi="Arial" w:cs="Arial"/>
          <w:b/>
          <w:u w:val="single"/>
        </w:rPr>
        <w:t>RESPONSE</w:t>
      </w:r>
    </w:p>
    <w:p w:rsidR="00EA465E" w:rsidRPr="00E75E9A" w:rsidRDefault="00EA465E" w:rsidP="00EA465E">
      <w:pPr>
        <w:pStyle w:val="ListParagraph"/>
        <w:numPr>
          <w:ilvl w:val="0"/>
          <w:numId w:val="29"/>
        </w:numPr>
        <w:rPr>
          <w:rFonts w:ascii="Arial" w:hAnsi="Arial" w:cs="Arial"/>
          <w:sz w:val="24"/>
        </w:rPr>
      </w:pPr>
      <w:r w:rsidRPr="00E75E9A">
        <w:rPr>
          <w:rFonts w:ascii="Arial" w:hAnsi="Arial" w:cs="Arial"/>
          <w:sz w:val="24"/>
        </w:rPr>
        <w:t>Atikokan confirms, no amounts are recorded into the G/L until the actual CT 148 is received from the IESO</w:t>
      </w:r>
    </w:p>
    <w:p w:rsidR="00E75E9A" w:rsidRPr="00E75E9A" w:rsidRDefault="00E75E9A" w:rsidP="00E75E9A">
      <w:pPr>
        <w:pStyle w:val="ListParagraph"/>
        <w:rPr>
          <w:rFonts w:ascii="Arial" w:hAnsi="Arial" w:cs="Arial"/>
          <w:sz w:val="24"/>
        </w:rPr>
      </w:pPr>
    </w:p>
    <w:p w:rsidR="00E75E9A" w:rsidRPr="00E75E9A" w:rsidRDefault="00EA465E" w:rsidP="00E75E9A">
      <w:pPr>
        <w:pStyle w:val="ListParagraph"/>
        <w:numPr>
          <w:ilvl w:val="0"/>
          <w:numId w:val="29"/>
        </w:numPr>
        <w:rPr>
          <w:rFonts w:ascii="Arial" w:hAnsi="Arial" w:cs="Arial"/>
          <w:sz w:val="24"/>
        </w:rPr>
      </w:pPr>
      <w:r w:rsidRPr="00E75E9A">
        <w:rPr>
          <w:rFonts w:ascii="Arial" w:hAnsi="Arial" w:cs="Arial"/>
          <w:sz w:val="24"/>
        </w:rPr>
        <w:t xml:space="preserve">a) </w:t>
      </w:r>
      <w:r w:rsidR="00D42FD3" w:rsidRPr="00E75E9A">
        <w:rPr>
          <w:rFonts w:ascii="Arial" w:hAnsi="Arial" w:cs="Arial"/>
          <w:sz w:val="24"/>
        </w:rPr>
        <w:t xml:space="preserve">It does appear Atikokan confused both CT 148 and CT 1142 in responses. CT 148 is split between 1588 and 1589 using actual consumption and the GA rate charged on the IESO bill. </w:t>
      </w:r>
    </w:p>
    <w:p w:rsidR="00E75E9A" w:rsidRPr="00E75E9A" w:rsidRDefault="00E75E9A" w:rsidP="00E75E9A">
      <w:pPr>
        <w:pStyle w:val="ListParagraph"/>
        <w:rPr>
          <w:rFonts w:ascii="Arial" w:hAnsi="Arial" w:cs="Arial"/>
          <w:sz w:val="24"/>
        </w:rPr>
      </w:pPr>
    </w:p>
    <w:p w:rsidR="00D42FD3" w:rsidRPr="00E75E9A" w:rsidRDefault="00D42FD3" w:rsidP="004B39CE">
      <w:pPr>
        <w:pStyle w:val="ListParagraph"/>
        <w:numPr>
          <w:ilvl w:val="0"/>
          <w:numId w:val="29"/>
        </w:numPr>
        <w:rPr>
          <w:rFonts w:ascii="Arial" w:hAnsi="Arial" w:cs="Arial"/>
          <w:sz w:val="24"/>
        </w:rPr>
      </w:pPr>
      <w:r w:rsidRPr="00E75E9A">
        <w:rPr>
          <w:rFonts w:ascii="Arial" w:hAnsi="Arial" w:cs="Arial"/>
          <w:sz w:val="24"/>
        </w:rPr>
        <w:t>Atikokan does not see a required true up for 2017.</w:t>
      </w:r>
    </w:p>
    <w:p w:rsidR="00D42FD3" w:rsidRPr="00D42FD3" w:rsidRDefault="00D42FD3" w:rsidP="00D42FD3">
      <w:pPr>
        <w:rPr>
          <w:rFonts w:ascii="Arial" w:hAnsi="Arial" w:cs="Arial"/>
          <w:b/>
        </w:rPr>
      </w:pPr>
    </w:p>
    <w:p w:rsidR="004B39CE" w:rsidRPr="00AC7388" w:rsidRDefault="0014707E" w:rsidP="007561E5">
      <w:pPr>
        <w:spacing w:after="0"/>
        <w:rPr>
          <w:rFonts w:ascii="Arial" w:hAnsi="Arial" w:cs="Arial"/>
          <w:b/>
        </w:rPr>
      </w:pPr>
      <w:r>
        <w:rPr>
          <w:rFonts w:ascii="Arial" w:hAnsi="Arial" w:cs="Arial"/>
          <w:b/>
        </w:rPr>
        <w:t>Staff Question #7</w:t>
      </w:r>
    </w:p>
    <w:p w:rsidR="007561E5" w:rsidRDefault="004B39CE" w:rsidP="007561E5">
      <w:pPr>
        <w:spacing w:after="0" w:line="240" w:lineRule="auto"/>
        <w:rPr>
          <w:rFonts w:ascii="Arial" w:hAnsi="Arial" w:cs="Arial"/>
          <w:b/>
        </w:rPr>
      </w:pPr>
      <w:r w:rsidRPr="00AC7388">
        <w:rPr>
          <w:rFonts w:ascii="Arial" w:hAnsi="Arial" w:cs="Arial"/>
          <w:b/>
        </w:rPr>
        <w:t>Ref: GA Analysis Workform, Note 5, Adjustment 9</w:t>
      </w:r>
    </w:p>
    <w:p w:rsidR="007561E5" w:rsidRDefault="007561E5" w:rsidP="007561E5">
      <w:pPr>
        <w:spacing w:after="0" w:line="240" w:lineRule="auto"/>
        <w:rPr>
          <w:rFonts w:ascii="Arial" w:hAnsi="Arial" w:cs="Arial"/>
        </w:rPr>
      </w:pPr>
    </w:p>
    <w:p w:rsidR="004B39CE" w:rsidRDefault="004B39CE" w:rsidP="007561E5">
      <w:pPr>
        <w:spacing w:after="0" w:line="240" w:lineRule="auto"/>
        <w:rPr>
          <w:rFonts w:ascii="Arial" w:hAnsi="Arial" w:cs="Arial"/>
        </w:rPr>
      </w:pPr>
      <w:r w:rsidRPr="00AC7388">
        <w:rPr>
          <w:rFonts w:ascii="Arial" w:hAnsi="Arial" w:cs="Arial"/>
        </w:rPr>
        <w:t>The Applicant has proposed a principal adjustment for $263,690 to account for Class A related GA that was recorded in Account 1589.</w:t>
      </w:r>
    </w:p>
    <w:p w:rsidR="007561E5" w:rsidRPr="00AC7388" w:rsidRDefault="007561E5" w:rsidP="007561E5">
      <w:pPr>
        <w:spacing w:after="0" w:line="240" w:lineRule="auto"/>
        <w:rPr>
          <w:rFonts w:ascii="Arial" w:hAnsi="Arial" w:cs="Arial"/>
        </w:rPr>
      </w:pPr>
    </w:p>
    <w:p w:rsidR="004B39CE" w:rsidRDefault="004B39CE" w:rsidP="004B39CE">
      <w:pPr>
        <w:pStyle w:val="ListParagraph"/>
        <w:numPr>
          <w:ilvl w:val="0"/>
          <w:numId w:val="26"/>
        </w:numPr>
        <w:spacing w:after="160" w:line="259" w:lineRule="auto"/>
        <w:rPr>
          <w:rFonts w:ascii="Arial" w:hAnsi="Arial" w:cs="Arial"/>
        </w:rPr>
      </w:pPr>
      <w:r w:rsidRPr="00AC7388">
        <w:rPr>
          <w:rFonts w:ascii="Arial" w:hAnsi="Arial" w:cs="Arial"/>
        </w:rPr>
        <w:t>For settlement purposes with the IESO, was the class A consumption properly reported to the IESO?  Or was the RPP consumption that was used for settlement purposes inaccurate as a result of the Class A consumption.  Please explain.</w:t>
      </w:r>
    </w:p>
    <w:p w:rsidR="00FB18CE" w:rsidRPr="00AC7388" w:rsidRDefault="00FB18CE" w:rsidP="00FB18CE">
      <w:pPr>
        <w:pStyle w:val="ListParagraph"/>
        <w:spacing w:after="160" w:line="259" w:lineRule="auto"/>
        <w:rPr>
          <w:rFonts w:ascii="Arial" w:hAnsi="Arial" w:cs="Arial"/>
        </w:rPr>
      </w:pPr>
    </w:p>
    <w:p w:rsidR="004B39CE" w:rsidRPr="00AC7388" w:rsidRDefault="004B39CE" w:rsidP="004B39CE">
      <w:pPr>
        <w:pStyle w:val="ListParagraph"/>
        <w:numPr>
          <w:ilvl w:val="0"/>
          <w:numId w:val="26"/>
        </w:numPr>
        <w:spacing w:after="160" w:line="259" w:lineRule="auto"/>
        <w:rPr>
          <w:rFonts w:ascii="Arial" w:hAnsi="Arial" w:cs="Arial"/>
        </w:rPr>
      </w:pPr>
      <w:r w:rsidRPr="00AC7388">
        <w:rPr>
          <w:rFonts w:ascii="Arial" w:hAnsi="Arial" w:cs="Arial"/>
        </w:rPr>
        <w:t>The adjustment proposed by the Applicant reduces Account 1589 and increases Account 1588. Shouldn’t this balance now in Account 1588 be settled directly with the IESO instead of ratepayers since it relates to GA RPP? If the Applicant is of the opinion that no settlement with the IESO is required for this balance, then please explain why.</w:t>
      </w:r>
    </w:p>
    <w:p w:rsidR="00E17077" w:rsidRPr="000B3FA1" w:rsidRDefault="00E17077" w:rsidP="00E17077">
      <w:pPr>
        <w:rPr>
          <w:rFonts w:ascii="Arial" w:hAnsi="Arial" w:cs="Arial"/>
          <w:sz w:val="24"/>
          <w:szCs w:val="24"/>
        </w:rPr>
      </w:pPr>
    </w:p>
    <w:p w:rsidR="00355447" w:rsidRPr="006F3CDB" w:rsidRDefault="00EA465E" w:rsidP="00355447">
      <w:pPr>
        <w:tabs>
          <w:tab w:val="left" w:pos="360"/>
        </w:tabs>
        <w:autoSpaceDE w:val="0"/>
        <w:autoSpaceDN w:val="0"/>
        <w:rPr>
          <w:rFonts w:ascii="Arial" w:hAnsi="Arial" w:cs="Arial"/>
          <w:b/>
          <w:sz w:val="24"/>
          <w:szCs w:val="24"/>
          <w:u w:val="single"/>
          <w:lang w:val="en-US"/>
        </w:rPr>
      </w:pPr>
      <w:r w:rsidRPr="006F3CDB">
        <w:rPr>
          <w:rFonts w:ascii="Arial" w:hAnsi="Arial" w:cs="Arial"/>
          <w:b/>
          <w:sz w:val="24"/>
          <w:szCs w:val="24"/>
          <w:u w:val="single"/>
          <w:lang w:val="en-US"/>
        </w:rPr>
        <w:t>RESPONSE</w:t>
      </w:r>
    </w:p>
    <w:p w:rsidR="00EA465E" w:rsidRPr="00E75E9A" w:rsidRDefault="00EA465E" w:rsidP="00EA465E">
      <w:pPr>
        <w:pStyle w:val="ListParagraph"/>
        <w:numPr>
          <w:ilvl w:val="0"/>
          <w:numId w:val="28"/>
        </w:numPr>
        <w:tabs>
          <w:tab w:val="left" w:pos="360"/>
        </w:tabs>
        <w:autoSpaceDE w:val="0"/>
        <w:autoSpaceDN w:val="0"/>
        <w:rPr>
          <w:rFonts w:ascii="Arial" w:hAnsi="Arial" w:cs="Arial"/>
          <w:sz w:val="24"/>
          <w:szCs w:val="24"/>
          <w:lang w:val="en-US"/>
        </w:rPr>
      </w:pPr>
      <w:r w:rsidRPr="00E75E9A">
        <w:rPr>
          <w:rFonts w:ascii="Arial" w:hAnsi="Arial" w:cs="Arial"/>
          <w:sz w:val="24"/>
          <w:szCs w:val="24"/>
          <w:lang w:val="en-US"/>
        </w:rPr>
        <w:t xml:space="preserve">The Class A consumption was properly reported to the IESO. The RPP consumption used for settlement purposes was not inaccurate as a result of the Class A consumption. </w:t>
      </w:r>
    </w:p>
    <w:p w:rsidR="00E75E9A" w:rsidRPr="00E75E9A" w:rsidRDefault="00E75E9A" w:rsidP="00E75E9A">
      <w:pPr>
        <w:pStyle w:val="ListParagraph"/>
        <w:tabs>
          <w:tab w:val="left" w:pos="360"/>
        </w:tabs>
        <w:autoSpaceDE w:val="0"/>
        <w:autoSpaceDN w:val="0"/>
        <w:rPr>
          <w:rFonts w:ascii="Arial" w:hAnsi="Arial" w:cs="Arial"/>
          <w:sz w:val="24"/>
          <w:szCs w:val="24"/>
          <w:lang w:val="en-US"/>
        </w:rPr>
      </w:pPr>
    </w:p>
    <w:p w:rsidR="00ED120A" w:rsidRPr="00E75E9A" w:rsidRDefault="00EA465E" w:rsidP="005A0B3A">
      <w:pPr>
        <w:pStyle w:val="ListParagraph"/>
        <w:numPr>
          <w:ilvl w:val="0"/>
          <w:numId w:val="28"/>
        </w:numPr>
        <w:tabs>
          <w:tab w:val="left" w:pos="360"/>
        </w:tabs>
        <w:autoSpaceDE w:val="0"/>
        <w:autoSpaceDN w:val="0"/>
        <w:adjustRightInd w:val="0"/>
        <w:spacing w:after="0" w:line="240" w:lineRule="auto"/>
        <w:rPr>
          <w:rFonts w:ascii="Arial" w:hAnsi="Arial" w:cs="Arial"/>
          <w:sz w:val="24"/>
          <w:szCs w:val="24"/>
        </w:rPr>
      </w:pPr>
      <w:r w:rsidRPr="00E75E9A">
        <w:rPr>
          <w:rFonts w:ascii="Arial" w:hAnsi="Arial" w:cs="Arial"/>
          <w:sz w:val="24"/>
          <w:szCs w:val="24"/>
          <w:lang w:val="en-US"/>
        </w:rPr>
        <w:t xml:space="preserve">Atikokan does not believe settlement with the IESO is required for this balance. Atikokan believes the RPP consumption used for settlement is accurate. </w:t>
      </w:r>
    </w:p>
    <w:sectPr w:rsidR="00ED120A" w:rsidRPr="00E75E9A" w:rsidSect="00EA0919">
      <w:head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3B" w:rsidRDefault="00066C3B" w:rsidP="00851418">
      <w:pPr>
        <w:spacing w:after="0" w:line="240" w:lineRule="auto"/>
      </w:pPr>
      <w:r>
        <w:separator/>
      </w:r>
    </w:p>
  </w:endnote>
  <w:endnote w:type="continuationSeparator" w:id="0">
    <w:p w:rsidR="00066C3B" w:rsidRDefault="00066C3B"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3B" w:rsidRDefault="00066C3B" w:rsidP="00851418">
      <w:pPr>
        <w:spacing w:after="0" w:line="240" w:lineRule="auto"/>
      </w:pPr>
      <w:r>
        <w:separator/>
      </w:r>
    </w:p>
  </w:footnote>
  <w:footnote w:type="continuationSeparator" w:id="0">
    <w:p w:rsidR="00066C3B" w:rsidRDefault="00066C3B" w:rsidP="00851418">
      <w:pPr>
        <w:spacing w:after="0" w:line="240" w:lineRule="auto"/>
      </w:pPr>
      <w:r>
        <w:continuationSeparator/>
      </w:r>
    </w:p>
  </w:footnote>
  <w:footnote w:id="1">
    <w:p w:rsidR="00E17077" w:rsidRPr="003B36F7" w:rsidRDefault="00E17077" w:rsidP="00E17077">
      <w:pPr>
        <w:pStyle w:val="FootnoteText"/>
        <w:rPr>
          <w:lang w:val="en-US"/>
        </w:rPr>
      </w:pPr>
      <w:r>
        <w:rPr>
          <w:rStyle w:val="FootnoteReference"/>
        </w:rPr>
        <w:footnoteRef/>
      </w:r>
      <w:r>
        <w:t xml:space="preserve"> </w:t>
      </w:r>
      <w:r>
        <w:rPr>
          <w:lang w:val="en-US"/>
        </w:rPr>
        <w:t>EB-2016-0056</w:t>
      </w:r>
    </w:p>
  </w:footnote>
  <w:footnote w:id="2">
    <w:p w:rsidR="007565D6" w:rsidRPr="003B36F7" w:rsidRDefault="007565D6" w:rsidP="007565D6">
      <w:pPr>
        <w:pStyle w:val="FootnoteText"/>
        <w:rPr>
          <w:lang w:val="en-US"/>
        </w:rPr>
      </w:pPr>
      <w:r>
        <w:rPr>
          <w:rStyle w:val="FootnoteReference"/>
        </w:rPr>
        <w:footnoteRef/>
      </w:r>
      <w:r>
        <w:t xml:space="preserve"> </w:t>
      </w:r>
      <w:r>
        <w:rPr>
          <w:lang w:val="en-US"/>
        </w:rPr>
        <w:t>EB-2017-0026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C606AA">
      <w:rPr>
        <w:rFonts w:ascii="Arial" w:hAnsi="Arial" w:cs="Arial"/>
        <w:sz w:val="20"/>
        <w:szCs w:val="20"/>
      </w:rPr>
      <w:t>Atikokan Hydro Inc.</w:t>
    </w:r>
  </w:p>
  <w:p w:rsidR="00D5062F" w:rsidRDefault="001B40BE">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EB-2018</w:t>
    </w:r>
    <w:r w:rsidR="00DA5F69" w:rsidRPr="00DA5F69">
      <w:rPr>
        <w:rFonts w:ascii="Arial" w:hAnsi="Arial" w:cs="Arial"/>
        <w:sz w:val="20"/>
        <w:szCs w:val="20"/>
      </w:rPr>
      <w:t>-00</w:t>
    </w:r>
    <w:r w:rsidR="00C606AA">
      <w:rPr>
        <w:rFonts w:ascii="Arial" w:hAnsi="Arial" w:cs="Arial"/>
        <w:sz w:val="20"/>
        <w:szCs w:val="20"/>
      </w:rPr>
      <w:t>18</w:t>
    </w:r>
  </w:p>
  <w:p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546A48">
      <w:rPr>
        <w:rFonts w:ascii="Arial" w:hAnsi="Arial" w:cs="Arial"/>
        <w:b/>
        <w:noProof/>
        <w:sz w:val="20"/>
        <w:szCs w:val="20"/>
      </w:rPr>
      <w:t>4</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546A48">
      <w:rPr>
        <w:rFonts w:ascii="Arial" w:hAnsi="Arial" w:cs="Arial"/>
        <w:b/>
        <w:noProof/>
        <w:sz w:val="20"/>
        <w:szCs w:val="20"/>
      </w:rPr>
      <w:t>8</w:t>
    </w:r>
    <w:r w:rsidRPr="00DA5F69">
      <w:rPr>
        <w:rFonts w:ascii="Arial" w:hAnsi="Arial" w:cs="Arial"/>
        <w:b/>
        <w:sz w:val="20"/>
        <w:szCs w:val="20"/>
      </w:rPr>
      <w:fldChar w:fldCharType="end"/>
    </w:r>
  </w:p>
  <w:p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F4AB7"/>
    <w:multiLevelType w:val="hybridMultilevel"/>
    <w:tmpl w:val="775EA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E372D"/>
    <w:multiLevelType w:val="hybridMultilevel"/>
    <w:tmpl w:val="78640B5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F57EF"/>
    <w:multiLevelType w:val="hybridMultilevel"/>
    <w:tmpl w:val="56B85D4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9726B"/>
    <w:multiLevelType w:val="hybridMultilevel"/>
    <w:tmpl w:val="085CE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3A5724"/>
    <w:multiLevelType w:val="hybridMultilevel"/>
    <w:tmpl w:val="509AAA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D1C5D"/>
    <w:multiLevelType w:val="hybridMultilevel"/>
    <w:tmpl w:val="1CEE3F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D145A"/>
    <w:multiLevelType w:val="hybridMultilevel"/>
    <w:tmpl w:val="3C0E5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5759C"/>
    <w:multiLevelType w:val="hybridMultilevel"/>
    <w:tmpl w:val="07080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4C52185"/>
    <w:multiLevelType w:val="hybridMultilevel"/>
    <w:tmpl w:val="A7B09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06BCB"/>
    <w:multiLevelType w:val="hybridMultilevel"/>
    <w:tmpl w:val="FE046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A64F4A"/>
    <w:multiLevelType w:val="hybridMultilevel"/>
    <w:tmpl w:val="38D22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9"/>
  </w:num>
  <w:num w:numId="4">
    <w:abstractNumId w:val="16"/>
  </w:num>
  <w:num w:numId="5">
    <w:abstractNumId w:val="8"/>
  </w:num>
  <w:num w:numId="6">
    <w:abstractNumId w:val="20"/>
  </w:num>
  <w:num w:numId="7">
    <w:abstractNumId w:val="24"/>
  </w:num>
  <w:num w:numId="8">
    <w:abstractNumId w:val="28"/>
  </w:num>
  <w:num w:numId="9">
    <w:abstractNumId w:val="4"/>
  </w:num>
  <w:num w:numId="10">
    <w:abstractNumId w:val="12"/>
  </w:num>
  <w:num w:numId="11">
    <w:abstractNumId w:val="22"/>
  </w:num>
  <w:num w:numId="12">
    <w:abstractNumId w:val="17"/>
  </w:num>
  <w:num w:numId="13">
    <w:abstractNumId w:val="14"/>
  </w:num>
  <w:num w:numId="14">
    <w:abstractNumId w:val="18"/>
  </w:num>
  <w:num w:numId="15">
    <w:abstractNumId w:val="27"/>
  </w:num>
  <w:num w:numId="16">
    <w:abstractNumId w:val="6"/>
  </w:num>
  <w:num w:numId="17">
    <w:abstractNumId w:val="7"/>
  </w:num>
  <w:num w:numId="18">
    <w:abstractNumId w:val="23"/>
  </w:num>
  <w:num w:numId="19">
    <w:abstractNumId w:val="25"/>
  </w:num>
  <w:num w:numId="20">
    <w:abstractNumId w:val="13"/>
  </w:num>
  <w:num w:numId="21">
    <w:abstractNumId w:val="26"/>
  </w:num>
  <w:num w:numId="22">
    <w:abstractNumId w:val="1"/>
  </w:num>
  <w:num w:numId="23">
    <w:abstractNumId w:val="19"/>
  </w:num>
  <w:num w:numId="24">
    <w:abstractNumId w:val="15"/>
  </w:num>
  <w:num w:numId="25">
    <w:abstractNumId w:val="10"/>
  </w:num>
  <w:num w:numId="26">
    <w:abstractNumId w:val="21"/>
  </w:num>
  <w:num w:numId="27">
    <w:abstractNumId w:val="5"/>
  </w:num>
  <w:num w:numId="28">
    <w:abstractNumId w:val="2"/>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69CF"/>
    <w:rsid w:val="00011987"/>
    <w:rsid w:val="00012E51"/>
    <w:rsid w:val="0001354E"/>
    <w:rsid w:val="0001531F"/>
    <w:rsid w:val="00030D12"/>
    <w:rsid w:val="000414BC"/>
    <w:rsid w:val="00041BBD"/>
    <w:rsid w:val="000437D6"/>
    <w:rsid w:val="00046E03"/>
    <w:rsid w:val="0005541D"/>
    <w:rsid w:val="00061172"/>
    <w:rsid w:val="00066C3B"/>
    <w:rsid w:val="000843ED"/>
    <w:rsid w:val="00096D51"/>
    <w:rsid w:val="000A1997"/>
    <w:rsid w:val="000B51CC"/>
    <w:rsid w:val="000C035C"/>
    <w:rsid w:val="000D2EAF"/>
    <w:rsid w:val="000E09DB"/>
    <w:rsid w:val="000E1DAE"/>
    <w:rsid w:val="000E24FF"/>
    <w:rsid w:val="000E4C7B"/>
    <w:rsid w:val="000F0FBB"/>
    <w:rsid w:val="001010C7"/>
    <w:rsid w:val="001027DF"/>
    <w:rsid w:val="00112D88"/>
    <w:rsid w:val="00145A2B"/>
    <w:rsid w:val="001460D9"/>
    <w:rsid w:val="00146770"/>
    <w:rsid w:val="0014707E"/>
    <w:rsid w:val="00150BE5"/>
    <w:rsid w:val="001563E4"/>
    <w:rsid w:val="00156B65"/>
    <w:rsid w:val="0016286E"/>
    <w:rsid w:val="0016330B"/>
    <w:rsid w:val="00163BCB"/>
    <w:rsid w:val="00171C5D"/>
    <w:rsid w:val="00175E69"/>
    <w:rsid w:val="0018179E"/>
    <w:rsid w:val="00191ED3"/>
    <w:rsid w:val="001A184E"/>
    <w:rsid w:val="001B092E"/>
    <w:rsid w:val="001B1072"/>
    <w:rsid w:val="001B2AD3"/>
    <w:rsid w:val="001B40BE"/>
    <w:rsid w:val="001C7CA4"/>
    <w:rsid w:val="001D2BB6"/>
    <w:rsid w:val="001D5347"/>
    <w:rsid w:val="001D7086"/>
    <w:rsid w:val="001D7A71"/>
    <w:rsid w:val="001E069B"/>
    <w:rsid w:val="001E603A"/>
    <w:rsid w:val="001E6EA6"/>
    <w:rsid w:val="001F5CB6"/>
    <w:rsid w:val="00204A40"/>
    <w:rsid w:val="00204CE7"/>
    <w:rsid w:val="0021184B"/>
    <w:rsid w:val="002152C0"/>
    <w:rsid w:val="0023076C"/>
    <w:rsid w:val="00233B92"/>
    <w:rsid w:val="002363C3"/>
    <w:rsid w:val="00241483"/>
    <w:rsid w:val="002510CD"/>
    <w:rsid w:val="002579E0"/>
    <w:rsid w:val="00261348"/>
    <w:rsid w:val="00272B65"/>
    <w:rsid w:val="00284B69"/>
    <w:rsid w:val="00286DC4"/>
    <w:rsid w:val="00293086"/>
    <w:rsid w:val="002966E4"/>
    <w:rsid w:val="0029762E"/>
    <w:rsid w:val="002A72E9"/>
    <w:rsid w:val="002B7C64"/>
    <w:rsid w:val="002C75F8"/>
    <w:rsid w:val="002D2F55"/>
    <w:rsid w:val="002F218C"/>
    <w:rsid w:val="00303671"/>
    <w:rsid w:val="00304228"/>
    <w:rsid w:val="00314EC6"/>
    <w:rsid w:val="00323A89"/>
    <w:rsid w:val="00323BCB"/>
    <w:rsid w:val="0032442F"/>
    <w:rsid w:val="0032693C"/>
    <w:rsid w:val="00336D53"/>
    <w:rsid w:val="00340E11"/>
    <w:rsid w:val="003414FB"/>
    <w:rsid w:val="00351FEF"/>
    <w:rsid w:val="0035397C"/>
    <w:rsid w:val="00354A5F"/>
    <w:rsid w:val="00355447"/>
    <w:rsid w:val="00360145"/>
    <w:rsid w:val="00360806"/>
    <w:rsid w:val="003624ED"/>
    <w:rsid w:val="00370D5B"/>
    <w:rsid w:val="0037285F"/>
    <w:rsid w:val="003807A2"/>
    <w:rsid w:val="003834CA"/>
    <w:rsid w:val="003856F8"/>
    <w:rsid w:val="00393FCD"/>
    <w:rsid w:val="00394351"/>
    <w:rsid w:val="0039687D"/>
    <w:rsid w:val="0039794B"/>
    <w:rsid w:val="003A7960"/>
    <w:rsid w:val="003C216A"/>
    <w:rsid w:val="003E076C"/>
    <w:rsid w:val="003E7D1C"/>
    <w:rsid w:val="003F1B00"/>
    <w:rsid w:val="003F1B82"/>
    <w:rsid w:val="003F609A"/>
    <w:rsid w:val="003F7D01"/>
    <w:rsid w:val="0040241E"/>
    <w:rsid w:val="00406CDC"/>
    <w:rsid w:val="00412DC6"/>
    <w:rsid w:val="0043160E"/>
    <w:rsid w:val="00442717"/>
    <w:rsid w:val="00450CB6"/>
    <w:rsid w:val="00451F53"/>
    <w:rsid w:val="00454CB3"/>
    <w:rsid w:val="00463CA8"/>
    <w:rsid w:val="00464D00"/>
    <w:rsid w:val="00471B90"/>
    <w:rsid w:val="00472EFF"/>
    <w:rsid w:val="004734FA"/>
    <w:rsid w:val="0047404F"/>
    <w:rsid w:val="00475BCE"/>
    <w:rsid w:val="004934A8"/>
    <w:rsid w:val="004939A5"/>
    <w:rsid w:val="004A5F89"/>
    <w:rsid w:val="004B39CE"/>
    <w:rsid w:val="004C01D2"/>
    <w:rsid w:val="004C1F32"/>
    <w:rsid w:val="004D46E0"/>
    <w:rsid w:val="004F04C5"/>
    <w:rsid w:val="004F4145"/>
    <w:rsid w:val="00511282"/>
    <w:rsid w:val="005117CF"/>
    <w:rsid w:val="005216D6"/>
    <w:rsid w:val="00522C87"/>
    <w:rsid w:val="005349C8"/>
    <w:rsid w:val="00545B8E"/>
    <w:rsid w:val="00546A48"/>
    <w:rsid w:val="00553935"/>
    <w:rsid w:val="00557400"/>
    <w:rsid w:val="0056158D"/>
    <w:rsid w:val="005879AC"/>
    <w:rsid w:val="005979B0"/>
    <w:rsid w:val="005A69AC"/>
    <w:rsid w:val="005B0481"/>
    <w:rsid w:val="005B4C39"/>
    <w:rsid w:val="005B6E11"/>
    <w:rsid w:val="005C35A4"/>
    <w:rsid w:val="005C4D50"/>
    <w:rsid w:val="005C5C6B"/>
    <w:rsid w:val="005D352B"/>
    <w:rsid w:val="005D772D"/>
    <w:rsid w:val="005E0591"/>
    <w:rsid w:val="005E77DD"/>
    <w:rsid w:val="005F1F8A"/>
    <w:rsid w:val="005F38E0"/>
    <w:rsid w:val="005F516C"/>
    <w:rsid w:val="00601C3B"/>
    <w:rsid w:val="0060662D"/>
    <w:rsid w:val="006125B7"/>
    <w:rsid w:val="006167AB"/>
    <w:rsid w:val="006225E9"/>
    <w:rsid w:val="00634992"/>
    <w:rsid w:val="0063554D"/>
    <w:rsid w:val="00650A44"/>
    <w:rsid w:val="00650C57"/>
    <w:rsid w:val="006546FF"/>
    <w:rsid w:val="006550FD"/>
    <w:rsid w:val="006561C4"/>
    <w:rsid w:val="006604B5"/>
    <w:rsid w:val="0066243E"/>
    <w:rsid w:val="006659F5"/>
    <w:rsid w:val="0069057C"/>
    <w:rsid w:val="00690FCD"/>
    <w:rsid w:val="00691C29"/>
    <w:rsid w:val="00692FC5"/>
    <w:rsid w:val="006A6276"/>
    <w:rsid w:val="006A62B9"/>
    <w:rsid w:val="006A6B6B"/>
    <w:rsid w:val="006A72DB"/>
    <w:rsid w:val="006B4DAB"/>
    <w:rsid w:val="006B7A95"/>
    <w:rsid w:val="006C68C5"/>
    <w:rsid w:val="006D268A"/>
    <w:rsid w:val="006E1551"/>
    <w:rsid w:val="006F3CDB"/>
    <w:rsid w:val="006F3EFE"/>
    <w:rsid w:val="00706907"/>
    <w:rsid w:val="007175F9"/>
    <w:rsid w:val="00722B60"/>
    <w:rsid w:val="007419C6"/>
    <w:rsid w:val="00746080"/>
    <w:rsid w:val="007561E5"/>
    <w:rsid w:val="007565D6"/>
    <w:rsid w:val="00772E59"/>
    <w:rsid w:val="00776FED"/>
    <w:rsid w:val="007829E5"/>
    <w:rsid w:val="00794B4A"/>
    <w:rsid w:val="007A64A9"/>
    <w:rsid w:val="007C5A54"/>
    <w:rsid w:val="007D232E"/>
    <w:rsid w:val="007D3C19"/>
    <w:rsid w:val="007D51C9"/>
    <w:rsid w:val="007F40FF"/>
    <w:rsid w:val="007F4BF8"/>
    <w:rsid w:val="00801BB6"/>
    <w:rsid w:val="00806D93"/>
    <w:rsid w:val="00807B44"/>
    <w:rsid w:val="00831DBE"/>
    <w:rsid w:val="00832A00"/>
    <w:rsid w:val="00834E7C"/>
    <w:rsid w:val="00850053"/>
    <w:rsid w:val="00851418"/>
    <w:rsid w:val="008539D9"/>
    <w:rsid w:val="00861DAE"/>
    <w:rsid w:val="00866E79"/>
    <w:rsid w:val="0087639C"/>
    <w:rsid w:val="0087688C"/>
    <w:rsid w:val="008A0688"/>
    <w:rsid w:val="008A57B0"/>
    <w:rsid w:val="008A5D3A"/>
    <w:rsid w:val="008A657C"/>
    <w:rsid w:val="008B6D75"/>
    <w:rsid w:val="008C5FAC"/>
    <w:rsid w:val="008C74E3"/>
    <w:rsid w:val="008F0FAA"/>
    <w:rsid w:val="008F688C"/>
    <w:rsid w:val="008F7389"/>
    <w:rsid w:val="008F73E8"/>
    <w:rsid w:val="00900330"/>
    <w:rsid w:val="00906622"/>
    <w:rsid w:val="009071CF"/>
    <w:rsid w:val="009138FC"/>
    <w:rsid w:val="00923824"/>
    <w:rsid w:val="00937121"/>
    <w:rsid w:val="00941CC2"/>
    <w:rsid w:val="00953C66"/>
    <w:rsid w:val="009643D1"/>
    <w:rsid w:val="009677A0"/>
    <w:rsid w:val="009807D8"/>
    <w:rsid w:val="00983A06"/>
    <w:rsid w:val="00985D4D"/>
    <w:rsid w:val="00993F61"/>
    <w:rsid w:val="009A3B6B"/>
    <w:rsid w:val="009B02A8"/>
    <w:rsid w:val="009C17CC"/>
    <w:rsid w:val="009C79A3"/>
    <w:rsid w:val="009D30CF"/>
    <w:rsid w:val="009E0910"/>
    <w:rsid w:val="009E1E72"/>
    <w:rsid w:val="009E4F0A"/>
    <w:rsid w:val="00A102CC"/>
    <w:rsid w:val="00A14832"/>
    <w:rsid w:val="00A16652"/>
    <w:rsid w:val="00A207D8"/>
    <w:rsid w:val="00A30E40"/>
    <w:rsid w:val="00A36FB3"/>
    <w:rsid w:val="00A52E2A"/>
    <w:rsid w:val="00A532E2"/>
    <w:rsid w:val="00A56010"/>
    <w:rsid w:val="00A56508"/>
    <w:rsid w:val="00A668A7"/>
    <w:rsid w:val="00A704BA"/>
    <w:rsid w:val="00A713D4"/>
    <w:rsid w:val="00A71C61"/>
    <w:rsid w:val="00A71F2C"/>
    <w:rsid w:val="00A81A28"/>
    <w:rsid w:val="00A83349"/>
    <w:rsid w:val="00A92BB5"/>
    <w:rsid w:val="00A9717E"/>
    <w:rsid w:val="00AA06D9"/>
    <w:rsid w:val="00AB0B9E"/>
    <w:rsid w:val="00AD340F"/>
    <w:rsid w:val="00AF12C9"/>
    <w:rsid w:val="00AF288A"/>
    <w:rsid w:val="00AF2B0D"/>
    <w:rsid w:val="00B076A5"/>
    <w:rsid w:val="00B20109"/>
    <w:rsid w:val="00B22265"/>
    <w:rsid w:val="00B247C1"/>
    <w:rsid w:val="00B25576"/>
    <w:rsid w:val="00B314F3"/>
    <w:rsid w:val="00B34F02"/>
    <w:rsid w:val="00B37CD3"/>
    <w:rsid w:val="00B41852"/>
    <w:rsid w:val="00B56997"/>
    <w:rsid w:val="00B611D3"/>
    <w:rsid w:val="00B76EA7"/>
    <w:rsid w:val="00B97F5F"/>
    <w:rsid w:val="00B97FB4"/>
    <w:rsid w:val="00BA12EA"/>
    <w:rsid w:val="00BC1A68"/>
    <w:rsid w:val="00BD4512"/>
    <w:rsid w:val="00BD52F2"/>
    <w:rsid w:val="00BD754D"/>
    <w:rsid w:val="00BE1A92"/>
    <w:rsid w:val="00BF7CFF"/>
    <w:rsid w:val="00C23F96"/>
    <w:rsid w:val="00C27332"/>
    <w:rsid w:val="00C606AA"/>
    <w:rsid w:val="00C6280A"/>
    <w:rsid w:val="00C63C8D"/>
    <w:rsid w:val="00C7140B"/>
    <w:rsid w:val="00C744C2"/>
    <w:rsid w:val="00C818E2"/>
    <w:rsid w:val="00CA0B82"/>
    <w:rsid w:val="00CA234C"/>
    <w:rsid w:val="00CA344E"/>
    <w:rsid w:val="00CA6CFD"/>
    <w:rsid w:val="00CB168B"/>
    <w:rsid w:val="00CC447E"/>
    <w:rsid w:val="00CC6D11"/>
    <w:rsid w:val="00CF0F7C"/>
    <w:rsid w:val="00D02D7F"/>
    <w:rsid w:val="00D0773D"/>
    <w:rsid w:val="00D215CA"/>
    <w:rsid w:val="00D21A42"/>
    <w:rsid w:val="00D2658F"/>
    <w:rsid w:val="00D348BB"/>
    <w:rsid w:val="00D352AB"/>
    <w:rsid w:val="00D36BBE"/>
    <w:rsid w:val="00D42FD3"/>
    <w:rsid w:val="00D47CBB"/>
    <w:rsid w:val="00D5062F"/>
    <w:rsid w:val="00D5164A"/>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30CD"/>
    <w:rsid w:val="00DC2E85"/>
    <w:rsid w:val="00DC3EEB"/>
    <w:rsid w:val="00DC3F8F"/>
    <w:rsid w:val="00DD09DC"/>
    <w:rsid w:val="00DE1A3A"/>
    <w:rsid w:val="00DE6348"/>
    <w:rsid w:val="00DF6932"/>
    <w:rsid w:val="00E02478"/>
    <w:rsid w:val="00E17077"/>
    <w:rsid w:val="00E2026C"/>
    <w:rsid w:val="00E23ECF"/>
    <w:rsid w:val="00E261A1"/>
    <w:rsid w:val="00E26699"/>
    <w:rsid w:val="00E2683A"/>
    <w:rsid w:val="00E31459"/>
    <w:rsid w:val="00E36FF9"/>
    <w:rsid w:val="00E41A62"/>
    <w:rsid w:val="00E452BA"/>
    <w:rsid w:val="00E45775"/>
    <w:rsid w:val="00E6089B"/>
    <w:rsid w:val="00E63408"/>
    <w:rsid w:val="00E6651E"/>
    <w:rsid w:val="00E74B81"/>
    <w:rsid w:val="00E7523D"/>
    <w:rsid w:val="00E75E9A"/>
    <w:rsid w:val="00E857B8"/>
    <w:rsid w:val="00E875F8"/>
    <w:rsid w:val="00E909A7"/>
    <w:rsid w:val="00E9387D"/>
    <w:rsid w:val="00EA0919"/>
    <w:rsid w:val="00EA2CF7"/>
    <w:rsid w:val="00EA465E"/>
    <w:rsid w:val="00EA6750"/>
    <w:rsid w:val="00EB68C4"/>
    <w:rsid w:val="00EC0C97"/>
    <w:rsid w:val="00EC26AE"/>
    <w:rsid w:val="00ED120A"/>
    <w:rsid w:val="00ED3CE0"/>
    <w:rsid w:val="00ED3F0B"/>
    <w:rsid w:val="00EE450C"/>
    <w:rsid w:val="00EF616E"/>
    <w:rsid w:val="00F213C1"/>
    <w:rsid w:val="00F27A5F"/>
    <w:rsid w:val="00F33C3D"/>
    <w:rsid w:val="00F34EDA"/>
    <w:rsid w:val="00F4428A"/>
    <w:rsid w:val="00F45C35"/>
    <w:rsid w:val="00F66E08"/>
    <w:rsid w:val="00F72F89"/>
    <w:rsid w:val="00F856E1"/>
    <w:rsid w:val="00F86479"/>
    <w:rsid w:val="00F91432"/>
    <w:rsid w:val="00F92F12"/>
    <w:rsid w:val="00F96ACE"/>
    <w:rsid w:val="00FA6077"/>
    <w:rsid w:val="00FB18CE"/>
    <w:rsid w:val="00FB3A11"/>
    <w:rsid w:val="00FC76AA"/>
    <w:rsid w:val="00FD5EDC"/>
    <w:rsid w:val="00FE794E"/>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5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6388">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 w:id="17919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C4F7-5BEB-4BDD-B19B-D6BCA7FC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1061</Words>
  <Characters>6054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Tamara Collins</cp:lastModifiedBy>
  <cp:revision>2</cp:revision>
  <cp:lastPrinted>2018-10-31T11:42:00Z</cp:lastPrinted>
  <dcterms:created xsi:type="dcterms:W3CDTF">2018-12-14T15:15:00Z</dcterms:created>
  <dcterms:modified xsi:type="dcterms:W3CDTF">2018-12-14T15:15:00Z</dcterms:modified>
</cp:coreProperties>
</file>