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080" w:rsidRPr="000C71B7" w:rsidRDefault="00941CC2" w:rsidP="00D0773D">
      <w:pPr>
        <w:jc w:val="center"/>
        <w:rPr>
          <w:rFonts w:ascii="Arial" w:hAnsi="Arial" w:cs="Arial"/>
          <w:b/>
          <w:sz w:val="28"/>
          <w:szCs w:val="28"/>
        </w:rPr>
      </w:pPr>
      <w:bookmarkStart w:id="0" w:name="_GoBack"/>
      <w:bookmarkEnd w:id="0"/>
      <w:r w:rsidRPr="000C71B7">
        <w:rPr>
          <w:rFonts w:ascii="Arial" w:hAnsi="Arial" w:cs="Arial"/>
          <w:b/>
          <w:sz w:val="28"/>
          <w:szCs w:val="28"/>
        </w:rPr>
        <w:t>Niagara Peninsula Energy Inc.</w:t>
      </w:r>
      <w:r w:rsidR="00B56997" w:rsidRPr="000C71B7">
        <w:rPr>
          <w:rFonts w:ascii="Arial" w:hAnsi="Arial" w:cs="Arial"/>
          <w:b/>
          <w:sz w:val="28"/>
          <w:szCs w:val="28"/>
        </w:rPr>
        <w:t xml:space="preserve"> </w:t>
      </w:r>
      <w:r w:rsidR="002F218C" w:rsidRPr="000C71B7">
        <w:rPr>
          <w:rFonts w:ascii="Arial" w:hAnsi="Arial" w:cs="Arial"/>
          <w:b/>
          <w:sz w:val="28"/>
          <w:szCs w:val="28"/>
        </w:rPr>
        <w:t>(</w:t>
      </w:r>
      <w:r w:rsidRPr="000C71B7">
        <w:rPr>
          <w:rFonts w:ascii="Arial" w:hAnsi="Arial" w:cs="Arial"/>
          <w:b/>
          <w:sz w:val="28"/>
          <w:szCs w:val="28"/>
        </w:rPr>
        <w:t>N</w:t>
      </w:r>
      <w:r w:rsidR="00627870" w:rsidRPr="000C71B7">
        <w:rPr>
          <w:rFonts w:ascii="Arial" w:hAnsi="Arial" w:cs="Arial"/>
          <w:b/>
          <w:sz w:val="28"/>
          <w:szCs w:val="28"/>
        </w:rPr>
        <w:t>PEI</w:t>
      </w:r>
      <w:r w:rsidR="0066243E" w:rsidRPr="000C71B7">
        <w:rPr>
          <w:rFonts w:ascii="Arial" w:hAnsi="Arial" w:cs="Arial"/>
          <w:b/>
          <w:sz w:val="28"/>
          <w:szCs w:val="28"/>
        </w:rPr>
        <w:t>)</w:t>
      </w:r>
    </w:p>
    <w:p w:rsidR="002F218C" w:rsidRPr="000C71B7" w:rsidRDefault="00866E79" w:rsidP="00394351">
      <w:pPr>
        <w:jc w:val="center"/>
        <w:rPr>
          <w:rFonts w:ascii="Arial" w:hAnsi="Arial" w:cs="Arial"/>
          <w:b/>
          <w:sz w:val="24"/>
          <w:szCs w:val="24"/>
        </w:rPr>
      </w:pPr>
      <w:r w:rsidRPr="000C71B7">
        <w:rPr>
          <w:rFonts w:ascii="Arial" w:hAnsi="Arial" w:cs="Arial"/>
          <w:b/>
          <w:sz w:val="24"/>
          <w:szCs w:val="24"/>
        </w:rPr>
        <w:t>2019</w:t>
      </w:r>
      <w:r w:rsidR="0021184B" w:rsidRPr="000C71B7">
        <w:rPr>
          <w:rFonts w:ascii="Arial" w:hAnsi="Arial" w:cs="Arial"/>
          <w:b/>
          <w:sz w:val="24"/>
          <w:szCs w:val="24"/>
        </w:rPr>
        <w:t xml:space="preserve"> </w:t>
      </w:r>
      <w:r w:rsidR="00D80EDE" w:rsidRPr="000C71B7">
        <w:rPr>
          <w:rFonts w:ascii="Arial" w:hAnsi="Arial" w:cs="Arial"/>
          <w:b/>
          <w:sz w:val="24"/>
          <w:szCs w:val="24"/>
        </w:rPr>
        <w:t>IRM</w:t>
      </w:r>
      <w:r w:rsidR="002F218C" w:rsidRPr="000C71B7">
        <w:rPr>
          <w:rFonts w:ascii="Arial" w:hAnsi="Arial" w:cs="Arial"/>
          <w:b/>
          <w:sz w:val="24"/>
          <w:szCs w:val="24"/>
        </w:rPr>
        <w:t xml:space="preserve"> Application</w:t>
      </w:r>
    </w:p>
    <w:p w:rsidR="00394351" w:rsidRPr="000C71B7" w:rsidRDefault="00D0773D" w:rsidP="00394351">
      <w:pPr>
        <w:jc w:val="center"/>
        <w:rPr>
          <w:rFonts w:ascii="Arial" w:hAnsi="Arial" w:cs="Arial"/>
          <w:b/>
          <w:sz w:val="24"/>
          <w:szCs w:val="24"/>
        </w:rPr>
      </w:pPr>
      <w:r w:rsidRPr="000C71B7">
        <w:rPr>
          <w:rFonts w:ascii="Arial" w:hAnsi="Arial" w:cs="Arial"/>
          <w:b/>
          <w:sz w:val="24"/>
          <w:szCs w:val="24"/>
        </w:rPr>
        <w:t>EB-201</w:t>
      </w:r>
      <w:r w:rsidR="00866E79" w:rsidRPr="000C71B7">
        <w:rPr>
          <w:rFonts w:ascii="Arial" w:hAnsi="Arial" w:cs="Arial"/>
          <w:b/>
          <w:sz w:val="24"/>
          <w:szCs w:val="24"/>
        </w:rPr>
        <w:t>8-00</w:t>
      </w:r>
      <w:r w:rsidR="00941CC2" w:rsidRPr="000C71B7">
        <w:rPr>
          <w:rFonts w:ascii="Arial" w:hAnsi="Arial" w:cs="Arial"/>
          <w:b/>
          <w:sz w:val="24"/>
          <w:szCs w:val="24"/>
        </w:rPr>
        <w:t>5</w:t>
      </w:r>
      <w:r w:rsidR="00866E79" w:rsidRPr="000C71B7">
        <w:rPr>
          <w:rFonts w:ascii="Arial" w:hAnsi="Arial" w:cs="Arial"/>
          <w:b/>
          <w:sz w:val="24"/>
          <w:szCs w:val="24"/>
        </w:rPr>
        <w:t>4</w:t>
      </w:r>
      <w:r w:rsidR="00B20109" w:rsidRPr="000C71B7">
        <w:rPr>
          <w:rFonts w:ascii="Arial" w:hAnsi="Arial" w:cs="Arial"/>
          <w:b/>
          <w:sz w:val="24"/>
          <w:szCs w:val="24"/>
        </w:rPr>
        <w:t xml:space="preserve">                                                                                                                                                                                                                                                                                                          </w:t>
      </w:r>
      <w:r w:rsidR="002F218C" w:rsidRPr="000C71B7">
        <w:rPr>
          <w:rFonts w:ascii="Arial" w:hAnsi="Arial" w:cs="Arial"/>
          <w:b/>
          <w:sz w:val="24"/>
          <w:szCs w:val="24"/>
        </w:rPr>
        <w:t xml:space="preserve">                           </w:t>
      </w:r>
    </w:p>
    <w:p w:rsidR="00304228" w:rsidRPr="000C71B7" w:rsidRDefault="00646D2A" w:rsidP="00CC447E">
      <w:pPr>
        <w:jc w:val="center"/>
        <w:rPr>
          <w:rFonts w:ascii="Arial" w:hAnsi="Arial" w:cs="Arial"/>
          <w:b/>
          <w:sz w:val="24"/>
          <w:szCs w:val="24"/>
        </w:rPr>
      </w:pPr>
      <w:r w:rsidRPr="000C71B7">
        <w:rPr>
          <w:rFonts w:ascii="Arial" w:hAnsi="Arial" w:cs="Arial"/>
          <w:b/>
          <w:sz w:val="24"/>
          <w:szCs w:val="24"/>
        </w:rPr>
        <w:t>Responses to OEB Staff Questions</w:t>
      </w:r>
    </w:p>
    <w:p w:rsidR="00E6651E" w:rsidRPr="000C71B7" w:rsidRDefault="00985074" w:rsidP="00304228">
      <w:pPr>
        <w:jc w:val="center"/>
        <w:rPr>
          <w:rFonts w:ascii="Arial" w:hAnsi="Arial" w:cs="Arial"/>
          <w:b/>
          <w:sz w:val="24"/>
          <w:szCs w:val="24"/>
        </w:rPr>
      </w:pPr>
      <w:r w:rsidRPr="000C71B7">
        <w:rPr>
          <w:rFonts w:ascii="Arial" w:hAnsi="Arial" w:cs="Arial"/>
          <w:b/>
          <w:sz w:val="24"/>
          <w:szCs w:val="24"/>
        </w:rPr>
        <w:t>November</w:t>
      </w:r>
      <w:r w:rsidR="001D5347" w:rsidRPr="000C71B7">
        <w:rPr>
          <w:rFonts w:ascii="Arial" w:hAnsi="Arial" w:cs="Arial"/>
          <w:b/>
          <w:sz w:val="24"/>
          <w:szCs w:val="24"/>
        </w:rPr>
        <w:t xml:space="preserve"> </w:t>
      </w:r>
      <w:r w:rsidR="00B6322A" w:rsidRPr="000C71B7">
        <w:rPr>
          <w:rFonts w:ascii="Arial" w:hAnsi="Arial" w:cs="Arial"/>
          <w:b/>
          <w:sz w:val="24"/>
          <w:szCs w:val="24"/>
        </w:rPr>
        <w:t>30</w:t>
      </w:r>
      <w:r w:rsidR="00450CB6" w:rsidRPr="000C71B7">
        <w:rPr>
          <w:rFonts w:ascii="Arial" w:hAnsi="Arial" w:cs="Arial"/>
          <w:b/>
          <w:sz w:val="24"/>
          <w:szCs w:val="24"/>
        </w:rPr>
        <w:t>, 2018</w:t>
      </w:r>
    </w:p>
    <w:p w:rsidR="00450CB6" w:rsidRPr="000C71B7" w:rsidRDefault="00450CB6" w:rsidP="00A668A7">
      <w:pPr>
        <w:spacing w:after="0" w:line="240" w:lineRule="auto"/>
        <w:rPr>
          <w:rFonts w:ascii="Arial" w:hAnsi="Arial" w:cs="Arial"/>
          <w:b/>
          <w:sz w:val="24"/>
          <w:szCs w:val="24"/>
        </w:rPr>
      </w:pPr>
    </w:p>
    <w:p w:rsidR="000069CF" w:rsidRPr="000C71B7" w:rsidRDefault="001F5CB6" w:rsidP="00646D2A">
      <w:pPr>
        <w:spacing w:after="0" w:line="240" w:lineRule="auto"/>
        <w:jc w:val="both"/>
        <w:rPr>
          <w:rFonts w:ascii="Arial" w:hAnsi="Arial" w:cs="Arial"/>
          <w:b/>
          <w:sz w:val="24"/>
          <w:szCs w:val="24"/>
        </w:rPr>
      </w:pPr>
      <w:r w:rsidRPr="000C71B7">
        <w:rPr>
          <w:rFonts w:ascii="Arial" w:hAnsi="Arial" w:cs="Arial"/>
          <w:b/>
          <w:sz w:val="24"/>
          <w:szCs w:val="24"/>
        </w:rPr>
        <w:t xml:space="preserve">Staff </w:t>
      </w:r>
      <w:r w:rsidR="00E02478" w:rsidRPr="000C71B7">
        <w:rPr>
          <w:rFonts w:ascii="Arial" w:hAnsi="Arial" w:cs="Arial"/>
          <w:b/>
          <w:sz w:val="24"/>
          <w:szCs w:val="24"/>
        </w:rPr>
        <w:t xml:space="preserve">Question </w:t>
      </w:r>
      <w:r w:rsidRPr="000C71B7">
        <w:rPr>
          <w:rFonts w:ascii="Arial" w:hAnsi="Arial" w:cs="Arial"/>
          <w:b/>
          <w:sz w:val="24"/>
          <w:szCs w:val="24"/>
        </w:rPr>
        <w:t>#</w:t>
      </w:r>
      <w:r w:rsidR="000069CF" w:rsidRPr="000C71B7">
        <w:rPr>
          <w:rFonts w:ascii="Arial" w:hAnsi="Arial" w:cs="Arial"/>
          <w:b/>
          <w:sz w:val="24"/>
          <w:szCs w:val="24"/>
        </w:rPr>
        <w:t>1</w:t>
      </w:r>
    </w:p>
    <w:p w:rsidR="00A41C6F" w:rsidRPr="000C71B7" w:rsidRDefault="00A41C6F" w:rsidP="00646D2A">
      <w:pPr>
        <w:tabs>
          <w:tab w:val="left" w:pos="360"/>
        </w:tabs>
        <w:autoSpaceDE w:val="0"/>
        <w:autoSpaceDN w:val="0"/>
        <w:jc w:val="both"/>
        <w:rPr>
          <w:rFonts w:ascii="Arial" w:hAnsi="Arial" w:cs="Arial"/>
          <w:b/>
          <w:sz w:val="24"/>
          <w:szCs w:val="24"/>
          <w:lang w:val="en-US"/>
        </w:rPr>
      </w:pPr>
      <w:r w:rsidRPr="000C71B7">
        <w:rPr>
          <w:rFonts w:ascii="Arial" w:hAnsi="Arial" w:cs="Arial"/>
          <w:b/>
          <w:sz w:val="24"/>
          <w:szCs w:val="24"/>
          <w:lang w:val="en-US"/>
        </w:rPr>
        <w:t xml:space="preserve">Ref: </w:t>
      </w:r>
      <w:r w:rsidR="005F41E7" w:rsidRPr="000C71B7">
        <w:rPr>
          <w:rFonts w:ascii="Arial" w:hAnsi="Arial" w:cs="Arial"/>
          <w:b/>
          <w:sz w:val="24"/>
          <w:szCs w:val="24"/>
          <w:lang w:val="en-US"/>
        </w:rPr>
        <w:t xml:space="preserve">A portion of </w:t>
      </w:r>
      <w:r w:rsidR="00C42E7B" w:rsidRPr="000C71B7">
        <w:rPr>
          <w:rFonts w:ascii="Arial" w:hAnsi="Arial" w:cs="Arial"/>
          <w:b/>
          <w:sz w:val="24"/>
          <w:szCs w:val="24"/>
          <w:lang w:val="en-US"/>
        </w:rPr>
        <w:t>Tab 11 – RTSR – UTR &amp; Sub-Tx</w:t>
      </w:r>
      <w:r w:rsidR="005F41E7" w:rsidRPr="000C71B7">
        <w:rPr>
          <w:rFonts w:ascii="Arial" w:hAnsi="Arial" w:cs="Arial"/>
          <w:b/>
          <w:sz w:val="24"/>
          <w:szCs w:val="24"/>
          <w:lang w:val="en-US"/>
        </w:rPr>
        <w:t xml:space="preserve"> is reproduced below</w:t>
      </w:r>
    </w:p>
    <w:p w:rsidR="00C42E7B" w:rsidRPr="000C71B7" w:rsidRDefault="00C42E7B" w:rsidP="00646D2A">
      <w:pPr>
        <w:tabs>
          <w:tab w:val="left" w:pos="360"/>
        </w:tabs>
        <w:autoSpaceDE w:val="0"/>
        <w:autoSpaceDN w:val="0"/>
        <w:jc w:val="both"/>
        <w:rPr>
          <w:rFonts w:ascii="Arial" w:hAnsi="Arial" w:cs="Arial"/>
          <w:sz w:val="24"/>
          <w:szCs w:val="24"/>
          <w:lang w:val="en-US"/>
        </w:rPr>
      </w:pPr>
      <w:r w:rsidRPr="000C71B7">
        <w:rPr>
          <w:rFonts w:ascii="Arial" w:hAnsi="Arial" w:cs="Arial"/>
          <w:noProof/>
          <w:lang w:val="en-US"/>
        </w:rPr>
        <w:drawing>
          <wp:inline distT="0" distB="0" distL="0" distR="0" wp14:anchorId="6A46526F" wp14:editId="7E43012A">
            <wp:extent cx="5943600" cy="1157605"/>
            <wp:effectExtent l="19050" t="19050" r="19050" b="2349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1157605"/>
                    </a:xfrm>
                    <a:prstGeom prst="rect">
                      <a:avLst/>
                    </a:prstGeom>
                    <a:ln>
                      <a:solidFill>
                        <a:schemeClr val="tx1"/>
                      </a:solidFill>
                    </a:ln>
                  </pic:spPr>
                </pic:pic>
              </a:graphicData>
            </a:graphic>
          </wp:inline>
        </w:drawing>
      </w:r>
    </w:p>
    <w:p w:rsidR="005F41E7" w:rsidRPr="000C71B7" w:rsidRDefault="005F41E7" w:rsidP="00646D2A">
      <w:pPr>
        <w:autoSpaceDE w:val="0"/>
        <w:autoSpaceDN w:val="0"/>
        <w:adjustRightInd w:val="0"/>
        <w:spacing w:after="0" w:line="240" w:lineRule="auto"/>
        <w:jc w:val="both"/>
        <w:rPr>
          <w:rFonts w:ascii="Arial" w:hAnsi="Arial" w:cs="Arial"/>
          <w:sz w:val="24"/>
          <w:szCs w:val="24"/>
          <w:lang w:val="en-US"/>
        </w:rPr>
      </w:pPr>
      <w:r w:rsidRPr="000C71B7">
        <w:rPr>
          <w:rFonts w:ascii="Arial" w:hAnsi="Arial" w:cs="Arial"/>
          <w:sz w:val="24"/>
          <w:szCs w:val="24"/>
          <w:lang w:val="en-US"/>
        </w:rPr>
        <w:t>OEB staff notes that the column pertaining to the Extra Host for 2017 – Network Service Rate and Line Connection Service Rate are unpopulated.</w:t>
      </w:r>
    </w:p>
    <w:p w:rsidR="005F41E7" w:rsidRPr="000C71B7" w:rsidRDefault="005F41E7" w:rsidP="00646D2A">
      <w:pPr>
        <w:autoSpaceDE w:val="0"/>
        <w:autoSpaceDN w:val="0"/>
        <w:adjustRightInd w:val="0"/>
        <w:spacing w:after="0" w:line="240" w:lineRule="auto"/>
        <w:jc w:val="both"/>
        <w:rPr>
          <w:rFonts w:ascii="Arial" w:hAnsi="Arial" w:cs="Arial"/>
          <w:sz w:val="24"/>
          <w:szCs w:val="24"/>
          <w:lang w:val="en-US"/>
        </w:rPr>
      </w:pPr>
    </w:p>
    <w:p w:rsidR="005F41E7" w:rsidRPr="000C71B7" w:rsidRDefault="005F41E7" w:rsidP="00646D2A">
      <w:pPr>
        <w:pStyle w:val="ListParagraph"/>
        <w:numPr>
          <w:ilvl w:val="0"/>
          <w:numId w:val="22"/>
        </w:numPr>
        <w:autoSpaceDE w:val="0"/>
        <w:autoSpaceDN w:val="0"/>
        <w:adjustRightInd w:val="0"/>
        <w:spacing w:after="0" w:line="240" w:lineRule="auto"/>
        <w:ind w:left="360"/>
        <w:jc w:val="both"/>
        <w:rPr>
          <w:rFonts w:ascii="Arial" w:hAnsi="Arial" w:cs="Arial"/>
          <w:sz w:val="24"/>
          <w:szCs w:val="24"/>
          <w:lang w:val="en-US"/>
        </w:rPr>
      </w:pPr>
      <w:r w:rsidRPr="000C71B7">
        <w:rPr>
          <w:rFonts w:ascii="Arial" w:hAnsi="Arial" w:cs="Arial"/>
          <w:sz w:val="24"/>
          <w:szCs w:val="24"/>
          <w:lang w:val="en-US"/>
        </w:rPr>
        <w:t>If the omission of these rates are an error, Board staff will make the relevant</w:t>
      </w:r>
    </w:p>
    <w:p w:rsidR="00A41C6F" w:rsidRPr="000C71B7" w:rsidRDefault="00701FC4" w:rsidP="00646D2A">
      <w:pPr>
        <w:tabs>
          <w:tab w:val="left" w:pos="360"/>
        </w:tabs>
        <w:autoSpaceDE w:val="0"/>
        <w:autoSpaceDN w:val="0"/>
        <w:jc w:val="both"/>
        <w:rPr>
          <w:rFonts w:ascii="Arial" w:hAnsi="Arial" w:cs="Arial"/>
          <w:sz w:val="24"/>
          <w:szCs w:val="24"/>
          <w:lang w:val="en-US"/>
        </w:rPr>
      </w:pPr>
      <w:r w:rsidRPr="000C71B7">
        <w:rPr>
          <w:rFonts w:ascii="Arial" w:hAnsi="Arial" w:cs="Arial"/>
          <w:sz w:val="24"/>
          <w:szCs w:val="24"/>
          <w:lang w:val="en-US"/>
        </w:rPr>
        <w:tab/>
      </w:r>
      <w:r w:rsidR="005F41E7" w:rsidRPr="000C71B7">
        <w:rPr>
          <w:rFonts w:ascii="Arial" w:hAnsi="Arial" w:cs="Arial"/>
          <w:sz w:val="24"/>
          <w:szCs w:val="24"/>
          <w:lang w:val="en-US"/>
        </w:rPr>
        <w:t>correction</w:t>
      </w:r>
      <w:r w:rsidRPr="000C71B7">
        <w:rPr>
          <w:rFonts w:ascii="Arial" w:hAnsi="Arial" w:cs="Arial"/>
          <w:sz w:val="24"/>
          <w:szCs w:val="24"/>
          <w:lang w:val="en-US"/>
        </w:rPr>
        <w:t>s</w:t>
      </w:r>
      <w:r w:rsidR="005F41E7" w:rsidRPr="000C71B7">
        <w:rPr>
          <w:rFonts w:ascii="Arial" w:hAnsi="Arial" w:cs="Arial"/>
          <w:sz w:val="24"/>
          <w:szCs w:val="24"/>
          <w:lang w:val="en-US"/>
        </w:rPr>
        <w:t>.</w:t>
      </w:r>
    </w:p>
    <w:p w:rsidR="00701FC4" w:rsidRPr="000C71B7" w:rsidRDefault="00701FC4" w:rsidP="00646D2A">
      <w:pPr>
        <w:tabs>
          <w:tab w:val="left" w:pos="360"/>
        </w:tabs>
        <w:autoSpaceDE w:val="0"/>
        <w:autoSpaceDN w:val="0"/>
        <w:spacing w:after="0"/>
        <w:jc w:val="both"/>
        <w:rPr>
          <w:rFonts w:ascii="Arial" w:hAnsi="Arial" w:cs="Arial"/>
          <w:b/>
          <w:sz w:val="24"/>
          <w:szCs w:val="24"/>
          <w:lang w:val="en-US"/>
        </w:rPr>
      </w:pPr>
    </w:p>
    <w:p w:rsidR="00B14C2B" w:rsidRPr="000C71B7" w:rsidRDefault="00B14C2B" w:rsidP="00646D2A">
      <w:pPr>
        <w:jc w:val="both"/>
        <w:rPr>
          <w:rFonts w:ascii="Arial" w:hAnsi="Arial" w:cs="Arial"/>
          <w:sz w:val="24"/>
          <w:szCs w:val="24"/>
          <w:u w:val="single"/>
          <w:lang w:val="en-US"/>
        </w:rPr>
      </w:pPr>
      <w:r w:rsidRPr="000C71B7">
        <w:rPr>
          <w:rFonts w:ascii="Arial" w:hAnsi="Arial" w:cs="Arial"/>
          <w:sz w:val="24"/>
          <w:szCs w:val="24"/>
          <w:u w:val="single"/>
          <w:lang w:val="en-US"/>
        </w:rPr>
        <w:t>Response</w:t>
      </w:r>
    </w:p>
    <w:p w:rsidR="00B14C2B" w:rsidRPr="000C71B7" w:rsidRDefault="00B14C2B" w:rsidP="00646D2A">
      <w:pPr>
        <w:jc w:val="both"/>
        <w:rPr>
          <w:rFonts w:ascii="Arial" w:hAnsi="Arial" w:cs="Arial"/>
          <w:sz w:val="24"/>
          <w:szCs w:val="24"/>
          <w:lang w:val="en-US"/>
        </w:rPr>
      </w:pPr>
      <w:r w:rsidRPr="000C71B7">
        <w:rPr>
          <w:rFonts w:ascii="Arial" w:hAnsi="Arial" w:cs="Arial"/>
          <w:sz w:val="24"/>
          <w:szCs w:val="24"/>
          <w:lang w:val="en-US"/>
        </w:rPr>
        <w:t xml:space="preserve">In the 2019 IRM Rate Generator Model, the cells for the 2017 Network Service Charge and Line Connection Service Charge pertaining to the Extra Host (Grimsby Power Inc.) are protected, and NPEI was not able to enter these rates. NPEI requests that Board Staff enter the rates for 2017 from Grimsby Power Inc.’s </w:t>
      </w:r>
      <w:r w:rsidR="0041272D" w:rsidRPr="000C71B7">
        <w:rPr>
          <w:rFonts w:ascii="Arial" w:hAnsi="Arial" w:cs="Arial"/>
          <w:sz w:val="24"/>
          <w:szCs w:val="24"/>
          <w:lang w:val="en-US"/>
        </w:rPr>
        <w:t xml:space="preserve">(“GPI’s”) </w:t>
      </w:r>
      <w:r w:rsidRPr="000C71B7">
        <w:rPr>
          <w:rFonts w:ascii="Arial" w:hAnsi="Arial" w:cs="Arial"/>
          <w:sz w:val="24"/>
          <w:szCs w:val="24"/>
          <w:lang w:val="en-US"/>
        </w:rPr>
        <w:t>approved Tariff of Rates and Charges effective January 1, 2017 (EB-2016-0073)</w:t>
      </w:r>
      <w:r w:rsidR="0041272D" w:rsidRPr="000C71B7">
        <w:rPr>
          <w:rFonts w:ascii="Arial" w:hAnsi="Arial" w:cs="Arial"/>
          <w:sz w:val="24"/>
          <w:szCs w:val="24"/>
          <w:lang w:val="en-US"/>
        </w:rPr>
        <w:t xml:space="preserve">, for GPI’s </w:t>
      </w:r>
      <w:r w:rsidR="00B6322A" w:rsidRPr="000C71B7">
        <w:rPr>
          <w:rFonts w:ascii="Arial" w:hAnsi="Arial" w:cs="Arial"/>
          <w:sz w:val="24"/>
          <w:szCs w:val="24"/>
          <w:lang w:val="en-US"/>
        </w:rPr>
        <w:t xml:space="preserve">Embedded Distributor rate class </w:t>
      </w:r>
      <w:r w:rsidR="005A5D98" w:rsidRPr="000C71B7">
        <w:rPr>
          <w:rFonts w:ascii="Arial" w:hAnsi="Arial" w:cs="Arial"/>
          <w:sz w:val="24"/>
          <w:szCs w:val="24"/>
          <w:lang w:val="en-US"/>
        </w:rPr>
        <w:t xml:space="preserve">on Sheet 11 </w:t>
      </w:r>
      <w:r w:rsidR="00B6322A" w:rsidRPr="000C71B7">
        <w:rPr>
          <w:rFonts w:ascii="Arial" w:hAnsi="Arial" w:cs="Arial"/>
          <w:sz w:val="24"/>
          <w:szCs w:val="24"/>
          <w:lang w:val="en-US"/>
        </w:rPr>
        <w:t xml:space="preserve">as follows: </w:t>
      </w:r>
      <w:r w:rsidR="005A5D98" w:rsidRPr="000C71B7">
        <w:rPr>
          <w:rFonts w:ascii="Arial" w:hAnsi="Arial" w:cs="Arial"/>
          <w:sz w:val="24"/>
          <w:szCs w:val="24"/>
          <w:lang w:val="en-US"/>
        </w:rPr>
        <w:t>Network Service Rate of $2.8090 per kW in cell F50 and Connection Service Rate of $0.5083 per kW in Cell F52.</w:t>
      </w:r>
    </w:p>
    <w:p w:rsidR="00701FC4" w:rsidRPr="000C71B7" w:rsidRDefault="00B14C2B" w:rsidP="00646D2A">
      <w:pPr>
        <w:jc w:val="both"/>
        <w:rPr>
          <w:rFonts w:ascii="Arial" w:hAnsi="Arial" w:cs="Arial"/>
          <w:sz w:val="24"/>
          <w:szCs w:val="24"/>
          <w:u w:val="single"/>
          <w:lang w:val="en-US"/>
        </w:rPr>
      </w:pPr>
      <w:r w:rsidRPr="000C71B7">
        <w:rPr>
          <w:rFonts w:ascii="Arial" w:hAnsi="Arial" w:cs="Arial"/>
          <w:sz w:val="24"/>
          <w:szCs w:val="24"/>
          <w:lang w:val="en-US"/>
        </w:rPr>
        <w:t xml:space="preserve">NPEI notes that </w:t>
      </w:r>
      <w:r w:rsidR="0041272D" w:rsidRPr="000C71B7">
        <w:rPr>
          <w:rFonts w:ascii="Arial" w:hAnsi="Arial" w:cs="Arial"/>
          <w:sz w:val="24"/>
          <w:szCs w:val="24"/>
          <w:lang w:val="en-US"/>
        </w:rPr>
        <w:t>GPI’s 2017 Embedded Distributor Network and Connection Service Charge rates are correctly reflected on Sheet 12.RTSR – Historical Wholesale of NPEI’s 2019 IRM Rate Generator Model and that the correction of the omission on Sheet 11 will have no impact on NPEI’s proposed RTSRs.</w:t>
      </w:r>
      <w:r w:rsidR="00701FC4" w:rsidRPr="000C71B7">
        <w:rPr>
          <w:rFonts w:ascii="Arial" w:hAnsi="Arial" w:cs="Arial"/>
          <w:sz w:val="24"/>
          <w:szCs w:val="24"/>
          <w:u w:val="single"/>
          <w:lang w:val="en-US"/>
        </w:rPr>
        <w:br w:type="page"/>
      </w:r>
    </w:p>
    <w:p w:rsidR="00A41C6F" w:rsidRPr="000C71B7" w:rsidRDefault="00A41C6F" w:rsidP="00646D2A">
      <w:pPr>
        <w:tabs>
          <w:tab w:val="left" w:pos="360"/>
        </w:tabs>
        <w:autoSpaceDE w:val="0"/>
        <w:autoSpaceDN w:val="0"/>
        <w:spacing w:after="0"/>
        <w:jc w:val="both"/>
        <w:rPr>
          <w:rFonts w:ascii="Arial" w:hAnsi="Arial" w:cs="Arial"/>
          <w:b/>
          <w:sz w:val="24"/>
          <w:szCs w:val="24"/>
          <w:lang w:val="en-US"/>
        </w:rPr>
      </w:pPr>
      <w:r w:rsidRPr="000C71B7">
        <w:rPr>
          <w:rFonts w:ascii="Arial" w:hAnsi="Arial" w:cs="Arial"/>
          <w:b/>
          <w:sz w:val="24"/>
          <w:szCs w:val="24"/>
          <w:lang w:val="en-US"/>
        </w:rPr>
        <w:lastRenderedPageBreak/>
        <w:t>Staf</w:t>
      </w:r>
      <w:r w:rsidR="005F41E7" w:rsidRPr="000C71B7">
        <w:rPr>
          <w:rFonts w:ascii="Arial" w:hAnsi="Arial" w:cs="Arial"/>
          <w:b/>
          <w:sz w:val="24"/>
          <w:szCs w:val="24"/>
          <w:lang w:val="en-US"/>
        </w:rPr>
        <w:t>f Question #2</w:t>
      </w:r>
    </w:p>
    <w:p w:rsidR="00701FC4" w:rsidRPr="000C71B7" w:rsidRDefault="00701FC4" w:rsidP="00646D2A">
      <w:pPr>
        <w:spacing w:after="0"/>
        <w:jc w:val="both"/>
        <w:rPr>
          <w:rFonts w:ascii="Arial" w:hAnsi="Arial" w:cs="Arial"/>
          <w:b/>
          <w:sz w:val="24"/>
          <w:szCs w:val="24"/>
        </w:rPr>
      </w:pPr>
      <w:r w:rsidRPr="000C71B7">
        <w:rPr>
          <w:rFonts w:ascii="Arial" w:hAnsi="Arial" w:cs="Arial"/>
          <w:b/>
          <w:sz w:val="24"/>
          <w:szCs w:val="24"/>
        </w:rPr>
        <w:t>Ref: Tab 6.1a GA Allocation – cell D20 Total Non-RPP Class B consumption</w:t>
      </w:r>
    </w:p>
    <w:p w:rsidR="00701FC4" w:rsidRPr="000C71B7" w:rsidRDefault="00701FC4" w:rsidP="00646D2A">
      <w:pPr>
        <w:spacing w:after="0"/>
        <w:jc w:val="both"/>
        <w:rPr>
          <w:rFonts w:ascii="Arial" w:hAnsi="Arial" w:cs="Arial"/>
          <w:b/>
          <w:sz w:val="24"/>
          <w:szCs w:val="24"/>
        </w:rPr>
      </w:pPr>
      <w:r w:rsidRPr="000C71B7">
        <w:rPr>
          <w:rFonts w:ascii="Arial" w:hAnsi="Arial" w:cs="Arial"/>
          <w:b/>
          <w:sz w:val="24"/>
          <w:szCs w:val="24"/>
        </w:rPr>
        <w:t>Ref: Tab 6.2a CBR B_Allocation – cell D20 Total Class B consumption less WMP</w:t>
      </w:r>
    </w:p>
    <w:p w:rsidR="00701FC4" w:rsidRPr="000C71B7" w:rsidRDefault="00701FC4" w:rsidP="00646D2A">
      <w:pPr>
        <w:spacing w:after="0"/>
        <w:jc w:val="both"/>
        <w:rPr>
          <w:rFonts w:ascii="Arial" w:hAnsi="Arial" w:cs="Arial"/>
          <w:b/>
          <w:sz w:val="24"/>
          <w:szCs w:val="24"/>
        </w:rPr>
      </w:pPr>
    </w:p>
    <w:p w:rsidR="00701FC4" w:rsidRPr="000C71B7" w:rsidRDefault="00701FC4" w:rsidP="00646D2A">
      <w:pPr>
        <w:spacing w:after="0"/>
        <w:jc w:val="both"/>
        <w:rPr>
          <w:rFonts w:ascii="Arial" w:hAnsi="Arial" w:cs="Arial"/>
          <w:sz w:val="24"/>
          <w:szCs w:val="24"/>
        </w:rPr>
      </w:pPr>
      <w:r w:rsidRPr="000C71B7">
        <w:rPr>
          <w:rFonts w:ascii="Arial" w:hAnsi="Arial" w:cs="Arial"/>
          <w:sz w:val="24"/>
          <w:szCs w:val="24"/>
        </w:rPr>
        <w:t xml:space="preserve">OEB staff is unable to reconcile the data entered in cells D20 in Tab 6.1a and Tab 6.2a. Below is a table that staff prepared showing the “Validation of Data used in class B GA and CBR Allocations”. Staff notes a discrepancy for the 2017 consumption figure that is used in the “GA allocation” and “CBR B_Allocation” of 2019 IRM rate model as below. </w:t>
      </w:r>
    </w:p>
    <w:p w:rsidR="00701FC4" w:rsidRPr="000C71B7" w:rsidRDefault="00701FC4" w:rsidP="00646D2A">
      <w:pPr>
        <w:spacing w:after="0"/>
        <w:jc w:val="both"/>
        <w:rPr>
          <w:rFonts w:ascii="Arial" w:hAnsi="Arial" w:cs="Arial"/>
          <w:sz w:val="24"/>
          <w:szCs w:val="24"/>
        </w:rPr>
      </w:pPr>
    </w:p>
    <w:p w:rsidR="00701FC4" w:rsidRPr="000C71B7" w:rsidRDefault="004D3930" w:rsidP="00646D2A">
      <w:pPr>
        <w:spacing w:after="0"/>
        <w:jc w:val="both"/>
        <w:rPr>
          <w:rFonts w:ascii="Arial" w:hAnsi="Arial" w:cs="Arial"/>
          <w:sz w:val="24"/>
          <w:szCs w:val="24"/>
        </w:rPr>
      </w:pPr>
      <w:r w:rsidRPr="000C71B7">
        <w:rPr>
          <w:rFonts w:ascii="Arial" w:hAnsi="Arial" w:cs="Arial"/>
          <w:noProof/>
          <w:lang w:val="en-US"/>
        </w:rPr>
        <w:drawing>
          <wp:inline distT="0" distB="0" distL="0" distR="0" wp14:anchorId="0BD0A0FA" wp14:editId="765C1CE3">
            <wp:extent cx="5943600" cy="1288415"/>
            <wp:effectExtent l="19050" t="19050" r="19050" b="260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1288415"/>
                    </a:xfrm>
                    <a:prstGeom prst="rect">
                      <a:avLst/>
                    </a:prstGeom>
                    <a:ln>
                      <a:solidFill>
                        <a:sysClr val="windowText" lastClr="000000"/>
                      </a:solidFill>
                    </a:ln>
                  </pic:spPr>
                </pic:pic>
              </a:graphicData>
            </a:graphic>
          </wp:inline>
        </w:drawing>
      </w:r>
    </w:p>
    <w:p w:rsidR="00701FC4" w:rsidRPr="000C71B7" w:rsidRDefault="00701FC4" w:rsidP="00646D2A">
      <w:pPr>
        <w:spacing w:after="0"/>
        <w:jc w:val="both"/>
        <w:rPr>
          <w:rFonts w:ascii="Arial" w:hAnsi="Arial" w:cs="Arial"/>
          <w:b/>
          <w:sz w:val="24"/>
          <w:szCs w:val="24"/>
        </w:rPr>
      </w:pPr>
    </w:p>
    <w:p w:rsidR="00701FC4" w:rsidRPr="000C71B7" w:rsidRDefault="00701FC4" w:rsidP="00646D2A">
      <w:pPr>
        <w:spacing w:after="0"/>
        <w:jc w:val="both"/>
        <w:rPr>
          <w:rFonts w:ascii="Arial" w:hAnsi="Arial" w:cs="Arial"/>
          <w:b/>
          <w:sz w:val="24"/>
          <w:szCs w:val="24"/>
        </w:rPr>
      </w:pPr>
    </w:p>
    <w:p w:rsidR="00701FC4" w:rsidRPr="000C71B7" w:rsidRDefault="004D3930" w:rsidP="00646D2A">
      <w:pPr>
        <w:spacing w:after="0"/>
        <w:jc w:val="both"/>
        <w:rPr>
          <w:rFonts w:ascii="Arial" w:hAnsi="Arial" w:cs="Arial"/>
          <w:b/>
          <w:sz w:val="24"/>
          <w:szCs w:val="24"/>
        </w:rPr>
      </w:pPr>
      <w:r w:rsidRPr="000C71B7">
        <w:rPr>
          <w:rFonts w:ascii="Arial" w:hAnsi="Arial" w:cs="Arial"/>
          <w:noProof/>
          <w:lang w:val="en-US"/>
        </w:rPr>
        <w:drawing>
          <wp:inline distT="0" distB="0" distL="0" distR="0" wp14:anchorId="6DDCD91E" wp14:editId="0DCC89BA">
            <wp:extent cx="5943600" cy="1183005"/>
            <wp:effectExtent l="19050" t="19050" r="19050" b="171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183005"/>
                    </a:xfrm>
                    <a:prstGeom prst="rect">
                      <a:avLst/>
                    </a:prstGeom>
                    <a:ln>
                      <a:solidFill>
                        <a:sysClr val="windowText" lastClr="000000"/>
                      </a:solidFill>
                    </a:ln>
                  </pic:spPr>
                </pic:pic>
              </a:graphicData>
            </a:graphic>
          </wp:inline>
        </w:drawing>
      </w:r>
    </w:p>
    <w:p w:rsidR="00701FC4" w:rsidRPr="000C71B7" w:rsidRDefault="00701FC4" w:rsidP="00646D2A">
      <w:pPr>
        <w:spacing w:after="0"/>
        <w:jc w:val="both"/>
        <w:rPr>
          <w:rFonts w:ascii="Arial" w:hAnsi="Arial" w:cs="Arial"/>
          <w:b/>
          <w:sz w:val="24"/>
          <w:szCs w:val="24"/>
        </w:rPr>
      </w:pPr>
    </w:p>
    <w:p w:rsidR="00701FC4" w:rsidRPr="000C71B7" w:rsidRDefault="00701FC4" w:rsidP="00646D2A">
      <w:pPr>
        <w:spacing w:after="0"/>
        <w:jc w:val="both"/>
        <w:rPr>
          <w:rFonts w:ascii="Arial" w:hAnsi="Arial" w:cs="Arial"/>
          <w:b/>
          <w:sz w:val="24"/>
          <w:szCs w:val="24"/>
        </w:rPr>
      </w:pPr>
    </w:p>
    <w:p w:rsidR="00701FC4" w:rsidRPr="000C71B7" w:rsidRDefault="004D3930" w:rsidP="00646D2A">
      <w:pPr>
        <w:spacing w:after="0"/>
        <w:jc w:val="both"/>
        <w:rPr>
          <w:rFonts w:ascii="Arial" w:hAnsi="Arial" w:cs="Arial"/>
          <w:b/>
          <w:sz w:val="24"/>
          <w:szCs w:val="24"/>
        </w:rPr>
      </w:pPr>
      <w:r w:rsidRPr="000C71B7">
        <w:rPr>
          <w:rFonts w:ascii="Arial" w:hAnsi="Arial" w:cs="Arial"/>
          <w:noProof/>
          <w:lang w:val="en-US"/>
        </w:rPr>
        <w:lastRenderedPageBreak/>
        <w:drawing>
          <wp:inline distT="0" distB="0" distL="0" distR="0">
            <wp:extent cx="5943600" cy="3120923"/>
            <wp:effectExtent l="19050" t="19050" r="19050" b="2286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120923"/>
                    </a:xfrm>
                    <a:prstGeom prst="rect">
                      <a:avLst/>
                    </a:prstGeom>
                    <a:noFill/>
                    <a:ln>
                      <a:solidFill>
                        <a:sysClr val="windowText" lastClr="000000"/>
                      </a:solidFill>
                    </a:ln>
                  </pic:spPr>
                </pic:pic>
              </a:graphicData>
            </a:graphic>
          </wp:inline>
        </w:drawing>
      </w:r>
    </w:p>
    <w:p w:rsidR="00701FC4" w:rsidRPr="000C71B7" w:rsidRDefault="00701FC4" w:rsidP="00646D2A">
      <w:pPr>
        <w:spacing w:after="0"/>
        <w:jc w:val="both"/>
        <w:rPr>
          <w:rFonts w:ascii="Arial" w:hAnsi="Arial" w:cs="Arial"/>
          <w:b/>
          <w:sz w:val="24"/>
          <w:szCs w:val="24"/>
        </w:rPr>
      </w:pPr>
    </w:p>
    <w:p w:rsidR="00701FC4" w:rsidRPr="000C71B7" w:rsidRDefault="00701FC4" w:rsidP="00646D2A">
      <w:pPr>
        <w:pStyle w:val="ListParagraph"/>
        <w:numPr>
          <w:ilvl w:val="0"/>
          <w:numId w:val="23"/>
        </w:numPr>
        <w:spacing w:after="0"/>
        <w:ind w:left="540" w:hanging="540"/>
        <w:jc w:val="both"/>
        <w:rPr>
          <w:rFonts w:ascii="Arial" w:hAnsi="Arial" w:cs="Arial"/>
          <w:sz w:val="24"/>
          <w:szCs w:val="24"/>
        </w:rPr>
      </w:pPr>
      <w:r w:rsidRPr="000C71B7">
        <w:rPr>
          <w:rFonts w:ascii="Arial" w:hAnsi="Arial" w:cs="Arial"/>
          <w:sz w:val="24"/>
          <w:szCs w:val="24"/>
        </w:rPr>
        <w:t>Please provide an explanation for the discrepancies.</w:t>
      </w:r>
    </w:p>
    <w:p w:rsidR="00701FC4" w:rsidRPr="000C71B7" w:rsidRDefault="00701FC4" w:rsidP="00646D2A">
      <w:pPr>
        <w:pStyle w:val="ListParagraph"/>
        <w:numPr>
          <w:ilvl w:val="0"/>
          <w:numId w:val="23"/>
        </w:numPr>
        <w:spacing w:after="0"/>
        <w:ind w:left="540" w:hanging="540"/>
        <w:jc w:val="both"/>
        <w:rPr>
          <w:rFonts w:ascii="Arial" w:hAnsi="Arial" w:cs="Arial"/>
          <w:b/>
          <w:sz w:val="24"/>
          <w:szCs w:val="24"/>
        </w:rPr>
      </w:pPr>
      <w:r w:rsidRPr="000C71B7">
        <w:rPr>
          <w:rFonts w:ascii="Arial" w:hAnsi="Arial" w:cs="Arial"/>
          <w:sz w:val="24"/>
          <w:szCs w:val="24"/>
        </w:rPr>
        <w:t>Please update the model accordingly if applicable.</w:t>
      </w:r>
    </w:p>
    <w:p w:rsidR="004D3930" w:rsidRPr="000C71B7" w:rsidRDefault="00701FC4" w:rsidP="00646D2A">
      <w:pPr>
        <w:pStyle w:val="ListParagraph"/>
        <w:spacing w:after="0"/>
        <w:ind w:left="540"/>
        <w:jc w:val="both"/>
        <w:rPr>
          <w:rFonts w:ascii="Arial" w:hAnsi="Arial" w:cs="Arial"/>
          <w:b/>
          <w:sz w:val="24"/>
          <w:szCs w:val="24"/>
        </w:rPr>
      </w:pPr>
      <w:r w:rsidRPr="000C71B7">
        <w:rPr>
          <w:rFonts w:ascii="Arial" w:hAnsi="Arial" w:cs="Arial"/>
          <w:b/>
          <w:sz w:val="24"/>
          <w:szCs w:val="24"/>
        </w:rPr>
        <w:t xml:space="preserve"> </w:t>
      </w:r>
    </w:p>
    <w:p w:rsidR="0085409B" w:rsidRPr="000C71B7" w:rsidRDefault="0085409B" w:rsidP="00646D2A">
      <w:pPr>
        <w:tabs>
          <w:tab w:val="left" w:pos="360"/>
        </w:tabs>
        <w:autoSpaceDE w:val="0"/>
        <w:autoSpaceDN w:val="0"/>
        <w:spacing w:after="0"/>
        <w:jc w:val="both"/>
        <w:rPr>
          <w:rFonts w:ascii="Arial" w:hAnsi="Arial" w:cs="Arial"/>
          <w:sz w:val="24"/>
          <w:szCs w:val="24"/>
          <w:u w:val="single"/>
          <w:lang w:val="en-US"/>
        </w:rPr>
      </w:pPr>
      <w:r w:rsidRPr="000C71B7">
        <w:rPr>
          <w:rFonts w:ascii="Arial" w:hAnsi="Arial" w:cs="Arial"/>
          <w:sz w:val="24"/>
          <w:szCs w:val="24"/>
          <w:u w:val="single"/>
          <w:lang w:val="en-US"/>
        </w:rPr>
        <w:t>Response</w:t>
      </w:r>
    </w:p>
    <w:p w:rsidR="0085409B" w:rsidRPr="000C71B7" w:rsidRDefault="0086261E" w:rsidP="00646D2A">
      <w:pPr>
        <w:pStyle w:val="ListParagraph"/>
        <w:numPr>
          <w:ilvl w:val="0"/>
          <w:numId w:val="31"/>
        </w:numPr>
        <w:tabs>
          <w:tab w:val="left" w:pos="360"/>
        </w:tabs>
        <w:autoSpaceDE w:val="0"/>
        <w:autoSpaceDN w:val="0"/>
        <w:spacing w:after="0"/>
        <w:jc w:val="both"/>
        <w:rPr>
          <w:rFonts w:ascii="Arial" w:hAnsi="Arial" w:cs="Arial"/>
          <w:sz w:val="24"/>
          <w:szCs w:val="24"/>
          <w:lang w:val="en-US"/>
        </w:rPr>
      </w:pPr>
      <w:r w:rsidRPr="000C71B7">
        <w:rPr>
          <w:rFonts w:ascii="Arial" w:hAnsi="Arial" w:cs="Arial"/>
          <w:sz w:val="24"/>
          <w:szCs w:val="24"/>
          <w:lang w:val="en-US"/>
        </w:rPr>
        <w:t>In preparing its application, NPEI requested Board Staff to make several revisions to the billing determinants on Sheet 4.Billing Det. For Def-Var of the</w:t>
      </w:r>
      <w:r w:rsidR="0085409B" w:rsidRPr="000C71B7">
        <w:rPr>
          <w:rFonts w:ascii="Arial" w:hAnsi="Arial" w:cs="Arial"/>
          <w:sz w:val="24"/>
          <w:szCs w:val="24"/>
          <w:lang w:val="en-US"/>
        </w:rPr>
        <w:t xml:space="preserve"> 2019 IRM Rate Generator Model, </w:t>
      </w:r>
      <w:r w:rsidRPr="000C71B7">
        <w:rPr>
          <w:rFonts w:ascii="Arial" w:hAnsi="Arial" w:cs="Arial"/>
          <w:sz w:val="24"/>
          <w:szCs w:val="24"/>
          <w:lang w:val="en-US"/>
        </w:rPr>
        <w:t>relating to Wholesale Market Participation consumption. Subsequent to these revisions, t</w:t>
      </w:r>
      <w:r w:rsidR="0085409B" w:rsidRPr="000C71B7">
        <w:rPr>
          <w:rFonts w:ascii="Arial" w:hAnsi="Arial" w:cs="Arial"/>
          <w:sz w:val="24"/>
          <w:szCs w:val="24"/>
          <w:lang w:val="en-US"/>
        </w:rPr>
        <w:t>he</w:t>
      </w:r>
      <w:r w:rsidRPr="000C71B7">
        <w:rPr>
          <w:rFonts w:ascii="Arial" w:hAnsi="Arial" w:cs="Arial"/>
          <w:sz w:val="24"/>
          <w:szCs w:val="24"/>
          <w:lang w:val="en-US"/>
        </w:rPr>
        <w:t>re were</w:t>
      </w:r>
      <w:r w:rsidR="00E05D94" w:rsidRPr="000C71B7">
        <w:rPr>
          <w:rFonts w:ascii="Arial" w:hAnsi="Arial" w:cs="Arial"/>
          <w:sz w:val="24"/>
          <w:szCs w:val="24"/>
          <w:lang w:val="en-US"/>
        </w:rPr>
        <w:t xml:space="preserve"> </w:t>
      </w:r>
      <w:r w:rsidRPr="000C71B7">
        <w:rPr>
          <w:rFonts w:ascii="Arial" w:hAnsi="Arial" w:cs="Arial"/>
          <w:sz w:val="24"/>
          <w:szCs w:val="24"/>
          <w:lang w:val="en-US"/>
        </w:rPr>
        <w:t xml:space="preserve">references in </w:t>
      </w:r>
      <w:r w:rsidR="00E05D94" w:rsidRPr="000C71B7">
        <w:rPr>
          <w:rFonts w:ascii="Arial" w:hAnsi="Arial" w:cs="Arial"/>
          <w:sz w:val="24"/>
          <w:szCs w:val="24"/>
          <w:lang w:val="en-US"/>
        </w:rPr>
        <w:t xml:space="preserve">the </w:t>
      </w:r>
      <w:r w:rsidR="0085409B" w:rsidRPr="000C71B7">
        <w:rPr>
          <w:rFonts w:ascii="Arial" w:hAnsi="Arial" w:cs="Arial"/>
          <w:sz w:val="24"/>
          <w:szCs w:val="24"/>
          <w:lang w:val="en-US"/>
        </w:rPr>
        <w:t>formulas on Sheets 6.1a GA Allocation and 6.2a CBR Allocation</w:t>
      </w:r>
      <w:r w:rsidRPr="000C71B7">
        <w:rPr>
          <w:rFonts w:ascii="Arial" w:hAnsi="Arial" w:cs="Arial"/>
          <w:sz w:val="24"/>
          <w:szCs w:val="24"/>
          <w:lang w:val="en-US"/>
        </w:rPr>
        <w:t xml:space="preserve">, which </w:t>
      </w:r>
      <w:r w:rsidR="00DB25D3" w:rsidRPr="000C71B7">
        <w:rPr>
          <w:rFonts w:ascii="Arial" w:hAnsi="Arial" w:cs="Arial"/>
          <w:sz w:val="24"/>
          <w:szCs w:val="24"/>
          <w:lang w:val="en-US"/>
        </w:rPr>
        <w:t xml:space="preserve">NPEI </w:t>
      </w:r>
      <w:r w:rsidRPr="000C71B7">
        <w:rPr>
          <w:rFonts w:ascii="Arial" w:hAnsi="Arial" w:cs="Arial"/>
          <w:sz w:val="24"/>
          <w:szCs w:val="24"/>
          <w:lang w:val="en-US"/>
        </w:rPr>
        <w:t>s</w:t>
      </w:r>
      <w:r w:rsidR="009A5717" w:rsidRPr="000C71B7">
        <w:rPr>
          <w:rFonts w:ascii="Arial" w:hAnsi="Arial" w:cs="Arial"/>
          <w:sz w:val="24"/>
          <w:szCs w:val="24"/>
          <w:lang w:val="en-US"/>
        </w:rPr>
        <w:t>hould have</w:t>
      </w:r>
      <w:r w:rsidRPr="000C71B7">
        <w:rPr>
          <w:rFonts w:ascii="Arial" w:hAnsi="Arial" w:cs="Arial"/>
          <w:sz w:val="24"/>
          <w:szCs w:val="24"/>
          <w:lang w:val="en-US"/>
        </w:rPr>
        <w:t xml:space="preserve"> updated </w:t>
      </w:r>
      <w:r w:rsidR="00DB25D3" w:rsidRPr="000C71B7">
        <w:rPr>
          <w:rFonts w:ascii="Arial" w:hAnsi="Arial" w:cs="Arial"/>
          <w:sz w:val="24"/>
          <w:szCs w:val="24"/>
          <w:lang w:val="en-US"/>
        </w:rPr>
        <w:t>but did not</w:t>
      </w:r>
      <w:r w:rsidR="00E05D94" w:rsidRPr="000C71B7">
        <w:rPr>
          <w:rFonts w:ascii="Arial" w:hAnsi="Arial" w:cs="Arial"/>
          <w:sz w:val="24"/>
          <w:szCs w:val="24"/>
          <w:lang w:val="en-US"/>
        </w:rPr>
        <w:t>. NPEI agrees with the data presented in the table above.</w:t>
      </w:r>
    </w:p>
    <w:p w:rsidR="00E05D94" w:rsidRPr="000C71B7" w:rsidRDefault="00E05D94" w:rsidP="00646D2A">
      <w:pPr>
        <w:pStyle w:val="ListParagraph"/>
        <w:numPr>
          <w:ilvl w:val="0"/>
          <w:numId w:val="31"/>
        </w:numPr>
        <w:tabs>
          <w:tab w:val="left" w:pos="360"/>
        </w:tabs>
        <w:autoSpaceDE w:val="0"/>
        <w:autoSpaceDN w:val="0"/>
        <w:spacing w:after="0"/>
        <w:jc w:val="both"/>
        <w:rPr>
          <w:rFonts w:ascii="Arial" w:hAnsi="Arial" w:cs="Arial"/>
          <w:sz w:val="24"/>
          <w:szCs w:val="24"/>
          <w:lang w:val="en-US"/>
        </w:rPr>
      </w:pPr>
      <w:r w:rsidRPr="000C71B7">
        <w:rPr>
          <w:rFonts w:ascii="Arial" w:hAnsi="Arial" w:cs="Arial"/>
          <w:sz w:val="24"/>
          <w:szCs w:val="24"/>
          <w:lang w:val="en-US"/>
        </w:rPr>
        <w:t>NPEI has updated Sheets 6.1a of the 2019 IRM Rate Generator Model</w:t>
      </w:r>
      <w:r w:rsidR="00DB25D3" w:rsidRPr="000C71B7">
        <w:rPr>
          <w:rFonts w:ascii="Arial" w:hAnsi="Arial" w:cs="Arial"/>
          <w:sz w:val="24"/>
          <w:szCs w:val="24"/>
          <w:lang w:val="en-US"/>
        </w:rPr>
        <w:t xml:space="preserve"> to agree with the consumption included in the table above.</w:t>
      </w:r>
      <w:r w:rsidRPr="000C71B7">
        <w:rPr>
          <w:rFonts w:ascii="Arial" w:hAnsi="Arial" w:cs="Arial"/>
          <w:sz w:val="24"/>
          <w:szCs w:val="24"/>
          <w:lang w:val="en-US"/>
        </w:rPr>
        <w:t xml:space="preserve"> NPEI has not updated Sheet 6.2a of the model, since these values have been subsequently zeroed out (see Question #3 below).</w:t>
      </w:r>
    </w:p>
    <w:p w:rsidR="000C71B7" w:rsidRPr="000C71B7" w:rsidRDefault="000C71B7" w:rsidP="00646D2A">
      <w:pPr>
        <w:tabs>
          <w:tab w:val="left" w:pos="360"/>
        </w:tabs>
        <w:autoSpaceDE w:val="0"/>
        <w:autoSpaceDN w:val="0"/>
        <w:spacing w:after="0"/>
        <w:jc w:val="both"/>
        <w:rPr>
          <w:rFonts w:ascii="Arial" w:hAnsi="Arial" w:cs="Arial"/>
          <w:b/>
          <w:sz w:val="24"/>
          <w:szCs w:val="24"/>
          <w:lang w:val="en-US"/>
        </w:rPr>
      </w:pPr>
    </w:p>
    <w:p w:rsidR="00E10197" w:rsidRPr="000C71B7" w:rsidRDefault="00E10197" w:rsidP="00646D2A">
      <w:pPr>
        <w:tabs>
          <w:tab w:val="left" w:pos="360"/>
        </w:tabs>
        <w:autoSpaceDE w:val="0"/>
        <w:autoSpaceDN w:val="0"/>
        <w:spacing w:after="0"/>
        <w:jc w:val="both"/>
        <w:rPr>
          <w:rFonts w:ascii="Arial" w:hAnsi="Arial" w:cs="Arial"/>
          <w:b/>
          <w:sz w:val="24"/>
          <w:szCs w:val="24"/>
          <w:lang w:val="en-US"/>
        </w:rPr>
      </w:pPr>
    </w:p>
    <w:p w:rsidR="005F41E7" w:rsidRPr="000C71B7" w:rsidRDefault="00701FC4" w:rsidP="00646D2A">
      <w:pPr>
        <w:tabs>
          <w:tab w:val="left" w:pos="360"/>
        </w:tabs>
        <w:autoSpaceDE w:val="0"/>
        <w:autoSpaceDN w:val="0"/>
        <w:spacing w:after="0"/>
        <w:jc w:val="both"/>
        <w:rPr>
          <w:rFonts w:ascii="Arial" w:hAnsi="Arial" w:cs="Arial"/>
          <w:b/>
          <w:sz w:val="24"/>
          <w:szCs w:val="24"/>
          <w:lang w:val="en-US"/>
        </w:rPr>
      </w:pPr>
      <w:r w:rsidRPr="000C71B7">
        <w:rPr>
          <w:rFonts w:ascii="Arial" w:hAnsi="Arial" w:cs="Arial"/>
          <w:b/>
          <w:sz w:val="24"/>
          <w:szCs w:val="24"/>
          <w:lang w:val="en-US"/>
        </w:rPr>
        <w:t>Staff Question #3</w:t>
      </w:r>
    </w:p>
    <w:p w:rsidR="00083BF0" w:rsidRPr="000C71B7" w:rsidRDefault="00627870" w:rsidP="00646D2A">
      <w:pPr>
        <w:spacing w:after="0" w:line="240" w:lineRule="auto"/>
        <w:jc w:val="both"/>
        <w:rPr>
          <w:rFonts w:ascii="Arial" w:hAnsi="Arial" w:cs="Arial"/>
          <w:b/>
          <w:sz w:val="24"/>
          <w:szCs w:val="24"/>
        </w:rPr>
      </w:pPr>
      <w:r w:rsidRPr="000C71B7">
        <w:rPr>
          <w:rFonts w:ascii="Arial" w:hAnsi="Arial" w:cs="Arial"/>
          <w:b/>
          <w:sz w:val="24"/>
          <w:szCs w:val="24"/>
        </w:rPr>
        <w:t>R</w:t>
      </w:r>
      <w:r w:rsidR="00083BF0" w:rsidRPr="000C71B7">
        <w:rPr>
          <w:rFonts w:ascii="Arial" w:hAnsi="Arial" w:cs="Arial"/>
          <w:b/>
          <w:sz w:val="24"/>
          <w:szCs w:val="24"/>
        </w:rPr>
        <w:t>ef: Rate Generator Model, Tab 6.2a CBR_B Allocation</w:t>
      </w:r>
    </w:p>
    <w:p w:rsidR="00083BF0" w:rsidRPr="000C71B7" w:rsidRDefault="00083BF0" w:rsidP="00646D2A">
      <w:pPr>
        <w:spacing w:after="0" w:line="240" w:lineRule="auto"/>
        <w:jc w:val="both"/>
        <w:rPr>
          <w:rFonts w:ascii="Arial" w:hAnsi="Arial" w:cs="Arial"/>
          <w:b/>
          <w:sz w:val="24"/>
          <w:szCs w:val="24"/>
        </w:rPr>
      </w:pPr>
    </w:p>
    <w:p w:rsidR="00083BF0" w:rsidRPr="000C71B7" w:rsidRDefault="00083BF0" w:rsidP="00646D2A">
      <w:pPr>
        <w:spacing w:after="0" w:line="240" w:lineRule="auto"/>
        <w:jc w:val="both"/>
        <w:rPr>
          <w:rFonts w:ascii="Arial" w:hAnsi="Arial" w:cs="Arial"/>
          <w:sz w:val="24"/>
          <w:szCs w:val="24"/>
        </w:rPr>
      </w:pPr>
      <w:r w:rsidRPr="000C71B7">
        <w:rPr>
          <w:rFonts w:ascii="Arial" w:hAnsi="Arial" w:cs="Arial"/>
          <w:sz w:val="24"/>
          <w:szCs w:val="24"/>
        </w:rPr>
        <w:t>OEB staff notes that N</w:t>
      </w:r>
      <w:r w:rsidR="00627870" w:rsidRPr="000C71B7">
        <w:rPr>
          <w:rFonts w:ascii="Arial" w:hAnsi="Arial" w:cs="Arial"/>
          <w:sz w:val="24"/>
          <w:szCs w:val="24"/>
        </w:rPr>
        <w:t>PEI</w:t>
      </w:r>
      <w:r w:rsidRPr="000C71B7">
        <w:rPr>
          <w:rFonts w:ascii="Arial" w:hAnsi="Arial" w:cs="Arial"/>
          <w:sz w:val="24"/>
          <w:szCs w:val="24"/>
        </w:rPr>
        <w:t xml:space="preserve">’s original filing showed immaterial amounts allocated to transition customers for CBR Class </w:t>
      </w:r>
      <w:r w:rsidR="00B37784" w:rsidRPr="000C71B7">
        <w:rPr>
          <w:rFonts w:ascii="Arial" w:hAnsi="Arial" w:cs="Arial"/>
          <w:sz w:val="24"/>
          <w:szCs w:val="24"/>
        </w:rPr>
        <w:t xml:space="preserve">B. </w:t>
      </w:r>
      <w:r w:rsidRPr="000C71B7">
        <w:rPr>
          <w:rFonts w:ascii="Arial" w:hAnsi="Arial" w:cs="Arial"/>
          <w:sz w:val="24"/>
          <w:szCs w:val="24"/>
        </w:rPr>
        <w:t xml:space="preserve">Therefore a distributor is to transfer the entire OEB-approved CBR Class B amount into the Account 1580 WMS control account to be disposed through the general purpose Group 1 DVA rate riders. OEB staff notes that the Rate Generator Model is designed to automatically do this, however cell D20 on Tab 6.2a should be zeroed out to not show the immaterial allocation. </w:t>
      </w:r>
    </w:p>
    <w:p w:rsidR="00083BF0" w:rsidRPr="000C71B7" w:rsidRDefault="00083BF0" w:rsidP="00646D2A">
      <w:pPr>
        <w:pStyle w:val="ListParagraph"/>
        <w:spacing w:after="0" w:line="240" w:lineRule="auto"/>
        <w:jc w:val="both"/>
        <w:rPr>
          <w:rFonts w:ascii="Arial" w:hAnsi="Arial" w:cs="Arial"/>
          <w:sz w:val="24"/>
          <w:szCs w:val="24"/>
        </w:rPr>
      </w:pPr>
    </w:p>
    <w:p w:rsidR="00083BF0" w:rsidRPr="000C71B7" w:rsidRDefault="00083BF0" w:rsidP="00646D2A">
      <w:pPr>
        <w:pStyle w:val="ListParagraph"/>
        <w:numPr>
          <w:ilvl w:val="0"/>
          <w:numId w:val="25"/>
        </w:numPr>
        <w:spacing w:after="0" w:line="240" w:lineRule="auto"/>
        <w:ind w:left="360"/>
        <w:jc w:val="both"/>
        <w:rPr>
          <w:rFonts w:ascii="Arial" w:hAnsi="Arial" w:cs="Arial"/>
          <w:sz w:val="24"/>
          <w:szCs w:val="24"/>
        </w:rPr>
      </w:pPr>
      <w:r w:rsidRPr="000C71B7">
        <w:rPr>
          <w:rFonts w:ascii="Arial" w:hAnsi="Arial" w:cs="Arial"/>
          <w:sz w:val="24"/>
          <w:szCs w:val="24"/>
        </w:rPr>
        <w:t>OEB staff has made this change to N</w:t>
      </w:r>
      <w:r w:rsidR="00627870" w:rsidRPr="000C71B7">
        <w:rPr>
          <w:rFonts w:ascii="Arial" w:hAnsi="Arial" w:cs="Arial"/>
          <w:sz w:val="24"/>
          <w:szCs w:val="24"/>
        </w:rPr>
        <w:t>PEI</w:t>
      </w:r>
      <w:r w:rsidRPr="000C71B7">
        <w:rPr>
          <w:rFonts w:ascii="Arial" w:hAnsi="Arial" w:cs="Arial"/>
          <w:sz w:val="24"/>
          <w:szCs w:val="24"/>
        </w:rPr>
        <w:t>’s model and has provided it along with these questions. Please confirm if N</w:t>
      </w:r>
      <w:r w:rsidR="00627870" w:rsidRPr="000C71B7">
        <w:rPr>
          <w:rFonts w:ascii="Arial" w:hAnsi="Arial" w:cs="Arial"/>
          <w:sz w:val="24"/>
          <w:szCs w:val="24"/>
        </w:rPr>
        <w:t>PEI</w:t>
      </w:r>
      <w:r w:rsidRPr="000C71B7">
        <w:rPr>
          <w:rFonts w:ascii="Arial" w:hAnsi="Arial" w:cs="Arial"/>
          <w:sz w:val="24"/>
          <w:szCs w:val="24"/>
        </w:rPr>
        <w:t xml:space="preserve"> agrees. </w:t>
      </w:r>
    </w:p>
    <w:p w:rsidR="00083BF0" w:rsidRPr="000C71B7" w:rsidRDefault="00083BF0" w:rsidP="00646D2A">
      <w:pPr>
        <w:autoSpaceDE w:val="0"/>
        <w:autoSpaceDN w:val="0"/>
        <w:adjustRightInd w:val="0"/>
        <w:spacing w:after="0" w:line="240" w:lineRule="auto"/>
        <w:jc w:val="both"/>
        <w:rPr>
          <w:rFonts w:ascii="Arial" w:hAnsi="Arial" w:cs="Arial"/>
          <w:sz w:val="24"/>
          <w:szCs w:val="24"/>
        </w:rPr>
      </w:pPr>
    </w:p>
    <w:p w:rsidR="00627870" w:rsidRPr="000C71B7" w:rsidRDefault="008F7709" w:rsidP="00646D2A">
      <w:pPr>
        <w:autoSpaceDE w:val="0"/>
        <w:autoSpaceDN w:val="0"/>
        <w:adjustRightInd w:val="0"/>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8F7709" w:rsidRPr="000C71B7" w:rsidRDefault="008F7709" w:rsidP="00646D2A">
      <w:pPr>
        <w:autoSpaceDE w:val="0"/>
        <w:autoSpaceDN w:val="0"/>
        <w:adjustRightInd w:val="0"/>
        <w:spacing w:after="0" w:line="240" w:lineRule="auto"/>
        <w:jc w:val="both"/>
        <w:rPr>
          <w:rFonts w:ascii="Arial" w:hAnsi="Arial" w:cs="Arial"/>
          <w:sz w:val="24"/>
          <w:szCs w:val="24"/>
        </w:rPr>
      </w:pPr>
      <w:r w:rsidRPr="000C71B7">
        <w:rPr>
          <w:rFonts w:ascii="Arial" w:hAnsi="Arial" w:cs="Arial"/>
          <w:sz w:val="24"/>
          <w:szCs w:val="24"/>
        </w:rPr>
        <w:t>NPEI agrees with this change.</w:t>
      </w:r>
    </w:p>
    <w:p w:rsidR="008F7709" w:rsidRPr="000C71B7" w:rsidRDefault="008F7709" w:rsidP="00646D2A">
      <w:pPr>
        <w:autoSpaceDE w:val="0"/>
        <w:autoSpaceDN w:val="0"/>
        <w:adjustRightInd w:val="0"/>
        <w:spacing w:after="0" w:line="240" w:lineRule="auto"/>
        <w:jc w:val="both"/>
        <w:rPr>
          <w:rFonts w:ascii="Arial" w:hAnsi="Arial" w:cs="Arial"/>
          <w:sz w:val="24"/>
          <w:szCs w:val="24"/>
          <w:u w:val="single"/>
        </w:rPr>
      </w:pPr>
    </w:p>
    <w:p w:rsidR="008F7709" w:rsidRPr="000C71B7" w:rsidRDefault="008F7709" w:rsidP="00646D2A">
      <w:pPr>
        <w:autoSpaceDE w:val="0"/>
        <w:autoSpaceDN w:val="0"/>
        <w:adjustRightInd w:val="0"/>
        <w:spacing w:after="0" w:line="240" w:lineRule="auto"/>
        <w:jc w:val="both"/>
        <w:rPr>
          <w:rFonts w:ascii="Arial" w:hAnsi="Arial" w:cs="Arial"/>
          <w:sz w:val="24"/>
          <w:szCs w:val="24"/>
          <w:u w:val="single"/>
        </w:rPr>
      </w:pPr>
    </w:p>
    <w:p w:rsidR="00627870" w:rsidRPr="000C71B7" w:rsidRDefault="00627870" w:rsidP="00646D2A">
      <w:pPr>
        <w:autoSpaceDE w:val="0"/>
        <w:autoSpaceDN w:val="0"/>
        <w:adjustRightInd w:val="0"/>
        <w:spacing w:after="0" w:line="240" w:lineRule="auto"/>
        <w:jc w:val="both"/>
        <w:rPr>
          <w:rFonts w:ascii="Arial" w:hAnsi="Arial" w:cs="Arial"/>
          <w:b/>
          <w:sz w:val="24"/>
          <w:szCs w:val="24"/>
        </w:rPr>
      </w:pPr>
      <w:r w:rsidRPr="000C71B7">
        <w:rPr>
          <w:rFonts w:ascii="Arial" w:hAnsi="Arial" w:cs="Arial"/>
          <w:b/>
          <w:sz w:val="24"/>
          <w:szCs w:val="24"/>
        </w:rPr>
        <w:t>Staff Question #4</w:t>
      </w:r>
    </w:p>
    <w:p w:rsidR="00627870" w:rsidRPr="000C71B7" w:rsidRDefault="00627870" w:rsidP="00646D2A">
      <w:pPr>
        <w:jc w:val="both"/>
        <w:rPr>
          <w:rFonts w:ascii="Arial" w:hAnsi="Arial" w:cs="Arial"/>
          <w:sz w:val="24"/>
          <w:szCs w:val="24"/>
        </w:rPr>
      </w:pPr>
      <w:r w:rsidRPr="000C71B7">
        <w:rPr>
          <w:rFonts w:ascii="Arial" w:hAnsi="Arial" w:cs="Arial"/>
          <w:b/>
          <w:sz w:val="24"/>
          <w:szCs w:val="24"/>
        </w:rPr>
        <w:t>Ref: 2019 Rate Generator Model Tab 3; 2018 Rate Generator Model Tab 3 (EB-2017-0063)</w:t>
      </w:r>
    </w:p>
    <w:p w:rsidR="00627870" w:rsidRPr="000C71B7" w:rsidRDefault="00627870" w:rsidP="00646D2A">
      <w:pPr>
        <w:jc w:val="both"/>
        <w:rPr>
          <w:rFonts w:ascii="Arial" w:hAnsi="Arial" w:cs="Arial"/>
          <w:sz w:val="24"/>
          <w:szCs w:val="24"/>
        </w:rPr>
      </w:pPr>
      <w:r w:rsidRPr="000C71B7">
        <w:rPr>
          <w:rFonts w:ascii="Arial" w:hAnsi="Arial" w:cs="Arial"/>
          <w:sz w:val="24"/>
          <w:szCs w:val="24"/>
        </w:rPr>
        <w:t>OEB staff notes that the Closing Principal Balances as of December 31, 2016 (in the current application) do not reconcile with the OEB-approved closing Principal Amounts as of December 31, 2016 (from EB-2017-0063) in Account 1588. Specifically the following discrepancies are noted:</w:t>
      </w:r>
    </w:p>
    <w:tbl>
      <w:tblPr>
        <w:tblStyle w:val="TableGrid"/>
        <w:tblW w:w="0" w:type="auto"/>
        <w:tblLook w:val="04A0" w:firstRow="1" w:lastRow="0" w:firstColumn="1" w:lastColumn="0" w:noHBand="0" w:noVBand="1"/>
      </w:tblPr>
      <w:tblGrid>
        <w:gridCol w:w="2337"/>
        <w:gridCol w:w="2337"/>
        <w:gridCol w:w="2338"/>
        <w:gridCol w:w="2338"/>
      </w:tblGrid>
      <w:tr w:rsidR="00627870" w:rsidRPr="000C71B7" w:rsidTr="00B42B74">
        <w:tc>
          <w:tcPr>
            <w:tcW w:w="2337" w:type="dxa"/>
          </w:tcPr>
          <w:p w:rsidR="00627870" w:rsidRPr="000C71B7" w:rsidRDefault="00627870" w:rsidP="00646D2A">
            <w:pPr>
              <w:jc w:val="both"/>
              <w:rPr>
                <w:rFonts w:ascii="Arial" w:hAnsi="Arial" w:cs="Arial"/>
                <w:sz w:val="24"/>
                <w:szCs w:val="24"/>
              </w:rPr>
            </w:pPr>
          </w:p>
        </w:tc>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Current Application</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EB-2017-0063</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Difference</w:t>
            </w:r>
          </w:p>
        </w:tc>
      </w:tr>
      <w:tr w:rsidR="00627870" w:rsidRPr="000C71B7" w:rsidTr="00B42B74">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 xml:space="preserve"> Transactions Debit/(Credit) during 2016</w:t>
            </w:r>
          </w:p>
        </w:tc>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($588,623)</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($363,759)</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($224,864)</w:t>
            </w:r>
          </w:p>
        </w:tc>
      </w:tr>
      <w:tr w:rsidR="00627870" w:rsidRPr="000C71B7" w:rsidTr="00B42B74">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Principal Adjustments During 2016</w:t>
            </w:r>
          </w:p>
        </w:tc>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Nil</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($55,378)</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$55,378</w:t>
            </w:r>
          </w:p>
        </w:tc>
      </w:tr>
      <w:tr w:rsidR="00627870" w:rsidRPr="000C71B7" w:rsidTr="00B42B74">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Closing Principal Balance as of Dec 31, 2016</w:t>
            </w:r>
          </w:p>
        </w:tc>
        <w:tc>
          <w:tcPr>
            <w:tcW w:w="2337"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($3,320,224)</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($3,150,738)</w:t>
            </w:r>
          </w:p>
        </w:tc>
        <w:tc>
          <w:tcPr>
            <w:tcW w:w="2338" w:type="dxa"/>
          </w:tcPr>
          <w:p w:rsidR="00627870" w:rsidRPr="000C71B7" w:rsidRDefault="00627870" w:rsidP="00646D2A">
            <w:pPr>
              <w:jc w:val="both"/>
              <w:rPr>
                <w:rFonts w:ascii="Arial" w:hAnsi="Arial" w:cs="Arial"/>
                <w:sz w:val="24"/>
                <w:szCs w:val="24"/>
              </w:rPr>
            </w:pPr>
            <w:r w:rsidRPr="000C71B7">
              <w:rPr>
                <w:rFonts w:ascii="Arial" w:hAnsi="Arial" w:cs="Arial"/>
                <w:sz w:val="24"/>
                <w:szCs w:val="24"/>
              </w:rPr>
              <w:t>($169,486)</w:t>
            </w:r>
          </w:p>
        </w:tc>
      </w:tr>
    </w:tbl>
    <w:p w:rsidR="00627870" w:rsidRPr="000C71B7" w:rsidRDefault="00627870" w:rsidP="00646D2A">
      <w:pPr>
        <w:jc w:val="both"/>
        <w:rPr>
          <w:rFonts w:ascii="Arial" w:hAnsi="Arial" w:cs="Arial"/>
          <w:sz w:val="24"/>
          <w:szCs w:val="24"/>
        </w:rPr>
      </w:pPr>
    </w:p>
    <w:p w:rsidR="00627870" w:rsidRPr="000C71B7" w:rsidRDefault="00627870" w:rsidP="00646D2A">
      <w:pPr>
        <w:jc w:val="both"/>
        <w:rPr>
          <w:rFonts w:ascii="Arial" w:hAnsi="Arial" w:cs="Arial"/>
          <w:sz w:val="24"/>
          <w:szCs w:val="24"/>
        </w:rPr>
      </w:pPr>
      <w:r w:rsidRPr="000C71B7">
        <w:rPr>
          <w:rFonts w:ascii="Arial" w:hAnsi="Arial" w:cs="Arial"/>
          <w:sz w:val="24"/>
          <w:szCs w:val="24"/>
        </w:rPr>
        <w:t>OEB staff further notes that the difference pertains to an amount of $169,486 for an RPP Settlement Claim recorded in the 2017 general ledger, which pertained to 2016 transactions.</w:t>
      </w:r>
    </w:p>
    <w:p w:rsidR="00627870" w:rsidRPr="000C71B7" w:rsidRDefault="00627870" w:rsidP="00646D2A">
      <w:pPr>
        <w:pStyle w:val="ListParagraph"/>
        <w:numPr>
          <w:ilvl w:val="0"/>
          <w:numId w:val="26"/>
        </w:numPr>
        <w:spacing w:after="160" w:line="259" w:lineRule="auto"/>
        <w:jc w:val="both"/>
        <w:rPr>
          <w:rFonts w:ascii="Arial" w:hAnsi="Arial" w:cs="Arial"/>
          <w:sz w:val="24"/>
          <w:szCs w:val="24"/>
        </w:rPr>
      </w:pPr>
      <w:r w:rsidRPr="000C71B7">
        <w:rPr>
          <w:rFonts w:ascii="Arial" w:hAnsi="Arial" w:cs="Arial"/>
          <w:sz w:val="24"/>
          <w:szCs w:val="24"/>
        </w:rPr>
        <w:t>Please confirm that the Applicant agrees that the 2016 figures require adjustment. If so, please adjust the 2016 principal transactions, principal adjustments, and closing December 31, 2016 principal balances to match the OEB-approved amounts presented in EB-2017-0063. If not, please explain the Applicant’s position.</w:t>
      </w:r>
    </w:p>
    <w:p w:rsidR="00627870" w:rsidRPr="000C71B7" w:rsidRDefault="00627870" w:rsidP="00646D2A">
      <w:pPr>
        <w:pStyle w:val="ListParagraph"/>
        <w:numPr>
          <w:ilvl w:val="0"/>
          <w:numId w:val="26"/>
        </w:numPr>
        <w:spacing w:after="160" w:line="259" w:lineRule="auto"/>
        <w:jc w:val="both"/>
        <w:rPr>
          <w:rFonts w:ascii="Arial" w:hAnsi="Arial" w:cs="Arial"/>
          <w:sz w:val="24"/>
          <w:szCs w:val="24"/>
        </w:rPr>
      </w:pPr>
      <w:r w:rsidRPr="000C71B7">
        <w:rPr>
          <w:rFonts w:ascii="Arial" w:hAnsi="Arial" w:cs="Arial"/>
          <w:sz w:val="24"/>
          <w:szCs w:val="24"/>
        </w:rPr>
        <w:t>Please confirm that the 2017 transactions (Column BD) include the $169,486 charge type 1142 from 2016, as referenced above.</w:t>
      </w:r>
    </w:p>
    <w:p w:rsidR="00627870" w:rsidRPr="000C71B7" w:rsidRDefault="00627870" w:rsidP="00646D2A">
      <w:pPr>
        <w:pStyle w:val="ListParagraph"/>
        <w:numPr>
          <w:ilvl w:val="0"/>
          <w:numId w:val="26"/>
        </w:numPr>
        <w:spacing w:after="160" w:line="259" w:lineRule="auto"/>
        <w:jc w:val="both"/>
        <w:rPr>
          <w:rFonts w:ascii="Arial" w:hAnsi="Arial" w:cs="Arial"/>
          <w:sz w:val="24"/>
          <w:szCs w:val="24"/>
        </w:rPr>
      </w:pPr>
      <w:r w:rsidRPr="000C71B7">
        <w:rPr>
          <w:rFonts w:ascii="Arial" w:hAnsi="Arial" w:cs="Arial"/>
          <w:sz w:val="24"/>
          <w:szCs w:val="24"/>
        </w:rPr>
        <w:t>If above part b) is not confirmed, and the 2017 transactions column was already manually adjusted for this amount, please update the 2017 transactions column so that it matches the total dollar amounts recorded in the Applicant’s 2017 general ledger.</w:t>
      </w:r>
    </w:p>
    <w:p w:rsidR="00627870" w:rsidRPr="000C71B7" w:rsidRDefault="00627870" w:rsidP="00646D2A">
      <w:pPr>
        <w:pStyle w:val="ListParagraph"/>
        <w:numPr>
          <w:ilvl w:val="0"/>
          <w:numId w:val="26"/>
        </w:numPr>
        <w:spacing w:after="160" w:line="259" w:lineRule="auto"/>
        <w:jc w:val="both"/>
        <w:rPr>
          <w:rFonts w:ascii="Arial" w:hAnsi="Arial" w:cs="Arial"/>
          <w:sz w:val="24"/>
          <w:szCs w:val="24"/>
        </w:rPr>
      </w:pPr>
      <w:r w:rsidRPr="000C71B7">
        <w:rPr>
          <w:rFonts w:ascii="Arial" w:hAnsi="Arial" w:cs="Arial"/>
          <w:sz w:val="24"/>
          <w:szCs w:val="24"/>
        </w:rPr>
        <w:t>Please adjust the projected carrying charges and total claim for Account 1588, if as a result of making the change requested in parts a) and/or c) above, the closing Principal Balance as of December 31, 2017 has changed.</w:t>
      </w:r>
    </w:p>
    <w:p w:rsidR="00B2041B" w:rsidRPr="000C71B7" w:rsidRDefault="00B2041B" w:rsidP="00646D2A">
      <w:pPr>
        <w:spacing w:after="0" w:line="240" w:lineRule="auto"/>
        <w:jc w:val="both"/>
        <w:rPr>
          <w:rFonts w:ascii="Arial" w:hAnsi="Arial" w:cs="Arial"/>
          <w:b/>
          <w:sz w:val="24"/>
          <w:szCs w:val="24"/>
        </w:rPr>
      </w:pPr>
    </w:p>
    <w:p w:rsidR="002C477A" w:rsidRPr="000C71B7" w:rsidRDefault="002C477A" w:rsidP="00646D2A">
      <w:pPr>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2C477A" w:rsidRPr="000C71B7" w:rsidRDefault="002C477A" w:rsidP="00646D2A">
      <w:pPr>
        <w:spacing w:after="0" w:line="240" w:lineRule="auto"/>
        <w:jc w:val="both"/>
        <w:rPr>
          <w:rFonts w:ascii="Arial" w:hAnsi="Arial" w:cs="Arial"/>
          <w:b/>
          <w:sz w:val="24"/>
          <w:szCs w:val="24"/>
        </w:rPr>
      </w:pPr>
    </w:p>
    <w:p w:rsidR="002C477A" w:rsidRPr="000C71B7" w:rsidRDefault="00FD4924" w:rsidP="00646D2A">
      <w:pPr>
        <w:pStyle w:val="ListParagraph"/>
        <w:numPr>
          <w:ilvl w:val="0"/>
          <w:numId w:val="32"/>
        </w:numPr>
        <w:spacing w:after="0" w:line="240" w:lineRule="auto"/>
        <w:jc w:val="both"/>
        <w:rPr>
          <w:rFonts w:ascii="Arial" w:hAnsi="Arial" w:cs="Arial"/>
          <w:sz w:val="24"/>
          <w:szCs w:val="24"/>
        </w:rPr>
      </w:pPr>
      <w:r w:rsidRPr="000C71B7">
        <w:rPr>
          <w:rFonts w:ascii="Arial" w:hAnsi="Arial" w:cs="Arial"/>
          <w:sz w:val="24"/>
          <w:szCs w:val="24"/>
        </w:rPr>
        <w:t>NPEI confirms that the discrepancy of $</w:t>
      </w:r>
      <w:r w:rsidR="00F57848" w:rsidRPr="000C71B7">
        <w:rPr>
          <w:rFonts w:ascii="Arial" w:hAnsi="Arial" w:cs="Arial"/>
          <w:sz w:val="24"/>
          <w:szCs w:val="24"/>
        </w:rPr>
        <w:t xml:space="preserve">169,486 in the closing 2016 balance of </w:t>
      </w:r>
      <w:r w:rsidR="006C5AD5" w:rsidRPr="000C71B7">
        <w:rPr>
          <w:rFonts w:ascii="Arial" w:hAnsi="Arial" w:cs="Arial"/>
          <w:sz w:val="24"/>
          <w:szCs w:val="24"/>
        </w:rPr>
        <w:t>Account 1588 relates to an RPP settlement claim recorded in the general ledger in 2017. This amount was approved for disposition in NPEI’s 2018 IRM Rate Application (EB-2017-0063). NPEI agrees that t</w:t>
      </w:r>
      <w:r w:rsidR="000C71B7" w:rsidRPr="000C71B7">
        <w:rPr>
          <w:rFonts w:ascii="Arial" w:hAnsi="Arial" w:cs="Arial"/>
          <w:sz w:val="24"/>
          <w:szCs w:val="24"/>
        </w:rPr>
        <w:t>his amount should be included</w:t>
      </w:r>
      <w:r w:rsidR="006C5AD5" w:rsidRPr="000C71B7">
        <w:rPr>
          <w:rFonts w:ascii="Arial" w:hAnsi="Arial" w:cs="Arial"/>
          <w:sz w:val="24"/>
          <w:szCs w:val="24"/>
        </w:rPr>
        <w:t xml:space="preserve"> as </w:t>
      </w:r>
      <w:r w:rsidR="000C71B7" w:rsidRPr="000C71B7">
        <w:rPr>
          <w:rFonts w:ascii="Arial" w:hAnsi="Arial" w:cs="Arial"/>
          <w:sz w:val="24"/>
          <w:szCs w:val="24"/>
        </w:rPr>
        <w:t xml:space="preserve">a </w:t>
      </w:r>
      <w:r w:rsidR="006C5AD5" w:rsidRPr="000C71B7">
        <w:rPr>
          <w:rFonts w:ascii="Arial" w:hAnsi="Arial" w:cs="Arial"/>
          <w:sz w:val="24"/>
          <w:szCs w:val="24"/>
        </w:rPr>
        <w:t>Principal Adjustment in 2016. NPEI has revised the DVA Continuity Schedule to include this adjustment.</w:t>
      </w:r>
    </w:p>
    <w:p w:rsidR="006C5AD5" w:rsidRPr="000C71B7" w:rsidRDefault="006C5AD5" w:rsidP="00646D2A">
      <w:pPr>
        <w:pStyle w:val="ListParagraph"/>
        <w:numPr>
          <w:ilvl w:val="0"/>
          <w:numId w:val="32"/>
        </w:numPr>
        <w:spacing w:after="0" w:line="240" w:lineRule="auto"/>
        <w:jc w:val="both"/>
        <w:rPr>
          <w:rFonts w:ascii="Arial" w:hAnsi="Arial" w:cs="Arial"/>
          <w:sz w:val="24"/>
          <w:szCs w:val="24"/>
        </w:rPr>
      </w:pPr>
      <w:r w:rsidRPr="000C71B7">
        <w:rPr>
          <w:rFonts w:ascii="Arial" w:hAnsi="Arial" w:cs="Arial"/>
          <w:sz w:val="24"/>
          <w:szCs w:val="24"/>
        </w:rPr>
        <w:t>NPEI confirms that the 2017 transactions amount in column BD includes the CT 1142 of $169,486 related to 2016 consumption.</w:t>
      </w:r>
    </w:p>
    <w:p w:rsidR="006C5AD5" w:rsidRPr="000C71B7" w:rsidRDefault="006C5AD5" w:rsidP="00646D2A">
      <w:pPr>
        <w:pStyle w:val="ListParagraph"/>
        <w:numPr>
          <w:ilvl w:val="0"/>
          <w:numId w:val="32"/>
        </w:numPr>
        <w:spacing w:after="0" w:line="240" w:lineRule="auto"/>
        <w:jc w:val="both"/>
        <w:rPr>
          <w:rFonts w:ascii="Arial" w:hAnsi="Arial" w:cs="Arial"/>
          <w:sz w:val="24"/>
          <w:szCs w:val="24"/>
        </w:rPr>
      </w:pPr>
      <w:r w:rsidRPr="000C71B7">
        <w:rPr>
          <w:rFonts w:ascii="Arial" w:hAnsi="Arial" w:cs="Arial"/>
          <w:sz w:val="24"/>
          <w:szCs w:val="24"/>
        </w:rPr>
        <w:t>Not applicable.</w:t>
      </w:r>
    </w:p>
    <w:p w:rsidR="006C5AD5" w:rsidRPr="000C71B7" w:rsidRDefault="006C5AD5" w:rsidP="00646D2A">
      <w:pPr>
        <w:pStyle w:val="ListParagraph"/>
        <w:numPr>
          <w:ilvl w:val="0"/>
          <w:numId w:val="32"/>
        </w:numPr>
        <w:spacing w:after="0" w:line="240" w:lineRule="auto"/>
        <w:jc w:val="both"/>
        <w:rPr>
          <w:rFonts w:ascii="Arial" w:hAnsi="Arial" w:cs="Arial"/>
          <w:sz w:val="24"/>
          <w:szCs w:val="24"/>
        </w:rPr>
      </w:pPr>
      <w:r w:rsidRPr="000C71B7">
        <w:rPr>
          <w:rFonts w:ascii="Arial" w:hAnsi="Arial" w:cs="Arial"/>
          <w:sz w:val="24"/>
          <w:szCs w:val="24"/>
        </w:rPr>
        <w:t>NPEI has adjusted its Rate Generator Model to reflect the adjustment made in part a).</w:t>
      </w:r>
    </w:p>
    <w:p w:rsidR="002C477A" w:rsidRPr="000C71B7" w:rsidRDefault="002C477A" w:rsidP="00646D2A">
      <w:pPr>
        <w:spacing w:after="0" w:line="240" w:lineRule="auto"/>
        <w:jc w:val="both"/>
        <w:rPr>
          <w:rFonts w:ascii="Arial" w:hAnsi="Arial" w:cs="Arial"/>
          <w:b/>
          <w:sz w:val="24"/>
          <w:szCs w:val="24"/>
        </w:rPr>
      </w:pPr>
    </w:p>
    <w:p w:rsidR="00FD4924" w:rsidRPr="000C71B7" w:rsidRDefault="00FD4924" w:rsidP="00646D2A">
      <w:pPr>
        <w:spacing w:after="0" w:line="240" w:lineRule="auto"/>
        <w:jc w:val="both"/>
        <w:rPr>
          <w:rFonts w:ascii="Arial" w:hAnsi="Arial" w:cs="Arial"/>
          <w:b/>
          <w:sz w:val="24"/>
          <w:szCs w:val="24"/>
        </w:rPr>
      </w:pPr>
    </w:p>
    <w:p w:rsidR="00627870" w:rsidRPr="000C71B7" w:rsidRDefault="00627870" w:rsidP="00646D2A">
      <w:pPr>
        <w:spacing w:after="0" w:line="240" w:lineRule="auto"/>
        <w:jc w:val="both"/>
        <w:rPr>
          <w:rFonts w:ascii="Arial" w:hAnsi="Arial" w:cs="Arial"/>
          <w:b/>
          <w:sz w:val="24"/>
          <w:szCs w:val="24"/>
        </w:rPr>
      </w:pPr>
      <w:r w:rsidRPr="000C71B7">
        <w:rPr>
          <w:rFonts w:ascii="Arial" w:hAnsi="Arial" w:cs="Arial"/>
          <w:b/>
          <w:sz w:val="24"/>
          <w:szCs w:val="24"/>
        </w:rPr>
        <w:t>Staff Question #5</w:t>
      </w:r>
    </w:p>
    <w:p w:rsidR="00627870" w:rsidRPr="000C71B7" w:rsidRDefault="00627870" w:rsidP="00646D2A">
      <w:pPr>
        <w:spacing w:after="0" w:line="240" w:lineRule="auto"/>
        <w:jc w:val="both"/>
        <w:rPr>
          <w:rFonts w:ascii="Arial" w:hAnsi="Arial" w:cs="Arial"/>
          <w:b/>
          <w:sz w:val="24"/>
          <w:szCs w:val="24"/>
        </w:rPr>
      </w:pPr>
      <w:r w:rsidRPr="000C71B7">
        <w:rPr>
          <w:rFonts w:ascii="Arial" w:hAnsi="Arial" w:cs="Arial"/>
          <w:b/>
          <w:sz w:val="24"/>
          <w:szCs w:val="24"/>
        </w:rPr>
        <w:t>Ref: 2019 Rate Generator Model Tab 3; Application Page 21 of 144; 2017 GA Analysis Workform</w:t>
      </w:r>
    </w:p>
    <w:p w:rsidR="00627870" w:rsidRPr="000C71B7" w:rsidRDefault="00627870" w:rsidP="00646D2A">
      <w:pPr>
        <w:spacing w:after="0" w:line="240" w:lineRule="auto"/>
        <w:jc w:val="both"/>
        <w:rPr>
          <w:rFonts w:ascii="Arial" w:hAnsi="Arial" w:cs="Arial"/>
          <w:sz w:val="24"/>
          <w:szCs w:val="24"/>
        </w:rPr>
      </w:pPr>
    </w:p>
    <w:p w:rsidR="00627870" w:rsidRPr="000C71B7" w:rsidRDefault="00627870" w:rsidP="00646D2A">
      <w:pPr>
        <w:spacing w:line="240" w:lineRule="auto"/>
        <w:jc w:val="both"/>
        <w:rPr>
          <w:rFonts w:ascii="Arial" w:hAnsi="Arial" w:cs="Arial"/>
          <w:sz w:val="24"/>
          <w:szCs w:val="24"/>
        </w:rPr>
      </w:pPr>
      <w:r w:rsidRPr="000C71B7">
        <w:rPr>
          <w:rFonts w:ascii="Arial" w:hAnsi="Arial" w:cs="Arial"/>
          <w:sz w:val="24"/>
          <w:szCs w:val="24"/>
        </w:rPr>
        <w:t>In its application, NPEI states that an amount of ($1,627,844) for RPP Settlement was included as a principal adjustment to Account 1588, as this amount related to December 2017 transaction but was recorded in the 2018 general ledger.</w:t>
      </w:r>
    </w:p>
    <w:p w:rsidR="00627870" w:rsidRPr="000C71B7" w:rsidRDefault="00627870" w:rsidP="00646D2A">
      <w:pPr>
        <w:pStyle w:val="ListParagraph"/>
        <w:numPr>
          <w:ilvl w:val="0"/>
          <w:numId w:val="27"/>
        </w:numPr>
        <w:spacing w:after="160" w:line="259" w:lineRule="auto"/>
        <w:jc w:val="both"/>
        <w:rPr>
          <w:rFonts w:ascii="Arial" w:hAnsi="Arial" w:cs="Arial"/>
          <w:sz w:val="24"/>
          <w:szCs w:val="24"/>
        </w:rPr>
      </w:pPr>
      <w:r w:rsidRPr="000C71B7">
        <w:rPr>
          <w:rFonts w:ascii="Arial" w:hAnsi="Arial" w:cs="Arial"/>
          <w:sz w:val="24"/>
          <w:szCs w:val="24"/>
        </w:rPr>
        <w:t>Please confirm if Charge Type 148 from December 2017 was also posted in the general ledger in January 2018? If so, why is a similar adjusting entry not required in the principal adjustments for 2017, as well as in the 2017 GA Analysis Workform?</w:t>
      </w:r>
    </w:p>
    <w:p w:rsidR="00627870" w:rsidRPr="000C71B7" w:rsidRDefault="00627870" w:rsidP="00646D2A">
      <w:pPr>
        <w:pStyle w:val="ListParagraph"/>
        <w:numPr>
          <w:ilvl w:val="0"/>
          <w:numId w:val="27"/>
        </w:numPr>
        <w:spacing w:after="160" w:line="259" w:lineRule="auto"/>
        <w:jc w:val="both"/>
        <w:rPr>
          <w:rFonts w:ascii="Arial" w:hAnsi="Arial" w:cs="Arial"/>
          <w:sz w:val="24"/>
          <w:szCs w:val="24"/>
        </w:rPr>
      </w:pPr>
      <w:r w:rsidRPr="000C71B7">
        <w:rPr>
          <w:rFonts w:ascii="Arial" w:hAnsi="Arial" w:cs="Arial"/>
          <w:sz w:val="24"/>
          <w:szCs w:val="24"/>
        </w:rPr>
        <w:t>Was Charge Type 148 from December 2017 allocated to Accounts 1588 and 1589 based on actual consumption in that month for Non-RPP and RPP customers?</w:t>
      </w:r>
    </w:p>
    <w:p w:rsidR="00B2041B" w:rsidRPr="000C71B7" w:rsidRDefault="00B2041B" w:rsidP="00646D2A">
      <w:pPr>
        <w:spacing w:after="0" w:line="240" w:lineRule="auto"/>
        <w:jc w:val="both"/>
        <w:rPr>
          <w:rFonts w:ascii="Arial" w:hAnsi="Arial" w:cs="Arial"/>
          <w:b/>
          <w:sz w:val="24"/>
          <w:szCs w:val="24"/>
        </w:rPr>
      </w:pPr>
    </w:p>
    <w:p w:rsidR="006C5AD5" w:rsidRPr="000C71B7" w:rsidRDefault="006C5AD5" w:rsidP="00646D2A">
      <w:pPr>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6C5AD5" w:rsidRPr="000C71B7" w:rsidRDefault="006C5AD5" w:rsidP="00646D2A">
      <w:pPr>
        <w:spacing w:after="0" w:line="240" w:lineRule="auto"/>
        <w:jc w:val="both"/>
        <w:rPr>
          <w:rFonts w:ascii="Arial" w:hAnsi="Arial" w:cs="Arial"/>
          <w:sz w:val="24"/>
          <w:szCs w:val="24"/>
        </w:rPr>
      </w:pPr>
    </w:p>
    <w:p w:rsidR="006C5AD5" w:rsidRPr="000C71B7" w:rsidRDefault="00A02728" w:rsidP="00646D2A">
      <w:pPr>
        <w:pStyle w:val="ListParagraph"/>
        <w:numPr>
          <w:ilvl w:val="0"/>
          <w:numId w:val="33"/>
        </w:numPr>
        <w:spacing w:after="0" w:line="240" w:lineRule="auto"/>
        <w:jc w:val="both"/>
        <w:rPr>
          <w:rFonts w:ascii="Arial" w:hAnsi="Arial" w:cs="Arial"/>
          <w:sz w:val="24"/>
          <w:szCs w:val="24"/>
        </w:rPr>
      </w:pPr>
      <w:r w:rsidRPr="000C71B7">
        <w:rPr>
          <w:rFonts w:ascii="Arial" w:hAnsi="Arial" w:cs="Arial"/>
          <w:sz w:val="24"/>
          <w:szCs w:val="24"/>
        </w:rPr>
        <w:t>Charge type 148 from the December 2017 IESO invoice was posted in the general ledger in December 2017.</w:t>
      </w:r>
      <w:r w:rsidR="009A5717" w:rsidRPr="000C71B7">
        <w:rPr>
          <w:rFonts w:ascii="Arial" w:hAnsi="Arial" w:cs="Arial"/>
          <w:sz w:val="24"/>
          <w:szCs w:val="24"/>
        </w:rPr>
        <w:t xml:space="preserve"> </w:t>
      </w:r>
      <w:r w:rsidR="001257E2" w:rsidRPr="000C71B7">
        <w:rPr>
          <w:rFonts w:ascii="Arial" w:hAnsi="Arial" w:cs="Arial"/>
          <w:sz w:val="24"/>
          <w:szCs w:val="24"/>
        </w:rPr>
        <w:t>For charge type 148, there is no one-month lag.</w:t>
      </w:r>
    </w:p>
    <w:p w:rsidR="00A02728" w:rsidRPr="000C71B7" w:rsidRDefault="00A02728" w:rsidP="00646D2A">
      <w:pPr>
        <w:pStyle w:val="ListParagraph"/>
        <w:numPr>
          <w:ilvl w:val="0"/>
          <w:numId w:val="33"/>
        </w:numPr>
        <w:spacing w:after="0" w:line="240" w:lineRule="auto"/>
        <w:jc w:val="both"/>
        <w:rPr>
          <w:rFonts w:ascii="Arial" w:hAnsi="Arial" w:cs="Arial"/>
          <w:sz w:val="24"/>
          <w:szCs w:val="24"/>
        </w:rPr>
      </w:pPr>
      <w:r w:rsidRPr="000C71B7">
        <w:rPr>
          <w:rFonts w:ascii="Arial" w:hAnsi="Arial" w:cs="Arial"/>
          <w:sz w:val="24"/>
          <w:szCs w:val="24"/>
        </w:rPr>
        <w:t xml:space="preserve">Charge type 148 </w:t>
      </w:r>
      <w:r w:rsidR="00DB25D3" w:rsidRPr="000C71B7">
        <w:rPr>
          <w:rFonts w:ascii="Arial" w:hAnsi="Arial" w:cs="Arial"/>
          <w:sz w:val="24"/>
          <w:szCs w:val="24"/>
        </w:rPr>
        <w:t>from December 2017 was allocated</w:t>
      </w:r>
      <w:r w:rsidRPr="000C71B7">
        <w:rPr>
          <w:rFonts w:ascii="Arial" w:hAnsi="Arial" w:cs="Arial"/>
          <w:sz w:val="24"/>
          <w:szCs w:val="24"/>
        </w:rPr>
        <w:t xml:space="preserve"> as follows:</w:t>
      </w:r>
    </w:p>
    <w:p w:rsidR="00A02728" w:rsidRPr="000C71B7" w:rsidRDefault="00A02728" w:rsidP="00646D2A">
      <w:pPr>
        <w:pStyle w:val="ListParagraph"/>
        <w:spacing w:after="0" w:line="240" w:lineRule="auto"/>
        <w:jc w:val="both"/>
        <w:rPr>
          <w:rFonts w:ascii="Arial" w:hAnsi="Arial" w:cs="Arial"/>
          <w:sz w:val="24"/>
          <w:szCs w:val="24"/>
        </w:rPr>
      </w:pPr>
    </w:p>
    <w:p w:rsidR="00A02728" w:rsidRPr="000C71B7" w:rsidRDefault="0035774E" w:rsidP="00646D2A">
      <w:pPr>
        <w:pStyle w:val="ListParagraph"/>
        <w:spacing w:after="0"/>
        <w:jc w:val="both"/>
        <w:rPr>
          <w:rFonts w:ascii="Arial" w:hAnsi="Arial" w:cs="Arial"/>
          <w:sz w:val="24"/>
          <w:szCs w:val="24"/>
        </w:rPr>
      </w:pPr>
      <w:r w:rsidRPr="000C71B7">
        <w:rPr>
          <w:rFonts w:ascii="Arial" w:hAnsi="Arial" w:cs="Arial"/>
          <w:sz w:val="24"/>
          <w:szCs w:val="24"/>
        </w:rPr>
        <w:t xml:space="preserve">Beginning in February 2017, </w:t>
      </w:r>
      <w:r w:rsidR="00A02728" w:rsidRPr="000C71B7">
        <w:rPr>
          <w:rFonts w:ascii="Arial" w:hAnsi="Arial" w:cs="Arial"/>
          <w:sz w:val="24"/>
          <w:szCs w:val="24"/>
        </w:rPr>
        <w:t>NPEI bills all non-RPP Class B c</w:t>
      </w:r>
      <w:r w:rsidRPr="000C71B7">
        <w:rPr>
          <w:rFonts w:ascii="Arial" w:hAnsi="Arial" w:cs="Arial"/>
          <w:sz w:val="24"/>
          <w:szCs w:val="24"/>
        </w:rPr>
        <w:t xml:space="preserve">ustomers using actual GA rates. Therefore, </w:t>
      </w:r>
      <w:r w:rsidR="00A02728" w:rsidRPr="000C71B7">
        <w:rPr>
          <w:rFonts w:ascii="Arial" w:hAnsi="Arial" w:cs="Arial"/>
          <w:sz w:val="24"/>
          <w:szCs w:val="24"/>
        </w:rPr>
        <w:t>the GA billing to non-RPP class B customers should not result in any variance in Account 1589 RSVA</w:t>
      </w:r>
      <w:r w:rsidRPr="000C71B7">
        <w:rPr>
          <w:rFonts w:ascii="Arial" w:hAnsi="Arial" w:cs="Arial"/>
          <w:sz w:val="24"/>
          <w:szCs w:val="24"/>
        </w:rPr>
        <w:t xml:space="preserve"> – Global Adjustment. As a result of</w:t>
      </w:r>
      <w:r w:rsidR="00A02728" w:rsidRPr="000C71B7">
        <w:rPr>
          <w:rFonts w:ascii="Arial" w:hAnsi="Arial" w:cs="Arial"/>
          <w:sz w:val="24"/>
          <w:szCs w:val="24"/>
        </w:rPr>
        <w:t xml:space="preserve"> this, NPEI’s procedure for allocating CT 148 is:</w:t>
      </w:r>
    </w:p>
    <w:p w:rsidR="00A02728" w:rsidRPr="000C71B7" w:rsidRDefault="00A02728" w:rsidP="00646D2A">
      <w:pPr>
        <w:jc w:val="both"/>
        <w:rPr>
          <w:rFonts w:ascii="Arial" w:hAnsi="Arial" w:cs="Arial"/>
          <w:sz w:val="24"/>
          <w:szCs w:val="24"/>
        </w:rPr>
      </w:pPr>
    </w:p>
    <w:p w:rsidR="00A02728" w:rsidRPr="000C71B7" w:rsidRDefault="00A02728" w:rsidP="00646D2A">
      <w:pPr>
        <w:pStyle w:val="ListParagraph"/>
        <w:numPr>
          <w:ilvl w:val="0"/>
          <w:numId w:val="34"/>
        </w:numPr>
        <w:spacing w:after="0"/>
        <w:jc w:val="both"/>
        <w:rPr>
          <w:rFonts w:ascii="Arial" w:hAnsi="Arial" w:cs="Arial"/>
          <w:sz w:val="24"/>
          <w:szCs w:val="24"/>
        </w:rPr>
      </w:pPr>
      <w:r w:rsidRPr="000C71B7">
        <w:rPr>
          <w:rFonts w:ascii="Arial" w:hAnsi="Arial" w:cs="Arial"/>
          <w:sz w:val="24"/>
          <w:szCs w:val="24"/>
        </w:rPr>
        <w:t>Each month, after the monthly unbilled revenue accrual is posted, NPEI determines the total amount of non-RPP Class B GA revenue that has been recorded for the month.</w:t>
      </w:r>
    </w:p>
    <w:p w:rsidR="00A02728" w:rsidRPr="000C71B7" w:rsidRDefault="00A02728" w:rsidP="0035774E">
      <w:pPr>
        <w:pStyle w:val="ListParagraph"/>
        <w:numPr>
          <w:ilvl w:val="0"/>
          <w:numId w:val="34"/>
        </w:numPr>
        <w:spacing w:after="0"/>
        <w:rPr>
          <w:rFonts w:ascii="Arial" w:hAnsi="Arial" w:cs="Arial"/>
          <w:sz w:val="24"/>
          <w:szCs w:val="24"/>
        </w:rPr>
      </w:pPr>
      <w:r w:rsidRPr="000C71B7">
        <w:rPr>
          <w:rFonts w:ascii="Arial" w:hAnsi="Arial" w:cs="Arial"/>
          <w:sz w:val="24"/>
          <w:szCs w:val="24"/>
        </w:rPr>
        <w:t>NPEI records a portion of IESO Charge Type 148 Class B Global Adjustment Settlement Amount to Account 4707 Charges – Global Adjustment that exactly offsets the revenue amount determined in step 1).</w:t>
      </w:r>
      <w:r w:rsidR="0035774E" w:rsidRPr="000C71B7">
        <w:rPr>
          <w:rFonts w:ascii="Arial" w:hAnsi="Arial" w:cs="Arial"/>
          <w:sz w:val="24"/>
          <w:szCs w:val="24"/>
        </w:rPr>
        <w:t xml:space="preserve"> Unbilled revenue is reversed in the following month thereby any differences relating to the apportioning in Charge Type 148 is accounted for in the following month.</w:t>
      </w:r>
    </w:p>
    <w:p w:rsidR="00A02728" w:rsidRPr="000C71B7" w:rsidRDefault="00A02728" w:rsidP="00646D2A">
      <w:pPr>
        <w:pStyle w:val="ListParagraph"/>
        <w:numPr>
          <w:ilvl w:val="0"/>
          <w:numId w:val="34"/>
        </w:numPr>
        <w:spacing w:after="0"/>
        <w:jc w:val="both"/>
        <w:rPr>
          <w:rFonts w:ascii="Arial" w:hAnsi="Arial" w:cs="Arial"/>
          <w:sz w:val="24"/>
          <w:szCs w:val="24"/>
        </w:rPr>
      </w:pPr>
      <w:r w:rsidRPr="000C71B7">
        <w:rPr>
          <w:rFonts w:ascii="Arial" w:hAnsi="Arial" w:cs="Arial"/>
          <w:sz w:val="24"/>
          <w:szCs w:val="24"/>
        </w:rPr>
        <w:t>The amount determined in step 2) is subtracted from the total of IESO Charge Type 148 Class B Global Adjustment Settlement Amount. The remaining amount of charge type 148 is recorded in Account 4705 Charges – Power Purchased.</w:t>
      </w:r>
    </w:p>
    <w:p w:rsidR="00A02728" w:rsidRPr="000C71B7" w:rsidRDefault="00A02728" w:rsidP="00646D2A">
      <w:pPr>
        <w:pStyle w:val="ListParagraph"/>
        <w:spacing w:after="0" w:line="240" w:lineRule="auto"/>
        <w:jc w:val="both"/>
        <w:rPr>
          <w:rFonts w:ascii="Arial" w:hAnsi="Arial" w:cs="Arial"/>
          <w:sz w:val="24"/>
          <w:szCs w:val="24"/>
        </w:rPr>
      </w:pPr>
    </w:p>
    <w:p w:rsidR="006C5AD5" w:rsidRPr="000C71B7" w:rsidRDefault="006C5AD5" w:rsidP="00646D2A">
      <w:pPr>
        <w:spacing w:after="0" w:line="240" w:lineRule="auto"/>
        <w:jc w:val="both"/>
        <w:rPr>
          <w:rFonts w:ascii="Arial" w:hAnsi="Arial" w:cs="Arial"/>
          <w:b/>
          <w:sz w:val="24"/>
          <w:szCs w:val="24"/>
        </w:rPr>
      </w:pPr>
    </w:p>
    <w:p w:rsidR="006C5AD5" w:rsidRPr="000C71B7" w:rsidRDefault="006C5AD5" w:rsidP="00646D2A">
      <w:pPr>
        <w:spacing w:after="0" w:line="240" w:lineRule="auto"/>
        <w:jc w:val="both"/>
        <w:rPr>
          <w:rFonts w:ascii="Arial" w:hAnsi="Arial" w:cs="Arial"/>
          <w:b/>
          <w:sz w:val="24"/>
          <w:szCs w:val="24"/>
        </w:rPr>
      </w:pPr>
    </w:p>
    <w:p w:rsidR="00627870" w:rsidRPr="000C71B7" w:rsidRDefault="00627870" w:rsidP="00646D2A">
      <w:pPr>
        <w:spacing w:after="0" w:line="240" w:lineRule="auto"/>
        <w:jc w:val="both"/>
        <w:rPr>
          <w:rFonts w:ascii="Arial" w:hAnsi="Arial" w:cs="Arial"/>
          <w:b/>
          <w:sz w:val="24"/>
          <w:szCs w:val="24"/>
        </w:rPr>
      </w:pPr>
      <w:r w:rsidRPr="000C71B7">
        <w:rPr>
          <w:rFonts w:ascii="Arial" w:hAnsi="Arial" w:cs="Arial"/>
          <w:b/>
          <w:sz w:val="24"/>
          <w:szCs w:val="24"/>
        </w:rPr>
        <w:t>Staff Question #6</w:t>
      </w:r>
    </w:p>
    <w:p w:rsidR="00627870" w:rsidRPr="000C71B7" w:rsidRDefault="00627870" w:rsidP="00646D2A">
      <w:pPr>
        <w:spacing w:after="0" w:line="240" w:lineRule="auto"/>
        <w:jc w:val="both"/>
        <w:rPr>
          <w:rFonts w:ascii="Arial" w:hAnsi="Arial" w:cs="Arial"/>
          <w:b/>
          <w:sz w:val="24"/>
          <w:szCs w:val="24"/>
        </w:rPr>
      </w:pPr>
      <w:r w:rsidRPr="000C71B7">
        <w:rPr>
          <w:rFonts w:ascii="Arial" w:hAnsi="Arial" w:cs="Arial"/>
          <w:b/>
          <w:sz w:val="24"/>
          <w:szCs w:val="24"/>
        </w:rPr>
        <w:t>Ref: Table 11 – Components of Account 1589 RSVA – GA</w:t>
      </w:r>
    </w:p>
    <w:p w:rsidR="00627870" w:rsidRPr="000C71B7" w:rsidRDefault="00627870" w:rsidP="00646D2A">
      <w:pPr>
        <w:spacing w:after="0" w:line="240" w:lineRule="auto"/>
        <w:jc w:val="both"/>
        <w:rPr>
          <w:rFonts w:ascii="Arial" w:hAnsi="Arial" w:cs="Arial"/>
          <w:sz w:val="24"/>
          <w:szCs w:val="24"/>
        </w:rPr>
      </w:pPr>
    </w:p>
    <w:p w:rsidR="00627870" w:rsidRPr="000C71B7" w:rsidRDefault="00627870" w:rsidP="00646D2A">
      <w:pPr>
        <w:jc w:val="both"/>
        <w:rPr>
          <w:rFonts w:ascii="Arial" w:hAnsi="Arial" w:cs="Arial"/>
          <w:sz w:val="24"/>
          <w:szCs w:val="24"/>
        </w:rPr>
      </w:pPr>
      <w:r w:rsidRPr="000C71B7">
        <w:rPr>
          <w:rFonts w:ascii="Arial" w:hAnsi="Arial" w:cs="Arial"/>
          <w:sz w:val="24"/>
          <w:szCs w:val="24"/>
        </w:rPr>
        <w:t xml:space="preserve">Please confirm that as of the year ended December 31, 2017, the amount of GA revenue accrued (billed and unbilled) for Class B Non-RPP customers was the same as the amount of GA charged to those same customers and that no variance exists in the account for any billing activity after January 2017. </w:t>
      </w:r>
    </w:p>
    <w:p w:rsidR="00B2041B" w:rsidRPr="000C71B7" w:rsidRDefault="00B2041B" w:rsidP="00646D2A">
      <w:pPr>
        <w:spacing w:after="0"/>
        <w:jc w:val="both"/>
        <w:rPr>
          <w:rFonts w:ascii="Arial" w:hAnsi="Arial" w:cs="Arial"/>
          <w:b/>
          <w:sz w:val="24"/>
          <w:szCs w:val="24"/>
        </w:rPr>
      </w:pPr>
    </w:p>
    <w:p w:rsidR="0081624A" w:rsidRPr="000C71B7" w:rsidRDefault="0081624A" w:rsidP="00646D2A">
      <w:pPr>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81624A" w:rsidRPr="000C71B7" w:rsidRDefault="0081624A" w:rsidP="00646D2A">
      <w:pPr>
        <w:spacing w:after="0" w:line="240" w:lineRule="auto"/>
        <w:jc w:val="both"/>
        <w:rPr>
          <w:rFonts w:ascii="Arial" w:hAnsi="Arial" w:cs="Arial"/>
          <w:sz w:val="24"/>
          <w:szCs w:val="24"/>
        </w:rPr>
      </w:pPr>
    </w:p>
    <w:p w:rsidR="0081624A" w:rsidRPr="000C71B7" w:rsidRDefault="0081624A" w:rsidP="00646D2A">
      <w:pPr>
        <w:jc w:val="both"/>
        <w:rPr>
          <w:rFonts w:ascii="Arial" w:hAnsi="Arial" w:cs="Arial"/>
          <w:sz w:val="24"/>
          <w:szCs w:val="24"/>
        </w:rPr>
      </w:pPr>
      <w:r w:rsidRPr="000C71B7">
        <w:rPr>
          <w:rFonts w:ascii="Arial" w:hAnsi="Arial" w:cs="Arial"/>
          <w:sz w:val="24"/>
          <w:szCs w:val="24"/>
        </w:rPr>
        <w:t xml:space="preserve">NPEI confirms that as of the year ended December 31, 2017, the amount of GA revenue accrued (billed and unbilled) for Class B Non-RPP customers was the same as the amount of GA charged to those same customers. NPEI confirms no variance exists in the account for any billing activity after January 2017. </w:t>
      </w:r>
    </w:p>
    <w:p w:rsidR="00A02728" w:rsidRPr="000C71B7" w:rsidRDefault="00A02728" w:rsidP="00646D2A">
      <w:pPr>
        <w:spacing w:after="0"/>
        <w:jc w:val="both"/>
        <w:rPr>
          <w:rFonts w:ascii="Arial" w:hAnsi="Arial" w:cs="Arial"/>
          <w:b/>
          <w:sz w:val="24"/>
          <w:szCs w:val="24"/>
        </w:rPr>
      </w:pPr>
    </w:p>
    <w:p w:rsidR="00A02728" w:rsidRPr="000C71B7" w:rsidRDefault="00A02728" w:rsidP="00646D2A">
      <w:pPr>
        <w:spacing w:after="0"/>
        <w:jc w:val="both"/>
        <w:rPr>
          <w:rFonts w:ascii="Arial" w:hAnsi="Arial" w:cs="Arial"/>
          <w:b/>
          <w:sz w:val="24"/>
          <w:szCs w:val="24"/>
        </w:rPr>
      </w:pPr>
    </w:p>
    <w:p w:rsidR="00627870" w:rsidRPr="000C71B7" w:rsidRDefault="00627870" w:rsidP="00646D2A">
      <w:pPr>
        <w:spacing w:after="0"/>
        <w:jc w:val="both"/>
        <w:rPr>
          <w:rFonts w:ascii="Arial" w:hAnsi="Arial" w:cs="Arial"/>
          <w:b/>
          <w:sz w:val="24"/>
          <w:szCs w:val="24"/>
        </w:rPr>
      </w:pPr>
      <w:r w:rsidRPr="000C71B7">
        <w:rPr>
          <w:rFonts w:ascii="Arial" w:hAnsi="Arial" w:cs="Arial"/>
          <w:b/>
          <w:sz w:val="24"/>
          <w:szCs w:val="24"/>
        </w:rPr>
        <w:t>Staff Question #7</w:t>
      </w:r>
    </w:p>
    <w:p w:rsidR="00627870" w:rsidRPr="000C71B7" w:rsidRDefault="00627870" w:rsidP="00646D2A">
      <w:pPr>
        <w:jc w:val="both"/>
        <w:rPr>
          <w:rFonts w:ascii="Arial" w:hAnsi="Arial" w:cs="Arial"/>
          <w:sz w:val="24"/>
          <w:szCs w:val="24"/>
        </w:rPr>
      </w:pPr>
      <w:r w:rsidRPr="000C71B7">
        <w:rPr>
          <w:rFonts w:ascii="Arial" w:hAnsi="Arial" w:cs="Arial"/>
          <w:b/>
          <w:sz w:val="24"/>
          <w:szCs w:val="24"/>
        </w:rPr>
        <w:t>Ref: Table 14 – GA Allocation to Transition Customers; Transition Customers Individual GA Amounts</w:t>
      </w:r>
    </w:p>
    <w:p w:rsidR="00627870" w:rsidRPr="000C71B7" w:rsidRDefault="00627870" w:rsidP="00646D2A">
      <w:pPr>
        <w:jc w:val="both"/>
        <w:rPr>
          <w:rFonts w:ascii="Arial" w:hAnsi="Arial" w:cs="Arial"/>
          <w:sz w:val="24"/>
          <w:szCs w:val="24"/>
        </w:rPr>
      </w:pPr>
      <w:r w:rsidRPr="000C71B7">
        <w:rPr>
          <w:rFonts w:ascii="Arial" w:hAnsi="Arial" w:cs="Arial"/>
          <w:sz w:val="24"/>
          <w:szCs w:val="24"/>
        </w:rPr>
        <w:t>NPEI has proposed to allocate a portion of the Account 1589 GA balance to those customers who transitioned from Class B to Class A as of July 1, 2017. The purposes of allocating the GA balance to transition customers is to recognize that they had only contributed to the GA balance for part of the year and should not be allocated the full amount. The key aspect of cost causality that underlies this treatment is that a portion of the GA balance accumulated during the first six months of the year, and that another portion accumulated in the latter six months.</w:t>
      </w:r>
    </w:p>
    <w:p w:rsidR="00627870" w:rsidRPr="000C71B7" w:rsidRDefault="00627870" w:rsidP="00646D2A">
      <w:pPr>
        <w:jc w:val="both"/>
        <w:rPr>
          <w:rFonts w:ascii="Arial" w:hAnsi="Arial" w:cs="Arial"/>
          <w:sz w:val="24"/>
          <w:szCs w:val="24"/>
        </w:rPr>
      </w:pPr>
      <w:r w:rsidRPr="000C71B7">
        <w:rPr>
          <w:rFonts w:ascii="Arial" w:hAnsi="Arial" w:cs="Arial"/>
          <w:sz w:val="24"/>
          <w:szCs w:val="24"/>
        </w:rPr>
        <w:t>In NPEI’s case, since all Class B Non-RPP customers were billed on actual GA rates effective February 2017 (no variance recorded in Account 1589 from July 1, 2017 to December 31, 2017), and since there were no Class A customers prior to July 1, 2017, transition customers contributed to the GA variance on an equal basis as those customers who remained as Class B for all of 2017 (ignoring the $24,815 attributable to specific customers billed at 1</w:t>
      </w:r>
      <w:r w:rsidRPr="000C71B7">
        <w:rPr>
          <w:rFonts w:ascii="Arial" w:hAnsi="Arial" w:cs="Arial"/>
          <w:sz w:val="24"/>
          <w:szCs w:val="24"/>
          <w:vertAlign w:val="superscript"/>
        </w:rPr>
        <w:t>st</w:t>
      </w:r>
      <w:r w:rsidRPr="000C71B7">
        <w:rPr>
          <w:rFonts w:ascii="Arial" w:hAnsi="Arial" w:cs="Arial"/>
          <w:sz w:val="24"/>
          <w:szCs w:val="24"/>
        </w:rPr>
        <w:t xml:space="preserve"> estimate in January).</w:t>
      </w:r>
    </w:p>
    <w:p w:rsidR="00627870" w:rsidRPr="000C71B7" w:rsidRDefault="00627870" w:rsidP="00646D2A">
      <w:pPr>
        <w:pStyle w:val="ListParagraph"/>
        <w:numPr>
          <w:ilvl w:val="0"/>
          <w:numId w:val="28"/>
        </w:numPr>
        <w:spacing w:after="160" w:line="259" w:lineRule="auto"/>
        <w:jc w:val="both"/>
        <w:rPr>
          <w:rFonts w:ascii="Arial" w:hAnsi="Arial" w:cs="Arial"/>
          <w:sz w:val="24"/>
          <w:szCs w:val="24"/>
        </w:rPr>
      </w:pPr>
      <w:r w:rsidRPr="000C71B7">
        <w:rPr>
          <w:rFonts w:ascii="Arial" w:hAnsi="Arial" w:cs="Arial"/>
          <w:sz w:val="24"/>
          <w:szCs w:val="24"/>
        </w:rPr>
        <w:t>Please confirm that the circumstances described above is accurate. If not, please clarify OEB staff’s understanding of NPEI’s transactions during 2017.</w:t>
      </w:r>
    </w:p>
    <w:p w:rsidR="00627870" w:rsidRPr="000C71B7" w:rsidRDefault="00627870" w:rsidP="00646D2A">
      <w:pPr>
        <w:pStyle w:val="ListParagraph"/>
        <w:numPr>
          <w:ilvl w:val="0"/>
          <w:numId w:val="28"/>
        </w:numPr>
        <w:spacing w:after="160" w:line="259" w:lineRule="auto"/>
        <w:jc w:val="both"/>
        <w:rPr>
          <w:rFonts w:ascii="Arial" w:hAnsi="Arial" w:cs="Arial"/>
          <w:sz w:val="24"/>
          <w:szCs w:val="24"/>
        </w:rPr>
      </w:pPr>
      <w:r w:rsidRPr="000C71B7">
        <w:rPr>
          <w:rFonts w:ascii="Arial" w:hAnsi="Arial" w:cs="Arial"/>
          <w:sz w:val="24"/>
          <w:szCs w:val="24"/>
        </w:rPr>
        <w:t>If the above is confirmed, please explain why transition customers for 2017 should not be treated the same as all other Non-RPP Class B customers, and should be charged the general rate rider based on the ($99,554) amount calculated in Table 11 of the Application.</w:t>
      </w:r>
    </w:p>
    <w:p w:rsidR="00627870" w:rsidRPr="000C71B7" w:rsidRDefault="00627870" w:rsidP="00646D2A">
      <w:pPr>
        <w:pStyle w:val="ListParagraph"/>
        <w:numPr>
          <w:ilvl w:val="0"/>
          <w:numId w:val="28"/>
        </w:numPr>
        <w:spacing w:after="160" w:line="259" w:lineRule="auto"/>
        <w:jc w:val="both"/>
        <w:rPr>
          <w:rFonts w:ascii="Arial" w:hAnsi="Arial" w:cs="Arial"/>
          <w:sz w:val="24"/>
          <w:szCs w:val="24"/>
        </w:rPr>
      </w:pPr>
      <w:r w:rsidRPr="000C71B7">
        <w:rPr>
          <w:rFonts w:ascii="Arial" w:hAnsi="Arial" w:cs="Arial"/>
          <w:sz w:val="24"/>
          <w:szCs w:val="24"/>
        </w:rPr>
        <w:t xml:space="preserve">If NPEI agrees with OEB staff’s position, please confirm and OEB staff will adjust the Rate Generator Model so that no amount of the GA Balance is allocated to transition customers (who will instead be charged the general GA rate rider based on a total balance of ($99,554)). If NPEI disagrees with OEB staff’s position, please explain why the method proposed in the Application, as filed, is more appropriate. </w:t>
      </w:r>
    </w:p>
    <w:p w:rsidR="00B2041B" w:rsidRPr="000C71B7" w:rsidRDefault="00B2041B" w:rsidP="00646D2A">
      <w:pPr>
        <w:spacing w:after="0" w:line="240" w:lineRule="auto"/>
        <w:jc w:val="both"/>
        <w:rPr>
          <w:rFonts w:ascii="Arial" w:hAnsi="Arial" w:cs="Arial"/>
          <w:b/>
          <w:sz w:val="24"/>
          <w:szCs w:val="24"/>
        </w:rPr>
      </w:pPr>
    </w:p>
    <w:p w:rsidR="0081624A" w:rsidRPr="000C71B7" w:rsidRDefault="0081624A" w:rsidP="00646D2A">
      <w:pPr>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81624A" w:rsidRPr="000C71B7" w:rsidRDefault="0081624A" w:rsidP="00646D2A">
      <w:pPr>
        <w:spacing w:after="0" w:line="240" w:lineRule="auto"/>
        <w:jc w:val="both"/>
        <w:rPr>
          <w:rFonts w:ascii="Arial" w:hAnsi="Arial" w:cs="Arial"/>
          <w:sz w:val="24"/>
          <w:szCs w:val="24"/>
        </w:rPr>
      </w:pPr>
    </w:p>
    <w:p w:rsidR="0081624A" w:rsidRPr="000C71B7" w:rsidRDefault="0081624A" w:rsidP="000C71B7">
      <w:pPr>
        <w:pStyle w:val="ListParagraph"/>
        <w:numPr>
          <w:ilvl w:val="0"/>
          <w:numId w:val="36"/>
        </w:numPr>
        <w:spacing w:after="0"/>
        <w:jc w:val="both"/>
        <w:rPr>
          <w:rFonts w:ascii="Arial" w:hAnsi="Arial" w:cs="Arial"/>
          <w:b/>
          <w:sz w:val="24"/>
          <w:szCs w:val="24"/>
        </w:rPr>
      </w:pPr>
      <w:r w:rsidRPr="000C71B7">
        <w:rPr>
          <w:rFonts w:ascii="Arial" w:hAnsi="Arial" w:cs="Arial"/>
          <w:sz w:val="24"/>
          <w:szCs w:val="24"/>
        </w:rPr>
        <w:t>NPEI confirms that the circumstances described above are accurate.</w:t>
      </w:r>
    </w:p>
    <w:p w:rsidR="0081624A" w:rsidRPr="000C71B7" w:rsidRDefault="001257E2" w:rsidP="000C71B7">
      <w:pPr>
        <w:pStyle w:val="ListParagraph"/>
        <w:numPr>
          <w:ilvl w:val="0"/>
          <w:numId w:val="36"/>
        </w:numPr>
        <w:spacing w:after="0"/>
        <w:jc w:val="both"/>
        <w:rPr>
          <w:rFonts w:ascii="Arial" w:hAnsi="Arial" w:cs="Arial"/>
          <w:b/>
          <w:sz w:val="24"/>
          <w:szCs w:val="24"/>
        </w:rPr>
      </w:pPr>
      <w:r w:rsidRPr="000C71B7">
        <w:rPr>
          <w:rFonts w:ascii="Arial" w:hAnsi="Arial" w:cs="Arial"/>
          <w:sz w:val="24"/>
          <w:szCs w:val="24"/>
        </w:rPr>
        <w:t>The premise of the transition customer allocation in the model is that Account 1589 accumulates throughout the entire year. The model automatic</w:t>
      </w:r>
      <w:r w:rsidR="005A5D98" w:rsidRPr="000C71B7">
        <w:rPr>
          <w:rFonts w:ascii="Arial" w:hAnsi="Arial" w:cs="Arial"/>
          <w:sz w:val="24"/>
          <w:szCs w:val="24"/>
        </w:rPr>
        <w:t>ally creates Sheet 6.1a</w:t>
      </w:r>
      <w:r w:rsidRPr="000C71B7">
        <w:rPr>
          <w:rFonts w:ascii="Arial" w:hAnsi="Arial" w:cs="Arial"/>
          <w:sz w:val="24"/>
          <w:szCs w:val="24"/>
        </w:rPr>
        <w:t xml:space="preserve"> once it is indicated that customers transitioned between Class B and Class A in cell C21 on Sheet 6. </w:t>
      </w:r>
      <w:r w:rsidR="00E04BAD" w:rsidRPr="000C71B7">
        <w:rPr>
          <w:rFonts w:ascii="Arial" w:hAnsi="Arial" w:cs="Arial"/>
          <w:sz w:val="24"/>
          <w:szCs w:val="24"/>
        </w:rPr>
        <w:t>NPEI populated Sheet 6 Class A Consumption Data and 6.1a GA Allocation in the 2019 IRM Rate Generator model in accordance with the Filing Requirements and model instructions, which resulted in the proposed allocation to the transition customers. Upon review NPEI agrees that, in NPEI’s case, since the Account 1589 balance relates entirely to consumption when there were no Class A Customers, it is appropriate to treat the transition customers the same as all other Non-RPP Class B customers.</w:t>
      </w:r>
    </w:p>
    <w:p w:rsidR="00E04BAD" w:rsidRPr="000C71B7" w:rsidRDefault="00DB25D3" w:rsidP="000C71B7">
      <w:pPr>
        <w:pStyle w:val="ListParagraph"/>
        <w:numPr>
          <w:ilvl w:val="0"/>
          <w:numId w:val="36"/>
        </w:numPr>
        <w:spacing w:after="0"/>
        <w:jc w:val="both"/>
        <w:rPr>
          <w:rFonts w:ascii="Arial" w:hAnsi="Arial" w:cs="Arial"/>
          <w:b/>
          <w:sz w:val="24"/>
          <w:szCs w:val="24"/>
        </w:rPr>
      </w:pPr>
      <w:r w:rsidRPr="000C71B7">
        <w:rPr>
          <w:rFonts w:ascii="Arial" w:hAnsi="Arial" w:cs="Arial"/>
          <w:sz w:val="24"/>
          <w:szCs w:val="24"/>
        </w:rPr>
        <w:t>NPEI confi</w:t>
      </w:r>
      <w:r w:rsidR="00E04BAD" w:rsidRPr="000C71B7">
        <w:rPr>
          <w:rFonts w:ascii="Arial" w:hAnsi="Arial" w:cs="Arial"/>
          <w:sz w:val="24"/>
          <w:szCs w:val="24"/>
        </w:rPr>
        <w:t>rms that it agrees with OEB Staff’s position, and requests that Staff adjust NPEI’s Rate Generator Model so that no amount of the GA balance is al</w:t>
      </w:r>
      <w:r w:rsidRPr="000C71B7">
        <w:rPr>
          <w:rFonts w:ascii="Arial" w:hAnsi="Arial" w:cs="Arial"/>
          <w:sz w:val="24"/>
          <w:szCs w:val="24"/>
        </w:rPr>
        <w:t>located to transition customers, who will be instead charged the general GA rate rider based on a total balance of ($99,554).</w:t>
      </w:r>
    </w:p>
    <w:p w:rsidR="0081624A" w:rsidRPr="000C71B7" w:rsidRDefault="0081624A" w:rsidP="000C71B7">
      <w:pPr>
        <w:spacing w:after="0"/>
        <w:jc w:val="both"/>
        <w:rPr>
          <w:rFonts w:ascii="Arial" w:hAnsi="Arial" w:cs="Arial"/>
          <w:b/>
          <w:sz w:val="24"/>
          <w:szCs w:val="24"/>
        </w:rPr>
      </w:pPr>
    </w:p>
    <w:p w:rsidR="0081624A" w:rsidRPr="000C71B7" w:rsidRDefault="0081624A" w:rsidP="000C71B7">
      <w:pPr>
        <w:spacing w:after="0"/>
        <w:jc w:val="both"/>
        <w:rPr>
          <w:rFonts w:ascii="Arial" w:hAnsi="Arial" w:cs="Arial"/>
          <w:b/>
          <w:sz w:val="24"/>
          <w:szCs w:val="24"/>
        </w:rPr>
      </w:pPr>
    </w:p>
    <w:p w:rsidR="00A07978" w:rsidRPr="000C71B7" w:rsidRDefault="00A07978" w:rsidP="000C71B7">
      <w:pPr>
        <w:spacing w:after="0"/>
        <w:jc w:val="both"/>
        <w:rPr>
          <w:rFonts w:ascii="Arial" w:hAnsi="Arial" w:cs="Arial"/>
          <w:b/>
          <w:sz w:val="24"/>
          <w:szCs w:val="24"/>
        </w:rPr>
      </w:pPr>
    </w:p>
    <w:p w:rsidR="00A07978" w:rsidRPr="000C71B7" w:rsidRDefault="00A07978" w:rsidP="000C71B7">
      <w:pPr>
        <w:spacing w:after="0"/>
        <w:jc w:val="both"/>
        <w:rPr>
          <w:rFonts w:ascii="Arial" w:hAnsi="Arial" w:cs="Arial"/>
          <w:b/>
          <w:sz w:val="24"/>
          <w:szCs w:val="24"/>
        </w:rPr>
      </w:pPr>
    </w:p>
    <w:p w:rsidR="00A07978" w:rsidRPr="000C71B7" w:rsidRDefault="00A07978" w:rsidP="000C71B7">
      <w:pPr>
        <w:spacing w:after="0"/>
        <w:jc w:val="both"/>
        <w:rPr>
          <w:rFonts w:ascii="Arial" w:hAnsi="Arial" w:cs="Arial"/>
          <w:b/>
          <w:sz w:val="24"/>
          <w:szCs w:val="24"/>
        </w:rPr>
      </w:pPr>
    </w:p>
    <w:p w:rsidR="00DB25D3" w:rsidRPr="000C71B7" w:rsidRDefault="00DB25D3" w:rsidP="000C71B7">
      <w:pPr>
        <w:spacing w:after="0"/>
        <w:jc w:val="both"/>
        <w:rPr>
          <w:rFonts w:ascii="Arial" w:hAnsi="Arial" w:cs="Arial"/>
          <w:b/>
          <w:sz w:val="24"/>
          <w:szCs w:val="24"/>
        </w:rPr>
      </w:pPr>
    </w:p>
    <w:p w:rsidR="00627870" w:rsidRPr="000C71B7" w:rsidRDefault="00627870" w:rsidP="000C71B7">
      <w:pPr>
        <w:spacing w:after="0"/>
        <w:jc w:val="both"/>
        <w:rPr>
          <w:rFonts w:ascii="Arial" w:hAnsi="Arial" w:cs="Arial"/>
          <w:b/>
          <w:sz w:val="24"/>
          <w:szCs w:val="24"/>
        </w:rPr>
      </w:pPr>
      <w:r w:rsidRPr="000C71B7">
        <w:rPr>
          <w:rFonts w:ascii="Arial" w:hAnsi="Arial" w:cs="Arial"/>
          <w:b/>
          <w:sz w:val="24"/>
          <w:szCs w:val="24"/>
        </w:rPr>
        <w:t>Staff Question #8</w:t>
      </w:r>
    </w:p>
    <w:p w:rsidR="00627870" w:rsidRPr="000C71B7" w:rsidRDefault="00627870" w:rsidP="000C71B7">
      <w:pPr>
        <w:jc w:val="both"/>
        <w:rPr>
          <w:rFonts w:ascii="Arial" w:hAnsi="Arial" w:cs="Arial"/>
          <w:sz w:val="24"/>
          <w:szCs w:val="24"/>
        </w:rPr>
      </w:pPr>
      <w:r w:rsidRPr="000C71B7">
        <w:rPr>
          <w:rFonts w:ascii="Arial" w:hAnsi="Arial" w:cs="Arial"/>
          <w:b/>
          <w:sz w:val="24"/>
          <w:szCs w:val="24"/>
        </w:rPr>
        <w:t>Ref: Section 3.2.5.2.7 Description of Accounting Methods and Transactions</w:t>
      </w:r>
    </w:p>
    <w:p w:rsidR="00627870" w:rsidRPr="000C71B7" w:rsidRDefault="00627870" w:rsidP="000C71B7">
      <w:pPr>
        <w:jc w:val="both"/>
        <w:rPr>
          <w:rFonts w:ascii="Arial" w:hAnsi="Arial" w:cs="Arial"/>
          <w:sz w:val="24"/>
          <w:szCs w:val="24"/>
        </w:rPr>
      </w:pPr>
      <w:r w:rsidRPr="000C71B7">
        <w:rPr>
          <w:rFonts w:ascii="Arial" w:hAnsi="Arial" w:cs="Arial"/>
          <w:sz w:val="24"/>
          <w:szCs w:val="24"/>
        </w:rPr>
        <w:t>OEB staff notes that, for the purposes of allocating Charge Type 148 to Accounts 1588 and 1589 (initially Accounts 4707 and 4705), NPEI subtracts the amount of GA revenue (billed and unbilled) for the month from the total of Charge Type 148, with the remainder being deemed RPP-related GA costs.</w:t>
      </w:r>
    </w:p>
    <w:p w:rsidR="00627870" w:rsidRPr="000C71B7" w:rsidRDefault="00627870" w:rsidP="000C71B7">
      <w:pPr>
        <w:jc w:val="both"/>
        <w:rPr>
          <w:rFonts w:ascii="Arial" w:hAnsi="Arial" w:cs="Arial"/>
          <w:sz w:val="24"/>
          <w:szCs w:val="24"/>
        </w:rPr>
      </w:pPr>
      <w:r w:rsidRPr="000C71B7">
        <w:rPr>
          <w:rFonts w:ascii="Arial" w:hAnsi="Arial" w:cs="Arial"/>
          <w:sz w:val="24"/>
          <w:szCs w:val="24"/>
        </w:rPr>
        <w:t>OEB staff notes that this methodology will result in any difference between approved and actual loss factors being entirely allocated to non-RPP customers.</w:t>
      </w:r>
    </w:p>
    <w:p w:rsidR="00627870" w:rsidRPr="000C71B7" w:rsidRDefault="00627870" w:rsidP="000C71B7">
      <w:pPr>
        <w:pStyle w:val="ListParagraph"/>
        <w:numPr>
          <w:ilvl w:val="0"/>
          <w:numId w:val="29"/>
        </w:numPr>
        <w:spacing w:after="160"/>
        <w:jc w:val="both"/>
        <w:rPr>
          <w:rFonts w:ascii="Arial" w:hAnsi="Arial" w:cs="Arial"/>
          <w:sz w:val="24"/>
          <w:szCs w:val="24"/>
        </w:rPr>
      </w:pPr>
      <w:r w:rsidRPr="000C71B7">
        <w:rPr>
          <w:rFonts w:ascii="Arial" w:hAnsi="Arial" w:cs="Arial"/>
          <w:sz w:val="24"/>
          <w:szCs w:val="24"/>
        </w:rPr>
        <w:t>Please present a table, showing the monthly amounts of CT 148 allocated to Account 1589 based on NPEI’s existing methodology, as well as what the CT 148 allocation would be to Account 1589 had it been based on the percentage of Non-RPP consumption out of total consumption.</w:t>
      </w:r>
    </w:p>
    <w:p w:rsidR="00627870" w:rsidRPr="000C71B7" w:rsidRDefault="00627870" w:rsidP="000C71B7">
      <w:pPr>
        <w:pStyle w:val="ListParagraph"/>
        <w:numPr>
          <w:ilvl w:val="0"/>
          <w:numId w:val="29"/>
        </w:numPr>
        <w:spacing w:after="160"/>
        <w:jc w:val="both"/>
        <w:rPr>
          <w:rFonts w:ascii="Arial" w:hAnsi="Arial" w:cs="Arial"/>
          <w:sz w:val="24"/>
          <w:szCs w:val="24"/>
        </w:rPr>
      </w:pPr>
      <w:r w:rsidRPr="000C71B7">
        <w:rPr>
          <w:rFonts w:ascii="Arial" w:hAnsi="Arial" w:cs="Arial"/>
          <w:sz w:val="24"/>
          <w:szCs w:val="24"/>
        </w:rPr>
        <w:t>If the total amounts calculated in part a) above are material, please transfer the difference between Accounts 1588 and 1589, accordingly. If the amounts are immaterial, please state so.</w:t>
      </w:r>
    </w:p>
    <w:p w:rsidR="00627870" w:rsidRPr="000C71B7" w:rsidRDefault="006A00EE" w:rsidP="000C71B7">
      <w:pPr>
        <w:jc w:val="both"/>
        <w:rPr>
          <w:rFonts w:ascii="Arial" w:hAnsi="Arial" w:cs="Arial"/>
          <w:sz w:val="24"/>
          <w:szCs w:val="24"/>
          <w:u w:val="single"/>
        </w:rPr>
      </w:pPr>
      <w:r w:rsidRPr="000C71B7">
        <w:rPr>
          <w:rFonts w:ascii="Arial" w:hAnsi="Arial" w:cs="Arial"/>
          <w:sz w:val="24"/>
          <w:szCs w:val="24"/>
          <w:u w:val="single"/>
        </w:rPr>
        <w:t>Response:</w:t>
      </w:r>
    </w:p>
    <w:p w:rsidR="006A00EE" w:rsidRPr="000C71B7" w:rsidRDefault="006A00EE" w:rsidP="000C71B7">
      <w:pPr>
        <w:jc w:val="both"/>
        <w:rPr>
          <w:rFonts w:ascii="Arial" w:hAnsi="Arial" w:cs="Arial"/>
          <w:sz w:val="24"/>
          <w:szCs w:val="24"/>
        </w:rPr>
      </w:pPr>
      <w:r w:rsidRPr="000C71B7">
        <w:rPr>
          <w:rFonts w:ascii="Arial" w:hAnsi="Arial" w:cs="Arial"/>
          <w:sz w:val="24"/>
          <w:szCs w:val="24"/>
        </w:rPr>
        <w:t>In NPEI’s case, because there is no variance in Account 1589, there would be no resulting difference in anything relating to a loss factor</w:t>
      </w:r>
      <w:r w:rsidR="005A5D98" w:rsidRPr="000C71B7">
        <w:rPr>
          <w:rFonts w:ascii="Arial" w:hAnsi="Arial" w:cs="Arial"/>
          <w:sz w:val="24"/>
          <w:szCs w:val="24"/>
        </w:rPr>
        <w:t xml:space="preserve"> </w:t>
      </w:r>
      <w:r w:rsidR="00F42B95" w:rsidRPr="000C71B7">
        <w:rPr>
          <w:rFonts w:ascii="Arial" w:hAnsi="Arial" w:cs="Arial"/>
          <w:sz w:val="24"/>
          <w:szCs w:val="24"/>
        </w:rPr>
        <w:t xml:space="preserve">in Account 1589. </w:t>
      </w:r>
      <w:r w:rsidRPr="000C71B7">
        <w:rPr>
          <w:rFonts w:ascii="Arial" w:hAnsi="Arial" w:cs="Arial"/>
          <w:sz w:val="24"/>
          <w:szCs w:val="24"/>
        </w:rPr>
        <w:t xml:space="preserve">Hence, </w:t>
      </w:r>
      <w:r w:rsidR="00F42B95" w:rsidRPr="000C71B7">
        <w:rPr>
          <w:rFonts w:ascii="Arial" w:hAnsi="Arial" w:cs="Arial"/>
          <w:sz w:val="24"/>
          <w:szCs w:val="24"/>
        </w:rPr>
        <w:t>any difference between approved and actual loss factors</w:t>
      </w:r>
      <w:r w:rsidRPr="000C71B7">
        <w:rPr>
          <w:rFonts w:ascii="Arial" w:hAnsi="Arial" w:cs="Arial"/>
          <w:sz w:val="24"/>
          <w:szCs w:val="24"/>
        </w:rPr>
        <w:t xml:space="preserve"> would be allocated to all customers </w:t>
      </w:r>
      <w:r w:rsidR="00B6322A" w:rsidRPr="000C71B7">
        <w:rPr>
          <w:rFonts w:ascii="Arial" w:hAnsi="Arial" w:cs="Arial"/>
          <w:sz w:val="24"/>
          <w:szCs w:val="24"/>
        </w:rPr>
        <w:t xml:space="preserve">(RPP and Non-RPP) </w:t>
      </w:r>
      <w:r w:rsidRPr="000C71B7">
        <w:rPr>
          <w:rFonts w:ascii="Arial" w:hAnsi="Arial" w:cs="Arial"/>
          <w:sz w:val="24"/>
          <w:szCs w:val="24"/>
        </w:rPr>
        <w:t xml:space="preserve">because the difference is </w:t>
      </w:r>
      <w:r w:rsidR="00F42B95" w:rsidRPr="000C71B7">
        <w:rPr>
          <w:rFonts w:ascii="Arial" w:hAnsi="Arial" w:cs="Arial"/>
          <w:sz w:val="24"/>
          <w:szCs w:val="24"/>
        </w:rPr>
        <w:t xml:space="preserve">entirely </w:t>
      </w:r>
      <w:r w:rsidRPr="000C71B7">
        <w:rPr>
          <w:rFonts w:ascii="Arial" w:hAnsi="Arial" w:cs="Arial"/>
          <w:sz w:val="24"/>
          <w:szCs w:val="24"/>
        </w:rPr>
        <w:t>accounted for in Account 1588 RSVA Power.</w:t>
      </w:r>
    </w:p>
    <w:p w:rsidR="00B6322A" w:rsidRPr="000C71B7" w:rsidRDefault="00B6322A" w:rsidP="000C71B7">
      <w:pPr>
        <w:jc w:val="both"/>
        <w:rPr>
          <w:rFonts w:ascii="Arial" w:hAnsi="Arial" w:cs="Arial"/>
          <w:sz w:val="24"/>
          <w:szCs w:val="24"/>
        </w:rPr>
      </w:pPr>
    </w:p>
    <w:p w:rsidR="00627870" w:rsidRPr="000C71B7" w:rsidRDefault="00627870" w:rsidP="000C71B7">
      <w:pPr>
        <w:spacing w:after="0"/>
        <w:jc w:val="both"/>
        <w:rPr>
          <w:rFonts w:ascii="Arial" w:hAnsi="Arial" w:cs="Arial"/>
          <w:b/>
          <w:sz w:val="24"/>
          <w:szCs w:val="24"/>
        </w:rPr>
      </w:pPr>
      <w:r w:rsidRPr="000C71B7">
        <w:rPr>
          <w:rFonts w:ascii="Arial" w:hAnsi="Arial" w:cs="Arial"/>
          <w:b/>
          <w:sz w:val="24"/>
          <w:szCs w:val="24"/>
        </w:rPr>
        <w:t>Staff Question #9</w:t>
      </w:r>
    </w:p>
    <w:p w:rsidR="00627870" w:rsidRPr="000C71B7" w:rsidRDefault="00627870" w:rsidP="000C71B7">
      <w:pPr>
        <w:jc w:val="both"/>
        <w:rPr>
          <w:rFonts w:ascii="Arial" w:hAnsi="Arial" w:cs="Arial"/>
          <w:b/>
          <w:sz w:val="24"/>
          <w:szCs w:val="24"/>
        </w:rPr>
      </w:pPr>
      <w:r w:rsidRPr="000C71B7">
        <w:rPr>
          <w:rFonts w:ascii="Arial" w:hAnsi="Arial" w:cs="Arial"/>
          <w:b/>
          <w:sz w:val="24"/>
          <w:szCs w:val="24"/>
        </w:rPr>
        <w:t>Ref: LV Variance Account; Rate Generator Model Tab 3</w:t>
      </w:r>
    </w:p>
    <w:p w:rsidR="00627870" w:rsidRPr="000C71B7" w:rsidRDefault="00627870" w:rsidP="000C71B7">
      <w:pPr>
        <w:jc w:val="both"/>
        <w:rPr>
          <w:rFonts w:ascii="Arial" w:hAnsi="Arial" w:cs="Arial"/>
          <w:sz w:val="24"/>
          <w:szCs w:val="24"/>
        </w:rPr>
      </w:pPr>
      <w:r w:rsidRPr="000C71B7">
        <w:rPr>
          <w:rFonts w:ascii="Arial" w:hAnsi="Arial" w:cs="Arial"/>
          <w:sz w:val="24"/>
          <w:szCs w:val="24"/>
        </w:rPr>
        <w:t>OEB staff notes that the balance of NPEI’s USoA account 1550 is significant. The balance being requested for disposition is $856,391. This balance represents the principal and interest transactions from 2017 plus forecasted interest to April 30, 2019.</w:t>
      </w:r>
    </w:p>
    <w:p w:rsidR="00627870" w:rsidRPr="000C71B7" w:rsidRDefault="00627870" w:rsidP="000C71B7">
      <w:pPr>
        <w:jc w:val="both"/>
        <w:rPr>
          <w:rFonts w:ascii="Arial" w:hAnsi="Arial" w:cs="Arial"/>
          <w:sz w:val="24"/>
          <w:szCs w:val="24"/>
        </w:rPr>
      </w:pPr>
      <w:r w:rsidRPr="000C71B7">
        <w:rPr>
          <w:rFonts w:ascii="Arial" w:hAnsi="Arial" w:cs="Arial"/>
          <w:sz w:val="24"/>
          <w:szCs w:val="24"/>
        </w:rPr>
        <w:t>Please provide an explanation for the large size of the account balance. If practicable, provide a quantitative analysis for amounts paid and amounts collected that reconciles this large balance.</w:t>
      </w:r>
    </w:p>
    <w:p w:rsidR="00F42B95" w:rsidRPr="000C71B7" w:rsidRDefault="00F42B95" w:rsidP="00646D2A">
      <w:pPr>
        <w:jc w:val="both"/>
        <w:rPr>
          <w:rFonts w:ascii="Arial" w:hAnsi="Arial" w:cs="Arial"/>
          <w:sz w:val="24"/>
          <w:szCs w:val="24"/>
        </w:rPr>
      </w:pPr>
    </w:p>
    <w:p w:rsidR="00F42B95" w:rsidRPr="000C71B7" w:rsidRDefault="00F42B95" w:rsidP="00646D2A">
      <w:pPr>
        <w:jc w:val="both"/>
        <w:rPr>
          <w:rFonts w:ascii="Arial" w:hAnsi="Arial" w:cs="Arial"/>
          <w:sz w:val="24"/>
          <w:szCs w:val="24"/>
        </w:rPr>
      </w:pPr>
    </w:p>
    <w:p w:rsidR="00DB25D3" w:rsidRPr="000C71B7" w:rsidRDefault="00DB25D3" w:rsidP="00646D2A">
      <w:pPr>
        <w:spacing w:after="0" w:line="240" w:lineRule="auto"/>
        <w:jc w:val="both"/>
        <w:rPr>
          <w:rFonts w:ascii="Arial" w:hAnsi="Arial" w:cs="Arial"/>
          <w:sz w:val="24"/>
          <w:szCs w:val="24"/>
          <w:u w:val="single"/>
        </w:rPr>
      </w:pPr>
      <w:r w:rsidRPr="000C71B7">
        <w:rPr>
          <w:rFonts w:ascii="Arial" w:hAnsi="Arial" w:cs="Arial"/>
          <w:sz w:val="24"/>
          <w:szCs w:val="24"/>
          <w:u w:val="single"/>
        </w:rPr>
        <w:t>Response</w:t>
      </w:r>
    </w:p>
    <w:p w:rsidR="00627870" w:rsidRPr="000C71B7" w:rsidRDefault="00627870" w:rsidP="00646D2A">
      <w:pPr>
        <w:autoSpaceDE w:val="0"/>
        <w:autoSpaceDN w:val="0"/>
        <w:adjustRightInd w:val="0"/>
        <w:spacing w:after="0" w:line="240" w:lineRule="auto"/>
        <w:jc w:val="both"/>
        <w:rPr>
          <w:rFonts w:ascii="Arial" w:hAnsi="Arial" w:cs="Arial"/>
          <w:b/>
          <w:sz w:val="24"/>
          <w:szCs w:val="24"/>
        </w:rPr>
      </w:pPr>
    </w:p>
    <w:p w:rsidR="00DB25D3" w:rsidRPr="000C71B7" w:rsidRDefault="00667068" w:rsidP="000C71B7">
      <w:pPr>
        <w:autoSpaceDE w:val="0"/>
        <w:autoSpaceDN w:val="0"/>
        <w:adjustRightInd w:val="0"/>
        <w:spacing w:after="0"/>
        <w:jc w:val="both"/>
        <w:rPr>
          <w:rFonts w:ascii="Arial" w:hAnsi="Arial" w:cs="Arial"/>
          <w:sz w:val="24"/>
          <w:szCs w:val="24"/>
        </w:rPr>
      </w:pPr>
      <w:r w:rsidRPr="000C71B7">
        <w:rPr>
          <w:rFonts w:ascii="Arial" w:hAnsi="Arial" w:cs="Arial"/>
          <w:sz w:val="24"/>
          <w:szCs w:val="24"/>
        </w:rPr>
        <w:t>The balance of Account 1550 – LV Variance proposed for disposition of $856,391 consists of Principal of $836,172 and Carrying Charges of $20,219. The table below shows the details of the Principal component of this balance:</w:t>
      </w:r>
    </w:p>
    <w:p w:rsidR="00667068" w:rsidRPr="000C71B7" w:rsidRDefault="00667068" w:rsidP="000C71B7">
      <w:pPr>
        <w:autoSpaceDE w:val="0"/>
        <w:autoSpaceDN w:val="0"/>
        <w:adjustRightInd w:val="0"/>
        <w:spacing w:after="0"/>
        <w:jc w:val="both"/>
        <w:rPr>
          <w:rFonts w:ascii="Arial" w:hAnsi="Arial" w:cs="Arial"/>
          <w:sz w:val="24"/>
          <w:szCs w:val="24"/>
        </w:rPr>
      </w:pPr>
    </w:p>
    <w:p w:rsidR="00667068" w:rsidRPr="000C71B7" w:rsidRDefault="00667068" w:rsidP="000C71B7">
      <w:pPr>
        <w:autoSpaceDE w:val="0"/>
        <w:autoSpaceDN w:val="0"/>
        <w:adjustRightInd w:val="0"/>
        <w:spacing w:after="0"/>
        <w:jc w:val="both"/>
        <w:rPr>
          <w:rFonts w:ascii="Arial" w:hAnsi="Arial" w:cs="Arial"/>
          <w:sz w:val="24"/>
          <w:szCs w:val="24"/>
        </w:rPr>
      </w:pPr>
      <w:r w:rsidRPr="000C71B7">
        <w:rPr>
          <w:rFonts w:ascii="Arial" w:hAnsi="Arial" w:cs="Arial"/>
          <w:noProof/>
          <w:lang w:val="en-US"/>
        </w:rPr>
        <w:drawing>
          <wp:inline distT="0" distB="0" distL="0" distR="0">
            <wp:extent cx="5095875" cy="2886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95875" cy="2886075"/>
                    </a:xfrm>
                    <a:prstGeom prst="rect">
                      <a:avLst/>
                    </a:prstGeom>
                    <a:noFill/>
                    <a:ln>
                      <a:noFill/>
                    </a:ln>
                  </pic:spPr>
                </pic:pic>
              </a:graphicData>
            </a:graphic>
          </wp:inline>
        </w:drawing>
      </w:r>
    </w:p>
    <w:p w:rsidR="00667068" w:rsidRPr="000C71B7" w:rsidRDefault="00667068" w:rsidP="000C71B7">
      <w:pPr>
        <w:autoSpaceDE w:val="0"/>
        <w:autoSpaceDN w:val="0"/>
        <w:adjustRightInd w:val="0"/>
        <w:spacing w:after="0"/>
        <w:jc w:val="both"/>
        <w:rPr>
          <w:rFonts w:ascii="Arial" w:hAnsi="Arial" w:cs="Arial"/>
          <w:sz w:val="24"/>
          <w:szCs w:val="24"/>
        </w:rPr>
      </w:pPr>
    </w:p>
    <w:p w:rsidR="00A8211E" w:rsidRPr="000C71B7" w:rsidRDefault="00A8211E" w:rsidP="000C71B7">
      <w:pPr>
        <w:autoSpaceDE w:val="0"/>
        <w:autoSpaceDN w:val="0"/>
        <w:adjustRightInd w:val="0"/>
        <w:spacing w:after="0"/>
        <w:jc w:val="both"/>
        <w:rPr>
          <w:rFonts w:ascii="Arial" w:hAnsi="Arial" w:cs="Arial"/>
          <w:sz w:val="24"/>
          <w:szCs w:val="24"/>
        </w:rPr>
      </w:pPr>
    </w:p>
    <w:p w:rsidR="00667068" w:rsidRPr="000C71B7" w:rsidRDefault="00A8211E" w:rsidP="000C71B7">
      <w:pPr>
        <w:autoSpaceDE w:val="0"/>
        <w:autoSpaceDN w:val="0"/>
        <w:adjustRightInd w:val="0"/>
        <w:spacing w:after="0"/>
        <w:jc w:val="both"/>
        <w:rPr>
          <w:rFonts w:ascii="Arial" w:hAnsi="Arial" w:cs="Arial"/>
          <w:sz w:val="24"/>
          <w:szCs w:val="24"/>
        </w:rPr>
      </w:pPr>
      <w:r w:rsidRPr="000C71B7">
        <w:rPr>
          <w:rFonts w:ascii="Arial" w:hAnsi="Arial" w:cs="Arial"/>
          <w:sz w:val="24"/>
          <w:szCs w:val="24"/>
        </w:rPr>
        <w:t xml:space="preserve">NPEI’s Board-approved LV rates were last updated in NPEI’s 2015 COS Rate Application (EB-2014-0096). The balance in Account 1550 that accumulated during 2017 is partly due to increases in Hydro One’s approved rates for its </w:t>
      </w:r>
      <w:r w:rsidR="00C548AB" w:rsidRPr="000C71B7">
        <w:rPr>
          <w:rFonts w:ascii="Arial" w:hAnsi="Arial" w:cs="Arial"/>
          <w:sz w:val="24"/>
          <w:szCs w:val="24"/>
        </w:rPr>
        <w:t>Sub-Transmission rate c</w:t>
      </w:r>
      <w:r w:rsidRPr="000C71B7">
        <w:rPr>
          <w:rFonts w:ascii="Arial" w:hAnsi="Arial" w:cs="Arial"/>
          <w:sz w:val="24"/>
          <w:szCs w:val="24"/>
        </w:rPr>
        <w:t xml:space="preserve">lass since NPEI’s last COS application. The total </w:t>
      </w:r>
      <w:r w:rsidR="00C548AB" w:rsidRPr="000C71B7">
        <w:rPr>
          <w:rFonts w:ascii="Arial" w:hAnsi="Arial" w:cs="Arial"/>
          <w:sz w:val="24"/>
          <w:szCs w:val="24"/>
        </w:rPr>
        <w:t xml:space="preserve">amount of </w:t>
      </w:r>
      <w:r w:rsidRPr="000C71B7">
        <w:rPr>
          <w:rFonts w:ascii="Arial" w:hAnsi="Arial" w:cs="Arial"/>
          <w:sz w:val="24"/>
          <w:szCs w:val="24"/>
        </w:rPr>
        <w:t xml:space="preserve">LV charges that NPEI </w:t>
      </w:r>
      <w:r w:rsidR="005D0485" w:rsidRPr="000C71B7">
        <w:rPr>
          <w:rFonts w:ascii="Arial" w:hAnsi="Arial" w:cs="Arial"/>
          <w:sz w:val="24"/>
          <w:szCs w:val="24"/>
        </w:rPr>
        <w:t>was billed by</w:t>
      </w:r>
      <w:r w:rsidRPr="000C71B7">
        <w:rPr>
          <w:rFonts w:ascii="Arial" w:hAnsi="Arial" w:cs="Arial"/>
          <w:sz w:val="24"/>
          <w:szCs w:val="24"/>
        </w:rPr>
        <w:t xml:space="preserve"> Hydro One during 2017 was $967,102, versus $617,364 in 2014, an increase of $349,738.</w:t>
      </w:r>
    </w:p>
    <w:p w:rsidR="00A8211E" w:rsidRPr="000C71B7" w:rsidRDefault="00A8211E" w:rsidP="000C71B7">
      <w:pPr>
        <w:autoSpaceDE w:val="0"/>
        <w:autoSpaceDN w:val="0"/>
        <w:adjustRightInd w:val="0"/>
        <w:spacing w:after="0"/>
        <w:jc w:val="both"/>
        <w:rPr>
          <w:rFonts w:ascii="Arial" w:hAnsi="Arial" w:cs="Arial"/>
          <w:sz w:val="24"/>
          <w:szCs w:val="24"/>
        </w:rPr>
      </w:pPr>
    </w:p>
    <w:p w:rsidR="00A8211E" w:rsidRPr="000C71B7" w:rsidRDefault="00203E9B" w:rsidP="000C71B7">
      <w:pPr>
        <w:autoSpaceDE w:val="0"/>
        <w:autoSpaceDN w:val="0"/>
        <w:adjustRightInd w:val="0"/>
        <w:spacing w:after="0"/>
        <w:jc w:val="both"/>
        <w:rPr>
          <w:rFonts w:ascii="Arial" w:hAnsi="Arial" w:cs="Arial"/>
          <w:sz w:val="24"/>
          <w:szCs w:val="24"/>
        </w:rPr>
      </w:pPr>
      <w:r w:rsidRPr="000C71B7">
        <w:rPr>
          <w:rFonts w:ascii="Arial" w:hAnsi="Arial" w:cs="Arial"/>
          <w:sz w:val="24"/>
          <w:szCs w:val="24"/>
        </w:rPr>
        <w:t>Another</w:t>
      </w:r>
      <w:r w:rsidR="00A8211E" w:rsidRPr="000C71B7">
        <w:rPr>
          <w:rFonts w:ascii="Arial" w:hAnsi="Arial" w:cs="Arial"/>
          <w:sz w:val="24"/>
          <w:szCs w:val="24"/>
        </w:rPr>
        <w:t xml:space="preserve"> factor that contributed to the </w:t>
      </w:r>
      <w:r w:rsidRPr="000C71B7">
        <w:rPr>
          <w:rFonts w:ascii="Arial" w:hAnsi="Arial" w:cs="Arial"/>
          <w:sz w:val="24"/>
          <w:szCs w:val="24"/>
        </w:rPr>
        <w:t xml:space="preserve">Account 1550 balance is that, in 2016, the OEB approved an Embedded Distributor </w:t>
      </w:r>
      <w:r w:rsidR="005D0485" w:rsidRPr="000C71B7">
        <w:rPr>
          <w:rFonts w:ascii="Arial" w:hAnsi="Arial" w:cs="Arial"/>
          <w:sz w:val="24"/>
          <w:szCs w:val="24"/>
        </w:rPr>
        <w:t>rate c</w:t>
      </w:r>
      <w:r w:rsidRPr="000C71B7">
        <w:rPr>
          <w:rFonts w:ascii="Arial" w:hAnsi="Arial" w:cs="Arial"/>
          <w:sz w:val="24"/>
          <w:szCs w:val="24"/>
        </w:rPr>
        <w:t>lass for Grimsby Power Inc.</w:t>
      </w:r>
      <w:r w:rsidR="00C548AB" w:rsidRPr="000C71B7">
        <w:rPr>
          <w:rFonts w:ascii="Arial" w:hAnsi="Arial" w:cs="Arial"/>
          <w:sz w:val="24"/>
          <w:szCs w:val="24"/>
        </w:rPr>
        <w:t xml:space="preserve"> (“GPI”)</w:t>
      </w:r>
      <w:r w:rsidRPr="000C71B7">
        <w:rPr>
          <w:rFonts w:ascii="Arial" w:hAnsi="Arial" w:cs="Arial"/>
          <w:sz w:val="24"/>
          <w:szCs w:val="24"/>
        </w:rPr>
        <w:t xml:space="preserve"> which applies to NPEI. </w:t>
      </w:r>
      <w:r w:rsidR="00C548AB" w:rsidRPr="000C71B7">
        <w:rPr>
          <w:rFonts w:ascii="Arial" w:hAnsi="Arial" w:cs="Arial"/>
          <w:sz w:val="24"/>
          <w:szCs w:val="24"/>
        </w:rPr>
        <w:t>Prior to 2015, NPEI was a customer of Niagara West Transformation Corporation (“NWTC”), a licensed transmitter. NWTC had a Board-</w:t>
      </w:r>
      <w:r w:rsidR="00737105" w:rsidRPr="000C71B7">
        <w:rPr>
          <w:rFonts w:ascii="Arial" w:hAnsi="Arial" w:cs="Arial"/>
          <w:sz w:val="24"/>
          <w:szCs w:val="24"/>
        </w:rPr>
        <w:t xml:space="preserve">approved Transformation Connection </w:t>
      </w:r>
      <w:r w:rsidR="005D0485" w:rsidRPr="000C71B7">
        <w:rPr>
          <w:rFonts w:ascii="Arial" w:hAnsi="Arial" w:cs="Arial"/>
          <w:sz w:val="24"/>
          <w:szCs w:val="24"/>
        </w:rPr>
        <w:t xml:space="preserve">Transmission </w:t>
      </w:r>
      <w:r w:rsidR="00737105" w:rsidRPr="000C71B7">
        <w:rPr>
          <w:rFonts w:ascii="Arial" w:hAnsi="Arial" w:cs="Arial"/>
          <w:sz w:val="24"/>
          <w:szCs w:val="24"/>
        </w:rPr>
        <w:t>rate o</w:t>
      </w:r>
      <w:r w:rsidR="00B10A6B" w:rsidRPr="000C71B7">
        <w:rPr>
          <w:rFonts w:ascii="Arial" w:hAnsi="Arial" w:cs="Arial"/>
          <w:sz w:val="24"/>
          <w:szCs w:val="24"/>
        </w:rPr>
        <w:t xml:space="preserve">f $1.77/kW. NPEI recorded the </w:t>
      </w:r>
      <w:r w:rsidR="00737105" w:rsidRPr="000C71B7">
        <w:rPr>
          <w:rFonts w:ascii="Arial" w:hAnsi="Arial" w:cs="Arial"/>
          <w:sz w:val="24"/>
          <w:szCs w:val="24"/>
        </w:rPr>
        <w:t xml:space="preserve">charges </w:t>
      </w:r>
      <w:r w:rsidR="00B10A6B" w:rsidRPr="000C71B7">
        <w:rPr>
          <w:rFonts w:ascii="Arial" w:hAnsi="Arial" w:cs="Arial"/>
          <w:sz w:val="24"/>
          <w:szCs w:val="24"/>
        </w:rPr>
        <w:t xml:space="preserve">from NWTC </w:t>
      </w:r>
      <w:r w:rsidR="00737105" w:rsidRPr="000C71B7">
        <w:rPr>
          <w:rFonts w:ascii="Arial" w:hAnsi="Arial" w:cs="Arial"/>
          <w:sz w:val="24"/>
          <w:szCs w:val="24"/>
        </w:rPr>
        <w:t xml:space="preserve">in Account 4716 – Charges Connection. In the EB-2014-0344 Decision and Order, issued March 26, 2015, the Board approved </w:t>
      </w:r>
      <w:r w:rsidR="005D0485" w:rsidRPr="000C71B7">
        <w:rPr>
          <w:rFonts w:ascii="Arial" w:hAnsi="Arial" w:cs="Arial"/>
          <w:sz w:val="24"/>
          <w:szCs w:val="24"/>
        </w:rPr>
        <w:t xml:space="preserve">the </w:t>
      </w:r>
      <w:r w:rsidR="00737105" w:rsidRPr="000C71B7">
        <w:rPr>
          <w:rFonts w:ascii="Arial" w:hAnsi="Arial" w:cs="Arial"/>
          <w:sz w:val="24"/>
          <w:szCs w:val="24"/>
        </w:rPr>
        <w:t xml:space="preserve">amalgamation of GPI and NWTC, and deemed the NWTC </w:t>
      </w:r>
      <w:r w:rsidR="005D0485" w:rsidRPr="000C71B7">
        <w:rPr>
          <w:rFonts w:ascii="Arial" w:hAnsi="Arial" w:cs="Arial"/>
          <w:sz w:val="24"/>
          <w:szCs w:val="24"/>
        </w:rPr>
        <w:t xml:space="preserve">transmission </w:t>
      </w:r>
      <w:r w:rsidR="00737105" w:rsidRPr="000C71B7">
        <w:rPr>
          <w:rFonts w:ascii="Arial" w:hAnsi="Arial" w:cs="Arial"/>
          <w:sz w:val="24"/>
          <w:szCs w:val="24"/>
        </w:rPr>
        <w:t xml:space="preserve">assets to be </w:t>
      </w:r>
      <w:r w:rsidR="00B10A6B" w:rsidRPr="000C71B7">
        <w:rPr>
          <w:rFonts w:ascii="Arial" w:hAnsi="Arial" w:cs="Arial"/>
          <w:sz w:val="24"/>
          <w:szCs w:val="24"/>
        </w:rPr>
        <w:t xml:space="preserve">GPI </w:t>
      </w:r>
      <w:r w:rsidR="00737105" w:rsidRPr="000C71B7">
        <w:rPr>
          <w:rFonts w:ascii="Arial" w:hAnsi="Arial" w:cs="Arial"/>
          <w:sz w:val="24"/>
          <w:szCs w:val="24"/>
        </w:rPr>
        <w:t xml:space="preserve">distribution assets. The Board also approved GPI to continue to charge NPEI the NWTC transmission rate of $1.77/kW until GPI’s next rebasing. </w:t>
      </w:r>
    </w:p>
    <w:p w:rsidR="009C070D" w:rsidRPr="000C71B7" w:rsidRDefault="009C070D" w:rsidP="000C71B7">
      <w:pPr>
        <w:autoSpaceDE w:val="0"/>
        <w:autoSpaceDN w:val="0"/>
        <w:adjustRightInd w:val="0"/>
        <w:spacing w:after="0"/>
        <w:jc w:val="both"/>
        <w:rPr>
          <w:rFonts w:ascii="Arial" w:hAnsi="Arial" w:cs="Arial"/>
          <w:sz w:val="24"/>
          <w:szCs w:val="24"/>
        </w:rPr>
      </w:pPr>
    </w:p>
    <w:p w:rsidR="009C070D" w:rsidRPr="000C71B7" w:rsidRDefault="009C070D" w:rsidP="000C71B7">
      <w:pPr>
        <w:autoSpaceDE w:val="0"/>
        <w:autoSpaceDN w:val="0"/>
        <w:adjustRightInd w:val="0"/>
        <w:spacing w:after="0"/>
        <w:jc w:val="both"/>
        <w:rPr>
          <w:rFonts w:ascii="Arial" w:hAnsi="Arial" w:cs="Arial"/>
          <w:sz w:val="24"/>
          <w:szCs w:val="24"/>
        </w:rPr>
      </w:pPr>
      <w:r w:rsidRPr="000C71B7">
        <w:rPr>
          <w:rFonts w:ascii="Arial" w:hAnsi="Arial" w:cs="Arial"/>
          <w:sz w:val="24"/>
          <w:szCs w:val="24"/>
        </w:rPr>
        <w:t>In the Decision and Order in GPI’</w:t>
      </w:r>
      <w:r w:rsidR="00FE7D31" w:rsidRPr="000C71B7">
        <w:rPr>
          <w:rFonts w:ascii="Arial" w:hAnsi="Arial" w:cs="Arial"/>
          <w:sz w:val="24"/>
          <w:szCs w:val="24"/>
        </w:rPr>
        <w:t>s 2016 COS Rate Application (</w:t>
      </w:r>
      <w:r w:rsidRPr="000C71B7">
        <w:rPr>
          <w:rFonts w:ascii="Arial" w:hAnsi="Arial" w:cs="Arial"/>
          <w:sz w:val="24"/>
          <w:szCs w:val="24"/>
        </w:rPr>
        <w:t>EB-2015-0072</w:t>
      </w:r>
      <w:r w:rsidR="00FE7D31" w:rsidRPr="000C71B7">
        <w:rPr>
          <w:rFonts w:ascii="Arial" w:hAnsi="Arial" w:cs="Arial"/>
          <w:sz w:val="24"/>
          <w:szCs w:val="24"/>
        </w:rPr>
        <w:t>)</w:t>
      </w:r>
      <w:r w:rsidRPr="000C71B7">
        <w:rPr>
          <w:rFonts w:ascii="Arial" w:hAnsi="Arial" w:cs="Arial"/>
          <w:sz w:val="24"/>
          <w:szCs w:val="24"/>
        </w:rPr>
        <w:t xml:space="preserve">, the Board approved </w:t>
      </w:r>
      <w:r w:rsidR="005D0485" w:rsidRPr="000C71B7">
        <w:rPr>
          <w:rFonts w:ascii="Arial" w:hAnsi="Arial" w:cs="Arial"/>
          <w:sz w:val="24"/>
          <w:szCs w:val="24"/>
        </w:rPr>
        <w:t>an Embedded Distributor rate class for GPI, which applies to NPEI. Since that time, GPI’s monthly invoice to NPEI includes charges for Retail Transmission Rates – Network (recorded in Account 4714 Charges – Network), Retail Transmission Rates – Connection (recorded in Account 4716 Charges – Connection), Monthly Service Charge and Distribution Volum</w:t>
      </w:r>
      <w:r w:rsidR="00B10A6B" w:rsidRPr="000C71B7">
        <w:rPr>
          <w:rFonts w:ascii="Arial" w:hAnsi="Arial" w:cs="Arial"/>
          <w:sz w:val="24"/>
          <w:szCs w:val="24"/>
        </w:rPr>
        <w:t>etric Charge</w:t>
      </w:r>
      <w:r w:rsidR="005D0485" w:rsidRPr="000C71B7">
        <w:rPr>
          <w:rFonts w:ascii="Arial" w:hAnsi="Arial" w:cs="Arial"/>
          <w:sz w:val="24"/>
          <w:szCs w:val="24"/>
        </w:rPr>
        <w:t xml:space="preserve"> (both recorded in Account 4750 Charges – LV).</w:t>
      </w:r>
    </w:p>
    <w:p w:rsidR="00B10A6B" w:rsidRPr="000C71B7" w:rsidRDefault="00B10A6B" w:rsidP="000C71B7">
      <w:pPr>
        <w:autoSpaceDE w:val="0"/>
        <w:autoSpaceDN w:val="0"/>
        <w:adjustRightInd w:val="0"/>
        <w:spacing w:after="0"/>
        <w:jc w:val="both"/>
        <w:rPr>
          <w:rFonts w:ascii="Arial" w:hAnsi="Arial" w:cs="Arial"/>
          <w:sz w:val="24"/>
          <w:szCs w:val="24"/>
        </w:rPr>
      </w:pPr>
    </w:p>
    <w:p w:rsidR="005D0485" w:rsidRPr="000C71B7" w:rsidRDefault="005D0485" w:rsidP="000C71B7">
      <w:pPr>
        <w:autoSpaceDE w:val="0"/>
        <w:autoSpaceDN w:val="0"/>
        <w:adjustRightInd w:val="0"/>
        <w:spacing w:after="0"/>
        <w:jc w:val="both"/>
        <w:rPr>
          <w:rFonts w:ascii="Arial" w:hAnsi="Arial" w:cs="Arial"/>
          <w:sz w:val="24"/>
          <w:szCs w:val="24"/>
        </w:rPr>
      </w:pPr>
    </w:p>
    <w:p w:rsidR="005D0485" w:rsidRPr="000C71B7" w:rsidRDefault="00A07958" w:rsidP="000C71B7">
      <w:pPr>
        <w:autoSpaceDE w:val="0"/>
        <w:autoSpaceDN w:val="0"/>
        <w:adjustRightInd w:val="0"/>
        <w:spacing w:after="0"/>
        <w:jc w:val="both"/>
        <w:rPr>
          <w:rFonts w:ascii="Arial" w:hAnsi="Arial" w:cs="Arial"/>
          <w:sz w:val="24"/>
          <w:szCs w:val="24"/>
        </w:rPr>
      </w:pPr>
      <w:r w:rsidRPr="000C71B7">
        <w:rPr>
          <w:rFonts w:ascii="Arial" w:hAnsi="Arial" w:cs="Arial"/>
          <w:sz w:val="24"/>
          <w:szCs w:val="24"/>
        </w:rPr>
        <w:t>The total amount of LV charges that NPEI was billed by GPI during 2017 was $383,372.</w:t>
      </w:r>
    </w:p>
    <w:p w:rsidR="00DB25D3" w:rsidRPr="000C71B7" w:rsidRDefault="00DB25D3" w:rsidP="000C71B7">
      <w:pPr>
        <w:autoSpaceDE w:val="0"/>
        <w:autoSpaceDN w:val="0"/>
        <w:adjustRightInd w:val="0"/>
        <w:spacing w:after="0"/>
        <w:jc w:val="both"/>
        <w:rPr>
          <w:rFonts w:ascii="Arial" w:hAnsi="Arial" w:cs="Arial"/>
          <w:b/>
          <w:sz w:val="24"/>
          <w:szCs w:val="24"/>
        </w:rPr>
      </w:pPr>
    </w:p>
    <w:p w:rsidR="00A8211E" w:rsidRPr="000C71B7" w:rsidRDefault="00A8211E" w:rsidP="000C71B7">
      <w:pPr>
        <w:autoSpaceDE w:val="0"/>
        <w:autoSpaceDN w:val="0"/>
        <w:adjustRightInd w:val="0"/>
        <w:spacing w:after="0"/>
        <w:jc w:val="both"/>
        <w:rPr>
          <w:rFonts w:ascii="Arial" w:hAnsi="Arial" w:cs="Arial"/>
          <w:b/>
          <w:sz w:val="24"/>
          <w:szCs w:val="24"/>
        </w:rPr>
      </w:pPr>
    </w:p>
    <w:p w:rsidR="00A8211E" w:rsidRPr="000C71B7" w:rsidRDefault="00A8211E" w:rsidP="000C71B7">
      <w:pPr>
        <w:autoSpaceDE w:val="0"/>
        <w:autoSpaceDN w:val="0"/>
        <w:adjustRightInd w:val="0"/>
        <w:spacing w:after="0"/>
        <w:jc w:val="both"/>
        <w:rPr>
          <w:rFonts w:ascii="Arial" w:hAnsi="Arial" w:cs="Arial"/>
          <w:b/>
          <w:sz w:val="24"/>
          <w:szCs w:val="24"/>
        </w:rPr>
      </w:pPr>
    </w:p>
    <w:sectPr w:rsidR="00A8211E" w:rsidRPr="000C71B7" w:rsidSect="00EA0919">
      <w:headerReference w:type="default" r:id="rId13"/>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6C3B" w:rsidRDefault="00066C3B" w:rsidP="00851418">
      <w:pPr>
        <w:spacing w:after="0" w:line="240" w:lineRule="auto"/>
      </w:pPr>
      <w:r>
        <w:separator/>
      </w:r>
    </w:p>
  </w:endnote>
  <w:endnote w:type="continuationSeparator" w:id="0">
    <w:p w:rsidR="00066C3B" w:rsidRDefault="00066C3B" w:rsidP="00851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6C3B" w:rsidRDefault="00066C3B" w:rsidP="00851418">
      <w:pPr>
        <w:spacing w:after="0" w:line="240" w:lineRule="auto"/>
      </w:pPr>
      <w:r>
        <w:separator/>
      </w:r>
    </w:p>
  </w:footnote>
  <w:footnote w:type="continuationSeparator" w:id="0">
    <w:p w:rsidR="00066C3B" w:rsidRDefault="00066C3B" w:rsidP="00851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1418" w:rsidRPr="00DA5F69" w:rsidRDefault="00D5062F">
    <w:pPr>
      <w:pStyle w:val="Header"/>
      <w:rPr>
        <w:rFonts w:ascii="Arial" w:hAnsi="Arial" w:cs="Arial"/>
        <w:sz w:val="20"/>
        <w:szCs w:val="20"/>
      </w:rPr>
    </w:pPr>
    <w:r w:rsidRPr="00DA5F69">
      <w:rPr>
        <w:rFonts w:ascii="Arial" w:hAnsi="Arial" w:cs="Arial"/>
        <w:sz w:val="20"/>
        <w:szCs w:val="20"/>
      </w:rPr>
      <w:ptab w:relativeTo="margin" w:alignment="center" w:leader="none"/>
    </w:r>
    <w:r w:rsidRPr="00DA5F69">
      <w:rPr>
        <w:rFonts w:ascii="Arial" w:hAnsi="Arial" w:cs="Arial"/>
        <w:sz w:val="20"/>
        <w:szCs w:val="20"/>
      </w:rPr>
      <w:ptab w:relativeTo="margin" w:alignment="right" w:leader="none"/>
    </w:r>
    <w:r w:rsidR="00D5164A">
      <w:rPr>
        <w:rFonts w:ascii="Arial" w:hAnsi="Arial" w:cs="Arial"/>
        <w:sz w:val="20"/>
        <w:szCs w:val="20"/>
      </w:rPr>
      <w:t>Niagara Peninsula Energy Inc.</w:t>
    </w:r>
  </w:p>
  <w:p w:rsidR="00D5062F" w:rsidRDefault="001B40BE">
    <w:pPr>
      <w:pStyle w:val="Header"/>
      <w:rPr>
        <w:rFonts w:ascii="Arial" w:hAnsi="Arial" w:cs="Arial"/>
        <w:sz w:val="20"/>
        <w:szCs w:val="20"/>
      </w:rPr>
    </w:pPr>
    <w:r>
      <w:rPr>
        <w:rFonts w:ascii="Arial" w:hAnsi="Arial" w:cs="Arial"/>
        <w:sz w:val="20"/>
        <w:szCs w:val="20"/>
      </w:rPr>
      <w:tab/>
    </w:r>
    <w:r>
      <w:rPr>
        <w:rFonts w:ascii="Arial" w:hAnsi="Arial" w:cs="Arial"/>
        <w:sz w:val="20"/>
        <w:szCs w:val="20"/>
      </w:rPr>
      <w:tab/>
      <w:t>EB-2018</w:t>
    </w:r>
    <w:r w:rsidR="00DA5F69" w:rsidRPr="00DA5F69">
      <w:rPr>
        <w:rFonts w:ascii="Arial" w:hAnsi="Arial" w:cs="Arial"/>
        <w:sz w:val="20"/>
        <w:szCs w:val="20"/>
      </w:rPr>
      <w:t>-00</w:t>
    </w:r>
    <w:r w:rsidR="00D5164A">
      <w:rPr>
        <w:rFonts w:ascii="Arial" w:hAnsi="Arial" w:cs="Arial"/>
        <w:sz w:val="20"/>
        <w:szCs w:val="20"/>
      </w:rPr>
      <w:t>54</w:t>
    </w:r>
  </w:p>
  <w:p w:rsidR="00B34F02" w:rsidRPr="00DA5F69" w:rsidRDefault="00D5062F">
    <w:pPr>
      <w:pStyle w:val="Header"/>
      <w:rPr>
        <w:rFonts w:ascii="Arial" w:hAnsi="Arial" w:cs="Arial"/>
        <w:b/>
        <w:sz w:val="20"/>
        <w:szCs w:val="20"/>
      </w:rPr>
    </w:pPr>
    <w:r w:rsidRPr="00DA5F69">
      <w:rPr>
        <w:rFonts w:ascii="Arial" w:hAnsi="Arial" w:cs="Arial"/>
        <w:sz w:val="20"/>
        <w:szCs w:val="20"/>
      </w:rPr>
      <w:tab/>
    </w:r>
    <w:r w:rsidRPr="00DA5F69">
      <w:rPr>
        <w:rFonts w:ascii="Arial" w:hAnsi="Arial" w:cs="Arial"/>
        <w:sz w:val="20"/>
        <w:szCs w:val="20"/>
      </w:rPr>
      <w:tab/>
      <w:t xml:space="preserve">Page </w:t>
    </w:r>
    <w:r w:rsidRPr="00DA5F69">
      <w:rPr>
        <w:rFonts w:ascii="Arial" w:hAnsi="Arial" w:cs="Arial"/>
        <w:b/>
        <w:sz w:val="20"/>
        <w:szCs w:val="20"/>
      </w:rPr>
      <w:fldChar w:fldCharType="begin"/>
    </w:r>
    <w:r w:rsidRPr="00DA5F69">
      <w:rPr>
        <w:rFonts w:ascii="Arial" w:hAnsi="Arial" w:cs="Arial"/>
        <w:b/>
        <w:sz w:val="20"/>
        <w:szCs w:val="20"/>
      </w:rPr>
      <w:instrText xml:space="preserve"> PAGE  \* Arabic  \* MERGEFORMAT </w:instrText>
    </w:r>
    <w:r w:rsidRPr="00DA5F69">
      <w:rPr>
        <w:rFonts w:ascii="Arial" w:hAnsi="Arial" w:cs="Arial"/>
        <w:b/>
        <w:sz w:val="20"/>
        <w:szCs w:val="20"/>
      </w:rPr>
      <w:fldChar w:fldCharType="separate"/>
    </w:r>
    <w:r w:rsidR="007E0DDB">
      <w:rPr>
        <w:rFonts w:ascii="Arial" w:hAnsi="Arial" w:cs="Arial"/>
        <w:b/>
        <w:noProof/>
        <w:sz w:val="20"/>
        <w:szCs w:val="20"/>
      </w:rPr>
      <w:t>1</w:t>
    </w:r>
    <w:r w:rsidRPr="00DA5F69">
      <w:rPr>
        <w:rFonts w:ascii="Arial" w:hAnsi="Arial" w:cs="Arial"/>
        <w:b/>
        <w:sz w:val="20"/>
        <w:szCs w:val="20"/>
      </w:rPr>
      <w:fldChar w:fldCharType="end"/>
    </w:r>
    <w:r w:rsidRPr="00DA5F69">
      <w:rPr>
        <w:rFonts w:ascii="Arial" w:hAnsi="Arial" w:cs="Arial"/>
        <w:sz w:val="20"/>
        <w:szCs w:val="20"/>
      </w:rPr>
      <w:t xml:space="preserve"> of </w:t>
    </w:r>
    <w:r w:rsidRPr="00DA5F69">
      <w:rPr>
        <w:rFonts w:ascii="Arial" w:hAnsi="Arial" w:cs="Arial"/>
        <w:b/>
        <w:sz w:val="20"/>
        <w:szCs w:val="20"/>
      </w:rPr>
      <w:fldChar w:fldCharType="begin"/>
    </w:r>
    <w:r w:rsidRPr="00DA5F69">
      <w:rPr>
        <w:rFonts w:ascii="Arial" w:hAnsi="Arial" w:cs="Arial"/>
        <w:b/>
        <w:sz w:val="20"/>
        <w:szCs w:val="20"/>
      </w:rPr>
      <w:instrText xml:space="preserve"> NUMPAGES  \* Arabic  \* MERGEFORMAT </w:instrText>
    </w:r>
    <w:r w:rsidRPr="00DA5F69">
      <w:rPr>
        <w:rFonts w:ascii="Arial" w:hAnsi="Arial" w:cs="Arial"/>
        <w:b/>
        <w:sz w:val="20"/>
        <w:szCs w:val="20"/>
      </w:rPr>
      <w:fldChar w:fldCharType="separate"/>
    </w:r>
    <w:r w:rsidR="007E0DDB">
      <w:rPr>
        <w:rFonts w:ascii="Arial" w:hAnsi="Arial" w:cs="Arial"/>
        <w:b/>
        <w:noProof/>
        <w:sz w:val="20"/>
        <w:szCs w:val="20"/>
      </w:rPr>
      <w:t>10</w:t>
    </w:r>
    <w:r w:rsidRPr="00DA5F69">
      <w:rPr>
        <w:rFonts w:ascii="Arial" w:hAnsi="Arial" w:cs="Arial"/>
        <w:b/>
        <w:sz w:val="20"/>
        <w:szCs w:val="20"/>
      </w:rPr>
      <w:fldChar w:fldCharType="end"/>
    </w:r>
  </w:p>
  <w:p w:rsidR="00D5062F" w:rsidRDefault="00D5062F">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B7195"/>
    <w:multiLevelType w:val="hybridMultilevel"/>
    <w:tmpl w:val="AB92A3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9C6B39"/>
    <w:multiLevelType w:val="hybridMultilevel"/>
    <w:tmpl w:val="19F412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4A541E5"/>
    <w:multiLevelType w:val="hybridMultilevel"/>
    <w:tmpl w:val="75CA5AFE"/>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58460C"/>
    <w:multiLevelType w:val="hybridMultilevel"/>
    <w:tmpl w:val="DD545B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67B52"/>
    <w:multiLevelType w:val="hybridMultilevel"/>
    <w:tmpl w:val="48E60550"/>
    <w:lvl w:ilvl="0" w:tplc="DFDC810C">
      <w:start w:val="1"/>
      <w:numFmt w:val="lowerLetter"/>
      <w:lvlText w:val="%1)"/>
      <w:lvlJc w:val="left"/>
      <w:pPr>
        <w:ind w:left="430" w:hanging="360"/>
      </w:pPr>
      <w:rPr>
        <w:rFonts w:hint="default"/>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5" w15:restartNumberingAfterBreak="0">
    <w:nsid w:val="18B1066B"/>
    <w:multiLevelType w:val="hybridMultilevel"/>
    <w:tmpl w:val="95962D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1F11D3"/>
    <w:multiLevelType w:val="hybridMultilevel"/>
    <w:tmpl w:val="A8B23C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712685"/>
    <w:multiLevelType w:val="hybridMultilevel"/>
    <w:tmpl w:val="E46EF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610C2A"/>
    <w:multiLevelType w:val="hybridMultilevel"/>
    <w:tmpl w:val="C9BCAAB2"/>
    <w:lvl w:ilvl="0" w:tplc="D5107754">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475A16"/>
    <w:multiLevelType w:val="hybridMultilevel"/>
    <w:tmpl w:val="1A00FAB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22DDC"/>
    <w:multiLevelType w:val="hybridMultilevel"/>
    <w:tmpl w:val="027817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E64B57"/>
    <w:multiLevelType w:val="hybridMultilevel"/>
    <w:tmpl w:val="FF3E8032"/>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EDA28FE"/>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055657"/>
    <w:multiLevelType w:val="hybridMultilevel"/>
    <w:tmpl w:val="063EB7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1631C4"/>
    <w:multiLevelType w:val="hybridMultilevel"/>
    <w:tmpl w:val="DEC4AD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8394C"/>
    <w:multiLevelType w:val="hybridMultilevel"/>
    <w:tmpl w:val="AF1424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0943AD"/>
    <w:multiLevelType w:val="hybridMultilevel"/>
    <w:tmpl w:val="7F3C965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456066"/>
    <w:multiLevelType w:val="hybridMultilevel"/>
    <w:tmpl w:val="E4CAC7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0A6302"/>
    <w:multiLevelType w:val="hybridMultilevel"/>
    <w:tmpl w:val="A184D3E6"/>
    <w:lvl w:ilvl="0" w:tplc="CBEEE570">
      <w:start w:val="1"/>
      <w:numFmt w:val="lowerLetter"/>
      <w:lvlText w:val="%1)"/>
      <w:lvlJc w:val="left"/>
      <w:pPr>
        <w:ind w:left="720" w:hanging="360"/>
      </w:pPr>
      <w:rPr>
        <w:rFonts w:ascii="Arial" w:hAnsi="Arial" w:cs="Arial"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3D1C5D"/>
    <w:multiLevelType w:val="hybridMultilevel"/>
    <w:tmpl w:val="1CEE3F4C"/>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5C1F55"/>
    <w:multiLevelType w:val="hybridMultilevel"/>
    <w:tmpl w:val="CF08E33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EAC1155"/>
    <w:multiLevelType w:val="hybridMultilevel"/>
    <w:tmpl w:val="2E9210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BA7A53"/>
    <w:multiLevelType w:val="hybridMultilevel"/>
    <w:tmpl w:val="107CD9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55759C"/>
    <w:multiLevelType w:val="hybridMultilevel"/>
    <w:tmpl w:val="B23E731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F71630"/>
    <w:multiLevelType w:val="hybridMultilevel"/>
    <w:tmpl w:val="5492B8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E44D98"/>
    <w:multiLevelType w:val="hybridMultilevel"/>
    <w:tmpl w:val="EA4603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797C01"/>
    <w:multiLevelType w:val="hybridMultilevel"/>
    <w:tmpl w:val="C63A4638"/>
    <w:lvl w:ilvl="0" w:tplc="1009000F">
      <w:start w:val="1"/>
      <w:numFmt w:val="decimal"/>
      <w:lvlText w:val="%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17D71BE"/>
    <w:multiLevelType w:val="hybridMultilevel"/>
    <w:tmpl w:val="ACA495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2731EA"/>
    <w:multiLevelType w:val="hybridMultilevel"/>
    <w:tmpl w:val="B4D01C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A726D"/>
    <w:multiLevelType w:val="hybridMultilevel"/>
    <w:tmpl w:val="9AF8A810"/>
    <w:lvl w:ilvl="0" w:tplc="EE3E5888">
      <w:start w:val="1"/>
      <w:numFmt w:val="lowerLetter"/>
      <w:lvlText w:val="%1)"/>
      <w:lvlJc w:val="left"/>
      <w:pPr>
        <w:ind w:left="720" w:hanging="360"/>
      </w:pPr>
      <w:rPr>
        <w:rFonts w:ascii="Arial" w:eastAsiaTheme="minorHAnsi" w:hAnsi="Arial" w:cs="Arial"/>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481BA5"/>
    <w:multiLevelType w:val="hybridMultilevel"/>
    <w:tmpl w:val="64B88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A951BB4"/>
    <w:multiLevelType w:val="hybridMultilevel"/>
    <w:tmpl w:val="28E8C6B2"/>
    <w:lvl w:ilvl="0" w:tplc="88140018">
      <w:start w:val="1"/>
      <w:numFmt w:val="lowerLetter"/>
      <w:lvlText w:val="%1)"/>
      <w:lvlJc w:val="left"/>
      <w:pPr>
        <w:ind w:left="720" w:hanging="360"/>
      </w:pPr>
    </w:lvl>
    <w:lvl w:ilvl="1" w:tplc="1009001B">
      <w:start w:val="1"/>
      <w:numFmt w:val="lowerRoman"/>
      <w:lvlText w:val="%2."/>
      <w:lvlJc w:val="righ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B9514A2"/>
    <w:multiLevelType w:val="hybridMultilevel"/>
    <w:tmpl w:val="3588F7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606BCB"/>
    <w:multiLevelType w:val="hybridMultilevel"/>
    <w:tmpl w:val="FE046E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5C556D"/>
    <w:multiLevelType w:val="hybridMultilevel"/>
    <w:tmpl w:val="F73C5066"/>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DD53912"/>
    <w:multiLevelType w:val="hybridMultilevel"/>
    <w:tmpl w:val="F468DDF0"/>
    <w:lvl w:ilvl="0" w:tplc="04090011">
      <w:start w:val="1"/>
      <w:numFmt w:val="decimal"/>
      <w:lvlText w:val="%1)"/>
      <w:lvlJc w:val="left"/>
      <w:pPr>
        <w:ind w:left="360" w:hanging="360"/>
      </w:pPr>
      <w:rPr>
        <w:rFonts w:hint="default"/>
      </w:r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15"/>
  </w:num>
  <w:num w:numId="4">
    <w:abstractNumId w:val="23"/>
  </w:num>
  <w:num w:numId="5">
    <w:abstractNumId w:val="14"/>
  </w:num>
  <w:num w:numId="6">
    <w:abstractNumId w:val="29"/>
  </w:num>
  <w:num w:numId="7">
    <w:abstractNumId w:val="32"/>
  </w:num>
  <w:num w:numId="8">
    <w:abstractNumId w:val="35"/>
  </w:num>
  <w:num w:numId="9">
    <w:abstractNumId w:val="5"/>
  </w:num>
  <w:num w:numId="10">
    <w:abstractNumId w:val="18"/>
  </w:num>
  <w:num w:numId="11">
    <w:abstractNumId w:val="30"/>
  </w:num>
  <w:num w:numId="12">
    <w:abstractNumId w:val="24"/>
  </w:num>
  <w:num w:numId="13">
    <w:abstractNumId w:val="21"/>
  </w:num>
  <w:num w:numId="14">
    <w:abstractNumId w:val="27"/>
  </w:num>
  <w:num w:numId="15">
    <w:abstractNumId w:val="34"/>
  </w:num>
  <w:num w:numId="16">
    <w:abstractNumId w:val="11"/>
  </w:num>
  <w:num w:numId="17">
    <w:abstractNumId w:val="12"/>
  </w:num>
  <w:num w:numId="18">
    <w:abstractNumId w:val="31"/>
  </w:num>
  <w:num w:numId="19">
    <w:abstractNumId w:val="33"/>
  </w:num>
  <w:num w:numId="20">
    <w:abstractNumId w:val="19"/>
  </w:num>
  <w:num w:numId="21">
    <w:abstractNumId w:val="20"/>
  </w:num>
  <w:num w:numId="22">
    <w:abstractNumId w:val="28"/>
  </w:num>
  <w:num w:numId="23">
    <w:abstractNumId w:val="8"/>
  </w:num>
  <w:num w:numId="24">
    <w:abstractNumId w:val="4"/>
  </w:num>
  <w:num w:numId="25">
    <w:abstractNumId w:val="25"/>
  </w:num>
  <w:num w:numId="26">
    <w:abstractNumId w:val="13"/>
  </w:num>
  <w:num w:numId="27">
    <w:abstractNumId w:val="10"/>
  </w:num>
  <w:num w:numId="28">
    <w:abstractNumId w:val="22"/>
  </w:num>
  <w:num w:numId="29">
    <w:abstractNumId w:val="3"/>
  </w:num>
  <w:num w:numId="30">
    <w:abstractNumId w:val="26"/>
  </w:num>
  <w:num w:numId="31">
    <w:abstractNumId w:val="6"/>
  </w:num>
  <w:num w:numId="32">
    <w:abstractNumId w:val="16"/>
  </w:num>
  <w:num w:numId="33">
    <w:abstractNumId w:val="17"/>
  </w:num>
  <w:num w:numId="34">
    <w:abstractNumId w:val="2"/>
  </w:num>
  <w:num w:numId="35">
    <w:abstractNumId w:val="7"/>
  </w:num>
  <w:num w:numId="36">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6F8"/>
    <w:rsid w:val="00003BE1"/>
    <w:rsid w:val="000069CF"/>
    <w:rsid w:val="00011987"/>
    <w:rsid w:val="00012E51"/>
    <w:rsid w:val="0001354E"/>
    <w:rsid w:val="0001531F"/>
    <w:rsid w:val="00030D12"/>
    <w:rsid w:val="000414BC"/>
    <w:rsid w:val="00041BBD"/>
    <w:rsid w:val="000437D6"/>
    <w:rsid w:val="00046E03"/>
    <w:rsid w:val="0005541D"/>
    <w:rsid w:val="00061172"/>
    <w:rsid w:val="00066C3B"/>
    <w:rsid w:val="00083BF0"/>
    <w:rsid w:val="000843ED"/>
    <w:rsid w:val="0008581D"/>
    <w:rsid w:val="00096D51"/>
    <w:rsid w:val="000A1997"/>
    <w:rsid w:val="000B51CC"/>
    <w:rsid w:val="000C035C"/>
    <w:rsid w:val="000C71B7"/>
    <w:rsid w:val="000D2EAF"/>
    <w:rsid w:val="000D3B41"/>
    <w:rsid w:val="000E09DB"/>
    <w:rsid w:val="000E1DAE"/>
    <w:rsid w:val="000E4C7B"/>
    <w:rsid w:val="000F0FBB"/>
    <w:rsid w:val="001010C7"/>
    <w:rsid w:val="001027DF"/>
    <w:rsid w:val="00112D88"/>
    <w:rsid w:val="001257E2"/>
    <w:rsid w:val="00145A2B"/>
    <w:rsid w:val="00146770"/>
    <w:rsid w:val="00150BE5"/>
    <w:rsid w:val="001563E4"/>
    <w:rsid w:val="00156B65"/>
    <w:rsid w:val="0016286E"/>
    <w:rsid w:val="0016330B"/>
    <w:rsid w:val="00163BCB"/>
    <w:rsid w:val="00171C5D"/>
    <w:rsid w:val="00175E69"/>
    <w:rsid w:val="0018179E"/>
    <w:rsid w:val="001977EC"/>
    <w:rsid w:val="001A184E"/>
    <w:rsid w:val="001A459B"/>
    <w:rsid w:val="001B1072"/>
    <w:rsid w:val="001B2AD3"/>
    <w:rsid w:val="001B40BE"/>
    <w:rsid w:val="001C7CA4"/>
    <w:rsid w:val="001D2BB6"/>
    <w:rsid w:val="001D4E56"/>
    <w:rsid w:val="001D5347"/>
    <w:rsid w:val="001D7086"/>
    <w:rsid w:val="001D7A71"/>
    <w:rsid w:val="001E069B"/>
    <w:rsid w:val="001E6EA6"/>
    <w:rsid w:val="001F5CB6"/>
    <w:rsid w:val="00203E9B"/>
    <w:rsid w:val="00204A40"/>
    <w:rsid w:val="00204CE7"/>
    <w:rsid w:val="0021184B"/>
    <w:rsid w:val="002152C0"/>
    <w:rsid w:val="0023076C"/>
    <w:rsid w:val="00233B92"/>
    <w:rsid w:val="002363C3"/>
    <w:rsid w:val="00241483"/>
    <w:rsid w:val="002510CD"/>
    <w:rsid w:val="002579E0"/>
    <w:rsid w:val="00261348"/>
    <w:rsid w:val="00272B65"/>
    <w:rsid w:val="00284B69"/>
    <w:rsid w:val="00286DC4"/>
    <w:rsid w:val="00293086"/>
    <w:rsid w:val="002966E4"/>
    <w:rsid w:val="0029762E"/>
    <w:rsid w:val="002A72E9"/>
    <w:rsid w:val="002B7C64"/>
    <w:rsid w:val="002C477A"/>
    <w:rsid w:val="002C75F8"/>
    <w:rsid w:val="002D2F55"/>
    <w:rsid w:val="002E636B"/>
    <w:rsid w:val="002F218C"/>
    <w:rsid w:val="00303671"/>
    <w:rsid w:val="00304228"/>
    <w:rsid w:val="00314EC6"/>
    <w:rsid w:val="00323A89"/>
    <w:rsid w:val="00323BCB"/>
    <w:rsid w:val="0032442F"/>
    <w:rsid w:val="0032693C"/>
    <w:rsid w:val="00340E11"/>
    <w:rsid w:val="003457E7"/>
    <w:rsid w:val="00351FEF"/>
    <w:rsid w:val="0035397C"/>
    <w:rsid w:val="00354A5F"/>
    <w:rsid w:val="0035774E"/>
    <w:rsid w:val="00360806"/>
    <w:rsid w:val="003624ED"/>
    <w:rsid w:val="00370D5B"/>
    <w:rsid w:val="0037285F"/>
    <w:rsid w:val="003807A2"/>
    <w:rsid w:val="003834CA"/>
    <w:rsid w:val="003856F8"/>
    <w:rsid w:val="00393FCD"/>
    <w:rsid w:val="00394351"/>
    <w:rsid w:val="0039687D"/>
    <w:rsid w:val="0039794B"/>
    <w:rsid w:val="003A7960"/>
    <w:rsid w:val="003C216A"/>
    <w:rsid w:val="003E076C"/>
    <w:rsid w:val="003E7D1C"/>
    <w:rsid w:val="003F1B00"/>
    <w:rsid w:val="003F1B82"/>
    <w:rsid w:val="003F609A"/>
    <w:rsid w:val="003F7D01"/>
    <w:rsid w:val="0040241E"/>
    <w:rsid w:val="00406CDC"/>
    <w:rsid w:val="0041272D"/>
    <w:rsid w:val="00412DC6"/>
    <w:rsid w:val="0043160E"/>
    <w:rsid w:val="00442717"/>
    <w:rsid w:val="00450CB6"/>
    <w:rsid w:val="00451F53"/>
    <w:rsid w:val="00463CA8"/>
    <w:rsid w:val="00464D00"/>
    <w:rsid w:val="00471B90"/>
    <w:rsid w:val="00472EFF"/>
    <w:rsid w:val="004734FA"/>
    <w:rsid w:val="0047404F"/>
    <w:rsid w:val="00475BCE"/>
    <w:rsid w:val="004934A8"/>
    <w:rsid w:val="004939A5"/>
    <w:rsid w:val="004A5F89"/>
    <w:rsid w:val="004C01D2"/>
    <w:rsid w:val="004C1F32"/>
    <w:rsid w:val="004D3930"/>
    <w:rsid w:val="004D46E0"/>
    <w:rsid w:val="004E3F70"/>
    <w:rsid w:val="004F04C5"/>
    <w:rsid w:val="004F4145"/>
    <w:rsid w:val="00511282"/>
    <w:rsid w:val="005117CF"/>
    <w:rsid w:val="005216D6"/>
    <w:rsid w:val="00522C87"/>
    <w:rsid w:val="005231A5"/>
    <w:rsid w:val="005349C8"/>
    <w:rsid w:val="00545B8E"/>
    <w:rsid w:val="00553935"/>
    <w:rsid w:val="0056158D"/>
    <w:rsid w:val="0056326F"/>
    <w:rsid w:val="005647A2"/>
    <w:rsid w:val="005879AC"/>
    <w:rsid w:val="005979B0"/>
    <w:rsid w:val="005A5D98"/>
    <w:rsid w:val="005A69AC"/>
    <w:rsid w:val="005B0481"/>
    <w:rsid w:val="005B4C39"/>
    <w:rsid w:val="005B6E11"/>
    <w:rsid w:val="005C35A4"/>
    <w:rsid w:val="005C4D50"/>
    <w:rsid w:val="005C5C6B"/>
    <w:rsid w:val="005D0485"/>
    <w:rsid w:val="005D1A2D"/>
    <w:rsid w:val="005D352B"/>
    <w:rsid w:val="005D772D"/>
    <w:rsid w:val="005E0591"/>
    <w:rsid w:val="005E77DD"/>
    <w:rsid w:val="005F1F8A"/>
    <w:rsid w:val="005F38E0"/>
    <w:rsid w:val="005F41E7"/>
    <w:rsid w:val="00601C3B"/>
    <w:rsid w:val="0060662D"/>
    <w:rsid w:val="006125B7"/>
    <w:rsid w:val="006167AB"/>
    <w:rsid w:val="006225E9"/>
    <w:rsid w:val="00627870"/>
    <w:rsid w:val="00634992"/>
    <w:rsid w:val="0063554D"/>
    <w:rsid w:val="00646D2A"/>
    <w:rsid w:val="00650A44"/>
    <w:rsid w:val="006546FF"/>
    <w:rsid w:val="006550FD"/>
    <w:rsid w:val="006561C4"/>
    <w:rsid w:val="006604B5"/>
    <w:rsid w:val="0066243E"/>
    <w:rsid w:val="006659F5"/>
    <w:rsid w:val="00667068"/>
    <w:rsid w:val="006848B5"/>
    <w:rsid w:val="0069057C"/>
    <w:rsid w:val="00690FCD"/>
    <w:rsid w:val="00691C29"/>
    <w:rsid w:val="00692FC5"/>
    <w:rsid w:val="006A00EE"/>
    <w:rsid w:val="006A35B7"/>
    <w:rsid w:val="006A6276"/>
    <w:rsid w:val="006A62B9"/>
    <w:rsid w:val="006A6B6B"/>
    <w:rsid w:val="006A72DB"/>
    <w:rsid w:val="006B4DAB"/>
    <w:rsid w:val="006B7A95"/>
    <w:rsid w:val="006C5AD5"/>
    <w:rsid w:val="006C68C5"/>
    <w:rsid w:val="006D268A"/>
    <w:rsid w:val="006E1551"/>
    <w:rsid w:val="006F3EFE"/>
    <w:rsid w:val="00701FC4"/>
    <w:rsid w:val="00706907"/>
    <w:rsid w:val="007175F9"/>
    <w:rsid w:val="00722B60"/>
    <w:rsid w:val="00737105"/>
    <w:rsid w:val="007419C6"/>
    <w:rsid w:val="00746080"/>
    <w:rsid w:val="00772E59"/>
    <w:rsid w:val="00776FED"/>
    <w:rsid w:val="007829E5"/>
    <w:rsid w:val="00794B4A"/>
    <w:rsid w:val="007A64A9"/>
    <w:rsid w:val="007C5A54"/>
    <w:rsid w:val="007D3C19"/>
    <w:rsid w:val="007D51C9"/>
    <w:rsid w:val="007E0DDB"/>
    <w:rsid w:val="007F40FF"/>
    <w:rsid w:val="00801BB6"/>
    <w:rsid w:val="00806D93"/>
    <w:rsid w:val="00807B44"/>
    <w:rsid w:val="0081624A"/>
    <w:rsid w:val="00831DBE"/>
    <w:rsid w:val="00832A00"/>
    <w:rsid w:val="00834E7C"/>
    <w:rsid w:val="00850053"/>
    <w:rsid w:val="00851418"/>
    <w:rsid w:val="008539D9"/>
    <w:rsid w:val="0085409B"/>
    <w:rsid w:val="0086261E"/>
    <w:rsid w:val="00866E79"/>
    <w:rsid w:val="0087639C"/>
    <w:rsid w:val="0087688C"/>
    <w:rsid w:val="008A0688"/>
    <w:rsid w:val="008A57B0"/>
    <w:rsid w:val="008A5D3A"/>
    <w:rsid w:val="008A657C"/>
    <w:rsid w:val="008B6D75"/>
    <w:rsid w:val="008C5FAC"/>
    <w:rsid w:val="008C74E3"/>
    <w:rsid w:val="008F0FAA"/>
    <w:rsid w:val="008F688C"/>
    <w:rsid w:val="008F73E8"/>
    <w:rsid w:val="008F7709"/>
    <w:rsid w:val="00900330"/>
    <w:rsid w:val="00906622"/>
    <w:rsid w:val="009071CF"/>
    <w:rsid w:val="009138FC"/>
    <w:rsid w:val="00923824"/>
    <w:rsid w:val="00937121"/>
    <w:rsid w:val="00941CC2"/>
    <w:rsid w:val="00953C66"/>
    <w:rsid w:val="009643D1"/>
    <w:rsid w:val="009677A0"/>
    <w:rsid w:val="009807D8"/>
    <w:rsid w:val="00983A06"/>
    <w:rsid w:val="00985074"/>
    <w:rsid w:val="00985D4D"/>
    <w:rsid w:val="00993F61"/>
    <w:rsid w:val="009A5717"/>
    <w:rsid w:val="009B02A8"/>
    <w:rsid w:val="009C070D"/>
    <w:rsid w:val="009C17CC"/>
    <w:rsid w:val="009C79A3"/>
    <w:rsid w:val="009D30CF"/>
    <w:rsid w:val="009E0910"/>
    <w:rsid w:val="009E1E72"/>
    <w:rsid w:val="009E4F0A"/>
    <w:rsid w:val="00A02728"/>
    <w:rsid w:val="00A07958"/>
    <w:rsid w:val="00A07978"/>
    <w:rsid w:val="00A102CC"/>
    <w:rsid w:val="00A14832"/>
    <w:rsid w:val="00A16652"/>
    <w:rsid w:val="00A207D8"/>
    <w:rsid w:val="00A30E40"/>
    <w:rsid w:val="00A36FB3"/>
    <w:rsid w:val="00A41C6F"/>
    <w:rsid w:val="00A52E2A"/>
    <w:rsid w:val="00A532E2"/>
    <w:rsid w:val="00A56010"/>
    <w:rsid w:val="00A56508"/>
    <w:rsid w:val="00A668A7"/>
    <w:rsid w:val="00A704BA"/>
    <w:rsid w:val="00A713D4"/>
    <w:rsid w:val="00A71C61"/>
    <w:rsid w:val="00A71F2C"/>
    <w:rsid w:val="00A81A28"/>
    <w:rsid w:val="00A8211E"/>
    <w:rsid w:val="00A83349"/>
    <w:rsid w:val="00A92BB5"/>
    <w:rsid w:val="00A9717E"/>
    <w:rsid w:val="00AA06D9"/>
    <w:rsid w:val="00AB0B9E"/>
    <w:rsid w:val="00AD340F"/>
    <w:rsid w:val="00AF12C9"/>
    <w:rsid w:val="00AF288A"/>
    <w:rsid w:val="00AF2B0D"/>
    <w:rsid w:val="00B076A5"/>
    <w:rsid w:val="00B10A6B"/>
    <w:rsid w:val="00B14C2B"/>
    <w:rsid w:val="00B20109"/>
    <w:rsid w:val="00B2041B"/>
    <w:rsid w:val="00B22265"/>
    <w:rsid w:val="00B247C1"/>
    <w:rsid w:val="00B25576"/>
    <w:rsid w:val="00B314F3"/>
    <w:rsid w:val="00B34F02"/>
    <w:rsid w:val="00B37784"/>
    <w:rsid w:val="00B37CD3"/>
    <w:rsid w:val="00B41852"/>
    <w:rsid w:val="00B56997"/>
    <w:rsid w:val="00B611D3"/>
    <w:rsid w:val="00B6322A"/>
    <w:rsid w:val="00B76EA7"/>
    <w:rsid w:val="00B87FBE"/>
    <w:rsid w:val="00B97F5F"/>
    <w:rsid w:val="00B97FB4"/>
    <w:rsid w:val="00BA12EA"/>
    <w:rsid w:val="00BC1A68"/>
    <w:rsid w:val="00BD4512"/>
    <w:rsid w:val="00BD52F2"/>
    <w:rsid w:val="00BD754D"/>
    <w:rsid w:val="00BE1A92"/>
    <w:rsid w:val="00BF7CFF"/>
    <w:rsid w:val="00C23F96"/>
    <w:rsid w:val="00C27332"/>
    <w:rsid w:val="00C42E7B"/>
    <w:rsid w:val="00C464C7"/>
    <w:rsid w:val="00C548AB"/>
    <w:rsid w:val="00C6280A"/>
    <w:rsid w:val="00C63C8D"/>
    <w:rsid w:val="00C7140B"/>
    <w:rsid w:val="00C744C2"/>
    <w:rsid w:val="00C818E2"/>
    <w:rsid w:val="00CA0B82"/>
    <w:rsid w:val="00CA234C"/>
    <w:rsid w:val="00CA344E"/>
    <w:rsid w:val="00CA6CFD"/>
    <w:rsid w:val="00CB168B"/>
    <w:rsid w:val="00CC447E"/>
    <w:rsid w:val="00CC6D11"/>
    <w:rsid w:val="00CF0F7C"/>
    <w:rsid w:val="00D0061C"/>
    <w:rsid w:val="00D02D7F"/>
    <w:rsid w:val="00D0773D"/>
    <w:rsid w:val="00D215CA"/>
    <w:rsid w:val="00D21A42"/>
    <w:rsid w:val="00D2658F"/>
    <w:rsid w:val="00D32D5A"/>
    <w:rsid w:val="00D348BB"/>
    <w:rsid w:val="00D352AB"/>
    <w:rsid w:val="00D36BBE"/>
    <w:rsid w:val="00D47CBB"/>
    <w:rsid w:val="00D5062F"/>
    <w:rsid w:val="00D5164A"/>
    <w:rsid w:val="00D5227A"/>
    <w:rsid w:val="00D56A27"/>
    <w:rsid w:val="00D621FC"/>
    <w:rsid w:val="00D72628"/>
    <w:rsid w:val="00D80EDE"/>
    <w:rsid w:val="00D87B36"/>
    <w:rsid w:val="00D91B73"/>
    <w:rsid w:val="00D958A6"/>
    <w:rsid w:val="00D95CAA"/>
    <w:rsid w:val="00D95F3E"/>
    <w:rsid w:val="00D974D5"/>
    <w:rsid w:val="00D975C5"/>
    <w:rsid w:val="00DA09D0"/>
    <w:rsid w:val="00DA2484"/>
    <w:rsid w:val="00DA4B99"/>
    <w:rsid w:val="00DA5F69"/>
    <w:rsid w:val="00DB25D3"/>
    <w:rsid w:val="00DB30CD"/>
    <w:rsid w:val="00DC2E85"/>
    <w:rsid w:val="00DC3F8F"/>
    <w:rsid w:val="00DD09DC"/>
    <w:rsid w:val="00DE1A3A"/>
    <w:rsid w:val="00DE6348"/>
    <w:rsid w:val="00DF6932"/>
    <w:rsid w:val="00E02478"/>
    <w:rsid w:val="00E04BAD"/>
    <w:rsid w:val="00E05D94"/>
    <w:rsid w:val="00E10197"/>
    <w:rsid w:val="00E2026C"/>
    <w:rsid w:val="00E23ECF"/>
    <w:rsid w:val="00E261A1"/>
    <w:rsid w:val="00E26699"/>
    <w:rsid w:val="00E2683A"/>
    <w:rsid w:val="00E31459"/>
    <w:rsid w:val="00E452BA"/>
    <w:rsid w:val="00E45775"/>
    <w:rsid w:val="00E6089B"/>
    <w:rsid w:val="00E63408"/>
    <w:rsid w:val="00E6651E"/>
    <w:rsid w:val="00E74B81"/>
    <w:rsid w:val="00E7523D"/>
    <w:rsid w:val="00E857B8"/>
    <w:rsid w:val="00E875F8"/>
    <w:rsid w:val="00E909A7"/>
    <w:rsid w:val="00E9387D"/>
    <w:rsid w:val="00EA0919"/>
    <w:rsid w:val="00EA2CF7"/>
    <w:rsid w:val="00EA6750"/>
    <w:rsid w:val="00EB68C4"/>
    <w:rsid w:val="00EC0C97"/>
    <w:rsid w:val="00EC26AE"/>
    <w:rsid w:val="00ED120A"/>
    <w:rsid w:val="00ED3CE0"/>
    <w:rsid w:val="00ED3F0B"/>
    <w:rsid w:val="00EE450C"/>
    <w:rsid w:val="00EF616E"/>
    <w:rsid w:val="00F213C1"/>
    <w:rsid w:val="00F27A5F"/>
    <w:rsid w:val="00F34EDA"/>
    <w:rsid w:val="00F42B95"/>
    <w:rsid w:val="00F4428A"/>
    <w:rsid w:val="00F45C35"/>
    <w:rsid w:val="00F521D1"/>
    <w:rsid w:val="00F57848"/>
    <w:rsid w:val="00F66E08"/>
    <w:rsid w:val="00F72F89"/>
    <w:rsid w:val="00F856E1"/>
    <w:rsid w:val="00F86479"/>
    <w:rsid w:val="00F91432"/>
    <w:rsid w:val="00F92F12"/>
    <w:rsid w:val="00F96ACE"/>
    <w:rsid w:val="00FB3A11"/>
    <w:rsid w:val="00FC76AA"/>
    <w:rsid w:val="00FD4924"/>
    <w:rsid w:val="00FD5EDC"/>
    <w:rsid w:val="00FE794E"/>
    <w:rsid w:val="00FE7D31"/>
    <w:rsid w:val="00FF68CC"/>
    <w:rsid w:val="00FF6EA0"/>
    <w:rsid w:val="00FF72F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5:docId w15:val="{98FF87BC-ABA1-4955-85CA-7978A6FEF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442F"/>
    <w:pPr>
      <w:ind w:left="720"/>
      <w:contextualSpacing/>
    </w:pPr>
  </w:style>
  <w:style w:type="paragraph" w:styleId="BalloonText">
    <w:name w:val="Balloon Text"/>
    <w:basedOn w:val="Normal"/>
    <w:link w:val="BalloonTextChar"/>
    <w:uiPriority w:val="99"/>
    <w:semiHidden/>
    <w:unhideWhenUsed/>
    <w:rsid w:val="00964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3D1"/>
    <w:rPr>
      <w:rFonts w:ascii="Tahoma" w:hAnsi="Tahoma" w:cs="Tahoma"/>
      <w:sz w:val="16"/>
      <w:szCs w:val="16"/>
    </w:rPr>
  </w:style>
  <w:style w:type="paragraph" w:styleId="Header">
    <w:name w:val="header"/>
    <w:basedOn w:val="Normal"/>
    <w:link w:val="HeaderChar"/>
    <w:uiPriority w:val="99"/>
    <w:unhideWhenUsed/>
    <w:rsid w:val="00851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418"/>
  </w:style>
  <w:style w:type="paragraph" w:styleId="Footer">
    <w:name w:val="footer"/>
    <w:basedOn w:val="Normal"/>
    <w:link w:val="FooterChar"/>
    <w:uiPriority w:val="99"/>
    <w:unhideWhenUsed/>
    <w:rsid w:val="00851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418"/>
  </w:style>
  <w:style w:type="character" w:styleId="Hyperlink">
    <w:name w:val="Hyperlink"/>
    <w:basedOn w:val="DefaultParagraphFont"/>
    <w:uiPriority w:val="99"/>
    <w:unhideWhenUsed/>
    <w:rsid w:val="00145A2B"/>
    <w:rPr>
      <w:color w:val="0000FF" w:themeColor="hyperlink"/>
      <w:u w:val="single"/>
    </w:rPr>
  </w:style>
  <w:style w:type="paragraph" w:customStyle="1" w:styleId="Default">
    <w:name w:val="Default"/>
    <w:rsid w:val="00A56010"/>
    <w:pPr>
      <w:autoSpaceDE w:val="0"/>
      <w:autoSpaceDN w:val="0"/>
      <w:adjustRightInd w:val="0"/>
      <w:spacing w:after="0" w:line="240" w:lineRule="auto"/>
    </w:pPr>
    <w:rPr>
      <w:rFonts w:ascii="Arial" w:hAnsi="Arial" w:cs="Arial"/>
      <w:color w:val="000000"/>
      <w:sz w:val="24"/>
      <w:szCs w:val="24"/>
    </w:rPr>
  </w:style>
  <w:style w:type="paragraph" w:styleId="FootnoteText">
    <w:name w:val="footnote text"/>
    <w:basedOn w:val="Normal"/>
    <w:link w:val="FootnoteTextChar"/>
    <w:uiPriority w:val="99"/>
    <w:semiHidden/>
    <w:unhideWhenUsed/>
    <w:rsid w:val="0090033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0330"/>
    <w:rPr>
      <w:sz w:val="20"/>
      <w:szCs w:val="20"/>
    </w:rPr>
  </w:style>
  <w:style w:type="character" w:styleId="FootnoteReference">
    <w:name w:val="footnote reference"/>
    <w:basedOn w:val="DefaultParagraphFont"/>
    <w:uiPriority w:val="99"/>
    <w:semiHidden/>
    <w:unhideWhenUsed/>
    <w:rsid w:val="00900330"/>
    <w:rPr>
      <w:vertAlign w:val="superscript"/>
    </w:rPr>
  </w:style>
  <w:style w:type="character" w:styleId="CommentReference">
    <w:name w:val="annotation reference"/>
    <w:basedOn w:val="DefaultParagraphFont"/>
    <w:uiPriority w:val="99"/>
    <w:semiHidden/>
    <w:unhideWhenUsed/>
    <w:rsid w:val="00772E59"/>
    <w:rPr>
      <w:sz w:val="16"/>
      <w:szCs w:val="16"/>
    </w:rPr>
  </w:style>
  <w:style w:type="paragraph" w:styleId="CommentText">
    <w:name w:val="annotation text"/>
    <w:basedOn w:val="Normal"/>
    <w:link w:val="CommentTextChar"/>
    <w:uiPriority w:val="99"/>
    <w:semiHidden/>
    <w:unhideWhenUsed/>
    <w:rsid w:val="00772E59"/>
    <w:pPr>
      <w:spacing w:line="240" w:lineRule="auto"/>
    </w:pPr>
    <w:rPr>
      <w:sz w:val="20"/>
      <w:szCs w:val="20"/>
    </w:rPr>
  </w:style>
  <w:style w:type="character" w:customStyle="1" w:styleId="CommentTextChar">
    <w:name w:val="Comment Text Char"/>
    <w:basedOn w:val="DefaultParagraphFont"/>
    <w:link w:val="CommentText"/>
    <w:uiPriority w:val="99"/>
    <w:semiHidden/>
    <w:rsid w:val="00772E59"/>
    <w:rPr>
      <w:sz w:val="20"/>
      <w:szCs w:val="20"/>
    </w:rPr>
  </w:style>
  <w:style w:type="paragraph" w:styleId="CommentSubject">
    <w:name w:val="annotation subject"/>
    <w:basedOn w:val="CommentText"/>
    <w:next w:val="CommentText"/>
    <w:link w:val="CommentSubjectChar"/>
    <w:uiPriority w:val="99"/>
    <w:semiHidden/>
    <w:unhideWhenUsed/>
    <w:rsid w:val="00772E59"/>
    <w:rPr>
      <w:b/>
      <w:bCs/>
    </w:rPr>
  </w:style>
  <w:style w:type="character" w:customStyle="1" w:styleId="CommentSubjectChar">
    <w:name w:val="Comment Subject Char"/>
    <w:basedOn w:val="CommentTextChar"/>
    <w:link w:val="CommentSubject"/>
    <w:uiPriority w:val="99"/>
    <w:semiHidden/>
    <w:rsid w:val="00772E59"/>
    <w:rPr>
      <w:b/>
      <w:bCs/>
      <w:sz w:val="20"/>
      <w:szCs w:val="20"/>
    </w:rPr>
  </w:style>
  <w:style w:type="table" w:styleId="TableGrid">
    <w:name w:val="Table Grid"/>
    <w:basedOn w:val="TableNormal"/>
    <w:uiPriority w:val="39"/>
    <w:rsid w:val="000E1DA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456388">
      <w:bodyDiv w:val="1"/>
      <w:marLeft w:val="0"/>
      <w:marRight w:val="0"/>
      <w:marTop w:val="0"/>
      <w:marBottom w:val="0"/>
      <w:divBdr>
        <w:top w:val="none" w:sz="0" w:space="0" w:color="auto"/>
        <w:left w:val="none" w:sz="0" w:space="0" w:color="auto"/>
        <w:bottom w:val="none" w:sz="0" w:space="0" w:color="auto"/>
        <w:right w:val="none" w:sz="0" w:space="0" w:color="auto"/>
      </w:divBdr>
    </w:div>
    <w:div w:id="289092824">
      <w:bodyDiv w:val="1"/>
      <w:marLeft w:val="0"/>
      <w:marRight w:val="0"/>
      <w:marTop w:val="0"/>
      <w:marBottom w:val="0"/>
      <w:divBdr>
        <w:top w:val="none" w:sz="0" w:space="0" w:color="auto"/>
        <w:left w:val="none" w:sz="0" w:space="0" w:color="auto"/>
        <w:bottom w:val="none" w:sz="0" w:space="0" w:color="auto"/>
        <w:right w:val="none" w:sz="0" w:space="0" w:color="auto"/>
      </w:divBdr>
    </w:div>
    <w:div w:id="545416455">
      <w:bodyDiv w:val="1"/>
      <w:marLeft w:val="0"/>
      <w:marRight w:val="0"/>
      <w:marTop w:val="0"/>
      <w:marBottom w:val="0"/>
      <w:divBdr>
        <w:top w:val="none" w:sz="0" w:space="0" w:color="auto"/>
        <w:left w:val="none" w:sz="0" w:space="0" w:color="auto"/>
        <w:bottom w:val="none" w:sz="0" w:space="0" w:color="auto"/>
        <w:right w:val="none" w:sz="0" w:space="0" w:color="auto"/>
      </w:divBdr>
    </w:div>
    <w:div w:id="567544250">
      <w:bodyDiv w:val="1"/>
      <w:marLeft w:val="0"/>
      <w:marRight w:val="0"/>
      <w:marTop w:val="0"/>
      <w:marBottom w:val="0"/>
      <w:divBdr>
        <w:top w:val="none" w:sz="0" w:space="0" w:color="auto"/>
        <w:left w:val="none" w:sz="0" w:space="0" w:color="auto"/>
        <w:bottom w:val="none" w:sz="0" w:space="0" w:color="auto"/>
        <w:right w:val="none" w:sz="0" w:space="0" w:color="auto"/>
      </w:divBdr>
    </w:div>
    <w:div w:id="1299604929">
      <w:bodyDiv w:val="1"/>
      <w:marLeft w:val="0"/>
      <w:marRight w:val="0"/>
      <w:marTop w:val="0"/>
      <w:marBottom w:val="0"/>
      <w:divBdr>
        <w:top w:val="none" w:sz="0" w:space="0" w:color="auto"/>
        <w:left w:val="none" w:sz="0" w:space="0" w:color="auto"/>
        <w:bottom w:val="none" w:sz="0" w:space="0" w:color="auto"/>
        <w:right w:val="none" w:sz="0" w:space="0" w:color="auto"/>
      </w:divBdr>
    </w:div>
    <w:div w:id="1558005404">
      <w:bodyDiv w:val="1"/>
      <w:marLeft w:val="0"/>
      <w:marRight w:val="0"/>
      <w:marTop w:val="0"/>
      <w:marBottom w:val="0"/>
      <w:divBdr>
        <w:top w:val="none" w:sz="0" w:space="0" w:color="auto"/>
        <w:left w:val="none" w:sz="0" w:space="0" w:color="auto"/>
        <w:bottom w:val="none" w:sz="0" w:space="0" w:color="auto"/>
        <w:right w:val="none" w:sz="0" w:space="0" w:color="auto"/>
      </w:divBdr>
    </w:div>
    <w:div w:id="1621298351">
      <w:bodyDiv w:val="1"/>
      <w:marLeft w:val="0"/>
      <w:marRight w:val="0"/>
      <w:marTop w:val="0"/>
      <w:marBottom w:val="0"/>
      <w:divBdr>
        <w:top w:val="none" w:sz="0" w:space="0" w:color="auto"/>
        <w:left w:val="none" w:sz="0" w:space="0" w:color="auto"/>
        <w:bottom w:val="none" w:sz="0" w:space="0" w:color="auto"/>
        <w:right w:val="none" w:sz="0" w:space="0" w:color="auto"/>
      </w:divBdr>
    </w:div>
    <w:div w:id="179190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39D6B-1A22-44AE-9C69-1F4CA7981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2367</Words>
  <Characters>13492</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EB-2015-0101</vt:lpstr>
    </vt:vector>
  </TitlesOfParts>
  <Company>Sioux Lookout Hydro Inc.</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EB-2015-0101</dc:title>
  <dc:creator>Katherine Wang</dc:creator>
  <cp:lastModifiedBy>Christiane Wong</cp:lastModifiedBy>
  <cp:revision>2</cp:revision>
  <cp:lastPrinted>2018-11-30T19:12:00Z</cp:lastPrinted>
  <dcterms:created xsi:type="dcterms:W3CDTF">2018-12-14T14:46:00Z</dcterms:created>
  <dcterms:modified xsi:type="dcterms:W3CDTF">2018-12-14T14:46:00Z</dcterms:modified>
</cp:coreProperties>
</file>