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48DF7" w14:textId="77777777" w:rsidR="0003085F" w:rsidRPr="00FE18A5" w:rsidRDefault="006149E7" w:rsidP="0003085F">
      <w:pPr>
        <w:pStyle w:val="NoSpacing"/>
        <w:jc w:val="center"/>
        <w:rPr>
          <w:rFonts w:ascii="Arial" w:hAnsi="Arial" w:cs="Arial"/>
          <w:b/>
          <w:sz w:val="28"/>
          <w:szCs w:val="32"/>
        </w:rPr>
      </w:pPr>
      <w:r w:rsidRPr="006149E7">
        <w:rPr>
          <w:rFonts w:ascii="Arial" w:hAnsi="Arial" w:cs="Arial"/>
          <w:b/>
          <w:sz w:val="28"/>
          <w:szCs w:val="32"/>
          <w:u w:val="single"/>
        </w:rPr>
        <w:t>Veridian Responses</w:t>
      </w:r>
      <w:r>
        <w:rPr>
          <w:rFonts w:ascii="Arial" w:hAnsi="Arial" w:cs="Arial"/>
          <w:b/>
          <w:sz w:val="28"/>
          <w:szCs w:val="32"/>
        </w:rPr>
        <w:t xml:space="preserve"> to </w:t>
      </w:r>
      <w:r w:rsidR="0003085F">
        <w:rPr>
          <w:rFonts w:ascii="Arial" w:hAnsi="Arial" w:cs="Arial"/>
          <w:b/>
          <w:sz w:val="28"/>
          <w:szCs w:val="32"/>
        </w:rPr>
        <w:t>OEB Staff</w:t>
      </w:r>
      <w:r w:rsidR="0003085F" w:rsidRPr="00FE18A5">
        <w:rPr>
          <w:rFonts w:ascii="Arial" w:hAnsi="Arial" w:cs="Arial"/>
          <w:b/>
          <w:sz w:val="28"/>
          <w:szCs w:val="32"/>
        </w:rPr>
        <w:t xml:space="preserve"> Questions</w:t>
      </w:r>
    </w:p>
    <w:p w14:paraId="2EB72A47" w14:textId="77777777" w:rsidR="0003085F" w:rsidRPr="00FE18A5" w:rsidRDefault="0003085F" w:rsidP="0003085F">
      <w:pPr>
        <w:pStyle w:val="NoSpacing"/>
        <w:jc w:val="center"/>
        <w:rPr>
          <w:rFonts w:ascii="Arial" w:hAnsi="Arial" w:cs="Arial"/>
          <w:b/>
          <w:sz w:val="28"/>
          <w:szCs w:val="32"/>
        </w:rPr>
      </w:pPr>
      <w:r w:rsidRPr="00FE18A5">
        <w:rPr>
          <w:rFonts w:ascii="Arial" w:hAnsi="Arial" w:cs="Arial"/>
          <w:b/>
          <w:sz w:val="28"/>
          <w:szCs w:val="32"/>
        </w:rPr>
        <w:t xml:space="preserve">for </w:t>
      </w:r>
      <w:r>
        <w:rPr>
          <w:rFonts w:ascii="Arial" w:hAnsi="Arial" w:cs="Arial"/>
          <w:b/>
          <w:sz w:val="28"/>
          <w:szCs w:val="32"/>
        </w:rPr>
        <w:t>Veridian Connections’</w:t>
      </w:r>
      <w:r w:rsidRPr="00FE18A5">
        <w:rPr>
          <w:rFonts w:ascii="Arial" w:hAnsi="Arial" w:cs="Arial"/>
          <w:b/>
          <w:sz w:val="28"/>
          <w:szCs w:val="32"/>
        </w:rPr>
        <w:t xml:space="preserve"> 2019 IRM Application</w:t>
      </w:r>
    </w:p>
    <w:p w14:paraId="43DDAEB3" w14:textId="77777777" w:rsidR="0003085F" w:rsidRPr="00FE18A5" w:rsidRDefault="0003085F" w:rsidP="0003085F">
      <w:pPr>
        <w:pStyle w:val="NoSpacing"/>
        <w:jc w:val="center"/>
        <w:rPr>
          <w:rFonts w:ascii="Arial" w:hAnsi="Arial" w:cs="Arial"/>
          <w:b/>
          <w:sz w:val="28"/>
          <w:szCs w:val="32"/>
        </w:rPr>
      </w:pPr>
      <w:r>
        <w:rPr>
          <w:rFonts w:ascii="Arial" w:hAnsi="Arial" w:cs="Arial"/>
          <w:b/>
          <w:sz w:val="28"/>
          <w:szCs w:val="32"/>
        </w:rPr>
        <w:t>(EB-2018-0072</w:t>
      </w:r>
      <w:r w:rsidRPr="00FE18A5">
        <w:rPr>
          <w:rFonts w:ascii="Arial" w:hAnsi="Arial" w:cs="Arial"/>
          <w:b/>
          <w:sz w:val="28"/>
          <w:szCs w:val="32"/>
        </w:rPr>
        <w:t>)</w:t>
      </w:r>
    </w:p>
    <w:p w14:paraId="2A83D8C1" w14:textId="77777777" w:rsidR="0003085F" w:rsidRPr="00414F7D" w:rsidRDefault="0003085F" w:rsidP="0003085F">
      <w:pPr>
        <w:spacing w:line="276" w:lineRule="auto"/>
        <w:rPr>
          <w:rFonts w:ascii="Arial" w:hAnsi="Arial" w:cs="Arial"/>
          <w:b/>
          <w:sz w:val="24"/>
          <w:szCs w:val="24"/>
        </w:rPr>
      </w:pPr>
    </w:p>
    <w:p w14:paraId="1F1F21C8" w14:textId="77777777" w:rsidR="0003085F" w:rsidRPr="00DB28E4" w:rsidRDefault="0003085F" w:rsidP="0003085F">
      <w:pPr>
        <w:pStyle w:val="Heading1"/>
        <w:rPr>
          <w:b/>
        </w:rPr>
      </w:pPr>
      <w:r w:rsidRPr="00DB28E4">
        <w:rPr>
          <w:b/>
        </w:rPr>
        <w:t>Staff-</w:t>
      </w:r>
      <w:r>
        <w:rPr>
          <w:b/>
        </w:rPr>
        <w:t>1</w:t>
      </w:r>
    </w:p>
    <w:p w14:paraId="085FBBF1" w14:textId="77777777" w:rsidR="0003085F" w:rsidRPr="00DB28E4" w:rsidRDefault="0003085F" w:rsidP="0003085F">
      <w:pPr>
        <w:pStyle w:val="NoSpacing"/>
        <w:rPr>
          <w:rFonts w:ascii="Arial" w:hAnsi="Arial" w:cs="Arial"/>
          <w:b/>
          <w:sz w:val="24"/>
          <w:szCs w:val="24"/>
        </w:rPr>
      </w:pPr>
      <w:r w:rsidRPr="00DB28E4">
        <w:rPr>
          <w:rFonts w:ascii="Arial" w:hAnsi="Arial" w:cs="Arial"/>
          <w:b/>
          <w:sz w:val="24"/>
          <w:szCs w:val="24"/>
        </w:rPr>
        <w:t xml:space="preserve">Ref:    </w:t>
      </w:r>
      <w:r>
        <w:rPr>
          <w:rFonts w:ascii="Arial" w:hAnsi="Arial" w:cs="Arial"/>
          <w:b/>
          <w:sz w:val="24"/>
          <w:szCs w:val="24"/>
        </w:rPr>
        <w:t xml:space="preserve">2018 </w:t>
      </w:r>
      <w:r w:rsidR="00192DEE">
        <w:rPr>
          <w:rFonts w:ascii="Arial" w:hAnsi="Arial" w:cs="Arial"/>
          <w:b/>
          <w:sz w:val="24"/>
          <w:szCs w:val="24"/>
        </w:rPr>
        <w:t xml:space="preserve">IRM </w:t>
      </w:r>
      <w:r>
        <w:rPr>
          <w:rFonts w:ascii="Arial" w:hAnsi="Arial" w:cs="Arial"/>
          <w:b/>
          <w:sz w:val="24"/>
          <w:szCs w:val="24"/>
        </w:rPr>
        <w:t>Decision (EB-2017-0078)</w:t>
      </w:r>
      <w:r w:rsidR="003964AD">
        <w:rPr>
          <w:rFonts w:ascii="Arial" w:hAnsi="Arial" w:cs="Arial"/>
          <w:b/>
          <w:sz w:val="24"/>
          <w:szCs w:val="24"/>
        </w:rPr>
        <w:t xml:space="preserve"> re: improvement</w:t>
      </w:r>
      <w:r w:rsidR="00FE5F72">
        <w:rPr>
          <w:rFonts w:ascii="Arial" w:hAnsi="Arial" w:cs="Arial"/>
          <w:b/>
          <w:sz w:val="24"/>
          <w:szCs w:val="24"/>
        </w:rPr>
        <w:t>s</w:t>
      </w:r>
      <w:r w:rsidR="003964AD">
        <w:rPr>
          <w:rFonts w:ascii="Arial" w:hAnsi="Arial" w:cs="Arial"/>
          <w:b/>
          <w:sz w:val="24"/>
          <w:szCs w:val="24"/>
        </w:rPr>
        <w:t xml:space="preserve"> to accounting processes</w:t>
      </w:r>
      <w:r w:rsidR="00192DEE">
        <w:rPr>
          <w:rFonts w:ascii="Arial" w:hAnsi="Arial" w:cs="Arial"/>
          <w:b/>
          <w:sz w:val="24"/>
          <w:szCs w:val="24"/>
        </w:rPr>
        <w:t xml:space="preserve"> </w:t>
      </w:r>
      <w:r w:rsidR="00FE5F72">
        <w:rPr>
          <w:rFonts w:ascii="Arial" w:hAnsi="Arial" w:cs="Arial"/>
          <w:b/>
          <w:sz w:val="24"/>
          <w:szCs w:val="24"/>
        </w:rPr>
        <w:t xml:space="preserve">to minimize </w:t>
      </w:r>
      <w:r w:rsidR="00192DEE">
        <w:rPr>
          <w:rFonts w:ascii="Arial" w:hAnsi="Arial" w:cs="Arial"/>
          <w:b/>
          <w:sz w:val="24"/>
          <w:szCs w:val="24"/>
        </w:rPr>
        <w:t>unbilled to billed revenue true-ups</w:t>
      </w:r>
    </w:p>
    <w:p w14:paraId="5BB9CE90" w14:textId="77777777" w:rsidR="0003085F" w:rsidRDefault="0003085F" w:rsidP="0003085F">
      <w:pPr>
        <w:pStyle w:val="NoSpacing"/>
        <w:rPr>
          <w:rFonts w:ascii="Arial" w:hAnsi="Arial" w:cs="Arial"/>
          <w:sz w:val="24"/>
          <w:szCs w:val="24"/>
        </w:rPr>
      </w:pPr>
    </w:p>
    <w:p w14:paraId="02364521" w14:textId="77777777" w:rsidR="000566FF" w:rsidRDefault="0003085F" w:rsidP="0003085F">
      <w:pPr>
        <w:rPr>
          <w:rFonts w:ascii="Arial" w:hAnsi="Arial" w:cs="Arial"/>
          <w:sz w:val="24"/>
          <w:szCs w:val="24"/>
          <w:u w:val="single"/>
        </w:rPr>
      </w:pPr>
      <w:r>
        <w:rPr>
          <w:rFonts w:ascii="Arial" w:hAnsi="Arial" w:cs="Arial"/>
          <w:sz w:val="24"/>
          <w:szCs w:val="24"/>
          <w:u w:val="single"/>
        </w:rPr>
        <w:t>Pre-amble</w:t>
      </w:r>
    </w:p>
    <w:p w14:paraId="7706BC28" w14:textId="77777777" w:rsidR="00C5666D" w:rsidRDefault="0003085F" w:rsidP="0003085F">
      <w:pPr>
        <w:rPr>
          <w:rFonts w:ascii="Arial" w:hAnsi="Arial" w:cs="Arial"/>
          <w:sz w:val="24"/>
          <w:szCs w:val="24"/>
        </w:rPr>
      </w:pPr>
      <w:r w:rsidRPr="0003085F">
        <w:rPr>
          <w:rFonts w:ascii="Arial" w:hAnsi="Arial" w:cs="Arial"/>
          <w:sz w:val="24"/>
          <w:szCs w:val="24"/>
        </w:rPr>
        <w:t>In the 2018 Decision, the OEB expressed concern with Veridian</w:t>
      </w:r>
      <w:r w:rsidR="003964AD">
        <w:rPr>
          <w:rFonts w:ascii="Arial" w:hAnsi="Arial" w:cs="Arial"/>
          <w:sz w:val="24"/>
          <w:szCs w:val="24"/>
        </w:rPr>
        <w:t xml:space="preserve"> Connections</w:t>
      </w:r>
      <w:r w:rsidRPr="0003085F">
        <w:rPr>
          <w:rFonts w:ascii="Arial" w:hAnsi="Arial" w:cs="Arial"/>
          <w:sz w:val="24"/>
          <w:szCs w:val="24"/>
        </w:rPr>
        <w:t>’ accounting practices</w:t>
      </w:r>
      <w:r w:rsidR="00974D7F">
        <w:rPr>
          <w:rFonts w:ascii="Arial" w:hAnsi="Arial" w:cs="Arial"/>
          <w:sz w:val="24"/>
          <w:szCs w:val="24"/>
        </w:rPr>
        <w:t>.</w:t>
      </w:r>
      <w:r w:rsidRPr="0003085F">
        <w:rPr>
          <w:rFonts w:ascii="Arial" w:hAnsi="Arial" w:cs="Arial"/>
          <w:sz w:val="24"/>
          <w:szCs w:val="24"/>
        </w:rPr>
        <w:t xml:space="preserve"> </w:t>
      </w:r>
      <w:r w:rsidR="00974D7F">
        <w:rPr>
          <w:rFonts w:ascii="Arial" w:hAnsi="Arial" w:cs="Arial"/>
          <w:sz w:val="24"/>
          <w:szCs w:val="24"/>
        </w:rPr>
        <w:t xml:space="preserve"> The OEB</w:t>
      </w:r>
      <w:r w:rsidRPr="0003085F">
        <w:rPr>
          <w:rFonts w:ascii="Arial" w:hAnsi="Arial" w:cs="Arial"/>
          <w:sz w:val="24"/>
          <w:szCs w:val="24"/>
        </w:rPr>
        <w:t xml:space="preserve"> noted that Veridian </w:t>
      </w:r>
      <w:r w:rsidR="003964AD">
        <w:rPr>
          <w:rFonts w:ascii="Arial" w:hAnsi="Arial" w:cs="Arial"/>
          <w:sz w:val="24"/>
          <w:szCs w:val="24"/>
        </w:rPr>
        <w:t>Connections</w:t>
      </w:r>
      <w:r w:rsidR="003964AD" w:rsidRPr="0003085F">
        <w:rPr>
          <w:rFonts w:ascii="Arial" w:hAnsi="Arial" w:cs="Arial"/>
          <w:sz w:val="24"/>
          <w:szCs w:val="24"/>
        </w:rPr>
        <w:t xml:space="preserve"> </w:t>
      </w:r>
      <w:r w:rsidRPr="0003085F">
        <w:rPr>
          <w:rFonts w:ascii="Arial" w:hAnsi="Arial" w:cs="Arial"/>
          <w:sz w:val="24"/>
          <w:szCs w:val="24"/>
        </w:rPr>
        <w:t xml:space="preserve">should consider further enhancements to its accounting processes relating to unbilled revenue to minimize balances in </w:t>
      </w:r>
      <w:r w:rsidR="003964AD">
        <w:rPr>
          <w:rFonts w:ascii="Arial" w:hAnsi="Arial" w:cs="Arial"/>
          <w:sz w:val="24"/>
          <w:szCs w:val="24"/>
        </w:rPr>
        <w:t>A</w:t>
      </w:r>
      <w:r w:rsidRPr="0003085F">
        <w:rPr>
          <w:rFonts w:ascii="Arial" w:hAnsi="Arial" w:cs="Arial"/>
          <w:sz w:val="24"/>
          <w:szCs w:val="24"/>
        </w:rPr>
        <w:t>ccount</w:t>
      </w:r>
      <w:r w:rsidR="003964AD">
        <w:rPr>
          <w:rFonts w:ascii="Arial" w:hAnsi="Arial" w:cs="Arial"/>
          <w:sz w:val="24"/>
          <w:szCs w:val="24"/>
        </w:rPr>
        <w:t>s</w:t>
      </w:r>
      <w:r w:rsidRPr="0003085F">
        <w:rPr>
          <w:rFonts w:ascii="Arial" w:hAnsi="Arial" w:cs="Arial"/>
          <w:sz w:val="24"/>
          <w:szCs w:val="24"/>
        </w:rPr>
        <w:t xml:space="preserve"> 1588 and 1589.  </w:t>
      </w:r>
    </w:p>
    <w:p w14:paraId="586D3B13" w14:textId="77777777" w:rsidR="0003085F" w:rsidRPr="0003085F" w:rsidRDefault="00974D7F" w:rsidP="0003085F">
      <w:pPr>
        <w:rPr>
          <w:rFonts w:ascii="Arial" w:hAnsi="Arial" w:cs="Arial"/>
          <w:sz w:val="24"/>
          <w:szCs w:val="24"/>
        </w:rPr>
      </w:pPr>
      <w:r>
        <w:rPr>
          <w:rFonts w:ascii="Arial" w:hAnsi="Arial" w:cs="Arial"/>
          <w:sz w:val="24"/>
          <w:szCs w:val="24"/>
        </w:rPr>
        <w:t>Based on last year’s decision,</w:t>
      </w:r>
      <w:r w:rsidR="0003085F" w:rsidRPr="0003085F">
        <w:rPr>
          <w:rFonts w:ascii="Arial" w:hAnsi="Arial" w:cs="Arial"/>
          <w:sz w:val="24"/>
          <w:szCs w:val="24"/>
        </w:rPr>
        <w:t xml:space="preserve"> Veridian </w:t>
      </w:r>
      <w:r w:rsidR="003964AD">
        <w:rPr>
          <w:rFonts w:ascii="Arial" w:hAnsi="Arial" w:cs="Arial"/>
          <w:sz w:val="24"/>
          <w:szCs w:val="24"/>
        </w:rPr>
        <w:t>Connections</w:t>
      </w:r>
      <w:r w:rsidR="003964AD" w:rsidRPr="0003085F">
        <w:rPr>
          <w:rFonts w:ascii="Arial" w:hAnsi="Arial" w:cs="Arial"/>
          <w:sz w:val="24"/>
          <w:szCs w:val="24"/>
        </w:rPr>
        <w:t xml:space="preserve"> </w:t>
      </w:r>
      <w:r>
        <w:rPr>
          <w:rFonts w:ascii="Arial" w:hAnsi="Arial" w:cs="Arial"/>
          <w:sz w:val="24"/>
          <w:szCs w:val="24"/>
        </w:rPr>
        <w:t>was asked to</w:t>
      </w:r>
      <w:r w:rsidR="0003085F" w:rsidRPr="0003085F">
        <w:rPr>
          <w:rFonts w:ascii="Arial" w:hAnsi="Arial" w:cs="Arial"/>
          <w:sz w:val="24"/>
          <w:szCs w:val="24"/>
        </w:rPr>
        <w:t xml:space="preserve"> report on any improvements with respect to unbilled to billed revenue true-ups</w:t>
      </w:r>
      <w:r>
        <w:rPr>
          <w:rFonts w:ascii="Arial" w:hAnsi="Arial" w:cs="Arial"/>
          <w:sz w:val="24"/>
          <w:szCs w:val="24"/>
        </w:rPr>
        <w:t xml:space="preserve"> in </w:t>
      </w:r>
      <w:r w:rsidR="00FE5F72">
        <w:rPr>
          <w:rFonts w:ascii="Arial" w:hAnsi="Arial" w:cs="Arial"/>
          <w:sz w:val="24"/>
          <w:szCs w:val="24"/>
        </w:rPr>
        <w:t>your</w:t>
      </w:r>
      <w:r>
        <w:rPr>
          <w:rFonts w:ascii="Arial" w:hAnsi="Arial" w:cs="Arial"/>
          <w:sz w:val="24"/>
          <w:szCs w:val="24"/>
        </w:rPr>
        <w:t xml:space="preserve"> next application</w:t>
      </w:r>
      <w:r w:rsidR="0003085F" w:rsidRPr="0003085F">
        <w:rPr>
          <w:rFonts w:ascii="Arial" w:hAnsi="Arial" w:cs="Arial"/>
          <w:sz w:val="24"/>
          <w:szCs w:val="24"/>
        </w:rPr>
        <w:t xml:space="preserve">. </w:t>
      </w:r>
    </w:p>
    <w:p w14:paraId="71803213" w14:textId="77777777" w:rsidR="0003085F" w:rsidRDefault="0003085F" w:rsidP="0003085F">
      <w:pPr>
        <w:rPr>
          <w:rFonts w:ascii="Arial" w:hAnsi="Arial" w:cs="Arial"/>
          <w:sz w:val="24"/>
          <w:szCs w:val="24"/>
          <w:u w:val="single"/>
        </w:rPr>
      </w:pPr>
      <w:r>
        <w:rPr>
          <w:rFonts w:ascii="Arial" w:hAnsi="Arial" w:cs="Arial"/>
          <w:sz w:val="24"/>
          <w:szCs w:val="24"/>
          <w:u w:val="single"/>
        </w:rPr>
        <w:t>Questions</w:t>
      </w:r>
    </w:p>
    <w:p w14:paraId="5E0DEB80" w14:textId="77777777" w:rsidR="000D4973" w:rsidRDefault="000D4973" w:rsidP="000D4973">
      <w:pPr>
        <w:pStyle w:val="ListParagraph"/>
        <w:numPr>
          <w:ilvl w:val="0"/>
          <w:numId w:val="1"/>
        </w:numPr>
        <w:rPr>
          <w:rFonts w:ascii="Arial" w:hAnsi="Arial" w:cs="Arial"/>
          <w:sz w:val="24"/>
          <w:szCs w:val="24"/>
        </w:rPr>
      </w:pPr>
      <w:r>
        <w:rPr>
          <w:rFonts w:ascii="Arial" w:hAnsi="Arial" w:cs="Arial"/>
          <w:sz w:val="24"/>
          <w:szCs w:val="24"/>
        </w:rPr>
        <w:t xml:space="preserve">Please explain why </w:t>
      </w:r>
      <w:r w:rsidRPr="0003085F">
        <w:rPr>
          <w:rFonts w:ascii="Arial" w:hAnsi="Arial" w:cs="Arial"/>
          <w:sz w:val="24"/>
          <w:szCs w:val="24"/>
        </w:rPr>
        <w:t xml:space="preserve">Veridian </w:t>
      </w:r>
      <w:r>
        <w:rPr>
          <w:rFonts w:ascii="Arial" w:hAnsi="Arial" w:cs="Arial"/>
          <w:sz w:val="24"/>
          <w:szCs w:val="24"/>
        </w:rPr>
        <w:t>Connections</w:t>
      </w:r>
      <w:r w:rsidRPr="000D4973">
        <w:rPr>
          <w:rFonts w:ascii="Arial" w:hAnsi="Arial" w:cs="Arial"/>
          <w:sz w:val="24"/>
          <w:szCs w:val="24"/>
        </w:rPr>
        <w:t xml:space="preserve"> </w:t>
      </w:r>
      <w:r>
        <w:rPr>
          <w:rFonts w:ascii="Arial" w:hAnsi="Arial" w:cs="Arial"/>
          <w:sz w:val="24"/>
          <w:szCs w:val="24"/>
        </w:rPr>
        <w:t>has not provided such reporting as part of the current proceeding.</w:t>
      </w:r>
    </w:p>
    <w:p w14:paraId="57107D38" w14:textId="77777777" w:rsidR="000D4973" w:rsidRDefault="000D4973" w:rsidP="000D4973">
      <w:pPr>
        <w:pStyle w:val="ListParagraph"/>
        <w:rPr>
          <w:rFonts w:ascii="Arial" w:hAnsi="Arial" w:cs="Arial"/>
          <w:sz w:val="24"/>
          <w:szCs w:val="24"/>
        </w:rPr>
      </w:pPr>
    </w:p>
    <w:p w14:paraId="2EA0A084" w14:textId="77777777" w:rsidR="000D4973" w:rsidRDefault="000D4973" w:rsidP="000414A0">
      <w:pPr>
        <w:pStyle w:val="ListParagraph"/>
        <w:numPr>
          <w:ilvl w:val="0"/>
          <w:numId w:val="1"/>
        </w:numPr>
        <w:rPr>
          <w:rFonts w:ascii="Arial" w:hAnsi="Arial" w:cs="Arial"/>
          <w:sz w:val="24"/>
          <w:szCs w:val="24"/>
        </w:rPr>
      </w:pPr>
      <w:r w:rsidRPr="005B393C">
        <w:rPr>
          <w:rFonts w:ascii="Arial" w:hAnsi="Arial" w:cs="Arial"/>
          <w:sz w:val="24"/>
          <w:szCs w:val="24"/>
        </w:rPr>
        <w:t>Please provide the required update on enhancements made to unbilled revenue processes</w:t>
      </w:r>
      <w:r w:rsidR="005B393C" w:rsidRPr="005B393C">
        <w:rPr>
          <w:rFonts w:ascii="Arial" w:hAnsi="Arial" w:cs="Arial"/>
          <w:sz w:val="24"/>
          <w:szCs w:val="24"/>
        </w:rPr>
        <w:t xml:space="preserve">.  </w:t>
      </w:r>
    </w:p>
    <w:p w14:paraId="633AB341" w14:textId="77777777" w:rsidR="00216885" w:rsidRPr="00216885" w:rsidRDefault="00216885" w:rsidP="00216885">
      <w:pPr>
        <w:pStyle w:val="ListParagraph"/>
        <w:rPr>
          <w:rFonts w:ascii="Arial" w:hAnsi="Arial" w:cs="Arial"/>
          <w:sz w:val="24"/>
          <w:szCs w:val="24"/>
        </w:rPr>
      </w:pPr>
    </w:p>
    <w:p w14:paraId="5DFBB381" w14:textId="77777777" w:rsidR="00216885" w:rsidRDefault="00216885" w:rsidP="00216885">
      <w:pPr>
        <w:rPr>
          <w:rFonts w:ascii="Arial" w:hAnsi="Arial" w:cs="Arial"/>
          <w:sz w:val="24"/>
          <w:szCs w:val="24"/>
          <w:u w:val="single"/>
        </w:rPr>
      </w:pPr>
      <w:r w:rsidRPr="00216885">
        <w:rPr>
          <w:rFonts w:ascii="Arial" w:hAnsi="Arial" w:cs="Arial"/>
          <w:sz w:val="24"/>
          <w:szCs w:val="24"/>
          <w:u w:val="single"/>
        </w:rPr>
        <w:t>Veridian Response:</w:t>
      </w:r>
    </w:p>
    <w:p w14:paraId="5204A398" w14:textId="77777777" w:rsidR="00A8447F" w:rsidRDefault="006266A7" w:rsidP="00A8447F">
      <w:pPr>
        <w:pStyle w:val="ListParagraph"/>
        <w:numPr>
          <w:ilvl w:val="0"/>
          <w:numId w:val="23"/>
        </w:numPr>
        <w:rPr>
          <w:rFonts w:ascii="Arial" w:hAnsi="Arial" w:cs="Arial"/>
          <w:sz w:val="24"/>
          <w:szCs w:val="24"/>
        </w:rPr>
      </w:pPr>
      <w:r w:rsidRPr="003B6FCC">
        <w:rPr>
          <w:rFonts w:ascii="Arial" w:hAnsi="Arial" w:cs="Arial"/>
          <w:sz w:val="24"/>
          <w:szCs w:val="24"/>
        </w:rPr>
        <w:t xml:space="preserve">Veridian </w:t>
      </w:r>
      <w:r w:rsidR="007C4E1B" w:rsidRPr="003B6FCC">
        <w:rPr>
          <w:rFonts w:ascii="Arial" w:hAnsi="Arial" w:cs="Arial"/>
          <w:sz w:val="24"/>
          <w:szCs w:val="24"/>
        </w:rPr>
        <w:t>continues to work</w:t>
      </w:r>
      <w:r w:rsidRPr="003B6FCC">
        <w:rPr>
          <w:rFonts w:ascii="Arial" w:hAnsi="Arial" w:cs="Arial"/>
          <w:sz w:val="24"/>
          <w:szCs w:val="24"/>
        </w:rPr>
        <w:t xml:space="preserve"> to</w:t>
      </w:r>
      <w:r w:rsidR="007C4E1B" w:rsidRPr="003B6FCC">
        <w:rPr>
          <w:rFonts w:ascii="Arial" w:hAnsi="Arial" w:cs="Arial"/>
          <w:sz w:val="24"/>
          <w:szCs w:val="24"/>
        </w:rPr>
        <w:t>wards improving</w:t>
      </w:r>
      <w:r w:rsidRPr="003B6FCC">
        <w:rPr>
          <w:rFonts w:ascii="Arial" w:hAnsi="Arial" w:cs="Arial"/>
          <w:sz w:val="24"/>
          <w:szCs w:val="24"/>
        </w:rPr>
        <w:t xml:space="preserve"> processes relating to unbilled</w:t>
      </w:r>
      <w:r w:rsidR="003B6FCC" w:rsidRPr="003B6FCC">
        <w:rPr>
          <w:rFonts w:ascii="Arial" w:hAnsi="Arial" w:cs="Arial"/>
          <w:sz w:val="24"/>
          <w:szCs w:val="24"/>
        </w:rPr>
        <w:t xml:space="preserve"> and undertook an extensive review of such processes.</w:t>
      </w:r>
      <w:r w:rsidR="007C4E1B" w:rsidRPr="003B6FCC">
        <w:rPr>
          <w:rFonts w:ascii="Arial" w:hAnsi="Arial" w:cs="Arial"/>
          <w:sz w:val="24"/>
          <w:szCs w:val="24"/>
        </w:rPr>
        <w:t xml:space="preserve">  </w:t>
      </w:r>
      <w:r w:rsidRPr="003B6FCC">
        <w:rPr>
          <w:rFonts w:ascii="Arial" w:hAnsi="Arial" w:cs="Arial"/>
          <w:sz w:val="24"/>
          <w:szCs w:val="24"/>
        </w:rPr>
        <w:t xml:space="preserve">At the time of filing Veridian’s 2019 IRM application, </w:t>
      </w:r>
      <w:r w:rsidR="003B6FCC" w:rsidRPr="003B6FCC">
        <w:rPr>
          <w:rFonts w:ascii="Arial" w:hAnsi="Arial" w:cs="Arial"/>
          <w:sz w:val="24"/>
          <w:szCs w:val="24"/>
        </w:rPr>
        <w:t xml:space="preserve">the process review had not been completed and therefore not included in the application. The review is now complete and the enhancements to unbilled revenue </w:t>
      </w:r>
      <w:r w:rsidR="003B6FCC" w:rsidRPr="003B6FCC">
        <w:rPr>
          <w:rFonts w:ascii="Arial" w:hAnsi="Arial" w:cs="Arial"/>
          <w:sz w:val="24"/>
          <w:szCs w:val="24"/>
        </w:rPr>
        <w:lastRenderedPageBreak/>
        <w:t xml:space="preserve">processes have been implemented. </w:t>
      </w:r>
    </w:p>
    <w:p w14:paraId="6C35D53A" w14:textId="1704DAE8" w:rsidR="00C946E0" w:rsidRPr="00A8447F" w:rsidRDefault="006266A7" w:rsidP="00A8447F">
      <w:pPr>
        <w:pStyle w:val="ListParagraph"/>
        <w:numPr>
          <w:ilvl w:val="0"/>
          <w:numId w:val="23"/>
        </w:numPr>
        <w:rPr>
          <w:rFonts w:ascii="Arial" w:hAnsi="Arial" w:cs="Arial"/>
          <w:sz w:val="24"/>
          <w:szCs w:val="24"/>
        </w:rPr>
      </w:pPr>
      <w:r w:rsidRPr="00A8447F">
        <w:rPr>
          <w:rFonts w:ascii="Arial" w:hAnsi="Arial" w:cs="Arial"/>
          <w:sz w:val="24"/>
          <w:szCs w:val="24"/>
        </w:rPr>
        <w:t xml:space="preserve">Veridian has </w:t>
      </w:r>
      <w:r w:rsidR="00C946E0" w:rsidRPr="00A8447F">
        <w:rPr>
          <w:rFonts w:ascii="Arial" w:hAnsi="Arial" w:cs="Arial"/>
          <w:sz w:val="24"/>
          <w:szCs w:val="24"/>
        </w:rPr>
        <w:t>reviewed the detail components of unbilled calculations and implemented refinement of processes as follows:</w:t>
      </w:r>
    </w:p>
    <w:p w14:paraId="6841FCD7" w14:textId="77777777" w:rsidR="00C946E0" w:rsidRDefault="00C946E0" w:rsidP="00C946E0">
      <w:pPr>
        <w:pStyle w:val="ListParagraph"/>
        <w:numPr>
          <w:ilvl w:val="2"/>
          <w:numId w:val="23"/>
        </w:numPr>
        <w:rPr>
          <w:rFonts w:ascii="Arial" w:hAnsi="Arial" w:cs="Arial"/>
          <w:sz w:val="24"/>
          <w:szCs w:val="24"/>
        </w:rPr>
      </w:pPr>
      <w:r>
        <w:rPr>
          <w:rFonts w:ascii="Arial" w:hAnsi="Arial" w:cs="Arial"/>
          <w:sz w:val="24"/>
          <w:szCs w:val="24"/>
        </w:rPr>
        <w:t>Developed a query</w:t>
      </w:r>
      <w:r w:rsidR="006266A7" w:rsidRPr="00C946E0">
        <w:rPr>
          <w:rFonts w:ascii="Arial" w:hAnsi="Arial" w:cs="Arial"/>
          <w:sz w:val="24"/>
          <w:szCs w:val="24"/>
        </w:rPr>
        <w:t xml:space="preserve"> for subsequent billing information related to unbilled for the prior year.  This information is available by the end of the 2</w:t>
      </w:r>
      <w:r w:rsidR="006266A7" w:rsidRPr="00C946E0">
        <w:rPr>
          <w:rFonts w:ascii="Arial" w:hAnsi="Arial" w:cs="Arial"/>
          <w:sz w:val="24"/>
          <w:szCs w:val="24"/>
          <w:vertAlign w:val="superscript"/>
        </w:rPr>
        <w:t>nd</w:t>
      </w:r>
      <w:r w:rsidR="006266A7" w:rsidRPr="00C946E0">
        <w:rPr>
          <w:rFonts w:ascii="Arial" w:hAnsi="Arial" w:cs="Arial"/>
          <w:sz w:val="24"/>
          <w:szCs w:val="24"/>
        </w:rPr>
        <w:t xml:space="preserve"> month after </w:t>
      </w:r>
      <w:r w:rsidRPr="00C946E0">
        <w:rPr>
          <w:rFonts w:ascii="Arial" w:hAnsi="Arial" w:cs="Arial"/>
          <w:sz w:val="24"/>
          <w:szCs w:val="24"/>
        </w:rPr>
        <w:t>year end</w:t>
      </w:r>
      <w:r>
        <w:rPr>
          <w:rFonts w:ascii="Arial" w:hAnsi="Arial" w:cs="Arial"/>
          <w:sz w:val="24"/>
          <w:szCs w:val="24"/>
        </w:rPr>
        <w:t xml:space="preserve"> and provides information to reconcile unbilled with subsequent billing</w:t>
      </w:r>
      <w:r w:rsidRPr="00C946E0">
        <w:rPr>
          <w:rFonts w:ascii="Arial" w:hAnsi="Arial" w:cs="Arial"/>
          <w:sz w:val="24"/>
          <w:szCs w:val="24"/>
        </w:rPr>
        <w:t xml:space="preserve">.  </w:t>
      </w:r>
    </w:p>
    <w:p w14:paraId="468DBE2A" w14:textId="77777777" w:rsidR="006266A7" w:rsidRDefault="00C946E0" w:rsidP="00C946E0">
      <w:pPr>
        <w:pStyle w:val="ListParagraph"/>
        <w:numPr>
          <w:ilvl w:val="2"/>
          <w:numId w:val="23"/>
        </w:numPr>
        <w:rPr>
          <w:rFonts w:ascii="Arial" w:hAnsi="Arial" w:cs="Arial"/>
          <w:sz w:val="24"/>
          <w:szCs w:val="24"/>
        </w:rPr>
      </w:pPr>
      <w:r>
        <w:rPr>
          <w:rFonts w:ascii="Arial" w:hAnsi="Arial" w:cs="Arial"/>
          <w:sz w:val="24"/>
          <w:szCs w:val="24"/>
        </w:rPr>
        <w:t>Reviewed all data inputs and inclu</w:t>
      </w:r>
      <w:r w:rsidR="001F1C7A">
        <w:rPr>
          <w:rFonts w:ascii="Arial" w:hAnsi="Arial" w:cs="Arial"/>
          <w:sz w:val="24"/>
          <w:szCs w:val="24"/>
        </w:rPr>
        <w:t>ded the use of actual data when</w:t>
      </w:r>
      <w:r>
        <w:rPr>
          <w:rFonts w:ascii="Arial" w:hAnsi="Arial" w:cs="Arial"/>
          <w:sz w:val="24"/>
          <w:szCs w:val="24"/>
        </w:rPr>
        <w:t xml:space="preserve"> available to improve the accuracy of unbilled revenue.</w:t>
      </w:r>
    </w:p>
    <w:p w14:paraId="46C526FA" w14:textId="77777777" w:rsidR="00726334" w:rsidRDefault="00726334" w:rsidP="00C946E0">
      <w:pPr>
        <w:pStyle w:val="ListParagraph"/>
        <w:numPr>
          <w:ilvl w:val="2"/>
          <w:numId w:val="23"/>
        </w:numPr>
        <w:rPr>
          <w:rFonts w:ascii="Arial" w:hAnsi="Arial" w:cs="Arial"/>
          <w:sz w:val="24"/>
          <w:szCs w:val="24"/>
        </w:rPr>
      </w:pPr>
      <w:r>
        <w:rPr>
          <w:rFonts w:ascii="Arial" w:hAnsi="Arial" w:cs="Arial"/>
          <w:sz w:val="24"/>
          <w:szCs w:val="24"/>
        </w:rPr>
        <w:t>A detailed review of inputs to the unbilled spreadsheet for completeness was performed.  Veridian determined for some components of unbilled, the losses were not applied.  Veridian has corrected this issue on a go forward basis.</w:t>
      </w:r>
    </w:p>
    <w:p w14:paraId="6AFB1884" w14:textId="77777777" w:rsidR="00ED3FFE" w:rsidRPr="00A8447F" w:rsidRDefault="00ED3FFE" w:rsidP="00A8447F">
      <w:pPr>
        <w:rPr>
          <w:rFonts w:ascii="Arial" w:hAnsi="Arial" w:cs="Arial"/>
          <w:sz w:val="24"/>
          <w:szCs w:val="24"/>
        </w:rPr>
      </w:pPr>
    </w:p>
    <w:p w14:paraId="3DE85FF0" w14:textId="77777777" w:rsidR="000D4973" w:rsidRPr="00DB28E4" w:rsidRDefault="000D4973" w:rsidP="000D4973">
      <w:pPr>
        <w:pStyle w:val="Heading1"/>
        <w:rPr>
          <w:b/>
        </w:rPr>
      </w:pPr>
      <w:r w:rsidRPr="00DB28E4">
        <w:rPr>
          <w:b/>
        </w:rPr>
        <w:t>Staff-</w:t>
      </w:r>
      <w:r>
        <w:rPr>
          <w:b/>
        </w:rPr>
        <w:t>2</w:t>
      </w:r>
    </w:p>
    <w:p w14:paraId="16B547E4" w14:textId="77777777" w:rsidR="000D4973" w:rsidRPr="009A6FE7" w:rsidRDefault="000D4973" w:rsidP="000D4973">
      <w:pPr>
        <w:rPr>
          <w:rFonts w:ascii="Arial" w:hAnsi="Arial" w:cs="Arial"/>
          <w:b/>
          <w:sz w:val="24"/>
          <w:szCs w:val="24"/>
        </w:rPr>
      </w:pPr>
      <w:r w:rsidRPr="00DB28E4">
        <w:rPr>
          <w:rFonts w:ascii="Arial" w:hAnsi="Arial" w:cs="Arial"/>
          <w:b/>
          <w:sz w:val="24"/>
          <w:szCs w:val="24"/>
        </w:rPr>
        <w:t>Ref:   </w:t>
      </w:r>
      <w:r w:rsidRPr="009A6FE7">
        <w:rPr>
          <w:rFonts w:ascii="Arial" w:hAnsi="Arial" w:cs="Arial"/>
          <w:b/>
          <w:sz w:val="24"/>
          <w:szCs w:val="24"/>
        </w:rPr>
        <w:t>DVA Continuity Schedule, Account 1588</w:t>
      </w:r>
    </w:p>
    <w:p w14:paraId="4393B72A" w14:textId="77777777" w:rsidR="000D4973" w:rsidRPr="009A6FE7" w:rsidRDefault="000D4973" w:rsidP="000D4973">
      <w:pPr>
        <w:rPr>
          <w:rFonts w:ascii="Arial" w:hAnsi="Arial" w:cs="Arial"/>
          <w:sz w:val="24"/>
          <w:szCs w:val="24"/>
        </w:rPr>
      </w:pPr>
      <w:r w:rsidRPr="0003085F">
        <w:rPr>
          <w:rFonts w:ascii="Arial" w:hAnsi="Arial" w:cs="Arial"/>
          <w:sz w:val="24"/>
          <w:szCs w:val="24"/>
        </w:rPr>
        <w:t xml:space="preserve">Veridian </w:t>
      </w:r>
      <w:r>
        <w:rPr>
          <w:rFonts w:ascii="Arial" w:hAnsi="Arial" w:cs="Arial"/>
          <w:sz w:val="24"/>
          <w:szCs w:val="24"/>
        </w:rPr>
        <w:t>Connections</w:t>
      </w:r>
      <w:r w:rsidRPr="000D4973">
        <w:rPr>
          <w:rFonts w:ascii="Arial" w:hAnsi="Arial" w:cs="Arial"/>
          <w:sz w:val="24"/>
          <w:szCs w:val="24"/>
        </w:rPr>
        <w:t xml:space="preserve"> </w:t>
      </w:r>
      <w:r w:rsidRPr="009A6FE7">
        <w:rPr>
          <w:rFonts w:ascii="Arial" w:hAnsi="Arial" w:cs="Arial"/>
          <w:sz w:val="24"/>
          <w:szCs w:val="24"/>
        </w:rPr>
        <w:t>is presenting a credit balance of approximately $1.2 million in account 1588.</w:t>
      </w:r>
    </w:p>
    <w:p w14:paraId="14E6AF16" w14:textId="77777777" w:rsidR="00907C3F" w:rsidRDefault="000D4973" w:rsidP="00907C3F">
      <w:pPr>
        <w:rPr>
          <w:rFonts w:ascii="Arial" w:hAnsi="Arial" w:cs="Arial"/>
          <w:sz w:val="24"/>
          <w:szCs w:val="24"/>
        </w:rPr>
      </w:pPr>
      <w:r w:rsidRPr="009A6FE7">
        <w:rPr>
          <w:rFonts w:ascii="Arial" w:hAnsi="Arial" w:cs="Arial"/>
          <w:sz w:val="24"/>
          <w:szCs w:val="24"/>
        </w:rPr>
        <w:t xml:space="preserve">Given that the variance between RPP revenue and the cost of energy attributable to its RPP customers is settled with the IESO on a monthly basis, and </w:t>
      </w:r>
      <w:r w:rsidRPr="0003085F">
        <w:rPr>
          <w:rFonts w:ascii="Arial" w:hAnsi="Arial" w:cs="Arial"/>
          <w:sz w:val="24"/>
          <w:szCs w:val="24"/>
        </w:rPr>
        <w:t xml:space="preserve">Veridian </w:t>
      </w:r>
      <w:r>
        <w:rPr>
          <w:rFonts w:ascii="Arial" w:hAnsi="Arial" w:cs="Arial"/>
          <w:sz w:val="24"/>
          <w:szCs w:val="24"/>
        </w:rPr>
        <w:t>Connections</w:t>
      </w:r>
      <w:r w:rsidRPr="000D4973">
        <w:rPr>
          <w:rFonts w:ascii="Arial" w:hAnsi="Arial" w:cs="Arial"/>
          <w:sz w:val="24"/>
          <w:szCs w:val="24"/>
        </w:rPr>
        <w:t xml:space="preserve"> </w:t>
      </w:r>
      <w:r w:rsidRPr="009A6FE7">
        <w:rPr>
          <w:rFonts w:ascii="Arial" w:hAnsi="Arial" w:cs="Arial"/>
          <w:sz w:val="24"/>
          <w:szCs w:val="24"/>
        </w:rPr>
        <w:t>has indicated that all required true-ups have been made and included within their December 31, 2017 balance in Account 1588, the expectation is that any remaining amounts in the account would be relatively small and close to zero (primarily comprised of the difference between amounts billed at the approved total loss factor versus actual system losses for the year).</w:t>
      </w:r>
    </w:p>
    <w:p w14:paraId="70D796E3" w14:textId="77777777" w:rsidR="000D4973" w:rsidRPr="00907C3F" w:rsidRDefault="000D4973" w:rsidP="00907C3F">
      <w:pPr>
        <w:pStyle w:val="ListParagraph"/>
        <w:numPr>
          <w:ilvl w:val="0"/>
          <w:numId w:val="19"/>
        </w:numPr>
        <w:rPr>
          <w:rFonts w:ascii="Arial" w:hAnsi="Arial" w:cs="Arial"/>
          <w:sz w:val="24"/>
          <w:szCs w:val="24"/>
        </w:rPr>
      </w:pPr>
      <w:r w:rsidRPr="00907C3F">
        <w:rPr>
          <w:rFonts w:ascii="Arial" w:hAnsi="Arial" w:cs="Arial"/>
          <w:sz w:val="24"/>
          <w:szCs w:val="24"/>
        </w:rPr>
        <w:t>Please explain what comprises Veridian Connections’ December 31, 2017 balance in account 1588.</w:t>
      </w:r>
    </w:p>
    <w:p w14:paraId="19C46FA3" w14:textId="77777777" w:rsidR="00216885" w:rsidRPr="00216885" w:rsidRDefault="00216885" w:rsidP="00216885">
      <w:pPr>
        <w:rPr>
          <w:rFonts w:ascii="Arial" w:hAnsi="Arial" w:cs="Arial"/>
          <w:sz w:val="24"/>
          <w:szCs w:val="24"/>
          <w:u w:val="single"/>
        </w:rPr>
      </w:pPr>
      <w:r w:rsidRPr="00216885">
        <w:rPr>
          <w:rFonts w:ascii="Arial" w:hAnsi="Arial" w:cs="Arial"/>
          <w:sz w:val="24"/>
          <w:szCs w:val="24"/>
          <w:u w:val="single"/>
        </w:rPr>
        <w:lastRenderedPageBreak/>
        <w:t>Veridian Response:</w:t>
      </w:r>
    </w:p>
    <w:p w14:paraId="1FFB8CB8" w14:textId="77777777" w:rsidR="00216885" w:rsidRDefault="00752CA2" w:rsidP="00216885">
      <w:pPr>
        <w:pStyle w:val="NoSpacing"/>
        <w:rPr>
          <w:rFonts w:ascii="Arial" w:hAnsi="Arial" w:cs="Arial"/>
          <w:sz w:val="24"/>
          <w:szCs w:val="24"/>
        </w:rPr>
      </w:pPr>
      <w:r w:rsidRPr="00752CA2">
        <w:rPr>
          <w:rFonts w:ascii="Arial" w:hAnsi="Arial" w:cs="Arial"/>
          <w:sz w:val="24"/>
          <w:szCs w:val="24"/>
        </w:rPr>
        <w:t>The 1588 December 2017 balance is comprised of the following</w:t>
      </w:r>
      <w:r>
        <w:rPr>
          <w:rFonts w:ascii="Arial" w:hAnsi="Arial" w:cs="Arial"/>
          <w:sz w:val="24"/>
          <w:szCs w:val="24"/>
        </w:rPr>
        <w:t>:</w:t>
      </w:r>
    </w:p>
    <w:p w14:paraId="105233C8" w14:textId="77777777" w:rsidR="00752CA2" w:rsidRDefault="00752CA2" w:rsidP="00752CA2">
      <w:pPr>
        <w:pStyle w:val="NoSpacing"/>
        <w:numPr>
          <w:ilvl w:val="0"/>
          <w:numId w:val="29"/>
        </w:numPr>
        <w:rPr>
          <w:rFonts w:ascii="Arial" w:hAnsi="Arial" w:cs="Arial"/>
          <w:sz w:val="24"/>
          <w:szCs w:val="24"/>
        </w:rPr>
      </w:pPr>
      <w:r>
        <w:rPr>
          <w:rFonts w:ascii="Arial" w:hAnsi="Arial" w:cs="Arial"/>
          <w:sz w:val="24"/>
          <w:szCs w:val="24"/>
        </w:rPr>
        <w:t>2016 Unbilled understated and adjusted in 2017 $1,580,623 (credit in 2017)</w:t>
      </w:r>
    </w:p>
    <w:p w14:paraId="3C993754" w14:textId="77777777" w:rsidR="00577A67" w:rsidRDefault="00577A67" w:rsidP="00577A67">
      <w:pPr>
        <w:pStyle w:val="NoSpacing"/>
        <w:numPr>
          <w:ilvl w:val="1"/>
          <w:numId w:val="29"/>
        </w:numPr>
        <w:rPr>
          <w:rFonts w:ascii="Arial" w:hAnsi="Arial" w:cs="Arial"/>
          <w:sz w:val="24"/>
          <w:szCs w:val="24"/>
        </w:rPr>
      </w:pPr>
      <w:r>
        <w:rPr>
          <w:rFonts w:ascii="Arial" w:hAnsi="Arial" w:cs="Arial"/>
          <w:sz w:val="24"/>
          <w:szCs w:val="24"/>
        </w:rPr>
        <w:t>$720,335 (difference in loss portion not included in unbilled) See question 1b) iii) Veridian response.</w:t>
      </w:r>
    </w:p>
    <w:p w14:paraId="5CEC69C8" w14:textId="77777777" w:rsidR="00577A67" w:rsidRDefault="00577A67" w:rsidP="00577A67">
      <w:pPr>
        <w:pStyle w:val="NoSpacing"/>
        <w:numPr>
          <w:ilvl w:val="1"/>
          <w:numId w:val="29"/>
        </w:numPr>
        <w:rPr>
          <w:rFonts w:ascii="Arial" w:hAnsi="Arial" w:cs="Arial"/>
          <w:sz w:val="24"/>
          <w:szCs w:val="24"/>
        </w:rPr>
      </w:pPr>
      <w:r>
        <w:rPr>
          <w:rFonts w:ascii="Arial" w:hAnsi="Arial" w:cs="Arial"/>
          <w:sz w:val="24"/>
          <w:szCs w:val="24"/>
        </w:rPr>
        <w:t>$860,288 (difference related to proration</w:t>
      </w:r>
      <w:r w:rsidR="000A2287">
        <w:rPr>
          <w:rFonts w:ascii="Arial" w:hAnsi="Arial" w:cs="Arial"/>
          <w:sz w:val="24"/>
          <w:szCs w:val="24"/>
        </w:rPr>
        <w:t xml:space="preserve"> and consumption estimate)</w:t>
      </w:r>
    </w:p>
    <w:p w14:paraId="74A2F672" w14:textId="77777777" w:rsidR="000A2287" w:rsidRDefault="000A2287" w:rsidP="000A2287">
      <w:pPr>
        <w:pStyle w:val="NoSpacing"/>
        <w:ind w:left="1440"/>
        <w:rPr>
          <w:rFonts w:ascii="Arial" w:hAnsi="Arial" w:cs="Arial"/>
          <w:sz w:val="24"/>
          <w:szCs w:val="24"/>
        </w:rPr>
      </w:pPr>
    </w:p>
    <w:p w14:paraId="2AD5569F" w14:textId="77777777" w:rsidR="00752CA2" w:rsidRDefault="00752CA2" w:rsidP="00752CA2">
      <w:pPr>
        <w:pStyle w:val="NoSpacing"/>
        <w:numPr>
          <w:ilvl w:val="0"/>
          <w:numId w:val="29"/>
        </w:numPr>
        <w:rPr>
          <w:rFonts w:ascii="Arial" w:hAnsi="Arial" w:cs="Arial"/>
          <w:sz w:val="24"/>
          <w:szCs w:val="24"/>
        </w:rPr>
      </w:pPr>
      <w:r>
        <w:rPr>
          <w:rFonts w:ascii="Arial" w:hAnsi="Arial" w:cs="Arial"/>
          <w:sz w:val="24"/>
          <w:szCs w:val="24"/>
        </w:rPr>
        <w:t>2017 Unbilled understated and adjusted in 2018 $769,739 (debit in 2017)</w:t>
      </w:r>
    </w:p>
    <w:p w14:paraId="5568D81E" w14:textId="77777777" w:rsidR="000A2287" w:rsidRDefault="000A2287" w:rsidP="000A2287">
      <w:pPr>
        <w:pStyle w:val="NoSpacing"/>
        <w:numPr>
          <w:ilvl w:val="1"/>
          <w:numId w:val="29"/>
        </w:numPr>
        <w:rPr>
          <w:rFonts w:ascii="Arial" w:hAnsi="Arial" w:cs="Arial"/>
          <w:sz w:val="24"/>
          <w:szCs w:val="24"/>
        </w:rPr>
      </w:pPr>
      <w:r>
        <w:rPr>
          <w:rFonts w:ascii="Arial" w:hAnsi="Arial" w:cs="Arial"/>
          <w:sz w:val="24"/>
          <w:szCs w:val="24"/>
        </w:rPr>
        <w:t>$614,326 (difference in loss portion not included in unbilled) See question 1b) iii) Veridian response.</w:t>
      </w:r>
    </w:p>
    <w:p w14:paraId="3237E63E" w14:textId="77777777" w:rsidR="000A2287" w:rsidRDefault="000A2287" w:rsidP="000A2287">
      <w:pPr>
        <w:pStyle w:val="NoSpacing"/>
        <w:numPr>
          <w:ilvl w:val="1"/>
          <w:numId w:val="29"/>
        </w:numPr>
        <w:rPr>
          <w:rFonts w:ascii="Arial" w:hAnsi="Arial" w:cs="Arial"/>
          <w:sz w:val="24"/>
          <w:szCs w:val="24"/>
        </w:rPr>
      </w:pPr>
      <w:r>
        <w:rPr>
          <w:rFonts w:ascii="Arial" w:hAnsi="Arial" w:cs="Arial"/>
          <w:sz w:val="24"/>
          <w:szCs w:val="24"/>
        </w:rPr>
        <w:t>$155,413 (difference related to proration and consumption estimate)</w:t>
      </w:r>
    </w:p>
    <w:p w14:paraId="2588AF38" w14:textId="77777777" w:rsidR="000A2287" w:rsidRDefault="000A2287" w:rsidP="000A2287">
      <w:pPr>
        <w:pStyle w:val="NoSpacing"/>
        <w:ind w:left="1440"/>
        <w:rPr>
          <w:rFonts w:ascii="Arial" w:hAnsi="Arial" w:cs="Arial"/>
          <w:sz w:val="24"/>
          <w:szCs w:val="24"/>
        </w:rPr>
      </w:pPr>
    </w:p>
    <w:p w14:paraId="07B6B0E4" w14:textId="77777777" w:rsidR="00752CA2" w:rsidRDefault="00752CA2" w:rsidP="00752CA2">
      <w:pPr>
        <w:pStyle w:val="NoSpacing"/>
        <w:numPr>
          <w:ilvl w:val="0"/>
          <w:numId w:val="29"/>
        </w:numPr>
        <w:rPr>
          <w:rFonts w:ascii="Arial" w:hAnsi="Arial" w:cs="Arial"/>
          <w:sz w:val="24"/>
          <w:szCs w:val="24"/>
        </w:rPr>
      </w:pPr>
      <w:r>
        <w:rPr>
          <w:rFonts w:ascii="Arial" w:hAnsi="Arial" w:cs="Arial"/>
          <w:sz w:val="24"/>
          <w:szCs w:val="24"/>
        </w:rPr>
        <w:t>2016 true up accrual overstated and adjusted in 2017 $127 (debit in 2017)</w:t>
      </w:r>
    </w:p>
    <w:p w14:paraId="06ACE17D" w14:textId="77777777" w:rsidR="000A2287" w:rsidRDefault="000A2287" w:rsidP="000A2287">
      <w:pPr>
        <w:pStyle w:val="NoSpacing"/>
        <w:ind w:left="720"/>
        <w:rPr>
          <w:rFonts w:ascii="Arial" w:hAnsi="Arial" w:cs="Arial"/>
          <w:sz w:val="24"/>
          <w:szCs w:val="24"/>
        </w:rPr>
      </w:pPr>
    </w:p>
    <w:p w14:paraId="315336E7" w14:textId="77777777" w:rsidR="00752CA2" w:rsidRDefault="00752CA2" w:rsidP="00752CA2">
      <w:pPr>
        <w:pStyle w:val="NoSpacing"/>
        <w:numPr>
          <w:ilvl w:val="0"/>
          <w:numId w:val="29"/>
        </w:numPr>
        <w:rPr>
          <w:rFonts w:ascii="Arial" w:hAnsi="Arial" w:cs="Arial"/>
          <w:sz w:val="24"/>
          <w:szCs w:val="24"/>
        </w:rPr>
      </w:pPr>
      <w:r>
        <w:rPr>
          <w:rFonts w:ascii="Arial" w:hAnsi="Arial" w:cs="Arial"/>
          <w:sz w:val="24"/>
          <w:szCs w:val="24"/>
        </w:rPr>
        <w:t>2016 LTLT overstated and adjusted in 2017 $6,378 (debit in 2017)</w:t>
      </w:r>
    </w:p>
    <w:p w14:paraId="606E0220" w14:textId="77777777" w:rsidR="000A2287" w:rsidRDefault="000A2287" w:rsidP="000A2287">
      <w:pPr>
        <w:pStyle w:val="NoSpacing"/>
        <w:rPr>
          <w:rFonts w:ascii="Arial" w:hAnsi="Arial" w:cs="Arial"/>
          <w:sz w:val="24"/>
          <w:szCs w:val="24"/>
        </w:rPr>
      </w:pPr>
    </w:p>
    <w:p w14:paraId="77546707" w14:textId="77777777" w:rsidR="00752CA2" w:rsidRPr="00752CA2" w:rsidRDefault="00752CA2" w:rsidP="00752CA2">
      <w:pPr>
        <w:pStyle w:val="NoSpacing"/>
        <w:numPr>
          <w:ilvl w:val="0"/>
          <w:numId w:val="29"/>
        </w:numPr>
        <w:rPr>
          <w:rFonts w:ascii="Arial" w:hAnsi="Arial" w:cs="Arial"/>
          <w:sz w:val="24"/>
          <w:szCs w:val="24"/>
        </w:rPr>
      </w:pPr>
      <w:r>
        <w:rPr>
          <w:rFonts w:ascii="Arial" w:hAnsi="Arial" w:cs="Arial"/>
          <w:sz w:val="24"/>
          <w:szCs w:val="24"/>
        </w:rPr>
        <w:t>Unresolved difference of $(350,527) due to difference in billing proration of period and consumption for all power.  The difference is 0.25% of the total Power billed.</w:t>
      </w:r>
    </w:p>
    <w:p w14:paraId="7C017CD6" w14:textId="77777777" w:rsidR="00752CA2" w:rsidRDefault="00752CA2" w:rsidP="00216885">
      <w:pPr>
        <w:pStyle w:val="NoSpacing"/>
      </w:pPr>
    </w:p>
    <w:p w14:paraId="601F2356" w14:textId="77777777" w:rsidR="00907C3F" w:rsidRPr="00DB28E4" w:rsidRDefault="00907C3F" w:rsidP="00907C3F">
      <w:pPr>
        <w:pStyle w:val="Heading1"/>
        <w:rPr>
          <w:b/>
        </w:rPr>
      </w:pPr>
      <w:r w:rsidRPr="00DB28E4">
        <w:rPr>
          <w:b/>
        </w:rPr>
        <w:t>Staff-</w:t>
      </w:r>
      <w:r w:rsidR="00F509DE">
        <w:rPr>
          <w:b/>
        </w:rPr>
        <w:t>3</w:t>
      </w:r>
    </w:p>
    <w:p w14:paraId="259B955A" w14:textId="77777777" w:rsidR="00907C3F" w:rsidRPr="009A6FE7" w:rsidRDefault="00907C3F" w:rsidP="00907C3F">
      <w:pPr>
        <w:rPr>
          <w:rFonts w:ascii="Arial" w:hAnsi="Arial" w:cs="Arial"/>
          <w:b/>
          <w:sz w:val="24"/>
          <w:szCs w:val="24"/>
        </w:rPr>
      </w:pPr>
      <w:r w:rsidRPr="009A6FE7">
        <w:rPr>
          <w:rFonts w:ascii="Arial" w:hAnsi="Arial" w:cs="Arial"/>
          <w:b/>
          <w:sz w:val="24"/>
          <w:szCs w:val="24"/>
        </w:rPr>
        <w:t>Ref:</w:t>
      </w:r>
      <w:r>
        <w:rPr>
          <w:rFonts w:ascii="Arial" w:hAnsi="Arial" w:cs="Arial"/>
          <w:b/>
          <w:sz w:val="24"/>
          <w:szCs w:val="24"/>
        </w:rPr>
        <w:tab/>
      </w:r>
      <w:r w:rsidRPr="009A6FE7">
        <w:rPr>
          <w:rFonts w:ascii="Arial" w:hAnsi="Arial" w:cs="Arial"/>
          <w:b/>
          <w:sz w:val="24"/>
          <w:szCs w:val="24"/>
        </w:rPr>
        <w:t xml:space="preserve">Appendix A Responses </w:t>
      </w:r>
      <w:r>
        <w:rPr>
          <w:rFonts w:ascii="Arial" w:hAnsi="Arial" w:cs="Arial"/>
          <w:b/>
          <w:sz w:val="24"/>
          <w:szCs w:val="24"/>
        </w:rPr>
        <w:t>to GA Methodology</w:t>
      </w:r>
    </w:p>
    <w:p w14:paraId="5CBD61E1" w14:textId="77777777" w:rsidR="00907C3F" w:rsidRPr="009A6FE7" w:rsidRDefault="00907C3F" w:rsidP="00907C3F">
      <w:pPr>
        <w:rPr>
          <w:rFonts w:ascii="Arial" w:hAnsi="Arial" w:cs="Arial"/>
          <w:sz w:val="24"/>
          <w:szCs w:val="24"/>
        </w:rPr>
      </w:pPr>
      <w:r w:rsidRPr="009A6FE7">
        <w:rPr>
          <w:rFonts w:ascii="Arial" w:hAnsi="Arial" w:cs="Arial"/>
          <w:sz w:val="24"/>
          <w:szCs w:val="24"/>
        </w:rPr>
        <w:t>In regards to the r</w:t>
      </w:r>
      <w:r>
        <w:rPr>
          <w:rFonts w:ascii="Arial" w:hAnsi="Arial" w:cs="Arial"/>
          <w:sz w:val="24"/>
          <w:szCs w:val="24"/>
        </w:rPr>
        <w:t>ecording and true-up of CT1142, p</w:t>
      </w:r>
      <w:r w:rsidRPr="009A6FE7">
        <w:rPr>
          <w:rFonts w:ascii="Arial" w:hAnsi="Arial" w:cs="Arial"/>
          <w:sz w:val="24"/>
          <w:szCs w:val="24"/>
        </w:rPr>
        <w:t>lease confirm the following:</w:t>
      </w:r>
    </w:p>
    <w:p w14:paraId="6860D9D0" w14:textId="77777777" w:rsidR="00907C3F" w:rsidRPr="00907C3F" w:rsidRDefault="00907C3F" w:rsidP="00907C3F">
      <w:pPr>
        <w:pStyle w:val="ListParagraph"/>
        <w:numPr>
          <w:ilvl w:val="0"/>
          <w:numId w:val="21"/>
        </w:numPr>
        <w:rPr>
          <w:rFonts w:ascii="Arial" w:hAnsi="Arial" w:cs="Arial"/>
          <w:sz w:val="24"/>
          <w:szCs w:val="24"/>
        </w:rPr>
      </w:pPr>
      <w:r w:rsidRPr="00907C3F">
        <w:rPr>
          <w:rFonts w:ascii="Arial" w:hAnsi="Arial" w:cs="Arial"/>
          <w:sz w:val="24"/>
          <w:szCs w:val="24"/>
        </w:rPr>
        <w:t>The utility initially performs its monthly RPP settlement based on actual metered RPP consumption for the month and therefore the only true-up that would be required to the resulting CT</w:t>
      </w:r>
      <w:r>
        <w:rPr>
          <w:rFonts w:ascii="Arial" w:hAnsi="Arial" w:cs="Arial"/>
          <w:sz w:val="24"/>
          <w:szCs w:val="24"/>
        </w:rPr>
        <w:t xml:space="preserve"> </w:t>
      </w:r>
      <w:r w:rsidRPr="00907C3F">
        <w:rPr>
          <w:rFonts w:ascii="Arial" w:hAnsi="Arial" w:cs="Arial"/>
          <w:sz w:val="24"/>
          <w:szCs w:val="24"/>
        </w:rPr>
        <w:t xml:space="preserve">1142 is for the GA </w:t>
      </w:r>
      <w:r w:rsidRPr="00907C3F">
        <w:rPr>
          <w:rFonts w:ascii="Arial" w:hAnsi="Arial" w:cs="Arial"/>
          <w:sz w:val="24"/>
          <w:szCs w:val="24"/>
        </w:rPr>
        <w:lastRenderedPageBreak/>
        <w:t>rate and HOEP price that is used for settlement purposes since they are both initially based on estimates.</w:t>
      </w:r>
    </w:p>
    <w:p w14:paraId="66910209" w14:textId="77777777" w:rsidR="00907C3F" w:rsidRDefault="00907C3F" w:rsidP="00907C3F">
      <w:pPr>
        <w:pStyle w:val="ListParagraph"/>
        <w:rPr>
          <w:rFonts w:ascii="Arial" w:hAnsi="Arial" w:cs="Arial"/>
          <w:sz w:val="24"/>
          <w:szCs w:val="24"/>
        </w:rPr>
      </w:pPr>
    </w:p>
    <w:p w14:paraId="64080EAD" w14:textId="77777777" w:rsidR="00907C3F" w:rsidRDefault="00907C3F" w:rsidP="00907C3F">
      <w:pPr>
        <w:pStyle w:val="ListParagraph"/>
        <w:numPr>
          <w:ilvl w:val="0"/>
          <w:numId w:val="21"/>
        </w:numPr>
        <w:rPr>
          <w:rFonts w:ascii="Arial" w:hAnsi="Arial" w:cs="Arial"/>
          <w:sz w:val="24"/>
          <w:szCs w:val="24"/>
        </w:rPr>
      </w:pPr>
      <w:r w:rsidRPr="00907C3F">
        <w:rPr>
          <w:rFonts w:ascii="Arial" w:hAnsi="Arial" w:cs="Arial"/>
          <w:sz w:val="24"/>
          <w:szCs w:val="24"/>
        </w:rPr>
        <w:t xml:space="preserve">In the response provided to </w:t>
      </w:r>
      <w:r w:rsidRPr="003964AD">
        <w:rPr>
          <w:rFonts w:ascii="Arial" w:hAnsi="Arial" w:cs="Arial"/>
          <w:sz w:val="24"/>
          <w:szCs w:val="24"/>
        </w:rPr>
        <w:t>Question</w:t>
      </w:r>
      <w:r>
        <w:rPr>
          <w:rFonts w:ascii="Arial" w:hAnsi="Arial" w:cs="Arial"/>
          <w:sz w:val="24"/>
          <w:szCs w:val="24"/>
        </w:rPr>
        <w:t>s</w:t>
      </w:r>
      <w:r w:rsidRPr="00907C3F">
        <w:rPr>
          <w:rFonts w:ascii="Arial" w:hAnsi="Arial" w:cs="Arial"/>
          <w:sz w:val="24"/>
          <w:szCs w:val="24"/>
        </w:rPr>
        <w:t xml:space="preserve"> 2</w:t>
      </w:r>
      <w:r>
        <w:rPr>
          <w:rFonts w:ascii="Arial" w:hAnsi="Arial" w:cs="Arial"/>
          <w:sz w:val="24"/>
          <w:szCs w:val="24"/>
        </w:rPr>
        <w:t xml:space="preserve"> </w:t>
      </w:r>
      <w:r w:rsidRPr="00907C3F">
        <w:rPr>
          <w:rFonts w:ascii="Arial" w:hAnsi="Arial" w:cs="Arial"/>
          <w:sz w:val="24"/>
          <w:szCs w:val="24"/>
        </w:rPr>
        <w:t xml:space="preserve">b of the Appendix A questions, </w:t>
      </w:r>
      <w:r>
        <w:rPr>
          <w:rFonts w:ascii="Arial" w:hAnsi="Arial" w:cs="Arial"/>
          <w:sz w:val="24"/>
          <w:szCs w:val="24"/>
        </w:rPr>
        <w:t xml:space="preserve">Veridian Connections </w:t>
      </w:r>
      <w:r w:rsidRPr="00907C3F">
        <w:rPr>
          <w:rFonts w:ascii="Arial" w:hAnsi="Arial" w:cs="Arial"/>
          <w:sz w:val="24"/>
          <w:szCs w:val="24"/>
        </w:rPr>
        <w:t xml:space="preserve">indicates that the settlement month is trued-up two- calendar months post settlement month.  </w:t>
      </w:r>
    </w:p>
    <w:p w14:paraId="2427E2E8" w14:textId="77777777" w:rsidR="00907C3F" w:rsidRPr="00907C3F" w:rsidRDefault="00907C3F" w:rsidP="00907C3F">
      <w:pPr>
        <w:pStyle w:val="ListParagraph"/>
        <w:rPr>
          <w:rFonts w:ascii="Arial" w:hAnsi="Arial" w:cs="Arial"/>
          <w:sz w:val="24"/>
          <w:szCs w:val="24"/>
        </w:rPr>
      </w:pPr>
    </w:p>
    <w:p w14:paraId="2938B2E1" w14:textId="77777777" w:rsidR="00907C3F" w:rsidRPr="00907C3F" w:rsidRDefault="00907C3F" w:rsidP="00907C3F">
      <w:pPr>
        <w:pStyle w:val="ListParagraph"/>
        <w:rPr>
          <w:rFonts w:ascii="Arial" w:hAnsi="Arial" w:cs="Arial"/>
          <w:sz w:val="24"/>
          <w:szCs w:val="24"/>
        </w:rPr>
      </w:pPr>
      <w:r w:rsidRPr="00907C3F">
        <w:rPr>
          <w:rFonts w:ascii="Arial" w:hAnsi="Arial" w:cs="Arial"/>
          <w:sz w:val="24"/>
          <w:szCs w:val="24"/>
        </w:rPr>
        <w:t>Please confirm that this means, for example, December 2017 consumption was settled with the IESO on January 4</w:t>
      </w:r>
      <w:r w:rsidRPr="00907C3F">
        <w:rPr>
          <w:rFonts w:ascii="Arial" w:hAnsi="Arial" w:cs="Arial"/>
          <w:sz w:val="24"/>
          <w:szCs w:val="24"/>
          <w:vertAlign w:val="superscript"/>
        </w:rPr>
        <w:t>th</w:t>
      </w:r>
      <w:r w:rsidRPr="00907C3F">
        <w:rPr>
          <w:rFonts w:ascii="Arial" w:hAnsi="Arial" w:cs="Arial"/>
          <w:sz w:val="24"/>
          <w:szCs w:val="24"/>
        </w:rPr>
        <w:t>, and then that January 4</w:t>
      </w:r>
      <w:r w:rsidRPr="00907C3F">
        <w:rPr>
          <w:rFonts w:ascii="Arial" w:hAnsi="Arial" w:cs="Arial"/>
          <w:sz w:val="24"/>
          <w:szCs w:val="24"/>
          <w:vertAlign w:val="superscript"/>
        </w:rPr>
        <w:t>th</w:t>
      </w:r>
      <w:r w:rsidRPr="00907C3F">
        <w:rPr>
          <w:rFonts w:ascii="Arial" w:hAnsi="Arial" w:cs="Arial"/>
          <w:sz w:val="24"/>
          <w:szCs w:val="24"/>
        </w:rPr>
        <w:t xml:space="preserve"> settlement was trued-up to actual as part of the utility’s February 4</w:t>
      </w:r>
      <w:r w:rsidRPr="00907C3F">
        <w:rPr>
          <w:rFonts w:ascii="Arial" w:hAnsi="Arial" w:cs="Arial"/>
          <w:sz w:val="24"/>
          <w:szCs w:val="24"/>
          <w:vertAlign w:val="superscript"/>
        </w:rPr>
        <w:t>th</w:t>
      </w:r>
      <w:r w:rsidRPr="00907C3F">
        <w:rPr>
          <w:rFonts w:ascii="Arial" w:hAnsi="Arial" w:cs="Arial"/>
          <w:sz w:val="24"/>
          <w:szCs w:val="24"/>
        </w:rPr>
        <w:t xml:space="preserve"> settlement with the IESO.</w:t>
      </w:r>
    </w:p>
    <w:p w14:paraId="7F3317FC" w14:textId="77777777" w:rsidR="00216885" w:rsidRDefault="00216885" w:rsidP="00216885">
      <w:pPr>
        <w:rPr>
          <w:rFonts w:ascii="Arial" w:hAnsi="Arial" w:cs="Arial"/>
          <w:sz w:val="24"/>
          <w:szCs w:val="24"/>
          <w:u w:val="single"/>
        </w:rPr>
      </w:pPr>
      <w:r w:rsidRPr="00216885">
        <w:rPr>
          <w:rFonts w:ascii="Arial" w:hAnsi="Arial" w:cs="Arial"/>
          <w:sz w:val="24"/>
          <w:szCs w:val="24"/>
          <w:u w:val="single"/>
        </w:rPr>
        <w:t>Veridian Response:</w:t>
      </w:r>
    </w:p>
    <w:p w14:paraId="662C0BDE" w14:textId="77777777" w:rsidR="00A57BCC" w:rsidRDefault="00C946E0" w:rsidP="00C946E0">
      <w:pPr>
        <w:pStyle w:val="ListParagraph"/>
        <w:numPr>
          <w:ilvl w:val="0"/>
          <w:numId w:val="24"/>
        </w:numPr>
        <w:rPr>
          <w:rFonts w:ascii="Arial" w:hAnsi="Arial" w:cs="Arial"/>
          <w:sz w:val="24"/>
          <w:szCs w:val="24"/>
        </w:rPr>
      </w:pPr>
      <w:r>
        <w:rPr>
          <w:rFonts w:ascii="Arial" w:hAnsi="Arial" w:cs="Arial"/>
          <w:sz w:val="24"/>
          <w:szCs w:val="24"/>
        </w:rPr>
        <w:t xml:space="preserve">Veridian confirms that </w:t>
      </w:r>
      <w:r w:rsidR="000A2287">
        <w:rPr>
          <w:rFonts w:ascii="Arial" w:hAnsi="Arial" w:cs="Arial"/>
          <w:sz w:val="24"/>
          <w:szCs w:val="24"/>
        </w:rPr>
        <w:t xml:space="preserve">under usual circumstances </w:t>
      </w:r>
      <w:r>
        <w:rPr>
          <w:rFonts w:ascii="Arial" w:hAnsi="Arial" w:cs="Arial"/>
          <w:sz w:val="24"/>
          <w:szCs w:val="24"/>
        </w:rPr>
        <w:t>the only true up to CT 1142 is</w:t>
      </w:r>
      <w:r w:rsidR="00E04821">
        <w:rPr>
          <w:rFonts w:ascii="Arial" w:hAnsi="Arial" w:cs="Arial"/>
          <w:sz w:val="24"/>
          <w:szCs w:val="24"/>
        </w:rPr>
        <w:t xml:space="preserve"> for the GA rate and HOEP pricing</w:t>
      </w:r>
      <w:r w:rsidR="000A2287">
        <w:rPr>
          <w:rFonts w:ascii="Arial" w:hAnsi="Arial" w:cs="Arial"/>
          <w:sz w:val="24"/>
          <w:szCs w:val="24"/>
        </w:rPr>
        <w:t xml:space="preserve">.  Occasionally </w:t>
      </w:r>
      <w:r w:rsidR="00A57BCC">
        <w:rPr>
          <w:rFonts w:ascii="Arial" w:hAnsi="Arial" w:cs="Arial"/>
          <w:sz w:val="24"/>
          <w:szCs w:val="24"/>
        </w:rPr>
        <w:t>minor differences occur such as:</w:t>
      </w:r>
    </w:p>
    <w:p w14:paraId="42D01E16" w14:textId="77777777" w:rsidR="00A57BCC" w:rsidRDefault="00A57BCC" w:rsidP="00A57BCC">
      <w:pPr>
        <w:pStyle w:val="ListParagraph"/>
        <w:numPr>
          <w:ilvl w:val="0"/>
          <w:numId w:val="37"/>
        </w:numPr>
        <w:rPr>
          <w:rFonts w:ascii="Arial" w:hAnsi="Arial" w:cs="Arial"/>
          <w:sz w:val="24"/>
          <w:szCs w:val="24"/>
        </w:rPr>
      </w:pPr>
      <w:r>
        <w:rPr>
          <w:rFonts w:ascii="Arial" w:hAnsi="Arial" w:cs="Arial"/>
          <w:sz w:val="24"/>
          <w:szCs w:val="24"/>
        </w:rPr>
        <w:t>change from preliminary to final settlement statement HOEP.</w:t>
      </w:r>
    </w:p>
    <w:p w14:paraId="451F150C" w14:textId="77777777" w:rsidR="00216885" w:rsidRDefault="00A57BCC" w:rsidP="00A57BCC">
      <w:pPr>
        <w:pStyle w:val="ListParagraph"/>
        <w:numPr>
          <w:ilvl w:val="0"/>
          <w:numId w:val="37"/>
        </w:numPr>
        <w:rPr>
          <w:rFonts w:ascii="Arial" w:hAnsi="Arial" w:cs="Arial"/>
          <w:sz w:val="24"/>
          <w:szCs w:val="24"/>
        </w:rPr>
      </w:pPr>
      <w:r>
        <w:rPr>
          <w:rFonts w:ascii="Arial" w:hAnsi="Arial" w:cs="Arial"/>
          <w:sz w:val="24"/>
          <w:szCs w:val="24"/>
        </w:rPr>
        <w:t xml:space="preserve">contributing data sets to the initial 1598 submission may include estimated data; the data may be unavailable due to meter communication issues which may be resolved after the fact. </w:t>
      </w:r>
    </w:p>
    <w:p w14:paraId="54774C25" w14:textId="77777777" w:rsidR="00A57BCC" w:rsidRDefault="00A57BCC" w:rsidP="00A57BCC">
      <w:pPr>
        <w:pStyle w:val="ListParagraph"/>
        <w:ind w:left="1440"/>
        <w:rPr>
          <w:rFonts w:ascii="Arial" w:hAnsi="Arial" w:cs="Arial"/>
          <w:sz w:val="24"/>
          <w:szCs w:val="24"/>
        </w:rPr>
      </w:pPr>
    </w:p>
    <w:p w14:paraId="434067B3" w14:textId="375E9034" w:rsidR="00BC4D46" w:rsidRPr="003B6FCC" w:rsidRDefault="00BC4D46" w:rsidP="0099109A">
      <w:pPr>
        <w:pStyle w:val="ListParagraph"/>
        <w:numPr>
          <w:ilvl w:val="0"/>
          <w:numId w:val="24"/>
        </w:numPr>
        <w:rPr>
          <w:rFonts w:ascii="Arial" w:hAnsi="Arial" w:cs="Arial"/>
          <w:sz w:val="24"/>
          <w:szCs w:val="24"/>
        </w:rPr>
      </w:pPr>
      <w:r w:rsidRPr="003B6FCC">
        <w:rPr>
          <w:rFonts w:ascii="Arial" w:hAnsi="Arial" w:cs="Arial"/>
          <w:sz w:val="24"/>
          <w:szCs w:val="24"/>
        </w:rPr>
        <w:t>Using the example above, Veridian</w:t>
      </w:r>
      <w:r w:rsidR="003B6FCC" w:rsidRPr="003B6FCC">
        <w:rPr>
          <w:rFonts w:ascii="Arial" w:hAnsi="Arial" w:cs="Arial"/>
          <w:sz w:val="24"/>
          <w:szCs w:val="24"/>
        </w:rPr>
        <w:t xml:space="preserve">’s true process is as follows: </w:t>
      </w:r>
      <w:r w:rsidRPr="003B6FCC">
        <w:rPr>
          <w:rFonts w:ascii="Arial" w:hAnsi="Arial" w:cs="Arial"/>
          <w:sz w:val="24"/>
          <w:szCs w:val="24"/>
        </w:rPr>
        <w:t xml:space="preserve"> December 2017 consumption was settled with the IESO on January 4</w:t>
      </w:r>
      <w:r w:rsidRPr="003B6FCC">
        <w:rPr>
          <w:rFonts w:ascii="Arial" w:hAnsi="Arial" w:cs="Arial"/>
          <w:sz w:val="24"/>
          <w:szCs w:val="24"/>
          <w:vertAlign w:val="superscript"/>
        </w:rPr>
        <w:t>th</w:t>
      </w:r>
      <w:r w:rsidRPr="003B6FCC">
        <w:rPr>
          <w:rFonts w:ascii="Arial" w:hAnsi="Arial" w:cs="Arial"/>
          <w:sz w:val="24"/>
          <w:szCs w:val="24"/>
        </w:rPr>
        <w:t>, and then that January 4</w:t>
      </w:r>
      <w:r w:rsidRPr="00B6774C">
        <w:rPr>
          <w:rFonts w:ascii="Arial" w:hAnsi="Arial" w:cs="Arial"/>
          <w:sz w:val="24"/>
          <w:szCs w:val="24"/>
          <w:vertAlign w:val="superscript"/>
        </w:rPr>
        <w:t>th</w:t>
      </w:r>
      <w:r w:rsidRPr="00B6774C">
        <w:rPr>
          <w:rFonts w:ascii="Arial" w:hAnsi="Arial" w:cs="Arial"/>
          <w:sz w:val="24"/>
          <w:szCs w:val="24"/>
        </w:rPr>
        <w:t xml:space="preserve"> settlement was trued-up to actual as part of the utility’s </w:t>
      </w:r>
      <w:r w:rsidRPr="003B6FCC">
        <w:rPr>
          <w:rFonts w:ascii="Arial" w:hAnsi="Arial" w:cs="Arial"/>
          <w:sz w:val="24"/>
          <w:szCs w:val="24"/>
          <w:highlight w:val="yellow"/>
        </w:rPr>
        <w:t>March 4</w:t>
      </w:r>
      <w:r w:rsidRPr="003B6FCC">
        <w:rPr>
          <w:rFonts w:ascii="Arial" w:hAnsi="Arial" w:cs="Arial"/>
          <w:sz w:val="24"/>
          <w:szCs w:val="24"/>
          <w:highlight w:val="yellow"/>
          <w:vertAlign w:val="superscript"/>
        </w:rPr>
        <w:t>th</w:t>
      </w:r>
      <w:r w:rsidRPr="003B6FCC">
        <w:rPr>
          <w:rFonts w:ascii="Arial" w:hAnsi="Arial" w:cs="Arial"/>
          <w:sz w:val="24"/>
          <w:szCs w:val="24"/>
        </w:rPr>
        <w:t xml:space="preserve"> settlement with the IESO.</w:t>
      </w:r>
      <w:r w:rsidR="000A2287" w:rsidRPr="003B6FCC">
        <w:rPr>
          <w:rFonts w:ascii="Arial" w:hAnsi="Arial" w:cs="Arial"/>
          <w:sz w:val="24"/>
          <w:szCs w:val="24"/>
        </w:rPr>
        <w:t xml:space="preserve">  </w:t>
      </w:r>
      <w:r w:rsidR="003B6FCC">
        <w:rPr>
          <w:rFonts w:ascii="Arial" w:hAnsi="Arial" w:cs="Arial"/>
          <w:sz w:val="24"/>
          <w:szCs w:val="24"/>
        </w:rPr>
        <w:t>As previously stated; t</w:t>
      </w:r>
      <w:r w:rsidR="000A2287" w:rsidRPr="003B6FCC">
        <w:rPr>
          <w:rFonts w:ascii="Arial" w:hAnsi="Arial" w:cs="Arial"/>
          <w:sz w:val="24"/>
          <w:szCs w:val="24"/>
        </w:rPr>
        <w:t xml:space="preserve">his is the two </w:t>
      </w:r>
      <w:r w:rsidR="003B6FCC">
        <w:rPr>
          <w:rFonts w:ascii="Arial" w:hAnsi="Arial" w:cs="Arial"/>
          <w:sz w:val="24"/>
          <w:szCs w:val="24"/>
        </w:rPr>
        <w:t xml:space="preserve">calendar </w:t>
      </w:r>
      <w:r w:rsidR="000A2287" w:rsidRPr="003B6FCC">
        <w:rPr>
          <w:rFonts w:ascii="Arial" w:hAnsi="Arial" w:cs="Arial"/>
          <w:sz w:val="24"/>
          <w:szCs w:val="24"/>
        </w:rPr>
        <w:t xml:space="preserve">month </w:t>
      </w:r>
      <w:r w:rsidR="000A2287" w:rsidRPr="003B6FCC">
        <w:rPr>
          <w:rFonts w:ascii="Arial" w:hAnsi="Arial" w:cs="Arial"/>
          <w:sz w:val="24"/>
          <w:szCs w:val="24"/>
          <w:u w:val="single"/>
        </w:rPr>
        <w:t>post settlement</w:t>
      </w:r>
      <w:r w:rsidR="000A2287" w:rsidRPr="003B6FCC">
        <w:rPr>
          <w:rFonts w:ascii="Arial" w:hAnsi="Arial" w:cs="Arial"/>
          <w:sz w:val="24"/>
          <w:szCs w:val="24"/>
        </w:rPr>
        <w:t xml:space="preserve"> date.</w:t>
      </w:r>
    </w:p>
    <w:p w14:paraId="18D7250E" w14:textId="77777777" w:rsidR="00907C3F" w:rsidRDefault="00907C3F" w:rsidP="000D4973">
      <w:pPr>
        <w:pStyle w:val="NoSpacing"/>
      </w:pPr>
    </w:p>
    <w:p w14:paraId="10B55A90" w14:textId="77777777" w:rsidR="003964AD" w:rsidRPr="00DB28E4" w:rsidRDefault="003964AD" w:rsidP="003964AD">
      <w:pPr>
        <w:pStyle w:val="Heading1"/>
        <w:rPr>
          <w:b/>
        </w:rPr>
      </w:pPr>
      <w:r w:rsidRPr="00DB28E4">
        <w:rPr>
          <w:b/>
        </w:rPr>
        <w:t>Staff-</w:t>
      </w:r>
      <w:r w:rsidR="00F509DE">
        <w:rPr>
          <w:b/>
        </w:rPr>
        <w:t>4</w:t>
      </w:r>
    </w:p>
    <w:p w14:paraId="185FFCF0" w14:textId="77777777" w:rsidR="0003085F" w:rsidRDefault="003964AD" w:rsidP="003964AD">
      <w:pPr>
        <w:rPr>
          <w:rFonts w:ascii="Arial" w:hAnsi="Arial" w:cs="Arial"/>
          <w:b/>
          <w:sz w:val="24"/>
          <w:szCs w:val="24"/>
        </w:rPr>
      </w:pPr>
      <w:r w:rsidRPr="00DB28E4">
        <w:rPr>
          <w:rFonts w:ascii="Arial" w:hAnsi="Arial" w:cs="Arial"/>
          <w:b/>
          <w:sz w:val="24"/>
          <w:szCs w:val="24"/>
        </w:rPr>
        <w:t>Ref:   </w:t>
      </w:r>
      <w:r>
        <w:rPr>
          <w:rFonts w:ascii="Arial" w:hAnsi="Arial" w:cs="Arial"/>
          <w:b/>
          <w:sz w:val="24"/>
          <w:szCs w:val="24"/>
        </w:rPr>
        <w:t>Appendix A responses to GA Methodology</w:t>
      </w:r>
      <w:r w:rsidR="00192DEE">
        <w:rPr>
          <w:rFonts w:ascii="Arial" w:hAnsi="Arial" w:cs="Arial"/>
          <w:b/>
          <w:sz w:val="24"/>
          <w:szCs w:val="24"/>
        </w:rPr>
        <w:t>; DVA continuity schedule; 2017 GA Analysis Workform re: true-up adjustments in a/c 1588 and 1589</w:t>
      </w:r>
    </w:p>
    <w:p w14:paraId="357746A0" w14:textId="77777777" w:rsidR="00C5666D" w:rsidRPr="00C5666D" w:rsidRDefault="00C5666D" w:rsidP="003964AD">
      <w:pPr>
        <w:rPr>
          <w:u w:val="single"/>
        </w:rPr>
      </w:pPr>
      <w:r w:rsidRPr="00C5666D">
        <w:rPr>
          <w:rFonts w:ascii="Arial" w:hAnsi="Arial" w:cs="Arial"/>
          <w:sz w:val="24"/>
          <w:szCs w:val="24"/>
          <w:u w:val="single"/>
        </w:rPr>
        <w:lastRenderedPageBreak/>
        <w:t xml:space="preserve">Questions </w:t>
      </w:r>
    </w:p>
    <w:p w14:paraId="3BDD2DE2" w14:textId="77777777" w:rsidR="00FE5F72" w:rsidRDefault="00FE5F72" w:rsidP="00FE5F72">
      <w:pPr>
        <w:pStyle w:val="ListParagraph"/>
        <w:ind w:left="1440"/>
        <w:rPr>
          <w:rFonts w:ascii="Arial" w:hAnsi="Arial" w:cs="Arial"/>
          <w:sz w:val="24"/>
          <w:szCs w:val="24"/>
        </w:rPr>
      </w:pPr>
    </w:p>
    <w:p w14:paraId="2F361510" w14:textId="77777777" w:rsidR="00E87ACF" w:rsidRDefault="00E87ACF" w:rsidP="00E87ACF">
      <w:pPr>
        <w:pStyle w:val="ListParagraph"/>
        <w:numPr>
          <w:ilvl w:val="0"/>
          <w:numId w:val="3"/>
        </w:numPr>
        <w:rPr>
          <w:rFonts w:ascii="Arial" w:hAnsi="Arial" w:cs="Arial"/>
          <w:sz w:val="24"/>
          <w:szCs w:val="24"/>
        </w:rPr>
      </w:pPr>
      <w:r w:rsidRPr="00E87ACF">
        <w:rPr>
          <w:rFonts w:ascii="Arial" w:hAnsi="Arial" w:cs="Arial"/>
          <w:sz w:val="24"/>
          <w:szCs w:val="24"/>
        </w:rPr>
        <w:t xml:space="preserve">Response to Questions 4 </w:t>
      </w:r>
      <w:r w:rsidR="00E07413">
        <w:rPr>
          <w:rFonts w:ascii="Arial" w:hAnsi="Arial" w:cs="Arial"/>
          <w:sz w:val="24"/>
          <w:szCs w:val="24"/>
        </w:rPr>
        <w:t>b and d</w:t>
      </w:r>
    </w:p>
    <w:p w14:paraId="48D2D81C" w14:textId="77777777" w:rsidR="00E07413" w:rsidRDefault="00E07413" w:rsidP="00E07413">
      <w:pPr>
        <w:pStyle w:val="ListParagraph"/>
        <w:rPr>
          <w:rFonts w:ascii="Arial" w:hAnsi="Arial" w:cs="Arial"/>
          <w:sz w:val="24"/>
          <w:szCs w:val="24"/>
        </w:rPr>
      </w:pPr>
    </w:p>
    <w:p w14:paraId="5BB98715" w14:textId="77777777" w:rsidR="00C5666D" w:rsidRDefault="00E07413" w:rsidP="00E07413">
      <w:pPr>
        <w:pStyle w:val="ListParagraph"/>
        <w:rPr>
          <w:rFonts w:ascii="Arial" w:hAnsi="Arial" w:cs="Arial"/>
          <w:sz w:val="24"/>
          <w:szCs w:val="24"/>
        </w:rPr>
      </w:pPr>
      <w:r>
        <w:rPr>
          <w:rFonts w:ascii="Arial" w:hAnsi="Arial" w:cs="Arial"/>
          <w:sz w:val="24"/>
          <w:szCs w:val="24"/>
        </w:rPr>
        <w:t xml:space="preserve">Veridian </w:t>
      </w:r>
      <w:r w:rsidR="00A91755">
        <w:rPr>
          <w:rFonts w:ascii="Arial" w:hAnsi="Arial" w:cs="Arial"/>
          <w:sz w:val="24"/>
          <w:szCs w:val="24"/>
        </w:rPr>
        <w:t xml:space="preserve">Connections </w:t>
      </w:r>
      <w:r>
        <w:rPr>
          <w:rFonts w:ascii="Arial" w:hAnsi="Arial" w:cs="Arial"/>
          <w:sz w:val="24"/>
          <w:szCs w:val="24"/>
        </w:rPr>
        <w:t>stated that it did not quantify</w:t>
      </w:r>
      <w:r w:rsidR="00A91755">
        <w:rPr>
          <w:rFonts w:ascii="Arial" w:hAnsi="Arial" w:cs="Arial"/>
          <w:sz w:val="24"/>
          <w:szCs w:val="24"/>
        </w:rPr>
        <w:t xml:space="preserve"> the principal difference in the 2018 proceeding for unbilled differences, as it required significant work to do so.  </w:t>
      </w:r>
    </w:p>
    <w:p w14:paraId="77801375" w14:textId="77777777" w:rsidR="00C5666D" w:rsidRDefault="00C5666D" w:rsidP="00E07413">
      <w:pPr>
        <w:pStyle w:val="ListParagraph"/>
        <w:rPr>
          <w:rFonts w:ascii="Arial" w:hAnsi="Arial" w:cs="Arial"/>
          <w:sz w:val="24"/>
          <w:szCs w:val="24"/>
        </w:rPr>
      </w:pPr>
    </w:p>
    <w:p w14:paraId="07775FC0" w14:textId="77777777" w:rsidR="00E87ACF" w:rsidRDefault="005D6362" w:rsidP="00E07413">
      <w:pPr>
        <w:pStyle w:val="ListParagraph"/>
        <w:rPr>
          <w:rFonts w:ascii="Arial" w:hAnsi="Arial" w:cs="Arial"/>
          <w:sz w:val="24"/>
          <w:szCs w:val="24"/>
        </w:rPr>
      </w:pPr>
      <w:r>
        <w:rPr>
          <w:rFonts w:ascii="Arial" w:hAnsi="Arial" w:cs="Arial"/>
          <w:sz w:val="24"/>
          <w:szCs w:val="24"/>
        </w:rPr>
        <w:t>Veridian</w:t>
      </w:r>
      <w:r w:rsidR="00A91755">
        <w:rPr>
          <w:rFonts w:ascii="Arial" w:hAnsi="Arial" w:cs="Arial"/>
          <w:sz w:val="24"/>
          <w:szCs w:val="24"/>
        </w:rPr>
        <w:t xml:space="preserve"> Connections also </w:t>
      </w:r>
      <w:r w:rsidR="008505E2">
        <w:rPr>
          <w:rFonts w:ascii="Arial" w:hAnsi="Arial" w:cs="Arial"/>
          <w:sz w:val="24"/>
          <w:szCs w:val="24"/>
        </w:rPr>
        <w:t>notes that it did not have any principal adjustments for unbilled revenue included in the DVA continuity schedule for the current proceeding.</w:t>
      </w:r>
    </w:p>
    <w:p w14:paraId="09A10020" w14:textId="77777777" w:rsidR="00E07413" w:rsidRPr="00E87ACF" w:rsidRDefault="00E07413" w:rsidP="00E07413">
      <w:pPr>
        <w:pStyle w:val="ListParagraph"/>
        <w:rPr>
          <w:rFonts w:ascii="Arial" w:hAnsi="Arial" w:cs="Arial"/>
          <w:sz w:val="24"/>
          <w:szCs w:val="24"/>
        </w:rPr>
      </w:pPr>
    </w:p>
    <w:p w14:paraId="008E8805" w14:textId="77777777" w:rsidR="003F45CF" w:rsidRPr="00886305" w:rsidRDefault="003F45CF" w:rsidP="00886305">
      <w:pPr>
        <w:pStyle w:val="ListParagraph"/>
        <w:numPr>
          <w:ilvl w:val="0"/>
          <w:numId w:val="7"/>
        </w:numPr>
        <w:rPr>
          <w:rFonts w:ascii="Arial" w:hAnsi="Arial" w:cs="Arial"/>
          <w:sz w:val="24"/>
          <w:szCs w:val="24"/>
        </w:rPr>
      </w:pPr>
      <w:r>
        <w:rPr>
          <w:rFonts w:ascii="Arial" w:hAnsi="Arial" w:cs="Arial"/>
          <w:sz w:val="24"/>
          <w:szCs w:val="24"/>
        </w:rPr>
        <w:t xml:space="preserve">Do adjustments 2a and 2b on the GA Analysis Workform represent adjustments for unbilled differences? If yes, please explain why you stated above “you did not quantify the principal difference in the 2018 proceeding for unbilled differences”. If no, please explain </w:t>
      </w:r>
      <w:r w:rsidR="00BB23C2">
        <w:rPr>
          <w:rFonts w:ascii="Arial" w:hAnsi="Arial" w:cs="Arial"/>
          <w:sz w:val="24"/>
          <w:szCs w:val="24"/>
        </w:rPr>
        <w:t xml:space="preserve">what </w:t>
      </w:r>
      <w:r>
        <w:rPr>
          <w:rFonts w:ascii="Arial" w:hAnsi="Arial" w:cs="Arial"/>
          <w:sz w:val="24"/>
          <w:szCs w:val="24"/>
        </w:rPr>
        <w:t>the adjustments in 2a and 2b are.</w:t>
      </w:r>
    </w:p>
    <w:p w14:paraId="7704EAB9" w14:textId="77777777" w:rsidR="003F45CF" w:rsidRDefault="003F45CF" w:rsidP="003F45CF">
      <w:pPr>
        <w:pStyle w:val="ListParagraph"/>
        <w:ind w:left="1440"/>
        <w:rPr>
          <w:rFonts w:ascii="Arial" w:hAnsi="Arial" w:cs="Arial"/>
          <w:sz w:val="24"/>
          <w:szCs w:val="24"/>
        </w:rPr>
      </w:pPr>
    </w:p>
    <w:p w14:paraId="12ADC348" w14:textId="77777777" w:rsidR="00C330D5" w:rsidRDefault="00C330D5" w:rsidP="00E87ACF">
      <w:pPr>
        <w:pStyle w:val="ListParagraph"/>
        <w:numPr>
          <w:ilvl w:val="0"/>
          <w:numId w:val="7"/>
        </w:numPr>
        <w:rPr>
          <w:rFonts w:ascii="Arial" w:hAnsi="Arial" w:cs="Arial"/>
          <w:sz w:val="24"/>
          <w:szCs w:val="24"/>
        </w:rPr>
      </w:pPr>
      <w:r>
        <w:rPr>
          <w:rFonts w:ascii="Arial" w:hAnsi="Arial" w:cs="Arial"/>
          <w:sz w:val="24"/>
          <w:szCs w:val="24"/>
        </w:rPr>
        <w:t>Please discuss in greater detail why it requires a significant amount of work to quantify the principal differences</w:t>
      </w:r>
      <w:r w:rsidRPr="00C330D5">
        <w:rPr>
          <w:rFonts w:ascii="Arial" w:hAnsi="Arial" w:cs="Arial"/>
          <w:sz w:val="24"/>
          <w:szCs w:val="24"/>
        </w:rPr>
        <w:t xml:space="preserve"> </w:t>
      </w:r>
      <w:r>
        <w:rPr>
          <w:rFonts w:ascii="Arial" w:hAnsi="Arial" w:cs="Arial"/>
          <w:sz w:val="24"/>
          <w:szCs w:val="24"/>
        </w:rPr>
        <w:t>in the 2018 proceeding for unbilled differences.</w:t>
      </w:r>
    </w:p>
    <w:p w14:paraId="2F295AC7" w14:textId="77777777" w:rsidR="00C5666D" w:rsidRDefault="00C5666D" w:rsidP="00C5666D">
      <w:pPr>
        <w:pStyle w:val="ListParagraph"/>
        <w:ind w:left="1440"/>
        <w:rPr>
          <w:rFonts w:ascii="Arial" w:hAnsi="Arial" w:cs="Arial"/>
          <w:sz w:val="24"/>
          <w:szCs w:val="24"/>
        </w:rPr>
      </w:pPr>
    </w:p>
    <w:p w14:paraId="608C51EB" w14:textId="77777777" w:rsidR="00216885" w:rsidRDefault="00216885" w:rsidP="00216885">
      <w:pPr>
        <w:rPr>
          <w:rFonts w:ascii="Arial" w:hAnsi="Arial" w:cs="Arial"/>
          <w:sz w:val="24"/>
          <w:szCs w:val="24"/>
          <w:u w:val="single"/>
        </w:rPr>
      </w:pPr>
      <w:r w:rsidRPr="00216885">
        <w:rPr>
          <w:rFonts w:ascii="Arial" w:hAnsi="Arial" w:cs="Arial"/>
          <w:sz w:val="24"/>
          <w:szCs w:val="24"/>
          <w:u w:val="single"/>
        </w:rPr>
        <w:t>Veridian Response:</w:t>
      </w:r>
    </w:p>
    <w:p w14:paraId="1D06909C" w14:textId="120EE635" w:rsidR="0025174F" w:rsidRDefault="0025174F" w:rsidP="00AC47B2">
      <w:pPr>
        <w:pStyle w:val="ListParagraph"/>
        <w:numPr>
          <w:ilvl w:val="0"/>
          <w:numId w:val="26"/>
        </w:numPr>
        <w:rPr>
          <w:rFonts w:ascii="Arial" w:hAnsi="Arial" w:cs="Arial"/>
          <w:sz w:val="24"/>
          <w:szCs w:val="24"/>
        </w:rPr>
      </w:pPr>
    </w:p>
    <w:p w14:paraId="1B1F6009" w14:textId="1FE671C9" w:rsidR="0025174F" w:rsidRDefault="0025174F" w:rsidP="0099109A">
      <w:pPr>
        <w:pStyle w:val="ListParagraph"/>
        <w:ind w:left="1440"/>
        <w:rPr>
          <w:rFonts w:ascii="Arial" w:hAnsi="Arial" w:cs="Arial"/>
          <w:sz w:val="24"/>
          <w:szCs w:val="24"/>
        </w:rPr>
      </w:pPr>
      <w:r>
        <w:rPr>
          <w:rFonts w:ascii="Arial" w:hAnsi="Arial" w:cs="Arial"/>
          <w:sz w:val="24"/>
          <w:szCs w:val="24"/>
        </w:rPr>
        <w:t>Yes, adjustments 2a and 2b represent adjustments for unbilled differences.</w:t>
      </w:r>
    </w:p>
    <w:p w14:paraId="76B0DAD3" w14:textId="77777777" w:rsidR="00B6774C" w:rsidRDefault="00E04821" w:rsidP="0099109A">
      <w:pPr>
        <w:pStyle w:val="ListParagraph"/>
        <w:ind w:left="1440"/>
        <w:rPr>
          <w:rFonts w:ascii="Arial" w:hAnsi="Arial" w:cs="Arial"/>
          <w:sz w:val="24"/>
          <w:szCs w:val="24"/>
        </w:rPr>
      </w:pPr>
      <w:r>
        <w:rPr>
          <w:rFonts w:ascii="Arial" w:hAnsi="Arial" w:cs="Arial"/>
          <w:sz w:val="24"/>
          <w:szCs w:val="24"/>
        </w:rPr>
        <w:t>T</w:t>
      </w:r>
      <w:r w:rsidR="00AC47B2" w:rsidRPr="00AC47B2">
        <w:rPr>
          <w:rFonts w:ascii="Arial" w:hAnsi="Arial" w:cs="Arial"/>
          <w:sz w:val="24"/>
          <w:szCs w:val="24"/>
        </w:rPr>
        <w:t>he principal adjustment</w:t>
      </w:r>
      <w:r w:rsidR="00886305">
        <w:rPr>
          <w:rFonts w:ascii="Arial" w:hAnsi="Arial" w:cs="Arial"/>
          <w:sz w:val="24"/>
          <w:szCs w:val="24"/>
        </w:rPr>
        <w:t xml:space="preserve"> for 2a,</w:t>
      </w:r>
      <w:r w:rsidR="00AC47B2" w:rsidRPr="00AC47B2">
        <w:rPr>
          <w:rFonts w:ascii="Arial" w:hAnsi="Arial" w:cs="Arial"/>
          <w:sz w:val="24"/>
          <w:szCs w:val="24"/>
        </w:rPr>
        <w:t xml:space="preserve"> </w:t>
      </w:r>
      <w:r w:rsidR="00886305">
        <w:rPr>
          <w:rFonts w:ascii="Arial" w:hAnsi="Arial" w:cs="Arial"/>
          <w:sz w:val="24"/>
          <w:szCs w:val="24"/>
        </w:rPr>
        <w:t>listed on the GA analysis workform represent unbilled differences from 2016 and included in 2017 balances</w:t>
      </w:r>
      <w:r w:rsidR="00AC47B2" w:rsidRPr="00AC47B2">
        <w:rPr>
          <w:rFonts w:ascii="Arial" w:hAnsi="Arial" w:cs="Arial"/>
          <w:sz w:val="24"/>
          <w:szCs w:val="24"/>
        </w:rPr>
        <w:t xml:space="preserve">.  </w:t>
      </w:r>
      <w:r w:rsidR="00886305">
        <w:rPr>
          <w:rFonts w:ascii="Arial" w:hAnsi="Arial" w:cs="Arial"/>
          <w:sz w:val="24"/>
          <w:szCs w:val="24"/>
        </w:rPr>
        <w:t>T</w:t>
      </w:r>
      <w:r w:rsidR="00AC47B2" w:rsidRPr="00AC47B2">
        <w:rPr>
          <w:rFonts w:ascii="Arial" w:hAnsi="Arial" w:cs="Arial"/>
          <w:sz w:val="24"/>
          <w:szCs w:val="24"/>
        </w:rPr>
        <w:t xml:space="preserve">he principal adjustment 2 b. </w:t>
      </w:r>
      <w:r w:rsidR="00886305">
        <w:rPr>
          <w:rFonts w:ascii="Arial" w:hAnsi="Arial" w:cs="Arial"/>
          <w:sz w:val="24"/>
          <w:szCs w:val="24"/>
        </w:rPr>
        <w:t>listed</w:t>
      </w:r>
      <w:r w:rsidR="00AC47B2" w:rsidRPr="00AC47B2">
        <w:rPr>
          <w:rFonts w:ascii="Arial" w:hAnsi="Arial" w:cs="Arial"/>
          <w:sz w:val="24"/>
          <w:szCs w:val="24"/>
        </w:rPr>
        <w:t xml:space="preserve"> on the GA analysis</w:t>
      </w:r>
      <w:r w:rsidR="00886305">
        <w:rPr>
          <w:rFonts w:ascii="Arial" w:hAnsi="Arial" w:cs="Arial"/>
          <w:sz w:val="24"/>
          <w:szCs w:val="24"/>
        </w:rPr>
        <w:t xml:space="preserve"> workform represent 2017 unbilled adjustment </w:t>
      </w:r>
      <w:r w:rsidR="00774F9F">
        <w:rPr>
          <w:rFonts w:ascii="Arial" w:hAnsi="Arial" w:cs="Arial"/>
          <w:sz w:val="24"/>
          <w:szCs w:val="24"/>
        </w:rPr>
        <w:t>that i</w:t>
      </w:r>
      <w:r w:rsidR="00AC47B2" w:rsidRPr="00AC47B2">
        <w:rPr>
          <w:rFonts w:ascii="Arial" w:hAnsi="Arial" w:cs="Arial"/>
          <w:sz w:val="24"/>
          <w:szCs w:val="24"/>
        </w:rPr>
        <w:t xml:space="preserve">s included in 2018 balances. </w:t>
      </w:r>
    </w:p>
    <w:p w14:paraId="74122363" w14:textId="742FD849" w:rsidR="00886305" w:rsidRPr="0099109A" w:rsidRDefault="00B6774C" w:rsidP="0099109A">
      <w:pPr>
        <w:rPr>
          <w:rFonts w:ascii="Arial" w:hAnsi="Arial" w:cs="Arial"/>
          <w:sz w:val="24"/>
          <w:szCs w:val="24"/>
        </w:rPr>
      </w:pPr>
      <w:r>
        <w:rPr>
          <w:rFonts w:ascii="Arial" w:hAnsi="Arial" w:cs="Arial"/>
          <w:sz w:val="24"/>
          <w:szCs w:val="24"/>
        </w:rPr>
        <w:lastRenderedPageBreak/>
        <w:t xml:space="preserve">When responding to questions 4 b and d, Veridian understood </w:t>
      </w:r>
      <w:r w:rsidR="00BD46E2">
        <w:rPr>
          <w:rFonts w:ascii="Arial" w:hAnsi="Arial" w:cs="Arial"/>
          <w:sz w:val="24"/>
          <w:szCs w:val="24"/>
        </w:rPr>
        <w:t xml:space="preserve">these questions to be related to principal adjustments already approved in </w:t>
      </w:r>
      <w:r>
        <w:rPr>
          <w:rFonts w:ascii="Arial" w:hAnsi="Arial" w:cs="Arial"/>
          <w:sz w:val="24"/>
          <w:szCs w:val="24"/>
        </w:rPr>
        <w:t xml:space="preserve">Veridian’s 2018 IRM Application (EB-2017-0078) filed on </w:t>
      </w:r>
      <w:r w:rsidR="00BD46E2">
        <w:rPr>
          <w:rFonts w:ascii="Arial" w:hAnsi="Arial" w:cs="Arial"/>
          <w:sz w:val="24"/>
          <w:szCs w:val="24"/>
        </w:rPr>
        <w:t>October 16, 2017</w:t>
      </w:r>
      <w:r>
        <w:rPr>
          <w:rFonts w:ascii="Arial" w:hAnsi="Arial" w:cs="Arial"/>
          <w:sz w:val="24"/>
          <w:szCs w:val="24"/>
        </w:rPr>
        <w:t xml:space="preserve">.  </w:t>
      </w:r>
      <w:r w:rsidRPr="00AC47B2">
        <w:rPr>
          <w:rFonts w:ascii="Arial" w:hAnsi="Arial" w:cs="Arial"/>
          <w:sz w:val="24"/>
          <w:szCs w:val="24"/>
        </w:rPr>
        <w:t xml:space="preserve">Veridian </w:t>
      </w:r>
      <w:r>
        <w:rPr>
          <w:rFonts w:ascii="Arial" w:hAnsi="Arial" w:cs="Arial"/>
          <w:sz w:val="24"/>
          <w:szCs w:val="24"/>
        </w:rPr>
        <w:t xml:space="preserve">did quantify the 2016 adjustment relating to 2015 unbilled in the GA Analysis workform for the current proceeding (EB-2018-0072).  However Veridian was unable to quantify the difference in the previous proceeding (EB-2017-0078).  Veridian was able to quantify the 2017 adjustment in the GA Analysis workform for the current proceeding.  </w:t>
      </w:r>
      <w:r>
        <w:rPr>
          <w:rFonts w:ascii="Arial" w:hAnsi="Arial" w:cs="Arial"/>
          <w:sz w:val="24"/>
          <w:szCs w:val="24"/>
        </w:rPr>
        <w:t xml:space="preserve">ii. </w:t>
      </w:r>
      <w:r w:rsidR="009B41E6" w:rsidRPr="0099109A">
        <w:rPr>
          <w:rFonts w:ascii="Arial" w:hAnsi="Arial" w:cs="Arial"/>
          <w:sz w:val="24"/>
          <w:szCs w:val="24"/>
        </w:rPr>
        <w:t>Veridian’s billing system is quite complex and required significant work to build a query to provide the correct data.  Earlier this year, Veridian was able to create this query for Global Adjustment.  The Power query required testing to ensure the data in the query was</w:t>
      </w:r>
      <w:r w:rsidR="00BD46E2">
        <w:rPr>
          <w:rFonts w:ascii="Arial" w:hAnsi="Arial" w:cs="Arial"/>
          <w:sz w:val="24"/>
          <w:szCs w:val="24"/>
        </w:rPr>
        <w:t xml:space="preserve"> </w:t>
      </w:r>
      <w:r w:rsidR="009B41E6" w:rsidRPr="0099109A">
        <w:rPr>
          <w:rFonts w:ascii="Arial" w:hAnsi="Arial" w:cs="Arial"/>
          <w:sz w:val="24"/>
          <w:szCs w:val="24"/>
        </w:rPr>
        <w:t>accurate for subsequent billed revenue.  Limited resources also were a factor in the delay of this information.</w:t>
      </w:r>
    </w:p>
    <w:p w14:paraId="76E49136" w14:textId="77777777" w:rsidR="00E07413" w:rsidRPr="00C5666D" w:rsidRDefault="00E07413" w:rsidP="00E07413">
      <w:pPr>
        <w:rPr>
          <w:rFonts w:ascii="Arial" w:hAnsi="Arial" w:cs="Arial"/>
          <w:sz w:val="24"/>
          <w:szCs w:val="24"/>
        </w:rPr>
      </w:pPr>
    </w:p>
    <w:p w14:paraId="39A3CC50" w14:textId="77777777" w:rsidR="00E07413" w:rsidRPr="00C5666D" w:rsidRDefault="00C330D5" w:rsidP="00317FC8">
      <w:pPr>
        <w:pStyle w:val="Heading1"/>
        <w:rPr>
          <w:rFonts w:cs="Arial"/>
          <w:b/>
        </w:rPr>
      </w:pPr>
      <w:r w:rsidRPr="00C5666D">
        <w:rPr>
          <w:rFonts w:cs="Arial"/>
          <w:b/>
        </w:rPr>
        <w:t>Staff-</w:t>
      </w:r>
      <w:r w:rsidR="00F509DE">
        <w:rPr>
          <w:rFonts w:cs="Arial"/>
          <w:b/>
        </w:rPr>
        <w:t>5</w:t>
      </w:r>
    </w:p>
    <w:p w14:paraId="5BE1F11A" w14:textId="77777777" w:rsidR="00E07413" w:rsidRDefault="00317FC8" w:rsidP="00E07413">
      <w:pPr>
        <w:rPr>
          <w:rFonts w:ascii="Arial" w:hAnsi="Arial" w:cs="Arial"/>
          <w:b/>
          <w:sz w:val="24"/>
          <w:szCs w:val="24"/>
        </w:rPr>
      </w:pPr>
      <w:r w:rsidRPr="00C5666D">
        <w:rPr>
          <w:rFonts w:ascii="Arial" w:hAnsi="Arial" w:cs="Arial"/>
          <w:b/>
          <w:sz w:val="24"/>
          <w:szCs w:val="24"/>
        </w:rPr>
        <w:t>Ref:</w:t>
      </w:r>
      <w:r w:rsidRPr="00C5666D">
        <w:rPr>
          <w:rFonts w:ascii="Arial" w:hAnsi="Arial" w:cs="Arial"/>
          <w:b/>
          <w:sz w:val="24"/>
          <w:szCs w:val="24"/>
        </w:rPr>
        <w:tab/>
        <w:t xml:space="preserve">2017 </w:t>
      </w:r>
      <w:r w:rsidR="00E07413" w:rsidRPr="00C5666D">
        <w:rPr>
          <w:rFonts w:ascii="Arial" w:hAnsi="Arial" w:cs="Arial"/>
          <w:b/>
          <w:sz w:val="24"/>
          <w:szCs w:val="24"/>
        </w:rPr>
        <w:t xml:space="preserve">GA </w:t>
      </w:r>
      <w:r w:rsidRPr="00C5666D">
        <w:rPr>
          <w:rFonts w:ascii="Arial" w:hAnsi="Arial" w:cs="Arial"/>
          <w:b/>
          <w:sz w:val="24"/>
          <w:szCs w:val="24"/>
        </w:rPr>
        <w:t xml:space="preserve">analysis </w:t>
      </w:r>
      <w:r w:rsidR="00E07413" w:rsidRPr="00C5666D">
        <w:rPr>
          <w:rFonts w:ascii="Arial" w:hAnsi="Arial" w:cs="Arial"/>
          <w:b/>
          <w:sz w:val="24"/>
          <w:szCs w:val="24"/>
        </w:rPr>
        <w:t>workform</w:t>
      </w:r>
      <w:r w:rsidRPr="00C5666D">
        <w:rPr>
          <w:rFonts w:ascii="Arial" w:hAnsi="Arial" w:cs="Arial"/>
          <w:b/>
          <w:sz w:val="24"/>
          <w:szCs w:val="24"/>
        </w:rPr>
        <w:t xml:space="preserve"> (reconciliation items)</w:t>
      </w:r>
    </w:p>
    <w:p w14:paraId="05EB5CB3" w14:textId="77777777" w:rsidR="00C5666D" w:rsidRPr="00C5666D" w:rsidRDefault="00C5666D" w:rsidP="00C5666D">
      <w:pPr>
        <w:rPr>
          <w:u w:val="single"/>
        </w:rPr>
      </w:pPr>
      <w:r w:rsidRPr="00C5666D">
        <w:rPr>
          <w:rFonts w:ascii="Arial" w:hAnsi="Arial" w:cs="Arial"/>
          <w:sz w:val="24"/>
          <w:szCs w:val="24"/>
          <w:u w:val="single"/>
        </w:rPr>
        <w:t xml:space="preserve">Questions </w:t>
      </w:r>
    </w:p>
    <w:p w14:paraId="314FE1DF" w14:textId="77777777" w:rsidR="00E07413" w:rsidRPr="00C5666D" w:rsidRDefault="00C330D5" w:rsidP="00317FC8">
      <w:pPr>
        <w:pStyle w:val="ListParagraph"/>
        <w:numPr>
          <w:ilvl w:val="0"/>
          <w:numId w:val="8"/>
        </w:numPr>
        <w:rPr>
          <w:rFonts w:ascii="Arial" w:hAnsi="Arial" w:cs="Arial"/>
          <w:sz w:val="24"/>
          <w:szCs w:val="24"/>
        </w:rPr>
      </w:pPr>
      <w:r w:rsidRPr="00C5666D">
        <w:rPr>
          <w:rFonts w:ascii="Arial" w:hAnsi="Arial" w:cs="Arial"/>
          <w:sz w:val="24"/>
          <w:szCs w:val="24"/>
        </w:rPr>
        <w:t xml:space="preserve">For each of the reconciling items in the 2017 GA analysis workform, please indicate </w:t>
      </w:r>
      <w:r w:rsidR="00317FC8" w:rsidRPr="00C5666D">
        <w:rPr>
          <w:rFonts w:ascii="Arial" w:hAnsi="Arial" w:cs="Arial"/>
          <w:sz w:val="24"/>
          <w:szCs w:val="24"/>
        </w:rPr>
        <w:t>the year the entry went through the G/L.</w:t>
      </w:r>
    </w:p>
    <w:p w14:paraId="6098ED3E" w14:textId="77777777" w:rsidR="00C5666D" w:rsidRDefault="00C5666D" w:rsidP="00C5666D">
      <w:pPr>
        <w:pStyle w:val="ListParagraph"/>
        <w:rPr>
          <w:rFonts w:ascii="Arial" w:hAnsi="Arial" w:cs="Arial"/>
          <w:sz w:val="24"/>
          <w:szCs w:val="24"/>
        </w:rPr>
      </w:pPr>
    </w:p>
    <w:p w14:paraId="65D25D6E" w14:textId="77777777" w:rsidR="000D4973" w:rsidRPr="000D4973" w:rsidRDefault="000D4973" w:rsidP="000D4973">
      <w:pPr>
        <w:pStyle w:val="ListParagraph"/>
        <w:numPr>
          <w:ilvl w:val="0"/>
          <w:numId w:val="8"/>
        </w:numPr>
        <w:rPr>
          <w:rFonts w:ascii="Arial" w:hAnsi="Arial" w:cs="Arial"/>
          <w:sz w:val="24"/>
          <w:szCs w:val="24"/>
        </w:rPr>
      </w:pPr>
      <w:r w:rsidRPr="000D4973">
        <w:rPr>
          <w:rFonts w:ascii="Arial" w:hAnsi="Arial" w:cs="Arial"/>
          <w:sz w:val="24"/>
          <w:szCs w:val="24"/>
        </w:rPr>
        <w:t>For each adjustment provided in Note 5, please add additional explanation that supports the direction of each (debit or credit).  For example, for adjustment 2b, indicate whether the unbilled accrual was over or understated compared to the actual billings made subsequently.</w:t>
      </w:r>
    </w:p>
    <w:p w14:paraId="5257331B" w14:textId="77777777" w:rsidR="000D4973" w:rsidRPr="00C5666D" w:rsidRDefault="000D4973" w:rsidP="00C5666D">
      <w:pPr>
        <w:pStyle w:val="ListParagraph"/>
        <w:rPr>
          <w:rFonts w:ascii="Arial" w:hAnsi="Arial" w:cs="Arial"/>
          <w:sz w:val="24"/>
          <w:szCs w:val="24"/>
        </w:rPr>
      </w:pPr>
    </w:p>
    <w:p w14:paraId="76506D18" w14:textId="77777777" w:rsidR="00C5666D" w:rsidRPr="00D824E6" w:rsidRDefault="00317FC8" w:rsidP="00D824E6">
      <w:pPr>
        <w:pStyle w:val="ListParagraph"/>
        <w:numPr>
          <w:ilvl w:val="0"/>
          <w:numId w:val="8"/>
        </w:numPr>
        <w:rPr>
          <w:rFonts w:ascii="Arial" w:hAnsi="Arial" w:cs="Arial"/>
          <w:sz w:val="24"/>
          <w:szCs w:val="24"/>
        </w:rPr>
      </w:pPr>
      <w:r w:rsidRPr="00C5666D">
        <w:rPr>
          <w:rFonts w:ascii="Arial" w:hAnsi="Arial" w:cs="Arial"/>
          <w:sz w:val="24"/>
          <w:szCs w:val="24"/>
        </w:rPr>
        <w:t xml:space="preserve">Please </w:t>
      </w:r>
      <w:r w:rsidR="000F6A7A">
        <w:rPr>
          <w:rFonts w:ascii="Arial" w:hAnsi="Arial" w:cs="Arial"/>
          <w:sz w:val="24"/>
          <w:szCs w:val="24"/>
        </w:rPr>
        <w:t>explain why</w:t>
      </w:r>
      <w:r w:rsidRPr="00C5666D">
        <w:rPr>
          <w:rFonts w:ascii="Arial" w:hAnsi="Arial" w:cs="Arial"/>
          <w:sz w:val="24"/>
          <w:szCs w:val="24"/>
        </w:rPr>
        <w:t xml:space="preserve"> the reconcili</w:t>
      </w:r>
      <w:r w:rsidR="000F6A7A">
        <w:rPr>
          <w:rFonts w:ascii="Arial" w:hAnsi="Arial" w:cs="Arial"/>
          <w:sz w:val="24"/>
          <w:szCs w:val="24"/>
        </w:rPr>
        <w:t>ng</w:t>
      </w:r>
      <w:r w:rsidRPr="00C5666D">
        <w:rPr>
          <w:rFonts w:ascii="Arial" w:hAnsi="Arial" w:cs="Arial"/>
          <w:sz w:val="24"/>
          <w:szCs w:val="24"/>
        </w:rPr>
        <w:t xml:space="preserve"> items listed on the 2017 GA analysis workform have </w:t>
      </w:r>
      <w:r w:rsidR="000F6A7A">
        <w:rPr>
          <w:rFonts w:ascii="Arial" w:hAnsi="Arial" w:cs="Arial"/>
          <w:sz w:val="24"/>
          <w:szCs w:val="24"/>
        </w:rPr>
        <w:t xml:space="preserve">not </w:t>
      </w:r>
      <w:r w:rsidRPr="00C5666D">
        <w:rPr>
          <w:rFonts w:ascii="Arial" w:hAnsi="Arial" w:cs="Arial"/>
          <w:sz w:val="24"/>
          <w:szCs w:val="24"/>
        </w:rPr>
        <w:t>been included in the DVA continuity schedule</w:t>
      </w:r>
      <w:r w:rsidR="000F6A7A">
        <w:rPr>
          <w:rFonts w:ascii="Arial" w:hAnsi="Arial" w:cs="Arial"/>
          <w:sz w:val="24"/>
          <w:szCs w:val="24"/>
        </w:rPr>
        <w:t xml:space="preserve"> in the principal adjustment column</w:t>
      </w:r>
      <w:r w:rsidRPr="00C5666D">
        <w:rPr>
          <w:rFonts w:ascii="Arial" w:hAnsi="Arial" w:cs="Arial"/>
          <w:sz w:val="24"/>
          <w:szCs w:val="24"/>
        </w:rPr>
        <w:t xml:space="preserve">. </w:t>
      </w:r>
      <w:r w:rsidR="00B1673C" w:rsidRPr="00C5666D">
        <w:rPr>
          <w:rFonts w:ascii="Arial" w:hAnsi="Arial" w:cs="Arial"/>
          <w:sz w:val="24"/>
          <w:szCs w:val="24"/>
        </w:rPr>
        <w:t xml:space="preserve"> </w:t>
      </w:r>
    </w:p>
    <w:p w14:paraId="06762D34" w14:textId="77777777" w:rsidR="00216885" w:rsidRDefault="00216885" w:rsidP="00216885">
      <w:pPr>
        <w:rPr>
          <w:rFonts w:ascii="Arial" w:hAnsi="Arial" w:cs="Arial"/>
          <w:sz w:val="24"/>
          <w:szCs w:val="24"/>
          <w:u w:val="single"/>
        </w:rPr>
      </w:pPr>
      <w:r w:rsidRPr="00216885">
        <w:rPr>
          <w:rFonts w:ascii="Arial" w:hAnsi="Arial" w:cs="Arial"/>
          <w:sz w:val="24"/>
          <w:szCs w:val="24"/>
          <w:u w:val="single"/>
        </w:rPr>
        <w:t>Veridian Response:</w:t>
      </w:r>
    </w:p>
    <w:p w14:paraId="7EB0E48D" w14:textId="48C8C104" w:rsidR="00CA5F3D" w:rsidRPr="00774F9F" w:rsidRDefault="00774F9F" w:rsidP="00774F9F">
      <w:pPr>
        <w:rPr>
          <w:rFonts w:ascii="Arial" w:hAnsi="Arial" w:cs="Arial"/>
          <w:sz w:val="24"/>
          <w:szCs w:val="24"/>
        </w:rPr>
      </w:pPr>
      <w:r>
        <w:rPr>
          <w:rFonts w:ascii="Arial" w:hAnsi="Arial" w:cs="Arial"/>
          <w:sz w:val="24"/>
          <w:szCs w:val="24"/>
        </w:rPr>
        <w:lastRenderedPageBreak/>
        <w:t xml:space="preserve">    </w:t>
      </w:r>
      <w:r w:rsidR="00B6774C">
        <w:rPr>
          <w:rFonts w:ascii="Arial" w:hAnsi="Arial" w:cs="Arial"/>
          <w:sz w:val="24"/>
          <w:szCs w:val="24"/>
        </w:rPr>
        <w:t xml:space="preserve">a  and </w:t>
      </w:r>
      <w:r>
        <w:rPr>
          <w:rFonts w:ascii="Arial" w:hAnsi="Arial" w:cs="Arial"/>
          <w:sz w:val="24"/>
          <w:szCs w:val="24"/>
        </w:rPr>
        <w:t>b.</w:t>
      </w:r>
      <w:r>
        <w:rPr>
          <w:rFonts w:ascii="Arial" w:hAnsi="Arial" w:cs="Arial"/>
          <w:sz w:val="24"/>
          <w:szCs w:val="24"/>
        </w:rPr>
        <w:tab/>
      </w:r>
      <w:r w:rsidR="00CA5F3D" w:rsidRPr="00774F9F">
        <w:rPr>
          <w:rFonts w:ascii="Arial" w:hAnsi="Arial" w:cs="Arial"/>
          <w:sz w:val="24"/>
          <w:szCs w:val="24"/>
        </w:rPr>
        <w:t xml:space="preserve">Reconciling item: </w:t>
      </w:r>
    </w:p>
    <w:p w14:paraId="633CEC0F" w14:textId="77777777" w:rsidR="00907C3F" w:rsidRDefault="00CA5F3D" w:rsidP="00CA5F3D">
      <w:pPr>
        <w:pStyle w:val="ListParagraph"/>
        <w:numPr>
          <w:ilvl w:val="1"/>
          <w:numId w:val="27"/>
        </w:numPr>
        <w:rPr>
          <w:rFonts w:ascii="Arial" w:hAnsi="Arial" w:cs="Arial"/>
          <w:sz w:val="24"/>
          <w:szCs w:val="24"/>
        </w:rPr>
      </w:pPr>
      <w:r>
        <w:rPr>
          <w:rFonts w:ascii="Arial" w:hAnsi="Arial" w:cs="Arial"/>
          <w:sz w:val="24"/>
          <w:szCs w:val="24"/>
        </w:rPr>
        <w:t>1a) Adjustment went through the GL 1589 in 2017 as a credit.  The true up accrual was understated</w:t>
      </w:r>
      <w:r w:rsidR="009F5470">
        <w:rPr>
          <w:rFonts w:ascii="Arial" w:hAnsi="Arial" w:cs="Arial"/>
          <w:sz w:val="24"/>
          <w:szCs w:val="24"/>
        </w:rPr>
        <w:t xml:space="preserve"> in 2016</w:t>
      </w:r>
      <w:r>
        <w:rPr>
          <w:rFonts w:ascii="Arial" w:hAnsi="Arial" w:cs="Arial"/>
          <w:sz w:val="24"/>
          <w:szCs w:val="24"/>
        </w:rPr>
        <w:t>.</w:t>
      </w:r>
    </w:p>
    <w:p w14:paraId="3338D896" w14:textId="77777777" w:rsidR="00CA5F3D" w:rsidRDefault="009F5470" w:rsidP="00CA5F3D">
      <w:pPr>
        <w:pStyle w:val="ListParagraph"/>
        <w:numPr>
          <w:ilvl w:val="1"/>
          <w:numId w:val="27"/>
        </w:numPr>
        <w:rPr>
          <w:rFonts w:ascii="Arial" w:hAnsi="Arial" w:cs="Arial"/>
          <w:sz w:val="24"/>
          <w:szCs w:val="24"/>
        </w:rPr>
      </w:pPr>
      <w:r>
        <w:rPr>
          <w:rFonts w:ascii="Arial" w:hAnsi="Arial" w:cs="Arial"/>
          <w:sz w:val="24"/>
          <w:szCs w:val="24"/>
        </w:rPr>
        <w:t>2a) Adjustment went through the GL 1589 in 2017 as a debit.  The unbilled accrual was overstated in 2016.</w:t>
      </w:r>
    </w:p>
    <w:p w14:paraId="26D9C3DE" w14:textId="77777777" w:rsidR="009F5470" w:rsidRDefault="009F5470" w:rsidP="00CA5F3D">
      <w:pPr>
        <w:pStyle w:val="ListParagraph"/>
        <w:numPr>
          <w:ilvl w:val="1"/>
          <w:numId w:val="27"/>
        </w:numPr>
        <w:rPr>
          <w:rFonts w:ascii="Arial" w:hAnsi="Arial" w:cs="Arial"/>
          <w:sz w:val="24"/>
          <w:szCs w:val="24"/>
        </w:rPr>
      </w:pPr>
      <w:r>
        <w:rPr>
          <w:rFonts w:ascii="Arial" w:hAnsi="Arial" w:cs="Arial"/>
          <w:sz w:val="24"/>
          <w:szCs w:val="24"/>
        </w:rPr>
        <w:t>2b) Adjustment went through the GL 1589 in 2018 as a credit.  The unbilled was understated in 2017.</w:t>
      </w:r>
    </w:p>
    <w:p w14:paraId="0B3BD92B" w14:textId="77777777" w:rsidR="009F5470" w:rsidRDefault="009F5470" w:rsidP="00CA5F3D">
      <w:pPr>
        <w:pStyle w:val="ListParagraph"/>
        <w:numPr>
          <w:ilvl w:val="1"/>
          <w:numId w:val="27"/>
        </w:numPr>
        <w:rPr>
          <w:rFonts w:ascii="Arial" w:hAnsi="Arial" w:cs="Arial"/>
          <w:sz w:val="24"/>
          <w:szCs w:val="24"/>
        </w:rPr>
      </w:pPr>
      <w:r>
        <w:rPr>
          <w:rFonts w:ascii="Arial" w:hAnsi="Arial" w:cs="Arial"/>
          <w:sz w:val="24"/>
          <w:szCs w:val="24"/>
        </w:rPr>
        <w:t>3a) Adjustment went through the GL 1589 in 2017 as a credit.  The accrual was understated in 2016.</w:t>
      </w:r>
    </w:p>
    <w:p w14:paraId="1206FEF8" w14:textId="77777777" w:rsidR="00D824E6" w:rsidRDefault="00D824E6" w:rsidP="00D824E6">
      <w:pPr>
        <w:pStyle w:val="ListParagraph"/>
        <w:ind w:left="1440"/>
        <w:rPr>
          <w:rFonts w:ascii="Arial" w:hAnsi="Arial" w:cs="Arial"/>
          <w:sz w:val="24"/>
          <w:szCs w:val="24"/>
        </w:rPr>
      </w:pPr>
    </w:p>
    <w:p w14:paraId="7737F289" w14:textId="1CE140BA" w:rsidR="00B6774C" w:rsidRPr="0099109A" w:rsidRDefault="00B6774C" w:rsidP="0099109A">
      <w:pPr>
        <w:rPr>
          <w:rFonts w:ascii="Arial" w:hAnsi="Arial" w:cs="Arial"/>
          <w:sz w:val="24"/>
          <w:szCs w:val="24"/>
        </w:rPr>
      </w:pPr>
      <w:r>
        <w:rPr>
          <w:rFonts w:ascii="Arial" w:hAnsi="Arial" w:cs="Arial"/>
          <w:sz w:val="24"/>
          <w:szCs w:val="24"/>
        </w:rPr>
        <w:t xml:space="preserve">c.  </w:t>
      </w:r>
      <w:r w:rsidRPr="0099109A">
        <w:rPr>
          <w:rFonts w:ascii="Arial" w:hAnsi="Arial" w:cs="Arial"/>
          <w:sz w:val="24"/>
          <w:szCs w:val="24"/>
        </w:rPr>
        <w:t>The reconciling items listed on the 2017 GA analysis workform were not included in the DVA continuity schedule in the principal adjustment column for the following reasons:</w:t>
      </w:r>
    </w:p>
    <w:p w14:paraId="02510FC2" w14:textId="5C1C26F1" w:rsidR="00B6774C" w:rsidRDefault="00B6774C" w:rsidP="00774F9F">
      <w:pPr>
        <w:pStyle w:val="ListParagraph"/>
        <w:numPr>
          <w:ilvl w:val="0"/>
          <w:numId w:val="35"/>
        </w:numPr>
        <w:rPr>
          <w:rFonts w:ascii="Arial" w:hAnsi="Arial" w:cs="Arial"/>
          <w:sz w:val="24"/>
          <w:szCs w:val="24"/>
        </w:rPr>
      </w:pPr>
      <w:r>
        <w:rPr>
          <w:rFonts w:ascii="Arial" w:hAnsi="Arial" w:cs="Arial"/>
          <w:sz w:val="24"/>
          <w:szCs w:val="24"/>
        </w:rPr>
        <w:t>..</w:t>
      </w:r>
      <w:r w:rsidR="00E0685A">
        <w:rPr>
          <w:rFonts w:ascii="Arial" w:hAnsi="Arial" w:cs="Arial"/>
          <w:sz w:val="24"/>
          <w:szCs w:val="24"/>
        </w:rPr>
        <w:t xml:space="preserve">The subsequent adjustments in Note 5 of the 2017 GA analysis workform are due to timing and Veridian didn’t consider this as a principal adjustment.  </w:t>
      </w:r>
    </w:p>
    <w:p w14:paraId="31703A59" w14:textId="58A1A067" w:rsidR="00E0685A" w:rsidRDefault="00B6774C" w:rsidP="00774F9F">
      <w:pPr>
        <w:pStyle w:val="ListParagraph"/>
        <w:numPr>
          <w:ilvl w:val="0"/>
          <w:numId w:val="35"/>
        </w:numPr>
        <w:rPr>
          <w:rFonts w:ascii="Arial" w:hAnsi="Arial" w:cs="Arial"/>
          <w:sz w:val="24"/>
          <w:szCs w:val="24"/>
        </w:rPr>
      </w:pPr>
      <w:r>
        <w:rPr>
          <w:rFonts w:ascii="Arial" w:hAnsi="Arial" w:cs="Arial"/>
          <w:sz w:val="24"/>
          <w:szCs w:val="24"/>
        </w:rPr>
        <w:t xml:space="preserve">. Veridian found no reference in the filing guidelines that would direct the inclusion of these reconciling items in the principal adjustment column of the DVA continuity schedule. </w:t>
      </w:r>
    </w:p>
    <w:p w14:paraId="397B4266" w14:textId="77777777" w:rsidR="00774F9F" w:rsidRDefault="00774F9F" w:rsidP="00774F9F">
      <w:pPr>
        <w:pStyle w:val="ListParagraph"/>
        <w:numPr>
          <w:ilvl w:val="1"/>
          <w:numId w:val="36"/>
        </w:numPr>
        <w:rPr>
          <w:rFonts w:ascii="Arial" w:hAnsi="Arial" w:cs="Arial"/>
          <w:sz w:val="24"/>
          <w:szCs w:val="24"/>
        </w:rPr>
      </w:pPr>
      <w:r>
        <w:rPr>
          <w:rFonts w:ascii="Arial" w:hAnsi="Arial" w:cs="Arial"/>
          <w:sz w:val="24"/>
          <w:szCs w:val="24"/>
        </w:rPr>
        <w:t>1a)</w:t>
      </w:r>
      <w:r w:rsidR="00D824E6">
        <w:rPr>
          <w:rFonts w:ascii="Arial" w:hAnsi="Arial" w:cs="Arial"/>
          <w:sz w:val="24"/>
          <w:szCs w:val="24"/>
        </w:rPr>
        <w:t xml:space="preserve"> 2a) and 3a)</w:t>
      </w:r>
      <w:r>
        <w:rPr>
          <w:rFonts w:ascii="Arial" w:hAnsi="Arial" w:cs="Arial"/>
          <w:sz w:val="24"/>
          <w:szCs w:val="24"/>
        </w:rPr>
        <w:t xml:space="preserve"> Adjustment</w:t>
      </w:r>
      <w:r w:rsidR="00D824E6">
        <w:rPr>
          <w:rFonts w:ascii="Arial" w:hAnsi="Arial" w:cs="Arial"/>
          <w:sz w:val="24"/>
          <w:szCs w:val="24"/>
        </w:rPr>
        <w:t>s</w:t>
      </w:r>
      <w:r>
        <w:rPr>
          <w:rFonts w:ascii="Arial" w:hAnsi="Arial" w:cs="Arial"/>
          <w:sz w:val="24"/>
          <w:szCs w:val="24"/>
        </w:rPr>
        <w:t xml:space="preserve"> went through the GL 1589 in 2017 and</w:t>
      </w:r>
      <w:r w:rsidR="00D824E6">
        <w:rPr>
          <w:rFonts w:ascii="Arial" w:hAnsi="Arial" w:cs="Arial"/>
          <w:sz w:val="24"/>
          <w:szCs w:val="24"/>
        </w:rPr>
        <w:t xml:space="preserve"> were </w:t>
      </w:r>
      <w:r>
        <w:rPr>
          <w:rFonts w:ascii="Arial" w:hAnsi="Arial" w:cs="Arial"/>
          <w:sz w:val="24"/>
          <w:szCs w:val="24"/>
        </w:rPr>
        <w:t xml:space="preserve">included in the Transactions Debit/Credit during 2017 column.  Veridian misunderstood that </w:t>
      </w:r>
      <w:r w:rsidR="00D824E6">
        <w:rPr>
          <w:rFonts w:ascii="Arial" w:hAnsi="Arial" w:cs="Arial"/>
          <w:sz w:val="24"/>
          <w:szCs w:val="24"/>
        </w:rPr>
        <w:t>adjustments of this type were to be recorded in the principal adjustment column.</w:t>
      </w:r>
      <w:r>
        <w:rPr>
          <w:rFonts w:ascii="Arial" w:hAnsi="Arial" w:cs="Arial"/>
          <w:sz w:val="24"/>
          <w:szCs w:val="24"/>
        </w:rPr>
        <w:t xml:space="preserve"> </w:t>
      </w:r>
    </w:p>
    <w:p w14:paraId="48AF0345" w14:textId="77777777" w:rsidR="00EF7D6C" w:rsidRDefault="00774F9F" w:rsidP="00907C3F">
      <w:pPr>
        <w:pStyle w:val="ListParagraph"/>
        <w:numPr>
          <w:ilvl w:val="1"/>
          <w:numId w:val="36"/>
        </w:numPr>
        <w:rPr>
          <w:rFonts w:ascii="Arial" w:hAnsi="Arial" w:cs="Arial"/>
          <w:sz w:val="24"/>
          <w:szCs w:val="24"/>
        </w:rPr>
      </w:pPr>
      <w:r>
        <w:rPr>
          <w:rFonts w:ascii="Arial" w:hAnsi="Arial" w:cs="Arial"/>
          <w:sz w:val="24"/>
          <w:szCs w:val="24"/>
        </w:rPr>
        <w:t xml:space="preserve">2b) Adjustment went through the GL 1589 in 2018 </w:t>
      </w:r>
      <w:r w:rsidR="00D824E6">
        <w:rPr>
          <w:rFonts w:ascii="Arial" w:hAnsi="Arial" w:cs="Arial"/>
          <w:sz w:val="24"/>
          <w:szCs w:val="24"/>
        </w:rPr>
        <w:t>and was not included in the 2017 continuity schedule balance for 1589.</w:t>
      </w:r>
    </w:p>
    <w:p w14:paraId="7D1D3B17" w14:textId="77777777" w:rsidR="00D824E6" w:rsidRPr="00D824E6" w:rsidRDefault="00D824E6" w:rsidP="00783040">
      <w:pPr>
        <w:pStyle w:val="ListParagraph"/>
        <w:ind w:left="1440"/>
        <w:rPr>
          <w:rFonts w:ascii="Arial" w:hAnsi="Arial" w:cs="Arial"/>
          <w:sz w:val="24"/>
          <w:szCs w:val="24"/>
        </w:rPr>
      </w:pPr>
    </w:p>
    <w:p w14:paraId="6570D711" w14:textId="77777777" w:rsidR="00907C3F" w:rsidRPr="00C5666D" w:rsidRDefault="00907C3F" w:rsidP="00907C3F">
      <w:pPr>
        <w:pStyle w:val="Heading1"/>
        <w:rPr>
          <w:rFonts w:cs="Arial"/>
          <w:b/>
        </w:rPr>
      </w:pPr>
      <w:r w:rsidRPr="00C5666D">
        <w:rPr>
          <w:rFonts w:cs="Arial"/>
          <w:b/>
        </w:rPr>
        <w:t>Staff-</w:t>
      </w:r>
      <w:r w:rsidR="00F509DE">
        <w:rPr>
          <w:rFonts w:cs="Arial"/>
          <w:b/>
        </w:rPr>
        <w:t>6</w:t>
      </w:r>
    </w:p>
    <w:p w14:paraId="34F78ECD" w14:textId="77777777" w:rsidR="00907C3F" w:rsidRPr="009A6FE7" w:rsidRDefault="00907C3F" w:rsidP="00907C3F">
      <w:pPr>
        <w:rPr>
          <w:rFonts w:ascii="Arial" w:hAnsi="Arial" w:cs="Arial"/>
          <w:b/>
          <w:sz w:val="24"/>
          <w:szCs w:val="24"/>
        </w:rPr>
      </w:pPr>
      <w:r w:rsidRPr="00C5666D">
        <w:rPr>
          <w:rFonts w:ascii="Arial" w:hAnsi="Arial" w:cs="Arial"/>
          <w:b/>
          <w:sz w:val="24"/>
          <w:szCs w:val="24"/>
        </w:rPr>
        <w:t>Ref:</w:t>
      </w:r>
      <w:r w:rsidRPr="00C5666D">
        <w:rPr>
          <w:rFonts w:ascii="Arial" w:hAnsi="Arial" w:cs="Arial"/>
          <w:b/>
          <w:sz w:val="24"/>
          <w:szCs w:val="24"/>
        </w:rPr>
        <w:tab/>
      </w:r>
      <w:r w:rsidRPr="009A6FE7">
        <w:rPr>
          <w:rFonts w:ascii="Arial" w:hAnsi="Arial" w:cs="Arial"/>
          <w:b/>
          <w:sz w:val="24"/>
          <w:szCs w:val="24"/>
        </w:rPr>
        <w:t>GA Analysis Workform, Note 5</w:t>
      </w:r>
    </w:p>
    <w:p w14:paraId="182E3055" w14:textId="77777777" w:rsidR="00907C3F" w:rsidRPr="009A6FE7" w:rsidRDefault="00907C3F" w:rsidP="00907C3F">
      <w:pPr>
        <w:rPr>
          <w:rFonts w:ascii="Arial" w:hAnsi="Arial" w:cs="Arial"/>
          <w:sz w:val="24"/>
          <w:szCs w:val="24"/>
        </w:rPr>
      </w:pPr>
      <w:r w:rsidRPr="009A6FE7">
        <w:rPr>
          <w:rFonts w:ascii="Arial" w:hAnsi="Arial" w:cs="Arial"/>
          <w:sz w:val="24"/>
          <w:szCs w:val="24"/>
        </w:rPr>
        <w:lastRenderedPageBreak/>
        <w:t xml:space="preserve">In regards to GA related to Class A customers, please confirm that </w:t>
      </w:r>
      <w:r w:rsidR="009D38E8" w:rsidRPr="00907C3F">
        <w:rPr>
          <w:rFonts w:ascii="Arial" w:hAnsi="Arial" w:cs="Arial"/>
          <w:sz w:val="24"/>
          <w:szCs w:val="24"/>
        </w:rPr>
        <w:t>Veridian Connections</w:t>
      </w:r>
      <w:r w:rsidR="009D38E8" w:rsidRPr="009A6FE7">
        <w:rPr>
          <w:rFonts w:ascii="Arial" w:hAnsi="Arial" w:cs="Arial"/>
          <w:sz w:val="24"/>
          <w:szCs w:val="24"/>
        </w:rPr>
        <w:t xml:space="preserve"> </w:t>
      </w:r>
      <w:r w:rsidRPr="009A6FE7">
        <w:rPr>
          <w:rFonts w:ascii="Arial" w:hAnsi="Arial" w:cs="Arial"/>
          <w:sz w:val="24"/>
          <w:szCs w:val="24"/>
        </w:rPr>
        <w:t>has recorded an accrual at year-end to eliminate the timing difference between when the Class A GA is billed from the IESO and when that cost</w:t>
      </w:r>
      <w:r>
        <w:rPr>
          <w:rFonts w:ascii="Arial" w:hAnsi="Arial" w:cs="Arial"/>
          <w:sz w:val="24"/>
          <w:szCs w:val="24"/>
        </w:rPr>
        <w:t xml:space="preserve"> actually</w:t>
      </w:r>
      <w:r w:rsidRPr="009A6FE7">
        <w:rPr>
          <w:rFonts w:ascii="Arial" w:hAnsi="Arial" w:cs="Arial"/>
          <w:sz w:val="24"/>
          <w:szCs w:val="24"/>
        </w:rPr>
        <w:t xml:space="preserve"> gets billed by the utility to its Class A customer.</w:t>
      </w:r>
    </w:p>
    <w:p w14:paraId="3F00E8E6" w14:textId="77777777" w:rsidR="00907C3F" w:rsidRPr="009A6FE7" w:rsidRDefault="00907C3F" w:rsidP="007D51C6">
      <w:pPr>
        <w:pStyle w:val="ListParagraph"/>
        <w:numPr>
          <w:ilvl w:val="0"/>
          <w:numId w:val="22"/>
        </w:numPr>
        <w:rPr>
          <w:rFonts w:ascii="Arial" w:hAnsi="Arial" w:cs="Arial"/>
          <w:sz w:val="24"/>
          <w:szCs w:val="24"/>
        </w:rPr>
      </w:pPr>
      <w:r w:rsidRPr="009A6FE7">
        <w:rPr>
          <w:rFonts w:ascii="Arial" w:hAnsi="Arial" w:cs="Arial"/>
          <w:sz w:val="24"/>
          <w:szCs w:val="24"/>
        </w:rPr>
        <w:t xml:space="preserve">If in the above, </w:t>
      </w:r>
      <w:r w:rsidR="009D38E8" w:rsidRPr="00907C3F">
        <w:rPr>
          <w:rFonts w:ascii="Arial" w:hAnsi="Arial" w:cs="Arial"/>
          <w:sz w:val="24"/>
          <w:szCs w:val="24"/>
        </w:rPr>
        <w:t>Veridian Connections</w:t>
      </w:r>
      <w:r w:rsidR="009D38E8" w:rsidRPr="009A6FE7">
        <w:rPr>
          <w:rFonts w:ascii="Arial" w:hAnsi="Arial" w:cs="Arial"/>
          <w:sz w:val="24"/>
          <w:szCs w:val="24"/>
        </w:rPr>
        <w:t xml:space="preserve"> </w:t>
      </w:r>
      <w:r w:rsidRPr="009A6FE7">
        <w:rPr>
          <w:rFonts w:ascii="Arial" w:hAnsi="Arial" w:cs="Arial"/>
          <w:sz w:val="24"/>
          <w:szCs w:val="24"/>
        </w:rPr>
        <w:t>confirms that they have made the necessary accrual at year-end, please confirm that as a result of that accrual there are no amount</w:t>
      </w:r>
      <w:r>
        <w:rPr>
          <w:rFonts w:ascii="Arial" w:hAnsi="Arial" w:cs="Arial"/>
          <w:sz w:val="24"/>
          <w:szCs w:val="24"/>
        </w:rPr>
        <w:t>s</w:t>
      </w:r>
      <w:r w:rsidRPr="009A6FE7">
        <w:rPr>
          <w:rFonts w:ascii="Arial" w:hAnsi="Arial" w:cs="Arial"/>
          <w:sz w:val="24"/>
          <w:szCs w:val="24"/>
        </w:rPr>
        <w:t xml:space="preserve"> related to Class A customers</w:t>
      </w:r>
      <w:r>
        <w:rPr>
          <w:rFonts w:ascii="Arial" w:hAnsi="Arial" w:cs="Arial"/>
          <w:sz w:val="24"/>
          <w:szCs w:val="24"/>
        </w:rPr>
        <w:t xml:space="preserve"> that are</w:t>
      </w:r>
      <w:r w:rsidRPr="009A6FE7">
        <w:rPr>
          <w:rFonts w:ascii="Arial" w:hAnsi="Arial" w:cs="Arial"/>
          <w:sz w:val="24"/>
          <w:szCs w:val="24"/>
        </w:rPr>
        <w:t xml:space="preserve"> </w:t>
      </w:r>
      <w:r>
        <w:rPr>
          <w:rFonts w:ascii="Arial" w:hAnsi="Arial" w:cs="Arial"/>
          <w:sz w:val="24"/>
          <w:szCs w:val="24"/>
        </w:rPr>
        <w:t>included</w:t>
      </w:r>
      <w:r w:rsidRPr="009A6FE7">
        <w:rPr>
          <w:rFonts w:ascii="Arial" w:hAnsi="Arial" w:cs="Arial"/>
          <w:sz w:val="24"/>
          <w:szCs w:val="24"/>
        </w:rPr>
        <w:t xml:space="preserve"> in the 2017 ending balance of Account 1589.  </w:t>
      </w:r>
    </w:p>
    <w:p w14:paraId="20F385FD" w14:textId="77777777" w:rsidR="00216885" w:rsidRPr="00216885" w:rsidRDefault="00216885" w:rsidP="00216885">
      <w:pPr>
        <w:rPr>
          <w:rFonts w:ascii="Arial" w:hAnsi="Arial" w:cs="Arial"/>
          <w:sz w:val="24"/>
          <w:szCs w:val="24"/>
          <w:u w:val="single"/>
        </w:rPr>
      </w:pPr>
      <w:r w:rsidRPr="00216885">
        <w:rPr>
          <w:rFonts w:ascii="Arial" w:hAnsi="Arial" w:cs="Arial"/>
          <w:sz w:val="24"/>
          <w:szCs w:val="24"/>
          <w:u w:val="single"/>
        </w:rPr>
        <w:t>Veridian Response:</w:t>
      </w:r>
    </w:p>
    <w:p w14:paraId="39680ADC" w14:textId="77777777" w:rsidR="00317FC8" w:rsidRPr="00D824E6" w:rsidRDefault="00D824E6" w:rsidP="00E07413">
      <w:pPr>
        <w:spacing w:line="276" w:lineRule="auto"/>
        <w:rPr>
          <w:rFonts w:ascii="Arial" w:hAnsi="Arial" w:cs="Arial"/>
          <w:sz w:val="24"/>
          <w:szCs w:val="24"/>
        </w:rPr>
      </w:pPr>
      <w:r w:rsidRPr="00D824E6">
        <w:rPr>
          <w:rFonts w:ascii="Arial" w:hAnsi="Arial" w:cs="Arial"/>
          <w:sz w:val="24"/>
          <w:szCs w:val="24"/>
        </w:rPr>
        <w:t>Confirmed</w:t>
      </w:r>
      <w:r>
        <w:rPr>
          <w:rFonts w:ascii="Arial" w:hAnsi="Arial" w:cs="Arial"/>
          <w:sz w:val="24"/>
          <w:szCs w:val="24"/>
        </w:rPr>
        <w:t>.</w:t>
      </w:r>
    </w:p>
    <w:p w14:paraId="67756C7E" w14:textId="77777777" w:rsidR="00907C3F" w:rsidRPr="00C5666D" w:rsidRDefault="00907C3F" w:rsidP="00907C3F">
      <w:pPr>
        <w:pStyle w:val="Heading1"/>
        <w:rPr>
          <w:rFonts w:cs="Arial"/>
          <w:b/>
        </w:rPr>
      </w:pPr>
      <w:r w:rsidRPr="00C5666D">
        <w:rPr>
          <w:rFonts w:cs="Arial"/>
          <w:b/>
        </w:rPr>
        <w:t>Staff-</w:t>
      </w:r>
      <w:r w:rsidR="00F509DE">
        <w:rPr>
          <w:rFonts w:cs="Arial"/>
          <w:b/>
        </w:rPr>
        <w:t>7</w:t>
      </w:r>
    </w:p>
    <w:p w14:paraId="1ECFFE0F" w14:textId="77777777" w:rsidR="00907C3F" w:rsidRDefault="00907C3F" w:rsidP="00F509DE">
      <w:pPr>
        <w:pStyle w:val="NoSpacing"/>
      </w:pPr>
    </w:p>
    <w:p w14:paraId="2C524896" w14:textId="77777777" w:rsidR="00907C3F" w:rsidRPr="00907C3F" w:rsidRDefault="00907C3F" w:rsidP="00907C3F">
      <w:pPr>
        <w:rPr>
          <w:rFonts w:ascii="Arial" w:hAnsi="Arial" w:cs="Arial"/>
          <w:sz w:val="24"/>
          <w:szCs w:val="24"/>
        </w:rPr>
      </w:pPr>
      <w:r w:rsidRPr="00907C3F">
        <w:rPr>
          <w:rFonts w:ascii="Arial" w:hAnsi="Arial" w:cs="Arial"/>
          <w:sz w:val="24"/>
          <w:szCs w:val="24"/>
        </w:rPr>
        <w:t xml:space="preserve">If Veridian Connections </w:t>
      </w:r>
      <w:r>
        <w:rPr>
          <w:rFonts w:ascii="Arial" w:hAnsi="Arial" w:cs="Arial"/>
          <w:sz w:val="24"/>
          <w:szCs w:val="24"/>
        </w:rPr>
        <w:t>made any changes to its IRM Rate Generator and GA Analysis Workform</w:t>
      </w:r>
      <w:r w:rsidRPr="00907C3F">
        <w:rPr>
          <w:rFonts w:ascii="Arial" w:hAnsi="Arial" w:cs="Arial"/>
          <w:sz w:val="24"/>
          <w:szCs w:val="24"/>
        </w:rPr>
        <w:t xml:space="preserve"> as a result of its responses to these questions, please file an updated </w:t>
      </w:r>
      <w:r>
        <w:rPr>
          <w:rFonts w:ascii="Arial" w:hAnsi="Arial" w:cs="Arial"/>
          <w:sz w:val="24"/>
          <w:szCs w:val="24"/>
        </w:rPr>
        <w:t>IRM Rate Generator and GA Analysis Workform</w:t>
      </w:r>
      <w:r w:rsidRPr="00907C3F">
        <w:rPr>
          <w:rFonts w:ascii="Arial" w:hAnsi="Arial" w:cs="Arial"/>
          <w:sz w:val="24"/>
          <w:szCs w:val="24"/>
        </w:rPr>
        <w:t>.</w:t>
      </w:r>
    </w:p>
    <w:p w14:paraId="6BB772BD" w14:textId="77777777" w:rsidR="00216885" w:rsidRDefault="00216885" w:rsidP="00216885">
      <w:pPr>
        <w:rPr>
          <w:rFonts w:ascii="Arial" w:hAnsi="Arial" w:cs="Arial"/>
          <w:sz w:val="24"/>
          <w:szCs w:val="24"/>
          <w:u w:val="single"/>
        </w:rPr>
      </w:pPr>
      <w:r w:rsidRPr="00216885">
        <w:rPr>
          <w:rFonts w:ascii="Arial" w:hAnsi="Arial" w:cs="Arial"/>
          <w:sz w:val="24"/>
          <w:szCs w:val="24"/>
          <w:u w:val="single"/>
        </w:rPr>
        <w:t>Veridian Response:</w:t>
      </w:r>
    </w:p>
    <w:p w14:paraId="0B6590E6" w14:textId="77777777" w:rsidR="00B6774C" w:rsidRDefault="00D824E6" w:rsidP="00216885">
      <w:pPr>
        <w:rPr>
          <w:rFonts w:ascii="Arial" w:hAnsi="Arial" w:cs="Arial"/>
          <w:sz w:val="24"/>
          <w:szCs w:val="24"/>
        </w:rPr>
      </w:pPr>
      <w:r>
        <w:rPr>
          <w:rFonts w:ascii="Arial" w:hAnsi="Arial" w:cs="Arial"/>
          <w:sz w:val="24"/>
          <w:szCs w:val="24"/>
        </w:rPr>
        <w:t>The adjustments identified for 1588 Power and 1589 GA</w:t>
      </w:r>
      <w:r w:rsidR="001C2147">
        <w:rPr>
          <w:rFonts w:ascii="Arial" w:hAnsi="Arial" w:cs="Arial"/>
          <w:sz w:val="24"/>
          <w:szCs w:val="24"/>
        </w:rPr>
        <w:t xml:space="preserve"> related to 2017 unbilled differences have not been included in the continuity schedule for the current proceeding.  These adjustments are not included in Veridian’s RRR 2.1.7 Trial Balance reporting for 2017.  </w:t>
      </w:r>
    </w:p>
    <w:p w14:paraId="59BD7249" w14:textId="5862985E" w:rsidR="00B6774C" w:rsidRDefault="001C2147" w:rsidP="00216885">
      <w:pPr>
        <w:rPr>
          <w:rFonts w:ascii="Arial" w:hAnsi="Arial" w:cs="Arial"/>
          <w:sz w:val="24"/>
          <w:szCs w:val="24"/>
        </w:rPr>
      </w:pPr>
      <w:r>
        <w:rPr>
          <w:rFonts w:ascii="Arial" w:hAnsi="Arial" w:cs="Arial"/>
          <w:sz w:val="24"/>
          <w:szCs w:val="24"/>
        </w:rPr>
        <w:t>Veridian has</w:t>
      </w:r>
      <w:r w:rsidR="0075260C">
        <w:rPr>
          <w:rFonts w:ascii="Arial" w:hAnsi="Arial" w:cs="Arial"/>
          <w:sz w:val="24"/>
          <w:szCs w:val="24"/>
        </w:rPr>
        <w:t xml:space="preserve"> update</w:t>
      </w:r>
      <w:r>
        <w:rPr>
          <w:rFonts w:ascii="Arial" w:hAnsi="Arial" w:cs="Arial"/>
          <w:sz w:val="24"/>
          <w:szCs w:val="24"/>
        </w:rPr>
        <w:t>d</w:t>
      </w:r>
      <w:r w:rsidR="0075260C">
        <w:rPr>
          <w:rFonts w:ascii="Arial" w:hAnsi="Arial" w:cs="Arial"/>
          <w:sz w:val="24"/>
          <w:szCs w:val="24"/>
        </w:rPr>
        <w:t xml:space="preserve"> the IRM rate generator model to include </w:t>
      </w:r>
      <w:r>
        <w:rPr>
          <w:rFonts w:ascii="Arial" w:hAnsi="Arial" w:cs="Arial"/>
          <w:sz w:val="24"/>
          <w:szCs w:val="24"/>
        </w:rPr>
        <w:t xml:space="preserve">the 2017 unbilled adjustment to the </w:t>
      </w:r>
      <w:r w:rsidR="0075260C">
        <w:rPr>
          <w:rFonts w:ascii="Arial" w:hAnsi="Arial" w:cs="Arial"/>
          <w:sz w:val="24"/>
          <w:szCs w:val="24"/>
        </w:rPr>
        <w:t xml:space="preserve">principal adjustments </w:t>
      </w:r>
      <w:r>
        <w:rPr>
          <w:rFonts w:ascii="Arial" w:hAnsi="Arial" w:cs="Arial"/>
          <w:sz w:val="24"/>
          <w:szCs w:val="24"/>
        </w:rPr>
        <w:t>column of the</w:t>
      </w:r>
      <w:r w:rsidR="0075260C">
        <w:rPr>
          <w:rFonts w:ascii="Arial" w:hAnsi="Arial" w:cs="Arial"/>
          <w:sz w:val="24"/>
          <w:szCs w:val="24"/>
        </w:rPr>
        <w:t xml:space="preserve"> DVA continuity schedule.</w:t>
      </w:r>
      <w:r w:rsidR="00E32F43">
        <w:rPr>
          <w:rFonts w:ascii="Arial" w:hAnsi="Arial" w:cs="Arial"/>
          <w:sz w:val="24"/>
          <w:szCs w:val="24"/>
        </w:rPr>
        <w:t xml:space="preserve">  </w:t>
      </w:r>
      <w:r>
        <w:rPr>
          <w:rFonts w:ascii="Arial" w:hAnsi="Arial" w:cs="Arial"/>
          <w:sz w:val="24"/>
          <w:szCs w:val="24"/>
        </w:rPr>
        <w:t>The 2016 unbilled adjustments originally included in the</w:t>
      </w:r>
      <w:r w:rsidR="00122D12" w:rsidRPr="00122D12">
        <w:rPr>
          <w:rFonts w:ascii="Arial" w:hAnsi="Arial" w:cs="Arial"/>
          <w:sz w:val="24"/>
          <w:szCs w:val="24"/>
        </w:rPr>
        <w:t xml:space="preserve"> </w:t>
      </w:r>
      <w:r w:rsidR="00122D12">
        <w:rPr>
          <w:rFonts w:ascii="Arial" w:hAnsi="Arial" w:cs="Arial"/>
          <w:sz w:val="24"/>
          <w:szCs w:val="24"/>
        </w:rPr>
        <w:t xml:space="preserve">Transactions Debit/Credit during 2017 column have been moved to the principal adjustment column. </w:t>
      </w:r>
      <w:r>
        <w:rPr>
          <w:rFonts w:ascii="Arial" w:hAnsi="Arial" w:cs="Arial"/>
          <w:sz w:val="24"/>
          <w:szCs w:val="24"/>
        </w:rPr>
        <w:t xml:space="preserve"> </w:t>
      </w:r>
      <w:r w:rsidR="00FB31CE">
        <w:rPr>
          <w:rFonts w:ascii="Arial" w:hAnsi="Arial" w:cs="Arial"/>
          <w:sz w:val="24"/>
          <w:szCs w:val="24"/>
        </w:rPr>
        <w:t>The inclusion of the 2017 unbilled adjustments to the DVA continuity schedule</w:t>
      </w:r>
      <w:r w:rsidR="00B2617D">
        <w:rPr>
          <w:rFonts w:ascii="Arial" w:hAnsi="Arial" w:cs="Arial"/>
          <w:sz w:val="24"/>
          <w:szCs w:val="24"/>
        </w:rPr>
        <w:t xml:space="preserve"> shows that the threshold for disposition of Group 1 accounts is now met.</w:t>
      </w:r>
    </w:p>
    <w:p w14:paraId="77B9AB1A" w14:textId="53D63110" w:rsidR="00216885" w:rsidRPr="00216885" w:rsidRDefault="00122D12" w:rsidP="00216885">
      <w:pPr>
        <w:rPr>
          <w:rFonts w:ascii="Arial" w:hAnsi="Arial" w:cs="Arial"/>
          <w:sz w:val="24"/>
          <w:szCs w:val="24"/>
        </w:rPr>
      </w:pPr>
      <w:r>
        <w:rPr>
          <w:rFonts w:ascii="Arial" w:hAnsi="Arial" w:cs="Arial"/>
          <w:sz w:val="24"/>
          <w:szCs w:val="24"/>
        </w:rPr>
        <w:t xml:space="preserve">The updated IRM rate generator model is included as attachment A.  </w:t>
      </w:r>
      <w:r w:rsidR="001C2147">
        <w:rPr>
          <w:rFonts w:ascii="Arial" w:hAnsi="Arial" w:cs="Arial"/>
          <w:sz w:val="24"/>
          <w:szCs w:val="24"/>
        </w:rPr>
        <w:t>T</w:t>
      </w:r>
      <w:r w:rsidR="00E32F43">
        <w:rPr>
          <w:rFonts w:ascii="Arial" w:hAnsi="Arial" w:cs="Arial"/>
          <w:sz w:val="24"/>
          <w:szCs w:val="24"/>
        </w:rPr>
        <w:t>he GA analysis workform</w:t>
      </w:r>
      <w:r w:rsidR="001C2147">
        <w:rPr>
          <w:rFonts w:ascii="Arial" w:hAnsi="Arial" w:cs="Arial"/>
          <w:sz w:val="24"/>
          <w:szCs w:val="24"/>
        </w:rPr>
        <w:t xml:space="preserve"> has been updated and included as attachment B</w:t>
      </w:r>
      <w:r w:rsidR="00E32F43">
        <w:rPr>
          <w:rFonts w:ascii="Arial" w:hAnsi="Arial" w:cs="Arial"/>
          <w:sz w:val="24"/>
          <w:szCs w:val="24"/>
        </w:rPr>
        <w:t>.</w:t>
      </w:r>
    </w:p>
    <w:p w14:paraId="28E5FAC2" w14:textId="77777777" w:rsidR="00EF7D6C" w:rsidRDefault="00EF7D6C" w:rsidP="00EF7D6C">
      <w:pPr>
        <w:pStyle w:val="Heading1"/>
        <w:rPr>
          <w:rFonts w:cs="Arial"/>
          <w:b/>
        </w:rPr>
      </w:pPr>
    </w:p>
    <w:p w14:paraId="19D1B720" w14:textId="77777777" w:rsidR="00EF7D6C" w:rsidRPr="00C5666D" w:rsidRDefault="00EF7D6C" w:rsidP="00EF7D6C">
      <w:pPr>
        <w:pStyle w:val="Heading1"/>
        <w:rPr>
          <w:rFonts w:cs="Arial"/>
          <w:b/>
        </w:rPr>
      </w:pPr>
      <w:r w:rsidRPr="00C5666D">
        <w:rPr>
          <w:rFonts w:cs="Arial"/>
          <w:b/>
        </w:rPr>
        <w:t>Staff-</w:t>
      </w:r>
      <w:r>
        <w:rPr>
          <w:rFonts w:cs="Arial"/>
          <w:b/>
        </w:rPr>
        <w:t>8</w:t>
      </w:r>
    </w:p>
    <w:p w14:paraId="1D6B0784" w14:textId="77777777" w:rsidR="00EF7D6C" w:rsidRPr="00C5666D" w:rsidRDefault="00EF7D6C" w:rsidP="00EF7D6C">
      <w:pPr>
        <w:pStyle w:val="NoSpacing"/>
        <w:rPr>
          <w:rFonts w:ascii="Arial" w:hAnsi="Arial" w:cs="Arial"/>
          <w:b/>
          <w:sz w:val="24"/>
          <w:szCs w:val="24"/>
        </w:rPr>
      </w:pPr>
      <w:r w:rsidRPr="00C5666D">
        <w:rPr>
          <w:rFonts w:ascii="Arial" w:hAnsi="Arial" w:cs="Arial"/>
          <w:b/>
          <w:sz w:val="24"/>
          <w:szCs w:val="24"/>
        </w:rPr>
        <w:t>Ref:</w:t>
      </w:r>
      <w:r w:rsidRPr="00C5666D">
        <w:rPr>
          <w:rFonts w:ascii="Arial" w:hAnsi="Arial" w:cs="Arial"/>
          <w:b/>
          <w:sz w:val="24"/>
          <w:szCs w:val="24"/>
        </w:rPr>
        <w:tab/>
        <w:t>Tab 2 (LRAMVA Threshold) of LRAMVA workform</w:t>
      </w:r>
    </w:p>
    <w:p w14:paraId="2E0C11F8" w14:textId="77777777" w:rsidR="00EF7D6C" w:rsidRPr="00C5666D" w:rsidRDefault="00EF7D6C" w:rsidP="00EF7D6C">
      <w:pPr>
        <w:pStyle w:val="NoSpacing"/>
        <w:rPr>
          <w:rFonts w:ascii="Arial" w:hAnsi="Arial" w:cs="Arial"/>
          <w:b/>
          <w:sz w:val="24"/>
          <w:szCs w:val="24"/>
        </w:rPr>
      </w:pPr>
      <w:r w:rsidRPr="00C5666D">
        <w:rPr>
          <w:rFonts w:ascii="Arial" w:hAnsi="Arial" w:cs="Arial"/>
          <w:b/>
          <w:sz w:val="24"/>
          <w:szCs w:val="24"/>
        </w:rPr>
        <w:tab/>
        <w:t>Application, p. 17</w:t>
      </w:r>
    </w:p>
    <w:p w14:paraId="201A27B8" w14:textId="77777777" w:rsidR="00EF7D6C" w:rsidRPr="00C5666D" w:rsidRDefault="00EF7D6C" w:rsidP="00EF7D6C">
      <w:pPr>
        <w:pStyle w:val="NoSpacing"/>
        <w:rPr>
          <w:rFonts w:ascii="Arial" w:hAnsi="Arial" w:cs="Arial"/>
          <w:sz w:val="24"/>
          <w:szCs w:val="24"/>
        </w:rPr>
      </w:pPr>
    </w:p>
    <w:p w14:paraId="26728268" w14:textId="77777777" w:rsidR="00EF7D6C" w:rsidRDefault="00EF7D6C" w:rsidP="00EF7D6C">
      <w:pPr>
        <w:rPr>
          <w:rFonts w:ascii="Arial" w:hAnsi="Arial" w:cs="Arial"/>
          <w:sz w:val="24"/>
          <w:szCs w:val="24"/>
          <w:u w:val="single"/>
        </w:rPr>
      </w:pPr>
      <w:r>
        <w:rPr>
          <w:rFonts w:ascii="Arial" w:hAnsi="Arial" w:cs="Arial"/>
          <w:sz w:val="24"/>
          <w:szCs w:val="24"/>
          <w:u w:val="single"/>
        </w:rPr>
        <w:t>Pre-amble</w:t>
      </w:r>
    </w:p>
    <w:p w14:paraId="12018AFA" w14:textId="77777777" w:rsidR="00EF7D6C" w:rsidRDefault="00EF7D6C" w:rsidP="00EF7D6C">
      <w:pPr>
        <w:rPr>
          <w:rFonts w:ascii="Arial" w:hAnsi="Arial" w:cs="Arial"/>
          <w:sz w:val="24"/>
          <w:szCs w:val="24"/>
        </w:rPr>
      </w:pPr>
      <w:r w:rsidRPr="00C5666D">
        <w:rPr>
          <w:rFonts w:ascii="Arial" w:hAnsi="Arial" w:cs="Arial"/>
          <w:sz w:val="24"/>
          <w:szCs w:val="24"/>
        </w:rPr>
        <w:t>In Veridian</w:t>
      </w:r>
      <w:r>
        <w:rPr>
          <w:rFonts w:ascii="Arial" w:hAnsi="Arial" w:cs="Arial"/>
          <w:sz w:val="24"/>
          <w:szCs w:val="24"/>
        </w:rPr>
        <w:t xml:space="preserve"> Connections</w:t>
      </w:r>
      <w:r w:rsidRPr="00C5666D">
        <w:rPr>
          <w:rFonts w:ascii="Arial" w:hAnsi="Arial" w:cs="Arial"/>
          <w:sz w:val="24"/>
          <w:szCs w:val="24"/>
        </w:rPr>
        <w:t xml:space="preserve">’ 2014 cost of service application (EB-2013-0174), Veridian </w:t>
      </w:r>
      <w:r>
        <w:rPr>
          <w:rFonts w:ascii="Arial" w:hAnsi="Arial" w:cs="Arial"/>
          <w:sz w:val="24"/>
          <w:szCs w:val="24"/>
        </w:rPr>
        <w:t>Connections</w:t>
      </w:r>
      <w:r w:rsidRPr="00C5666D">
        <w:rPr>
          <w:rFonts w:ascii="Arial" w:hAnsi="Arial" w:cs="Arial"/>
          <w:sz w:val="24"/>
          <w:szCs w:val="24"/>
        </w:rPr>
        <w:t xml:space="preserve"> was approved an LRAMVA threshold of </w:t>
      </w:r>
      <w:r w:rsidRPr="00C5666D">
        <w:rPr>
          <w:rFonts w:ascii="Arial" w:eastAsia="Times New Roman" w:hAnsi="Arial" w:cs="Arial"/>
          <w:bCs/>
          <w:color w:val="000000"/>
          <w:sz w:val="24"/>
          <w:szCs w:val="24"/>
        </w:rPr>
        <w:t xml:space="preserve">31,633,297 </w:t>
      </w:r>
      <w:r w:rsidRPr="00C5666D">
        <w:rPr>
          <w:rFonts w:ascii="Arial" w:hAnsi="Arial" w:cs="Arial"/>
          <w:sz w:val="24"/>
          <w:szCs w:val="24"/>
        </w:rPr>
        <w:t>kWh.  In tab 2 of the LRAMVA workform, it is noted as the revised manual adjustment.</w:t>
      </w:r>
    </w:p>
    <w:p w14:paraId="603D5F54" w14:textId="77777777" w:rsidR="00EF7D6C" w:rsidRPr="00C5666D" w:rsidRDefault="00EF7D6C" w:rsidP="00EF7D6C">
      <w:pPr>
        <w:rPr>
          <w:u w:val="single"/>
        </w:rPr>
      </w:pPr>
      <w:r w:rsidRPr="00C5666D">
        <w:rPr>
          <w:rFonts w:ascii="Arial" w:hAnsi="Arial" w:cs="Arial"/>
          <w:sz w:val="24"/>
          <w:szCs w:val="24"/>
          <w:u w:val="single"/>
        </w:rPr>
        <w:t xml:space="preserve">Questions </w:t>
      </w:r>
    </w:p>
    <w:p w14:paraId="2D7EF06F" w14:textId="77777777" w:rsidR="00EF7D6C" w:rsidRPr="00C5666D" w:rsidRDefault="00EF7D6C" w:rsidP="00EF7D6C">
      <w:pPr>
        <w:pStyle w:val="ListParagraph"/>
        <w:numPr>
          <w:ilvl w:val="0"/>
          <w:numId w:val="9"/>
        </w:numPr>
        <w:rPr>
          <w:rFonts w:ascii="Arial" w:hAnsi="Arial" w:cs="Arial"/>
          <w:sz w:val="24"/>
          <w:szCs w:val="24"/>
        </w:rPr>
      </w:pPr>
      <w:r w:rsidRPr="00C5666D">
        <w:rPr>
          <w:rFonts w:ascii="Arial" w:hAnsi="Arial" w:cs="Arial"/>
          <w:sz w:val="24"/>
          <w:szCs w:val="24"/>
        </w:rPr>
        <w:t xml:space="preserve">Please explain the inputs and approach used to calculate </w:t>
      </w:r>
      <w:r w:rsidRPr="00C5666D">
        <w:rPr>
          <w:rFonts w:ascii="Arial" w:eastAsia="Times New Roman" w:hAnsi="Arial" w:cs="Arial"/>
          <w:color w:val="000000"/>
          <w:sz w:val="24"/>
          <w:szCs w:val="24"/>
        </w:rPr>
        <w:t xml:space="preserve">6,838,758 kWh as </w:t>
      </w:r>
      <w:r w:rsidRPr="00C5666D">
        <w:rPr>
          <w:rFonts w:ascii="Arial" w:hAnsi="Arial" w:cs="Arial"/>
          <w:sz w:val="24"/>
          <w:szCs w:val="24"/>
        </w:rPr>
        <w:t>the 2012 threshold value, noted in cell C60 of tab 2.</w:t>
      </w:r>
    </w:p>
    <w:p w14:paraId="79DAA0C5" w14:textId="77777777" w:rsidR="00EF7D6C" w:rsidRDefault="00EF7D6C" w:rsidP="00EF7D6C">
      <w:pPr>
        <w:pStyle w:val="ListParagraph"/>
        <w:rPr>
          <w:rFonts w:ascii="Arial" w:hAnsi="Arial" w:cs="Arial"/>
          <w:sz w:val="24"/>
          <w:szCs w:val="24"/>
        </w:rPr>
      </w:pPr>
    </w:p>
    <w:p w14:paraId="5356AC96" w14:textId="77777777" w:rsidR="00EF7D6C" w:rsidRPr="00C5666D" w:rsidRDefault="00EF7D6C" w:rsidP="00EF7D6C">
      <w:pPr>
        <w:pStyle w:val="ListParagraph"/>
        <w:numPr>
          <w:ilvl w:val="0"/>
          <w:numId w:val="9"/>
        </w:numPr>
        <w:rPr>
          <w:rFonts w:ascii="Arial" w:hAnsi="Arial" w:cs="Arial"/>
          <w:sz w:val="24"/>
          <w:szCs w:val="24"/>
        </w:rPr>
      </w:pPr>
      <w:r w:rsidRPr="00C5666D">
        <w:rPr>
          <w:rFonts w:ascii="Arial" w:hAnsi="Arial" w:cs="Arial"/>
          <w:sz w:val="24"/>
          <w:szCs w:val="24"/>
        </w:rPr>
        <w:t xml:space="preserve">Please confirm whether the original threshold of </w:t>
      </w:r>
      <w:r w:rsidRPr="00C5666D">
        <w:rPr>
          <w:rFonts w:ascii="Arial" w:eastAsia="Times New Roman" w:hAnsi="Arial" w:cs="Arial"/>
          <w:bCs/>
          <w:color w:val="000000"/>
          <w:sz w:val="24"/>
          <w:szCs w:val="24"/>
        </w:rPr>
        <w:t>46,026,655</w:t>
      </w:r>
      <w:r w:rsidRPr="00C5666D">
        <w:rPr>
          <w:rFonts w:ascii="Arial" w:hAnsi="Arial" w:cs="Arial"/>
          <w:sz w:val="24"/>
          <w:szCs w:val="24"/>
        </w:rPr>
        <w:t xml:space="preserve"> kWh represents the annualized equivalent of the “revised threshold” of </w:t>
      </w:r>
      <w:r w:rsidRPr="00C5666D">
        <w:rPr>
          <w:rFonts w:ascii="Arial" w:eastAsia="Times New Roman" w:hAnsi="Arial" w:cs="Arial"/>
          <w:bCs/>
          <w:color w:val="000000"/>
          <w:sz w:val="24"/>
          <w:szCs w:val="24"/>
        </w:rPr>
        <w:t>44,457,315 kWh noted in tab 2</w:t>
      </w:r>
      <w:r w:rsidRPr="00C5666D">
        <w:rPr>
          <w:rFonts w:ascii="Arial" w:hAnsi="Arial" w:cs="Arial"/>
          <w:sz w:val="24"/>
          <w:szCs w:val="24"/>
        </w:rPr>
        <w:t>.</w:t>
      </w:r>
    </w:p>
    <w:p w14:paraId="3F27DC9F" w14:textId="77777777" w:rsidR="00EF7D6C" w:rsidRDefault="00EF7D6C" w:rsidP="00EF7D6C">
      <w:pPr>
        <w:pStyle w:val="ListParagraph"/>
        <w:rPr>
          <w:rFonts w:ascii="Arial" w:hAnsi="Arial" w:cs="Arial"/>
          <w:sz w:val="24"/>
          <w:szCs w:val="24"/>
        </w:rPr>
      </w:pPr>
    </w:p>
    <w:p w14:paraId="77478957" w14:textId="77777777" w:rsidR="00EF7D6C" w:rsidRPr="00C5666D" w:rsidRDefault="00EF7D6C" w:rsidP="00EF7D6C">
      <w:pPr>
        <w:pStyle w:val="ListParagraph"/>
        <w:numPr>
          <w:ilvl w:val="0"/>
          <w:numId w:val="9"/>
        </w:numPr>
        <w:rPr>
          <w:rFonts w:ascii="Arial" w:hAnsi="Arial" w:cs="Arial"/>
          <w:sz w:val="24"/>
          <w:szCs w:val="24"/>
        </w:rPr>
      </w:pPr>
      <w:r w:rsidRPr="00C5666D">
        <w:rPr>
          <w:rFonts w:ascii="Arial" w:hAnsi="Arial" w:cs="Arial"/>
          <w:sz w:val="24"/>
          <w:szCs w:val="24"/>
        </w:rPr>
        <w:t xml:space="preserve">Please update tab 2 to include calculations of the rate class breakdown of </w:t>
      </w:r>
      <w:r w:rsidRPr="00C5666D">
        <w:rPr>
          <w:rFonts w:ascii="Arial" w:eastAsia="Times New Roman" w:hAnsi="Arial" w:cs="Arial"/>
          <w:bCs/>
          <w:color w:val="000000"/>
          <w:sz w:val="24"/>
          <w:szCs w:val="24"/>
        </w:rPr>
        <w:t>46,026,655</w:t>
      </w:r>
      <w:r w:rsidRPr="00C5666D">
        <w:rPr>
          <w:rFonts w:ascii="Arial" w:hAnsi="Arial" w:cs="Arial"/>
          <w:sz w:val="24"/>
          <w:szCs w:val="24"/>
        </w:rPr>
        <w:t xml:space="preserve"> kWh as the LRAMVA threshold.</w:t>
      </w:r>
    </w:p>
    <w:p w14:paraId="0E6CB6AF" w14:textId="77777777" w:rsidR="00EF7D6C" w:rsidRDefault="00EF7D6C" w:rsidP="00EF7D6C">
      <w:pPr>
        <w:pStyle w:val="ListParagraph"/>
        <w:rPr>
          <w:rFonts w:ascii="Arial" w:hAnsi="Arial" w:cs="Arial"/>
          <w:sz w:val="24"/>
          <w:szCs w:val="24"/>
        </w:rPr>
      </w:pPr>
    </w:p>
    <w:p w14:paraId="7BA91696" w14:textId="77777777" w:rsidR="00EF7D6C" w:rsidRPr="00C5666D" w:rsidRDefault="00EF7D6C" w:rsidP="00EF7D6C">
      <w:pPr>
        <w:pStyle w:val="ListParagraph"/>
        <w:numPr>
          <w:ilvl w:val="0"/>
          <w:numId w:val="9"/>
        </w:numPr>
        <w:rPr>
          <w:rFonts w:ascii="Arial" w:hAnsi="Arial" w:cs="Arial"/>
          <w:sz w:val="24"/>
          <w:szCs w:val="24"/>
        </w:rPr>
      </w:pPr>
      <w:r w:rsidRPr="00C5666D">
        <w:rPr>
          <w:rFonts w:ascii="Arial" w:hAnsi="Arial" w:cs="Arial"/>
          <w:sz w:val="24"/>
          <w:szCs w:val="24"/>
        </w:rPr>
        <w:t xml:space="preserve">Given there is no regulatory precedent on approving a variant of the LRAMVA threshold modified to include a half years’ savings for programs in place for the first year, please discuss in more detail the benefits of using this calculated threshold value.  </w:t>
      </w:r>
    </w:p>
    <w:p w14:paraId="20D46F7B" w14:textId="77777777" w:rsidR="00EF7D6C" w:rsidRDefault="00EF7D6C" w:rsidP="00EF7D6C">
      <w:pPr>
        <w:rPr>
          <w:rFonts w:ascii="Arial" w:hAnsi="Arial" w:cs="Arial"/>
          <w:sz w:val="24"/>
          <w:szCs w:val="24"/>
        </w:rPr>
      </w:pPr>
    </w:p>
    <w:p w14:paraId="10C5863F" w14:textId="77777777" w:rsidR="00EF7D6C" w:rsidRPr="00C5666D" w:rsidRDefault="00EF7D6C" w:rsidP="00EF7D6C">
      <w:pPr>
        <w:rPr>
          <w:u w:val="single"/>
        </w:rPr>
      </w:pPr>
      <w:r>
        <w:rPr>
          <w:rFonts w:ascii="Arial" w:hAnsi="Arial" w:cs="Arial"/>
          <w:sz w:val="24"/>
          <w:szCs w:val="24"/>
          <w:u w:val="single"/>
        </w:rPr>
        <w:t>Answer</w:t>
      </w:r>
      <w:r w:rsidRPr="00C5666D">
        <w:rPr>
          <w:rFonts w:ascii="Arial" w:hAnsi="Arial" w:cs="Arial"/>
          <w:sz w:val="24"/>
          <w:szCs w:val="24"/>
          <w:u w:val="single"/>
        </w:rPr>
        <w:t xml:space="preserve">s </w:t>
      </w:r>
    </w:p>
    <w:p w14:paraId="04BBDA16" w14:textId="77777777" w:rsidR="00EF7D6C" w:rsidRDefault="00EF7D6C" w:rsidP="00EF7D6C">
      <w:pPr>
        <w:pStyle w:val="ListParagraph"/>
        <w:numPr>
          <w:ilvl w:val="0"/>
          <w:numId w:val="30"/>
        </w:numPr>
        <w:rPr>
          <w:rFonts w:ascii="Arial" w:hAnsi="Arial" w:cs="Arial"/>
          <w:sz w:val="24"/>
          <w:szCs w:val="24"/>
        </w:rPr>
      </w:pPr>
      <w:r>
        <w:rPr>
          <w:rFonts w:ascii="Arial" w:hAnsi="Arial" w:cs="Arial"/>
          <w:sz w:val="24"/>
          <w:szCs w:val="24"/>
        </w:rPr>
        <w:t xml:space="preserve">The 6,838,758 kWh is calculated from the results reported on the filed Chapter 2-I appendix workform, the weighting factors used there, and </w:t>
      </w:r>
      <w:r>
        <w:rPr>
          <w:rFonts w:ascii="Arial" w:hAnsi="Arial" w:cs="Arial"/>
          <w:sz w:val="24"/>
          <w:szCs w:val="24"/>
        </w:rPr>
        <w:lastRenderedPageBreak/>
        <w:t>the revised manual adjustment on p. 38 of 54 of the settlement agreement. The total manual adjustment in the settlement agreement is 31,633,297. The manual adjustments for 2013 and 2014 are 18,809,279 and 9,404,639 respectively from the chapter 2-I appendix. The 2012 manual adjustment is thus (31,633,297-18,809,279-9,404,639=) 3,419,379. The manual adjustment was calculated using a weighting factor of 0.5 for 2012. Working backwards, the 2012 threshold is therefore (3,419,379 /0.5=) 6,838,758. The calculation is further described in the following table:</w:t>
      </w:r>
    </w:p>
    <w:p w14:paraId="35AA1E23" w14:textId="77777777" w:rsidR="00EF7D6C" w:rsidRPr="00C55B92" w:rsidRDefault="00EF7D6C" w:rsidP="00EF7D6C">
      <w:pPr>
        <w:rPr>
          <w:rFonts w:ascii="Arial" w:hAnsi="Arial" w:cs="Arial"/>
          <w:sz w:val="24"/>
          <w:szCs w:val="24"/>
        </w:rPr>
      </w:pPr>
    </w:p>
    <w:p w14:paraId="5A52FBA1" w14:textId="77777777" w:rsidR="00EF7D6C" w:rsidRDefault="00EF7D6C" w:rsidP="00EF7D6C">
      <w:pPr>
        <w:pStyle w:val="ListParagraph"/>
        <w:rPr>
          <w:rFonts w:ascii="Arial" w:hAnsi="Arial" w:cs="Arial"/>
          <w:sz w:val="24"/>
          <w:szCs w:val="24"/>
        </w:rPr>
      </w:pPr>
      <w:r>
        <w:rPr>
          <w:rFonts w:ascii="Arial" w:hAnsi="Arial" w:cs="Arial"/>
          <w:sz w:val="24"/>
          <w:szCs w:val="24"/>
        </w:rPr>
        <w:t xml:space="preserve"> </w:t>
      </w:r>
    </w:p>
    <w:p w14:paraId="3C8C444D" w14:textId="77777777" w:rsidR="00EF7D6C" w:rsidRDefault="00EF7D6C" w:rsidP="00EF7D6C">
      <w:pPr>
        <w:pStyle w:val="ListParagraph"/>
        <w:ind w:left="0"/>
        <w:rPr>
          <w:rFonts w:ascii="Arial" w:hAnsi="Arial" w:cs="Arial"/>
          <w:sz w:val="24"/>
          <w:szCs w:val="24"/>
        </w:rPr>
      </w:pPr>
      <w:r w:rsidRPr="00C76343">
        <w:rPr>
          <w:rFonts w:ascii="Arial" w:hAnsi="Arial" w:cs="Arial"/>
          <w:noProof/>
          <w:sz w:val="24"/>
          <w:szCs w:val="24"/>
        </w:rPr>
        <w:drawing>
          <wp:inline distT="0" distB="0" distL="0" distR="0" wp14:anchorId="3E1C52C4" wp14:editId="5F9FF913">
            <wp:extent cx="5943600" cy="2846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46705"/>
                    </a:xfrm>
                    <a:prstGeom prst="rect">
                      <a:avLst/>
                    </a:prstGeom>
                  </pic:spPr>
                </pic:pic>
              </a:graphicData>
            </a:graphic>
          </wp:inline>
        </w:drawing>
      </w:r>
    </w:p>
    <w:p w14:paraId="6C251EA1" w14:textId="77777777" w:rsidR="00EF7D6C" w:rsidRDefault="00EF7D6C" w:rsidP="00EF7D6C">
      <w:pPr>
        <w:pStyle w:val="ListParagraph"/>
        <w:ind w:left="0"/>
        <w:rPr>
          <w:rFonts w:ascii="Arial" w:hAnsi="Arial" w:cs="Arial"/>
          <w:sz w:val="24"/>
          <w:szCs w:val="24"/>
        </w:rPr>
      </w:pPr>
    </w:p>
    <w:p w14:paraId="6714EC77" w14:textId="77777777" w:rsidR="00EF7D6C" w:rsidRPr="00FE2F5C" w:rsidRDefault="00EF7D6C" w:rsidP="00EF7D6C">
      <w:pPr>
        <w:pStyle w:val="ListParagraph"/>
        <w:numPr>
          <w:ilvl w:val="0"/>
          <w:numId w:val="30"/>
        </w:numPr>
        <w:rPr>
          <w:rFonts w:ascii="Arial" w:hAnsi="Arial" w:cs="Arial"/>
          <w:sz w:val="24"/>
          <w:szCs w:val="24"/>
          <w:lang w:val="en-CA"/>
        </w:rPr>
      </w:pPr>
      <w:r>
        <w:rPr>
          <w:rFonts w:ascii="Arial" w:hAnsi="Arial" w:cs="Arial"/>
          <w:sz w:val="24"/>
          <w:szCs w:val="24"/>
        </w:rPr>
        <w:t xml:space="preserve">The threshold is revised solely to reflect the change made to the manual adjustment. Both the LRAMVA threshold and the manual adjustment are based on a consideration of anticipated (or actual) CDM results and persistence and are calculated in the work form for Chapter 2 Appendices on Tab I. In the EB-2013-0174 case, that work form was filed with the application on 2013-10-31 at </w:t>
      </w:r>
      <w:hyperlink r:id="rId9" w:history="1">
        <w:r w:rsidRPr="00764D33">
          <w:rPr>
            <w:rStyle w:val="Hyperlink"/>
            <w:rFonts w:ascii="Arial" w:hAnsi="Arial" w:cs="Arial"/>
            <w:sz w:val="24"/>
            <w:szCs w:val="24"/>
            <w:lang w:val="en-CA"/>
          </w:rPr>
          <w:t>APPL_Veridian_Chapter2_Appendices_for 2014_20131031_xlsm_20131031</w:t>
        </w:r>
      </w:hyperlink>
      <w:r>
        <w:rPr>
          <w:rFonts w:ascii="Arial" w:hAnsi="Arial" w:cs="Arial"/>
          <w:sz w:val="24"/>
          <w:szCs w:val="24"/>
        </w:rPr>
        <w:t xml:space="preserve">. The original threshold is the sum of cells E31:E33 on that tab and totals </w:t>
      </w:r>
      <w:r>
        <w:rPr>
          <w:rFonts w:ascii="Arial" w:hAnsi="Arial" w:cs="Arial"/>
          <w:sz w:val="24"/>
          <w:szCs w:val="24"/>
        </w:rPr>
        <w:lastRenderedPageBreak/>
        <w:t>46,026,655 – the same as reported in cell F59 of the LRAMVA workform. That threshold includes 8,408,098 kWh for 2012 persistence, as shown on Cells E30 and C71 of Tab I of the Chapter 2 submission. That number in turn is multiplied by 0.5 (at C55 of 2-I) to get the manual adjustment of 4,204,049  (Cell C73, App 2-I). The settlement agreement (p.38 of p.54) notes that the manual adjustment was revised based on an update to 2012 values. The updated 2012 values are not explicitly reported in the evidence, but implicitly since the manual adjustment is 0.5 times the estimated results, then the estimated results must be 2 times the manual adjustment. Further since the adjustments were to 2012 values (not 2013 and 2014), the 2012 revised results and threshold can be calculated.</w:t>
      </w:r>
    </w:p>
    <w:p w14:paraId="28C07350" w14:textId="77777777" w:rsidR="00EF7D6C" w:rsidRDefault="00EF7D6C" w:rsidP="00EF7D6C">
      <w:pPr>
        <w:pStyle w:val="ListParagraph"/>
        <w:ind w:left="0"/>
        <w:rPr>
          <w:rFonts w:ascii="Arial" w:hAnsi="Arial" w:cs="Arial"/>
          <w:sz w:val="24"/>
          <w:szCs w:val="24"/>
          <w:lang w:val="en-CA"/>
        </w:rPr>
      </w:pPr>
    </w:p>
    <w:p w14:paraId="7A1494FB" w14:textId="77777777" w:rsidR="00EF7D6C" w:rsidRDefault="00EF7D6C" w:rsidP="00EF7D6C">
      <w:pPr>
        <w:pStyle w:val="ListParagraph"/>
        <w:numPr>
          <w:ilvl w:val="0"/>
          <w:numId w:val="31"/>
        </w:numPr>
        <w:rPr>
          <w:rFonts w:ascii="Arial" w:hAnsi="Arial" w:cs="Arial"/>
          <w:sz w:val="24"/>
          <w:szCs w:val="24"/>
          <w:lang w:val="en-CA"/>
        </w:rPr>
      </w:pPr>
      <w:r>
        <w:rPr>
          <w:rFonts w:ascii="Arial" w:hAnsi="Arial" w:cs="Arial"/>
          <w:sz w:val="24"/>
          <w:szCs w:val="24"/>
          <w:lang w:val="en-CA"/>
        </w:rPr>
        <w:t>Tab 2 has been updated to illustrate what the distribution would have been with the original threshold. These values are not used in the calculation of LRAMVA results.</w:t>
      </w:r>
    </w:p>
    <w:p w14:paraId="02A467FC" w14:textId="77777777" w:rsidR="00EF7D6C" w:rsidRDefault="00EF7D6C" w:rsidP="00EF7D6C">
      <w:pPr>
        <w:pStyle w:val="ListParagraph"/>
        <w:rPr>
          <w:rFonts w:ascii="Arial" w:hAnsi="Arial" w:cs="Arial"/>
          <w:sz w:val="24"/>
          <w:szCs w:val="24"/>
          <w:lang w:val="en-CA"/>
        </w:rPr>
      </w:pPr>
    </w:p>
    <w:p w14:paraId="7835D954" w14:textId="77777777" w:rsidR="00EF7D6C" w:rsidRPr="00764D33" w:rsidRDefault="00EF7D6C" w:rsidP="00EF7D6C">
      <w:pPr>
        <w:pStyle w:val="ListParagraph"/>
        <w:numPr>
          <w:ilvl w:val="0"/>
          <w:numId w:val="31"/>
        </w:numPr>
        <w:rPr>
          <w:rFonts w:ascii="Arial" w:hAnsi="Arial" w:cs="Arial"/>
          <w:sz w:val="24"/>
          <w:szCs w:val="24"/>
          <w:lang w:val="en-CA"/>
        </w:rPr>
      </w:pPr>
      <w:r>
        <w:rPr>
          <w:rFonts w:ascii="Arial" w:hAnsi="Arial" w:cs="Arial"/>
          <w:sz w:val="24"/>
          <w:szCs w:val="24"/>
          <w:lang w:val="en-CA"/>
        </w:rPr>
        <w:t xml:space="preserve">This is </w:t>
      </w:r>
      <w:r>
        <w:rPr>
          <w:rFonts w:ascii="Arial" w:hAnsi="Arial" w:cs="Arial"/>
          <w:i/>
          <w:sz w:val="24"/>
          <w:szCs w:val="24"/>
          <w:lang w:val="en-CA"/>
        </w:rPr>
        <w:t>not</w:t>
      </w:r>
      <w:r>
        <w:rPr>
          <w:rFonts w:ascii="Arial" w:hAnsi="Arial" w:cs="Arial"/>
          <w:sz w:val="24"/>
          <w:szCs w:val="24"/>
          <w:lang w:val="en-CA"/>
        </w:rPr>
        <w:t xml:space="preserve"> </w:t>
      </w:r>
      <w:r w:rsidRPr="00C5666D">
        <w:rPr>
          <w:rFonts w:ascii="Arial" w:hAnsi="Arial" w:cs="Arial"/>
          <w:sz w:val="24"/>
          <w:szCs w:val="24"/>
        </w:rPr>
        <w:t>a variant of the LRAMVA threshold modified to include a half years’ savings for programs in place for the first year</w:t>
      </w:r>
      <w:r>
        <w:rPr>
          <w:rFonts w:ascii="Arial" w:hAnsi="Arial" w:cs="Arial"/>
          <w:sz w:val="24"/>
          <w:szCs w:val="24"/>
        </w:rPr>
        <w:t>. Rather, it is a correction to the LRAMVA threshold to be consistent with a correction made to the 2012 results. As mentioned the correction to the results is not presented in the COS evidence, but the implication of that correction on the manual adjustment is presented, and from that change in the manual adjustment value, the change in the 2012 results can be calculated.</w:t>
      </w:r>
    </w:p>
    <w:p w14:paraId="44DF60DB" w14:textId="77777777" w:rsidR="00EF7D6C" w:rsidRPr="00E84002" w:rsidRDefault="00EF7D6C" w:rsidP="00EF7D6C">
      <w:pPr>
        <w:pStyle w:val="ListParagraph"/>
        <w:rPr>
          <w:rFonts w:ascii="Arial" w:hAnsi="Arial" w:cs="Arial"/>
          <w:sz w:val="24"/>
          <w:szCs w:val="24"/>
        </w:rPr>
      </w:pPr>
    </w:p>
    <w:p w14:paraId="48938D58" w14:textId="77777777" w:rsidR="00EF7D6C" w:rsidRPr="00C5666D" w:rsidRDefault="00EF7D6C" w:rsidP="00EF7D6C">
      <w:pPr>
        <w:rPr>
          <w:rFonts w:ascii="Arial" w:hAnsi="Arial" w:cs="Arial"/>
          <w:sz w:val="24"/>
          <w:szCs w:val="24"/>
        </w:rPr>
      </w:pPr>
    </w:p>
    <w:p w14:paraId="5FA2565D" w14:textId="77777777" w:rsidR="00EF7D6C" w:rsidRPr="00C5666D" w:rsidRDefault="00EF7D6C" w:rsidP="00EF7D6C">
      <w:pPr>
        <w:pStyle w:val="Heading1"/>
        <w:rPr>
          <w:rFonts w:cs="Arial"/>
          <w:b/>
        </w:rPr>
      </w:pPr>
      <w:r w:rsidRPr="00C5666D">
        <w:rPr>
          <w:rFonts w:cs="Arial"/>
          <w:b/>
        </w:rPr>
        <w:t>Staff-</w:t>
      </w:r>
      <w:r>
        <w:rPr>
          <w:rFonts w:cs="Arial"/>
          <w:b/>
        </w:rPr>
        <w:t>9</w:t>
      </w:r>
    </w:p>
    <w:p w14:paraId="71D80F1D" w14:textId="77777777" w:rsidR="00EF7D6C" w:rsidRPr="00C5666D" w:rsidRDefault="00EF7D6C" w:rsidP="00EF7D6C">
      <w:pPr>
        <w:rPr>
          <w:rFonts w:ascii="Arial" w:hAnsi="Arial" w:cs="Arial"/>
          <w:b/>
          <w:sz w:val="24"/>
          <w:szCs w:val="24"/>
        </w:rPr>
      </w:pPr>
      <w:r w:rsidRPr="00C5666D">
        <w:rPr>
          <w:rFonts w:ascii="Arial" w:hAnsi="Arial" w:cs="Arial"/>
          <w:b/>
          <w:sz w:val="24"/>
          <w:szCs w:val="24"/>
        </w:rPr>
        <w:t>Ref:</w:t>
      </w:r>
      <w:r w:rsidRPr="00C5666D">
        <w:rPr>
          <w:rFonts w:ascii="Arial" w:hAnsi="Arial" w:cs="Arial"/>
          <w:b/>
          <w:sz w:val="24"/>
          <w:szCs w:val="24"/>
        </w:rPr>
        <w:tab/>
        <w:t>Tab 5 (2015-2020) of LRAMVA workform</w:t>
      </w:r>
    </w:p>
    <w:p w14:paraId="08C8C9DE" w14:textId="77777777" w:rsidR="00EF7D6C" w:rsidRDefault="00EF7D6C" w:rsidP="00EF7D6C">
      <w:pPr>
        <w:rPr>
          <w:rFonts w:ascii="Arial" w:hAnsi="Arial" w:cs="Arial"/>
          <w:sz w:val="24"/>
          <w:szCs w:val="24"/>
          <w:u w:val="single"/>
        </w:rPr>
      </w:pPr>
      <w:r>
        <w:rPr>
          <w:rFonts w:ascii="Arial" w:hAnsi="Arial" w:cs="Arial"/>
          <w:sz w:val="24"/>
          <w:szCs w:val="24"/>
          <w:u w:val="single"/>
        </w:rPr>
        <w:t>Pre-amble</w:t>
      </w:r>
    </w:p>
    <w:p w14:paraId="19F506B8" w14:textId="77777777" w:rsidR="00EF7D6C" w:rsidRDefault="00EF7D6C" w:rsidP="00EF7D6C">
      <w:pPr>
        <w:rPr>
          <w:rFonts w:ascii="Arial" w:eastAsia="Times New Roman" w:hAnsi="Arial" w:cs="Arial"/>
          <w:bCs/>
          <w:color w:val="000000"/>
          <w:sz w:val="24"/>
          <w:szCs w:val="24"/>
        </w:rPr>
      </w:pPr>
      <w:r w:rsidRPr="00C5666D">
        <w:rPr>
          <w:rFonts w:ascii="Arial" w:eastAsia="Times New Roman" w:hAnsi="Arial" w:cs="Arial"/>
          <w:bCs/>
          <w:color w:val="000000"/>
          <w:sz w:val="24"/>
          <w:szCs w:val="24"/>
        </w:rPr>
        <w:lastRenderedPageBreak/>
        <w:t>Actual savings are allocated across customer classes and are compared against forecast savings by customer class to determine lost revenue amounts.</w:t>
      </w:r>
    </w:p>
    <w:p w14:paraId="680F75BE" w14:textId="77777777" w:rsidR="00EF7D6C" w:rsidRPr="00C5666D" w:rsidRDefault="00EF7D6C" w:rsidP="00EF7D6C">
      <w:pPr>
        <w:rPr>
          <w:u w:val="single"/>
        </w:rPr>
      </w:pPr>
      <w:r w:rsidRPr="00C5666D">
        <w:rPr>
          <w:rFonts w:ascii="Arial" w:hAnsi="Arial" w:cs="Arial"/>
          <w:sz w:val="24"/>
          <w:szCs w:val="24"/>
          <w:u w:val="single"/>
        </w:rPr>
        <w:t xml:space="preserve">Questions </w:t>
      </w:r>
    </w:p>
    <w:p w14:paraId="3424DD01" w14:textId="77777777" w:rsidR="00EF7D6C" w:rsidRPr="00C5666D" w:rsidRDefault="00EF7D6C" w:rsidP="00EF7D6C">
      <w:pPr>
        <w:pStyle w:val="ListParagraph"/>
        <w:numPr>
          <w:ilvl w:val="0"/>
          <w:numId w:val="10"/>
        </w:numPr>
        <w:rPr>
          <w:rFonts w:ascii="Arial" w:hAnsi="Arial" w:cs="Arial"/>
          <w:sz w:val="24"/>
          <w:szCs w:val="24"/>
        </w:rPr>
      </w:pPr>
      <w:r w:rsidRPr="00C5666D">
        <w:rPr>
          <w:rFonts w:ascii="Arial" w:hAnsi="Arial" w:cs="Arial"/>
          <w:sz w:val="24"/>
          <w:szCs w:val="24"/>
        </w:rPr>
        <w:t>Please discuss the appropriateness of the rate class percentage allocation of savings for the 2016 retrofit program, as the total allocation of savings across the customer classes exceed 100% (tab 5, cell BI 235).</w:t>
      </w:r>
    </w:p>
    <w:p w14:paraId="053F472F" w14:textId="77777777" w:rsidR="00EF7D6C" w:rsidRDefault="00EF7D6C" w:rsidP="00EF7D6C">
      <w:pPr>
        <w:pStyle w:val="ListParagraph"/>
        <w:rPr>
          <w:rFonts w:ascii="Arial" w:hAnsi="Arial" w:cs="Arial"/>
          <w:sz w:val="24"/>
          <w:szCs w:val="24"/>
        </w:rPr>
      </w:pPr>
    </w:p>
    <w:p w14:paraId="679A850D" w14:textId="77777777" w:rsidR="00EF7D6C" w:rsidRPr="00C5666D" w:rsidRDefault="00EF7D6C" w:rsidP="00EF7D6C">
      <w:pPr>
        <w:pStyle w:val="ListParagraph"/>
        <w:numPr>
          <w:ilvl w:val="0"/>
          <w:numId w:val="10"/>
        </w:numPr>
        <w:rPr>
          <w:rFonts w:ascii="Arial" w:hAnsi="Arial" w:cs="Arial"/>
          <w:sz w:val="24"/>
          <w:szCs w:val="24"/>
        </w:rPr>
      </w:pPr>
      <w:r w:rsidRPr="00C5666D">
        <w:rPr>
          <w:rFonts w:ascii="Arial" w:hAnsi="Arial" w:cs="Arial"/>
          <w:sz w:val="24"/>
          <w:szCs w:val="24"/>
        </w:rPr>
        <w:t>Please discuss how the rate class allocation of savings were determined for C&amp;I programs in 2015 and 2016.</w:t>
      </w:r>
    </w:p>
    <w:p w14:paraId="2DEF3FA8" w14:textId="77777777" w:rsidR="00EF7D6C" w:rsidRDefault="00EF7D6C" w:rsidP="00EF7D6C">
      <w:pPr>
        <w:rPr>
          <w:rFonts w:ascii="Arial" w:hAnsi="Arial" w:cs="Arial"/>
          <w:sz w:val="24"/>
          <w:szCs w:val="24"/>
        </w:rPr>
      </w:pPr>
    </w:p>
    <w:p w14:paraId="4E69D424" w14:textId="77777777" w:rsidR="00EF7D6C" w:rsidRPr="00D95B96" w:rsidRDefault="00EF7D6C" w:rsidP="00EF7D6C">
      <w:pPr>
        <w:rPr>
          <w:rFonts w:ascii="Arial" w:hAnsi="Arial" w:cs="Arial"/>
          <w:sz w:val="24"/>
          <w:szCs w:val="24"/>
          <w:u w:val="single"/>
        </w:rPr>
      </w:pPr>
      <w:r w:rsidRPr="00D95B96">
        <w:rPr>
          <w:rFonts w:ascii="Arial" w:hAnsi="Arial" w:cs="Arial"/>
          <w:sz w:val="24"/>
          <w:szCs w:val="24"/>
          <w:u w:val="single"/>
        </w:rPr>
        <w:t>Answers</w:t>
      </w:r>
    </w:p>
    <w:p w14:paraId="4CFC4730" w14:textId="77777777" w:rsidR="00EF7D6C" w:rsidRDefault="00EF7D6C" w:rsidP="00EF7D6C">
      <w:pPr>
        <w:pStyle w:val="ListParagraph"/>
        <w:numPr>
          <w:ilvl w:val="0"/>
          <w:numId w:val="32"/>
        </w:numPr>
        <w:rPr>
          <w:rFonts w:ascii="Arial" w:hAnsi="Arial" w:cs="Arial"/>
          <w:sz w:val="24"/>
          <w:szCs w:val="24"/>
        </w:rPr>
      </w:pPr>
      <w:r>
        <w:rPr>
          <w:rFonts w:ascii="Arial" w:hAnsi="Arial" w:cs="Arial"/>
          <w:sz w:val="24"/>
          <w:szCs w:val="24"/>
        </w:rPr>
        <w:t>In 2016 and 2017, IESO provided project specific data, including net first year energy savings and net peak demand reductions for each retrofit project. Veridian identified which rate class customers responsible for each project were within. In the case of GS&lt;50, the sum of the first year energy savings for projects by customers in that rate class were compared to the total energy savings reported by IESO for the program, and the allocation was calculated. In the case of GS&gt;50, the sum of the first year peak demand savings for projects by customers in that rate class were compared to the total peak demand savings reported by IESO for the program, and the allocation was calculated. That the total of the two does not exactly equal 100% is not surprising, as the ratio of kW/kWh varies from project to project.</w:t>
      </w:r>
    </w:p>
    <w:p w14:paraId="0543DBAD" w14:textId="77777777" w:rsidR="00EF7D6C" w:rsidRDefault="00EF7D6C" w:rsidP="00EF7D6C">
      <w:pPr>
        <w:pStyle w:val="ListParagraph"/>
        <w:rPr>
          <w:rFonts w:ascii="Arial" w:hAnsi="Arial" w:cs="Arial"/>
          <w:sz w:val="24"/>
          <w:szCs w:val="24"/>
        </w:rPr>
      </w:pPr>
    </w:p>
    <w:p w14:paraId="174F2A28" w14:textId="77777777" w:rsidR="00EF7D6C" w:rsidRDefault="00EF7D6C" w:rsidP="00EF7D6C">
      <w:pPr>
        <w:pStyle w:val="ListParagraph"/>
        <w:numPr>
          <w:ilvl w:val="0"/>
          <w:numId w:val="32"/>
        </w:numPr>
        <w:rPr>
          <w:rFonts w:ascii="Arial" w:hAnsi="Arial" w:cs="Arial"/>
          <w:sz w:val="24"/>
          <w:szCs w:val="24"/>
        </w:rPr>
      </w:pPr>
      <w:r>
        <w:rPr>
          <w:rFonts w:ascii="Arial" w:hAnsi="Arial" w:cs="Arial"/>
          <w:sz w:val="24"/>
          <w:szCs w:val="24"/>
        </w:rPr>
        <w:t xml:space="preserve">The allocations in 2016 and 2017 were calculated as described above in answer Staff 9a. For 2015 results, IESO did not provide project specific net energy and demand results. The same process was followed, </w:t>
      </w:r>
      <w:r>
        <w:rPr>
          <w:rFonts w:ascii="Arial" w:hAnsi="Arial" w:cs="Arial"/>
          <w:sz w:val="24"/>
          <w:szCs w:val="24"/>
        </w:rPr>
        <w:lastRenderedPageBreak/>
        <w:t>except that Veridian used gross energy and demand data from project databases: the best information available.</w:t>
      </w:r>
    </w:p>
    <w:p w14:paraId="5310FDBF" w14:textId="77777777" w:rsidR="00EF7D6C" w:rsidRPr="00D95B96" w:rsidRDefault="00EF7D6C" w:rsidP="00EF7D6C">
      <w:pPr>
        <w:ind w:left="360"/>
        <w:rPr>
          <w:rFonts w:ascii="Arial" w:hAnsi="Arial" w:cs="Arial"/>
          <w:sz w:val="24"/>
          <w:szCs w:val="24"/>
        </w:rPr>
      </w:pPr>
    </w:p>
    <w:p w14:paraId="4DE37196" w14:textId="77777777" w:rsidR="00EF7D6C" w:rsidRPr="00C5666D" w:rsidRDefault="00EF7D6C" w:rsidP="00EF7D6C">
      <w:pPr>
        <w:rPr>
          <w:rFonts w:ascii="Arial" w:hAnsi="Arial" w:cs="Arial"/>
          <w:sz w:val="24"/>
          <w:szCs w:val="24"/>
        </w:rPr>
      </w:pPr>
    </w:p>
    <w:p w14:paraId="2989623B" w14:textId="77777777" w:rsidR="00EF7D6C" w:rsidRPr="00C5666D" w:rsidRDefault="00EF7D6C" w:rsidP="00EF7D6C">
      <w:pPr>
        <w:pStyle w:val="Heading1"/>
        <w:rPr>
          <w:rFonts w:cs="Arial"/>
          <w:b/>
        </w:rPr>
      </w:pPr>
      <w:r w:rsidRPr="00C5666D">
        <w:rPr>
          <w:rFonts w:cs="Arial"/>
          <w:b/>
        </w:rPr>
        <w:t>Staff-</w:t>
      </w:r>
      <w:r>
        <w:rPr>
          <w:rFonts w:cs="Arial"/>
          <w:b/>
        </w:rPr>
        <w:t>10</w:t>
      </w:r>
    </w:p>
    <w:p w14:paraId="168A4A00" w14:textId="77777777" w:rsidR="00EF7D6C" w:rsidRPr="00C5666D" w:rsidRDefault="00EF7D6C" w:rsidP="00EF7D6C">
      <w:pPr>
        <w:rPr>
          <w:rFonts w:ascii="Arial" w:hAnsi="Arial" w:cs="Arial"/>
          <w:b/>
          <w:sz w:val="24"/>
          <w:szCs w:val="24"/>
        </w:rPr>
      </w:pPr>
      <w:r w:rsidRPr="00C5666D">
        <w:rPr>
          <w:rFonts w:ascii="Arial" w:hAnsi="Arial" w:cs="Arial"/>
          <w:b/>
          <w:sz w:val="24"/>
          <w:szCs w:val="24"/>
        </w:rPr>
        <w:t>Ref:</w:t>
      </w:r>
      <w:r w:rsidRPr="00C5666D">
        <w:rPr>
          <w:rFonts w:ascii="Arial" w:hAnsi="Arial" w:cs="Arial"/>
          <w:b/>
          <w:sz w:val="24"/>
          <w:szCs w:val="24"/>
        </w:rPr>
        <w:tab/>
        <w:t>Tab 8 of LRAMVA workform</w:t>
      </w:r>
    </w:p>
    <w:p w14:paraId="5245B04D" w14:textId="77777777" w:rsidR="00EF7D6C" w:rsidRDefault="00EF7D6C" w:rsidP="00EF7D6C">
      <w:pPr>
        <w:rPr>
          <w:rFonts w:ascii="Arial" w:hAnsi="Arial" w:cs="Arial"/>
          <w:sz w:val="24"/>
          <w:szCs w:val="24"/>
          <w:u w:val="single"/>
        </w:rPr>
      </w:pPr>
      <w:r>
        <w:rPr>
          <w:rFonts w:ascii="Arial" w:hAnsi="Arial" w:cs="Arial"/>
          <w:sz w:val="24"/>
          <w:szCs w:val="24"/>
          <w:u w:val="single"/>
        </w:rPr>
        <w:t>Pre-amble</w:t>
      </w:r>
    </w:p>
    <w:p w14:paraId="56894CB1" w14:textId="77777777" w:rsidR="00EF7D6C" w:rsidRPr="00C5666D" w:rsidRDefault="00EF7D6C" w:rsidP="00EF7D6C">
      <w:pPr>
        <w:rPr>
          <w:rFonts w:ascii="Arial" w:hAnsi="Arial" w:cs="Arial"/>
          <w:sz w:val="24"/>
          <w:szCs w:val="24"/>
        </w:rPr>
      </w:pPr>
      <w:r w:rsidRPr="00C5666D">
        <w:rPr>
          <w:rFonts w:ascii="Arial" w:hAnsi="Arial" w:cs="Arial"/>
          <w:sz w:val="24"/>
          <w:szCs w:val="24"/>
        </w:rPr>
        <w:t xml:space="preserve">Three streetlighting project upgrades are included for recovery in the LRAMVA. This includes the Port Hope and Gravenhurst projects from 2014, whose persistence of savings is claimed in 2015 and 2016.  In addition, the savings realized from the Pickering project in 2017 is claimed in 2017.  </w:t>
      </w:r>
    </w:p>
    <w:p w14:paraId="6C501085" w14:textId="77777777" w:rsidR="00EF7D6C" w:rsidRDefault="00EF7D6C" w:rsidP="00EF7D6C">
      <w:pPr>
        <w:rPr>
          <w:rFonts w:ascii="Arial" w:hAnsi="Arial" w:cs="Arial"/>
          <w:sz w:val="24"/>
          <w:szCs w:val="24"/>
        </w:rPr>
      </w:pPr>
      <w:r w:rsidRPr="00C5666D">
        <w:rPr>
          <w:rFonts w:ascii="Arial" w:hAnsi="Arial" w:cs="Arial"/>
          <w:sz w:val="24"/>
          <w:szCs w:val="24"/>
        </w:rPr>
        <w:t>It is noted in tab 8 of the LRAMVA workform that the data is based on billed amounts from actual bills to customers.</w:t>
      </w:r>
    </w:p>
    <w:p w14:paraId="56969F93" w14:textId="77777777" w:rsidR="00EF7D6C" w:rsidRPr="00C5666D" w:rsidRDefault="00EF7D6C" w:rsidP="00EF7D6C">
      <w:pPr>
        <w:rPr>
          <w:u w:val="single"/>
        </w:rPr>
      </w:pPr>
      <w:r w:rsidRPr="00C5666D">
        <w:rPr>
          <w:rFonts w:ascii="Arial" w:hAnsi="Arial" w:cs="Arial"/>
          <w:sz w:val="24"/>
          <w:szCs w:val="24"/>
          <w:u w:val="single"/>
        </w:rPr>
        <w:t xml:space="preserve">Questions </w:t>
      </w:r>
    </w:p>
    <w:p w14:paraId="6B749B8C" w14:textId="77777777" w:rsidR="00EF7D6C" w:rsidRPr="00C5666D" w:rsidRDefault="00EF7D6C" w:rsidP="00EF7D6C">
      <w:pPr>
        <w:pStyle w:val="ListParagraph"/>
        <w:numPr>
          <w:ilvl w:val="0"/>
          <w:numId w:val="11"/>
        </w:numPr>
        <w:rPr>
          <w:rFonts w:ascii="Arial" w:hAnsi="Arial" w:cs="Arial"/>
          <w:sz w:val="24"/>
          <w:szCs w:val="24"/>
        </w:rPr>
      </w:pPr>
      <w:r w:rsidRPr="00C5666D">
        <w:rPr>
          <w:rFonts w:ascii="Arial" w:hAnsi="Arial" w:cs="Arial"/>
          <w:sz w:val="24"/>
          <w:szCs w:val="24"/>
        </w:rPr>
        <w:t>Please confirm the number of streetlights that were confirmed for conversion, and whether IESO funding was used to incent higher efficiency bulbs that included LED and non-LED lights.</w:t>
      </w:r>
    </w:p>
    <w:p w14:paraId="73803F32" w14:textId="77777777" w:rsidR="00EF7D6C" w:rsidRDefault="00EF7D6C" w:rsidP="00EF7D6C">
      <w:pPr>
        <w:pStyle w:val="ListParagraph"/>
        <w:rPr>
          <w:rFonts w:ascii="Arial" w:hAnsi="Arial" w:cs="Arial"/>
          <w:sz w:val="24"/>
          <w:szCs w:val="24"/>
        </w:rPr>
      </w:pPr>
    </w:p>
    <w:p w14:paraId="1A054C64" w14:textId="77777777" w:rsidR="00EF7D6C" w:rsidRPr="00C5666D" w:rsidRDefault="00EF7D6C" w:rsidP="00EF7D6C">
      <w:pPr>
        <w:pStyle w:val="ListParagraph"/>
        <w:numPr>
          <w:ilvl w:val="0"/>
          <w:numId w:val="11"/>
        </w:numPr>
        <w:rPr>
          <w:rFonts w:ascii="Arial" w:hAnsi="Arial" w:cs="Arial"/>
          <w:sz w:val="24"/>
          <w:szCs w:val="24"/>
        </w:rPr>
      </w:pPr>
      <w:r w:rsidRPr="00C5666D">
        <w:rPr>
          <w:rFonts w:ascii="Arial" w:hAnsi="Arial" w:cs="Arial"/>
          <w:sz w:val="24"/>
          <w:szCs w:val="24"/>
        </w:rPr>
        <w:t xml:space="preserve">Please discuss the base case used for streetlight upgrades. In your response, indicate what, if any, efficiency standard of streetlights Veridian relied on when making more efficient upgrades. </w:t>
      </w:r>
    </w:p>
    <w:p w14:paraId="5850491B" w14:textId="77777777" w:rsidR="00EF7D6C" w:rsidRDefault="00EF7D6C" w:rsidP="00EF7D6C">
      <w:pPr>
        <w:pStyle w:val="ListParagraph"/>
        <w:rPr>
          <w:rFonts w:ascii="Arial" w:hAnsi="Arial" w:cs="Arial"/>
          <w:sz w:val="24"/>
          <w:szCs w:val="24"/>
        </w:rPr>
      </w:pPr>
    </w:p>
    <w:p w14:paraId="1B11742B" w14:textId="77777777" w:rsidR="00EF7D6C" w:rsidRPr="00C5666D" w:rsidRDefault="00EF7D6C" w:rsidP="00EF7D6C">
      <w:pPr>
        <w:pStyle w:val="ListParagraph"/>
        <w:numPr>
          <w:ilvl w:val="0"/>
          <w:numId w:val="11"/>
        </w:numPr>
        <w:rPr>
          <w:rFonts w:ascii="Arial" w:hAnsi="Arial" w:cs="Arial"/>
          <w:sz w:val="24"/>
          <w:szCs w:val="24"/>
        </w:rPr>
      </w:pPr>
      <w:r w:rsidRPr="00C5666D">
        <w:rPr>
          <w:rFonts w:ascii="Arial" w:hAnsi="Arial" w:cs="Arial"/>
          <w:sz w:val="24"/>
          <w:szCs w:val="24"/>
        </w:rPr>
        <w:t>Please explain how the monthly demand billed kW amounts were determined.  For each project, please provide the detailed calculations in excel format to estimate monthly demand billed kW, including the number of monthly installations and replacements and the change in kW billed, pre- and post-installation, in order to determine the baseline kW and demand billed kW.</w:t>
      </w:r>
    </w:p>
    <w:p w14:paraId="07A2438E" w14:textId="77777777" w:rsidR="00EF7D6C" w:rsidRDefault="00EF7D6C" w:rsidP="00EF7D6C">
      <w:pPr>
        <w:pStyle w:val="ListParagraph"/>
        <w:spacing w:line="276" w:lineRule="auto"/>
        <w:rPr>
          <w:rFonts w:ascii="Arial" w:hAnsi="Arial" w:cs="Arial"/>
          <w:sz w:val="24"/>
          <w:szCs w:val="24"/>
        </w:rPr>
      </w:pPr>
    </w:p>
    <w:p w14:paraId="77065F52" w14:textId="77777777" w:rsidR="00EF7D6C" w:rsidRPr="00C5666D" w:rsidRDefault="00EF7D6C" w:rsidP="00EF7D6C">
      <w:pPr>
        <w:pStyle w:val="ListParagraph"/>
        <w:numPr>
          <w:ilvl w:val="0"/>
          <w:numId w:val="11"/>
        </w:numPr>
        <w:spacing w:line="276" w:lineRule="auto"/>
        <w:rPr>
          <w:rFonts w:ascii="Arial" w:hAnsi="Arial" w:cs="Arial"/>
          <w:sz w:val="24"/>
          <w:szCs w:val="24"/>
        </w:rPr>
      </w:pPr>
      <w:r w:rsidRPr="00C5666D">
        <w:rPr>
          <w:rFonts w:ascii="Arial" w:hAnsi="Arial" w:cs="Arial"/>
          <w:sz w:val="24"/>
          <w:szCs w:val="24"/>
        </w:rPr>
        <w:t xml:space="preserve">For each of the streetlighting projects, please confirm whether you have received reports from municipalities that confirm the number of lightbulbs replaced.  </w:t>
      </w:r>
    </w:p>
    <w:p w14:paraId="4A83CA98" w14:textId="77777777" w:rsidR="00EF7D6C" w:rsidRDefault="00EF7D6C" w:rsidP="00EF7D6C">
      <w:pPr>
        <w:pStyle w:val="ListParagraph"/>
        <w:spacing w:line="276" w:lineRule="auto"/>
        <w:rPr>
          <w:rFonts w:ascii="Arial" w:hAnsi="Arial" w:cs="Arial"/>
          <w:sz w:val="24"/>
          <w:szCs w:val="24"/>
        </w:rPr>
      </w:pPr>
    </w:p>
    <w:p w14:paraId="3D000229" w14:textId="77777777" w:rsidR="00EF7D6C" w:rsidRDefault="00EF7D6C" w:rsidP="00EF7D6C">
      <w:pPr>
        <w:pStyle w:val="ListParagraph"/>
        <w:numPr>
          <w:ilvl w:val="0"/>
          <w:numId w:val="11"/>
        </w:numPr>
        <w:spacing w:line="276" w:lineRule="auto"/>
        <w:rPr>
          <w:rFonts w:ascii="Arial" w:hAnsi="Arial" w:cs="Arial"/>
          <w:sz w:val="24"/>
          <w:szCs w:val="24"/>
        </w:rPr>
      </w:pPr>
      <w:r w:rsidRPr="00C5666D">
        <w:rPr>
          <w:rFonts w:ascii="Arial" w:hAnsi="Arial" w:cs="Arial"/>
          <w:sz w:val="24"/>
          <w:szCs w:val="24"/>
        </w:rPr>
        <w:t xml:space="preserve">Please indicate if any of the streetlighting savings are from new, incremental streetlight installations. If there are any new, incremental, non-replacement streetlight installations, please indicate how Veridian determined the level of efficiency of the new streetlights. </w:t>
      </w:r>
    </w:p>
    <w:p w14:paraId="445FA9AC" w14:textId="77777777" w:rsidR="00EF7D6C" w:rsidRPr="0007405F" w:rsidRDefault="00EF7D6C" w:rsidP="00EF7D6C">
      <w:pPr>
        <w:pStyle w:val="ListParagraph"/>
        <w:rPr>
          <w:rFonts w:ascii="Arial" w:hAnsi="Arial" w:cs="Arial"/>
          <w:sz w:val="24"/>
          <w:szCs w:val="24"/>
        </w:rPr>
      </w:pPr>
    </w:p>
    <w:p w14:paraId="24FD0FF7" w14:textId="77777777" w:rsidR="00EF7D6C" w:rsidRPr="00C5666D" w:rsidRDefault="00EF7D6C" w:rsidP="00EF7D6C">
      <w:pPr>
        <w:pStyle w:val="ListParagraph"/>
        <w:numPr>
          <w:ilvl w:val="0"/>
          <w:numId w:val="11"/>
        </w:numPr>
        <w:spacing w:line="276" w:lineRule="auto"/>
        <w:rPr>
          <w:rFonts w:ascii="Arial" w:hAnsi="Arial" w:cs="Arial"/>
          <w:sz w:val="24"/>
          <w:szCs w:val="24"/>
        </w:rPr>
      </w:pPr>
      <w:r w:rsidRPr="00C5666D">
        <w:rPr>
          <w:rFonts w:ascii="Arial" w:hAnsi="Arial" w:cs="Arial"/>
          <w:sz w:val="24"/>
          <w:szCs w:val="24"/>
        </w:rPr>
        <w:t>For the Port Hope and Gravenhurst projects, please discuss the appropriateness of claiming persistence of streetlight savings at 100% for 12 months into 2015 and 2016.</w:t>
      </w:r>
    </w:p>
    <w:p w14:paraId="1B5A4076" w14:textId="77777777" w:rsidR="00EF7D6C" w:rsidRDefault="00EF7D6C" w:rsidP="00EF7D6C">
      <w:pPr>
        <w:pStyle w:val="ListParagraph"/>
        <w:spacing w:line="276" w:lineRule="auto"/>
        <w:rPr>
          <w:rFonts w:ascii="Arial" w:hAnsi="Arial" w:cs="Arial"/>
          <w:sz w:val="24"/>
          <w:szCs w:val="24"/>
        </w:rPr>
      </w:pPr>
    </w:p>
    <w:p w14:paraId="7067BE83" w14:textId="77777777" w:rsidR="00EF7D6C" w:rsidRDefault="00EF7D6C" w:rsidP="00EF7D6C">
      <w:pPr>
        <w:pStyle w:val="ListParagraph"/>
        <w:numPr>
          <w:ilvl w:val="0"/>
          <w:numId w:val="11"/>
        </w:numPr>
        <w:spacing w:line="276" w:lineRule="auto"/>
        <w:rPr>
          <w:rFonts w:ascii="Arial" w:hAnsi="Arial" w:cs="Arial"/>
          <w:sz w:val="24"/>
          <w:szCs w:val="24"/>
        </w:rPr>
      </w:pPr>
      <w:r w:rsidRPr="00C5666D">
        <w:rPr>
          <w:rFonts w:ascii="Arial" w:hAnsi="Arial" w:cs="Arial"/>
          <w:sz w:val="24"/>
          <w:szCs w:val="24"/>
        </w:rPr>
        <w:t>For certain months for the Gravenhurst and Pickering projects, no CDM was claimed because CDM and natural growth could not be separated.  Please discuss how this was determined.</w:t>
      </w:r>
    </w:p>
    <w:p w14:paraId="5704AB03" w14:textId="77777777" w:rsidR="00EF7D6C" w:rsidRDefault="00EF7D6C" w:rsidP="00EF7D6C">
      <w:pPr>
        <w:pStyle w:val="NoSpacing"/>
        <w:rPr>
          <w:rFonts w:ascii="Arial" w:hAnsi="Arial" w:cs="Arial"/>
          <w:sz w:val="24"/>
          <w:szCs w:val="24"/>
          <w:u w:val="single"/>
        </w:rPr>
      </w:pPr>
      <w:r w:rsidRPr="00CF6C4C">
        <w:rPr>
          <w:rFonts w:ascii="Arial" w:hAnsi="Arial" w:cs="Arial"/>
          <w:sz w:val="24"/>
          <w:szCs w:val="24"/>
          <w:u w:val="single"/>
        </w:rPr>
        <w:t>Answers</w:t>
      </w:r>
    </w:p>
    <w:p w14:paraId="69218301" w14:textId="77777777" w:rsidR="00EF7D6C" w:rsidRDefault="00EF7D6C" w:rsidP="00EF7D6C">
      <w:pPr>
        <w:pStyle w:val="NoSpacing"/>
        <w:rPr>
          <w:rFonts w:ascii="Arial" w:hAnsi="Arial" w:cs="Arial"/>
          <w:sz w:val="24"/>
          <w:szCs w:val="24"/>
          <w:u w:val="single"/>
        </w:rPr>
      </w:pPr>
    </w:p>
    <w:p w14:paraId="45ABB34D" w14:textId="77777777" w:rsidR="00EF7D6C" w:rsidRPr="00681032" w:rsidRDefault="00EF7D6C" w:rsidP="00EF7D6C">
      <w:pPr>
        <w:pStyle w:val="NoSpacing"/>
        <w:numPr>
          <w:ilvl w:val="0"/>
          <w:numId w:val="33"/>
        </w:numPr>
        <w:rPr>
          <w:rFonts w:ascii="Arial" w:hAnsi="Arial" w:cs="Arial"/>
          <w:sz w:val="24"/>
          <w:szCs w:val="24"/>
          <w:u w:val="single"/>
        </w:rPr>
      </w:pPr>
      <w:r>
        <w:rPr>
          <w:rFonts w:ascii="Arial" w:hAnsi="Arial" w:cs="Arial"/>
          <w:sz w:val="24"/>
          <w:szCs w:val="24"/>
        </w:rPr>
        <w:t>The number of streetlights that were converted in each municipality is as follows:</w:t>
      </w:r>
    </w:p>
    <w:p w14:paraId="670A6710" w14:textId="77777777" w:rsidR="00EF7D6C" w:rsidRPr="00681032" w:rsidRDefault="00EF7D6C" w:rsidP="00EF7D6C">
      <w:pPr>
        <w:pStyle w:val="NoSpacing"/>
        <w:ind w:left="1440"/>
        <w:rPr>
          <w:rFonts w:ascii="Arial" w:hAnsi="Arial" w:cs="Arial"/>
          <w:sz w:val="24"/>
          <w:szCs w:val="24"/>
          <w:u w:val="single"/>
        </w:rPr>
      </w:pPr>
      <w:r>
        <w:rPr>
          <w:rFonts w:ascii="Arial" w:hAnsi="Arial" w:cs="Arial"/>
          <w:sz w:val="24"/>
          <w:szCs w:val="24"/>
        </w:rPr>
        <w:t xml:space="preserve">Port Hope </w:t>
      </w:r>
      <w:r>
        <w:rPr>
          <w:rFonts w:ascii="Arial" w:hAnsi="Arial" w:cs="Arial"/>
          <w:sz w:val="24"/>
          <w:szCs w:val="24"/>
        </w:rPr>
        <w:tab/>
      </w:r>
      <w:r>
        <w:rPr>
          <w:rFonts w:ascii="Arial" w:hAnsi="Arial" w:cs="Arial"/>
          <w:sz w:val="24"/>
          <w:szCs w:val="24"/>
        </w:rPr>
        <w:tab/>
        <w:t>1,533</w:t>
      </w:r>
    </w:p>
    <w:p w14:paraId="1520C5B4" w14:textId="77777777" w:rsidR="00EF7D6C" w:rsidRPr="00681032" w:rsidRDefault="00EF7D6C" w:rsidP="00EF7D6C">
      <w:pPr>
        <w:pStyle w:val="NoSpacing"/>
        <w:ind w:left="1440"/>
        <w:rPr>
          <w:rFonts w:ascii="Arial" w:hAnsi="Arial" w:cs="Arial"/>
          <w:sz w:val="24"/>
          <w:szCs w:val="24"/>
          <w:u w:val="single"/>
        </w:rPr>
      </w:pPr>
      <w:r>
        <w:rPr>
          <w:rFonts w:ascii="Arial" w:hAnsi="Arial" w:cs="Arial"/>
          <w:sz w:val="24"/>
          <w:szCs w:val="24"/>
        </w:rPr>
        <w:t xml:space="preserve">Gravenhurst </w:t>
      </w:r>
      <w:r>
        <w:rPr>
          <w:rFonts w:ascii="Arial" w:hAnsi="Arial" w:cs="Arial"/>
          <w:sz w:val="24"/>
          <w:szCs w:val="24"/>
        </w:rPr>
        <w:tab/>
      </w:r>
      <w:r>
        <w:rPr>
          <w:rFonts w:ascii="Arial" w:hAnsi="Arial" w:cs="Arial"/>
          <w:sz w:val="24"/>
          <w:szCs w:val="24"/>
        </w:rPr>
        <w:tab/>
        <w:t xml:space="preserve">   794</w:t>
      </w:r>
    </w:p>
    <w:p w14:paraId="254D4BA8" w14:textId="77777777" w:rsidR="00EF7D6C" w:rsidRDefault="00EF7D6C" w:rsidP="00EF7D6C">
      <w:pPr>
        <w:pStyle w:val="NoSpacing"/>
        <w:ind w:left="1440"/>
        <w:rPr>
          <w:rFonts w:ascii="Arial" w:hAnsi="Arial" w:cs="Arial"/>
          <w:sz w:val="24"/>
          <w:szCs w:val="24"/>
        </w:rPr>
      </w:pPr>
      <w:r>
        <w:rPr>
          <w:rFonts w:ascii="Arial" w:hAnsi="Arial" w:cs="Arial"/>
          <w:sz w:val="24"/>
          <w:szCs w:val="24"/>
        </w:rPr>
        <w:t>Pickering</w:t>
      </w:r>
      <w:r>
        <w:rPr>
          <w:rFonts w:ascii="Arial" w:hAnsi="Arial" w:cs="Arial"/>
          <w:sz w:val="24"/>
          <w:szCs w:val="24"/>
        </w:rPr>
        <w:tab/>
      </w:r>
      <w:r>
        <w:rPr>
          <w:rFonts w:ascii="Arial" w:hAnsi="Arial" w:cs="Arial"/>
          <w:sz w:val="24"/>
          <w:szCs w:val="24"/>
        </w:rPr>
        <w:tab/>
        <w:t>7,142</w:t>
      </w:r>
    </w:p>
    <w:p w14:paraId="215C2787" w14:textId="77777777" w:rsidR="00EF7D6C" w:rsidRDefault="00EF7D6C" w:rsidP="00EF7D6C">
      <w:pPr>
        <w:pStyle w:val="NoSpacing"/>
        <w:rPr>
          <w:rFonts w:ascii="Arial" w:hAnsi="Arial" w:cs="Arial"/>
          <w:sz w:val="24"/>
          <w:szCs w:val="24"/>
        </w:rPr>
      </w:pPr>
    </w:p>
    <w:p w14:paraId="6765220F" w14:textId="77777777" w:rsidR="00EF7D6C" w:rsidRDefault="00EF7D6C" w:rsidP="00EF7D6C">
      <w:pPr>
        <w:pStyle w:val="NoSpacing"/>
        <w:ind w:left="720"/>
        <w:rPr>
          <w:rFonts w:ascii="Arial" w:hAnsi="Arial" w:cs="Arial"/>
          <w:sz w:val="24"/>
          <w:szCs w:val="24"/>
        </w:rPr>
      </w:pPr>
      <w:r>
        <w:rPr>
          <w:rFonts w:ascii="Arial" w:hAnsi="Arial" w:cs="Arial"/>
          <w:sz w:val="24"/>
          <w:szCs w:val="24"/>
        </w:rPr>
        <w:t>Veridian confirms that IESO funding was used to incent higher efficiency bulbs and/or ballasts and included LED and non-LED lights.</w:t>
      </w:r>
    </w:p>
    <w:p w14:paraId="2DD8863F" w14:textId="77777777" w:rsidR="00EF7D6C" w:rsidRDefault="00EF7D6C" w:rsidP="00EF7D6C">
      <w:pPr>
        <w:pStyle w:val="NoSpacing"/>
        <w:rPr>
          <w:rFonts w:ascii="Arial" w:hAnsi="Arial" w:cs="Arial"/>
          <w:sz w:val="24"/>
          <w:szCs w:val="24"/>
          <w:u w:val="single"/>
        </w:rPr>
      </w:pPr>
    </w:p>
    <w:p w14:paraId="66A2EED5" w14:textId="77777777" w:rsidR="00EF7D6C" w:rsidRPr="009772A8" w:rsidRDefault="00EF7D6C" w:rsidP="00EF7D6C">
      <w:pPr>
        <w:pStyle w:val="NoSpacing"/>
        <w:numPr>
          <w:ilvl w:val="0"/>
          <w:numId w:val="33"/>
        </w:numPr>
        <w:rPr>
          <w:rFonts w:ascii="Arial" w:hAnsi="Arial" w:cs="Arial"/>
          <w:sz w:val="24"/>
          <w:szCs w:val="24"/>
        </w:rPr>
      </w:pPr>
      <w:r w:rsidRPr="009772A8">
        <w:rPr>
          <w:rFonts w:ascii="Arial" w:hAnsi="Arial" w:cs="Arial"/>
          <w:sz w:val="24"/>
          <w:szCs w:val="24"/>
        </w:rPr>
        <w:t xml:space="preserve">In the case of these municipal streetlight retrofits, the base case represented the measures that were removed. Veridian only provided incentives if the new measures were more efficient that the products being removed, and ensured that all retrofits followed the IESO program </w:t>
      </w:r>
      <w:r w:rsidRPr="009772A8">
        <w:rPr>
          <w:rFonts w:ascii="Arial" w:hAnsi="Arial" w:cs="Arial"/>
          <w:sz w:val="24"/>
          <w:szCs w:val="24"/>
        </w:rPr>
        <w:lastRenderedPageBreak/>
        <w:t>rules. Veridian took spot measurements on the base case and energy efficient case, performed pre and post-project QA/QC audits, each municipality signed off on an Advanced Evaluation &amp; Incentive Report, and Final Evaluation &amp; Incentive Report. Pre and Post-Measurement and Verification reports were provided by the municipalities.</w:t>
      </w:r>
    </w:p>
    <w:p w14:paraId="13B15A51" w14:textId="77777777" w:rsidR="00EF7D6C" w:rsidRDefault="00EF7D6C" w:rsidP="00EF7D6C">
      <w:pPr>
        <w:pStyle w:val="NoSpacing"/>
        <w:rPr>
          <w:rFonts w:ascii="Arial" w:hAnsi="Arial" w:cs="Arial"/>
          <w:sz w:val="24"/>
          <w:szCs w:val="24"/>
          <w:u w:val="single"/>
        </w:rPr>
      </w:pPr>
      <w:r>
        <w:rPr>
          <w:rFonts w:ascii="Arial" w:hAnsi="Arial" w:cs="Arial"/>
          <w:sz w:val="24"/>
          <w:szCs w:val="24"/>
          <w:u w:val="single"/>
        </w:rPr>
        <w:t xml:space="preserve"> </w:t>
      </w:r>
    </w:p>
    <w:p w14:paraId="15E28F59" w14:textId="77777777" w:rsidR="00EF7D6C" w:rsidRDefault="00EF7D6C" w:rsidP="00EF7D6C">
      <w:pPr>
        <w:pStyle w:val="NoSpacing"/>
        <w:numPr>
          <w:ilvl w:val="0"/>
          <w:numId w:val="33"/>
        </w:numPr>
        <w:rPr>
          <w:rFonts w:ascii="Arial" w:hAnsi="Arial" w:cs="Arial"/>
          <w:sz w:val="24"/>
          <w:szCs w:val="24"/>
        </w:rPr>
      </w:pPr>
      <w:r w:rsidRPr="009045BA">
        <w:rPr>
          <w:rFonts w:ascii="Arial" w:hAnsi="Arial" w:cs="Arial"/>
          <w:sz w:val="24"/>
          <w:szCs w:val="24"/>
        </w:rPr>
        <w:t>Veridian’s streetlight billing determinants, including kWh and demand kW are based upon Veridian’s OEB approved streetlight load profile. The streetlight load profile monthly magnitude (demand kW) is based upon the sum of contributing luminaires demand kW which is provided monthly by Veridian’s Geographic Information System (“GIS”). Each streetlight is tracked separately within the GIS, and as changes are made to the each streetlight in the GIS, these changes are reflected in the monthly bill to the municipality. Both Port Hope and Gravenhurst submitted a final report of all conversions, which lead to a one-time persisting bill reduction.  However, Pickering submitted bi-weekly reports of the changes to Veridian, so Veridian was able to update the GIS as the reports were received, leading to cumulative monthly billing reductions for the duration of the project.</w:t>
      </w:r>
    </w:p>
    <w:p w14:paraId="2FA20C78" w14:textId="77777777" w:rsidR="00EF7D6C" w:rsidRDefault="00EF7D6C" w:rsidP="00EF7D6C">
      <w:pPr>
        <w:pStyle w:val="ListParagraph"/>
        <w:rPr>
          <w:rFonts w:ascii="Arial" w:hAnsi="Arial" w:cs="Arial"/>
          <w:sz w:val="24"/>
          <w:szCs w:val="24"/>
        </w:rPr>
      </w:pPr>
    </w:p>
    <w:p w14:paraId="76C527D7" w14:textId="77777777" w:rsidR="00EF7D6C" w:rsidRPr="009045BA" w:rsidRDefault="00EF7D6C" w:rsidP="00EF7D6C">
      <w:pPr>
        <w:pStyle w:val="NoSpacing"/>
        <w:ind w:left="720"/>
        <w:rPr>
          <w:rFonts w:ascii="Arial" w:hAnsi="Arial" w:cs="Arial"/>
          <w:sz w:val="24"/>
          <w:szCs w:val="24"/>
        </w:rPr>
      </w:pPr>
      <w:r>
        <w:rPr>
          <w:rFonts w:ascii="Arial" w:hAnsi="Arial" w:cs="Arial"/>
          <w:sz w:val="24"/>
          <w:szCs w:val="24"/>
        </w:rPr>
        <w:t xml:space="preserve">Veridian has included an excel </w:t>
      </w:r>
      <w:r w:rsidRPr="005D6362">
        <w:rPr>
          <w:rFonts w:ascii="Arial" w:hAnsi="Arial" w:cs="Arial"/>
          <w:sz w:val="24"/>
          <w:szCs w:val="24"/>
        </w:rPr>
        <w:t xml:space="preserve">file </w:t>
      </w:r>
      <w:r w:rsidR="005D6362">
        <w:rPr>
          <w:rFonts w:ascii="Arial" w:hAnsi="Arial" w:cs="Arial"/>
          <w:sz w:val="24"/>
          <w:szCs w:val="24"/>
        </w:rPr>
        <w:t>(attachment C</w:t>
      </w:r>
      <w:r w:rsidRPr="005D6362">
        <w:rPr>
          <w:rFonts w:ascii="Arial" w:hAnsi="Arial" w:cs="Arial"/>
          <w:sz w:val="24"/>
          <w:szCs w:val="24"/>
        </w:rPr>
        <w:t>)</w:t>
      </w:r>
      <w:r>
        <w:rPr>
          <w:rFonts w:ascii="Arial" w:hAnsi="Arial" w:cs="Arial"/>
          <w:sz w:val="24"/>
          <w:szCs w:val="24"/>
        </w:rPr>
        <w:t xml:space="preserve"> showing how the monthly streetlighting</w:t>
      </w:r>
      <w:bookmarkStart w:id="0" w:name="_GoBack"/>
      <w:bookmarkEnd w:id="0"/>
      <w:r>
        <w:rPr>
          <w:rFonts w:ascii="Arial" w:hAnsi="Arial" w:cs="Arial"/>
          <w:sz w:val="24"/>
          <w:szCs w:val="24"/>
        </w:rPr>
        <w:t xml:space="preserve"> bills for each municipality were calculated, and how they changed as a result of the retrofit savings being claimed.</w:t>
      </w:r>
    </w:p>
    <w:p w14:paraId="0496518E" w14:textId="77777777" w:rsidR="00EF7D6C" w:rsidRPr="009772A8" w:rsidRDefault="00EF7D6C" w:rsidP="00EF7D6C">
      <w:pPr>
        <w:pStyle w:val="NoSpacing"/>
        <w:ind w:left="360"/>
        <w:rPr>
          <w:rFonts w:ascii="Arial" w:hAnsi="Arial" w:cs="Arial"/>
          <w:sz w:val="24"/>
          <w:szCs w:val="24"/>
        </w:rPr>
      </w:pPr>
    </w:p>
    <w:p w14:paraId="15C35E2D" w14:textId="77777777" w:rsidR="00EF7D6C" w:rsidRPr="009772A8" w:rsidRDefault="00EF7D6C" w:rsidP="00EF7D6C">
      <w:pPr>
        <w:pStyle w:val="NoSpacing"/>
        <w:ind w:left="720"/>
        <w:rPr>
          <w:rFonts w:ascii="Arial" w:hAnsi="Arial" w:cs="Arial"/>
          <w:sz w:val="24"/>
          <w:szCs w:val="24"/>
          <w:u w:val="single"/>
        </w:rPr>
      </w:pPr>
    </w:p>
    <w:p w14:paraId="0300908F" w14:textId="77777777" w:rsidR="00EF7D6C" w:rsidRDefault="00EF7D6C" w:rsidP="00EF7D6C">
      <w:pPr>
        <w:pStyle w:val="NoSpacing"/>
        <w:numPr>
          <w:ilvl w:val="0"/>
          <w:numId w:val="33"/>
        </w:numPr>
        <w:rPr>
          <w:rFonts w:ascii="Arial" w:hAnsi="Arial" w:cs="Arial"/>
          <w:sz w:val="24"/>
          <w:szCs w:val="24"/>
        </w:rPr>
      </w:pPr>
      <w:r w:rsidRPr="009772A8">
        <w:rPr>
          <w:rFonts w:ascii="Arial" w:hAnsi="Arial" w:cs="Arial"/>
          <w:sz w:val="24"/>
          <w:szCs w:val="24"/>
        </w:rPr>
        <w:t>Veridian</w:t>
      </w:r>
      <w:r w:rsidRPr="00E03F6E">
        <w:rPr>
          <w:rFonts w:ascii="Arial" w:hAnsi="Arial" w:cs="Arial"/>
          <w:sz w:val="24"/>
          <w:szCs w:val="24"/>
        </w:rPr>
        <w:t xml:space="preserve"> </w:t>
      </w:r>
      <w:r>
        <w:rPr>
          <w:rFonts w:ascii="Arial" w:hAnsi="Arial" w:cs="Arial"/>
          <w:sz w:val="24"/>
          <w:szCs w:val="24"/>
        </w:rPr>
        <w:t>confirms that it received reports from the municipalities that confirm the number of lightbulbs replaced. As previously mentioned, Pickering submitted bi-weekly reports to Veridian as their streetlights were retrofitted; Port Hope and Gravenhurst submitted a final report when the streetlight conversion was completed.</w:t>
      </w:r>
    </w:p>
    <w:p w14:paraId="47B677DE" w14:textId="77777777" w:rsidR="00EF7D6C" w:rsidRDefault="00EF7D6C" w:rsidP="00EF7D6C">
      <w:pPr>
        <w:pStyle w:val="NoSpacing"/>
        <w:ind w:left="720"/>
        <w:rPr>
          <w:rFonts w:ascii="Arial" w:hAnsi="Arial" w:cs="Arial"/>
          <w:sz w:val="24"/>
          <w:szCs w:val="24"/>
        </w:rPr>
      </w:pPr>
    </w:p>
    <w:p w14:paraId="3E216926" w14:textId="77777777" w:rsidR="00EF7D6C" w:rsidRDefault="00EF7D6C" w:rsidP="00EF7D6C">
      <w:pPr>
        <w:pStyle w:val="NoSpacing"/>
        <w:numPr>
          <w:ilvl w:val="0"/>
          <w:numId w:val="33"/>
        </w:numPr>
        <w:rPr>
          <w:rFonts w:ascii="Arial" w:hAnsi="Arial" w:cs="Arial"/>
          <w:sz w:val="24"/>
          <w:szCs w:val="24"/>
        </w:rPr>
      </w:pPr>
      <w:r w:rsidRPr="00AE18D6">
        <w:rPr>
          <w:rFonts w:ascii="Arial" w:hAnsi="Arial" w:cs="Arial"/>
          <w:sz w:val="24"/>
          <w:szCs w:val="24"/>
        </w:rPr>
        <w:t xml:space="preserve">None of the streetlight savings claimed are from any new, incremental, non-replacement streetlight installations. </w:t>
      </w:r>
    </w:p>
    <w:p w14:paraId="22CBBE0F" w14:textId="77777777" w:rsidR="00EF7D6C" w:rsidRPr="00E03F6E" w:rsidRDefault="00EF7D6C" w:rsidP="00EF7D6C">
      <w:pPr>
        <w:pStyle w:val="NoSpacing"/>
        <w:ind w:left="720"/>
        <w:rPr>
          <w:rFonts w:ascii="Arial" w:hAnsi="Arial" w:cs="Arial"/>
          <w:sz w:val="24"/>
          <w:szCs w:val="24"/>
        </w:rPr>
      </w:pPr>
    </w:p>
    <w:p w14:paraId="7D470476" w14:textId="77777777" w:rsidR="00EF7D6C" w:rsidRPr="00E40B84" w:rsidRDefault="00EF7D6C" w:rsidP="00EF7D6C">
      <w:pPr>
        <w:pStyle w:val="NoSpacing"/>
        <w:numPr>
          <w:ilvl w:val="0"/>
          <w:numId w:val="33"/>
        </w:numPr>
        <w:rPr>
          <w:rFonts w:ascii="Arial" w:hAnsi="Arial" w:cs="Arial"/>
          <w:sz w:val="24"/>
          <w:szCs w:val="24"/>
          <w:u w:val="single"/>
        </w:rPr>
      </w:pPr>
      <w:r>
        <w:rPr>
          <w:rFonts w:ascii="Arial" w:hAnsi="Arial" w:cs="Arial"/>
          <w:sz w:val="24"/>
          <w:szCs w:val="24"/>
        </w:rPr>
        <w:lastRenderedPageBreak/>
        <w:t>LED streetlights have an anticipated lifespan of 10-15 years. IESO reports indicate 100% persistence for streetlighting project energy savings for 10 years after the initial year (total 11 years). Thus the savings from the 2014 program in Port Hope are expected to persist at 100% from 2015 through 2017 (and beyond). In the case of Gravenhurst, billed amounts were adjusted in September 2016, so there are no savings claimed for 2015, and only 4 months of savings are claimed for 2016, but 12 months for 2017.</w:t>
      </w:r>
    </w:p>
    <w:p w14:paraId="288319DB" w14:textId="77777777" w:rsidR="00EF7D6C" w:rsidRPr="00E24A53" w:rsidRDefault="00EF7D6C" w:rsidP="00EF7D6C">
      <w:pPr>
        <w:pStyle w:val="NoSpacing"/>
        <w:ind w:left="720"/>
        <w:rPr>
          <w:rFonts w:ascii="Arial" w:hAnsi="Arial" w:cs="Arial"/>
          <w:sz w:val="24"/>
          <w:szCs w:val="24"/>
          <w:u w:val="single"/>
        </w:rPr>
      </w:pPr>
    </w:p>
    <w:p w14:paraId="4883AB1E" w14:textId="77777777" w:rsidR="00EF7D6C" w:rsidRPr="00E24A53" w:rsidRDefault="00EF7D6C" w:rsidP="00EF7D6C">
      <w:pPr>
        <w:pStyle w:val="NoSpacing"/>
        <w:numPr>
          <w:ilvl w:val="0"/>
          <w:numId w:val="33"/>
        </w:numPr>
        <w:rPr>
          <w:rFonts w:ascii="Arial" w:hAnsi="Arial" w:cs="Arial"/>
          <w:sz w:val="24"/>
          <w:szCs w:val="24"/>
          <w:u w:val="single"/>
        </w:rPr>
      </w:pPr>
      <w:r>
        <w:rPr>
          <w:rFonts w:ascii="Arial" w:hAnsi="Arial" w:cs="Arial"/>
          <w:sz w:val="24"/>
          <w:szCs w:val="24"/>
        </w:rPr>
        <w:t xml:space="preserve">The premise of the question is incorrect. CDM savings </w:t>
      </w:r>
      <w:r w:rsidRPr="004B19FE">
        <w:rPr>
          <w:rFonts w:ascii="Arial" w:hAnsi="Arial" w:cs="Arial"/>
          <w:i/>
          <w:sz w:val="24"/>
          <w:szCs w:val="24"/>
        </w:rPr>
        <w:t>are</w:t>
      </w:r>
      <w:r>
        <w:rPr>
          <w:rFonts w:ascii="Arial" w:hAnsi="Arial" w:cs="Arial"/>
          <w:sz w:val="24"/>
          <w:szCs w:val="24"/>
        </w:rPr>
        <w:t xml:space="preserve"> claimed but may be underestimated because of natural growth. The impact on bills of the streetlighting projects is calculated by comparing the bill in month n+1 to month n. For some months for those projects, bills were adjusted to account for natural growth </w:t>
      </w:r>
      <w:r w:rsidRPr="001B396E">
        <w:rPr>
          <w:rFonts w:ascii="Arial" w:hAnsi="Arial" w:cs="Arial"/>
          <w:i/>
          <w:sz w:val="24"/>
          <w:szCs w:val="24"/>
        </w:rPr>
        <w:t>and</w:t>
      </w:r>
      <w:r>
        <w:rPr>
          <w:rFonts w:ascii="Arial" w:hAnsi="Arial" w:cs="Arial"/>
          <w:sz w:val="24"/>
          <w:szCs w:val="24"/>
        </w:rPr>
        <w:t xml:space="preserve"> CDM. Natural growth increases the load to be billed for, CDM decreases the load to be billed for. So the bill in month n+1 where there was an adjustment would be:</w:t>
      </w:r>
    </w:p>
    <w:p w14:paraId="7E487F74" w14:textId="77777777" w:rsidR="00EF7D6C" w:rsidRPr="00D45C33" w:rsidRDefault="00C75D10" w:rsidP="00EF7D6C">
      <w:pPr>
        <w:pStyle w:val="NoSpacing"/>
        <w:ind w:left="720"/>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B</m:t>
              </m:r>
            </m:e>
            <m:sub>
              <m:r>
                <w:rPr>
                  <w:rFonts w:ascii="Cambria Math" w:hAnsi="Cambria Math" w:cs="Arial"/>
                  <w:sz w:val="24"/>
                  <w:szCs w:val="24"/>
                </w:rPr>
                <m:t>n+1</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B</m:t>
              </m:r>
            </m:e>
            <m:sub>
              <m:r>
                <w:rPr>
                  <w:rFonts w:ascii="Cambria Math" w:hAnsi="Cambria Math" w:cs="Arial"/>
                  <w:sz w:val="24"/>
                  <w:szCs w:val="24"/>
                </w:rPr>
                <m:t>n</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ng</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CDM</m:t>
              </m:r>
            </m:sub>
          </m:sSub>
        </m:oMath>
      </m:oMathPara>
    </w:p>
    <w:p w14:paraId="3E4E7203" w14:textId="77777777" w:rsidR="00EF7D6C" w:rsidRDefault="00EF7D6C" w:rsidP="00EF7D6C">
      <w:pPr>
        <w:pStyle w:val="NoSpacing"/>
        <w:ind w:left="720"/>
        <w:rPr>
          <w:rFonts w:ascii="Arial" w:hAnsi="Arial" w:cs="Arial"/>
          <w:sz w:val="24"/>
          <w:szCs w:val="24"/>
          <w:u w:val="single"/>
        </w:rPr>
      </w:pPr>
    </w:p>
    <w:p w14:paraId="6278B414" w14:textId="77777777" w:rsidR="00EF7D6C" w:rsidRDefault="00EF7D6C" w:rsidP="00EF7D6C">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Where:</w:t>
      </w:r>
      <w:r>
        <w:rPr>
          <w:rFonts w:ascii="Arial" w:hAnsi="Arial" w:cs="Arial"/>
          <w:sz w:val="24"/>
          <w:szCs w:val="24"/>
        </w:rPr>
        <w:tab/>
        <w:t>B</w:t>
      </w:r>
      <w:r w:rsidRPr="00E24A53">
        <w:rPr>
          <w:rFonts w:ascii="Arial" w:hAnsi="Arial" w:cs="Arial"/>
          <w:sz w:val="24"/>
          <w:szCs w:val="24"/>
          <w:vertAlign w:val="subscript"/>
        </w:rPr>
        <w:t>n+1</w:t>
      </w:r>
      <w:r>
        <w:rPr>
          <w:rFonts w:ascii="Arial" w:hAnsi="Arial" w:cs="Arial"/>
          <w:sz w:val="24"/>
          <w:szCs w:val="24"/>
        </w:rPr>
        <w:t xml:space="preserve"> is the billed kW in month n+1</w:t>
      </w:r>
    </w:p>
    <w:p w14:paraId="4BA15F0C" w14:textId="77777777" w:rsidR="00EF7D6C" w:rsidRDefault="00EF7D6C" w:rsidP="00EF7D6C">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w:t>
      </w:r>
      <w:r w:rsidRPr="00BA7E19">
        <w:rPr>
          <w:rFonts w:ascii="Arial" w:hAnsi="Arial" w:cs="Arial"/>
          <w:sz w:val="24"/>
          <w:szCs w:val="24"/>
          <w:vertAlign w:val="subscript"/>
        </w:rPr>
        <w:t>n</w:t>
      </w:r>
      <w:r>
        <w:rPr>
          <w:rFonts w:ascii="Arial" w:hAnsi="Arial" w:cs="Arial"/>
          <w:sz w:val="24"/>
          <w:szCs w:val="24"/>
        </w:rPr>
        <w:t xml:space="preserve"> is the billed kW in month n (the previous month)</w:t>
      </w:r>
    </w:p>
    <w:p w14:paraId="08C82BE6" w14:textId="77777777" w:rsidR="00EF7D6C" w:rsidRDefault="00EF7D6C" w:rsidP="00EF7D6C">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w:t>
      </w:r>
      <w:r w:rsidRPr="00E24A53">
        <w:rPr>
          <w:rFonts w:ascii="Arial" w:hAnsi="Arial" w:cs="Arial"/>
          <w:sz w:val="24"/>
          <w:szCs w:val="24"/>
          <w:vertAlign w:val="subscript"/>
        </w:rPr>
        <w:t>ng</w:t>
      </w:r>
      <w:r>
        <w:rPr>
          <w:rFonts w:ascii="Arial" w:hAnsi="Arial" w:cs="Arial"/>
          <w:sz w:val="24"/>
          <w:szCs w:val="24"/>
        </w:rPr>
        <w:t xml:space="preserve"> is the adjustment for natural growth, and</w:t>
      </w:r>
    </w:p>
    <w:p w14:paraId="0248D68C" w14:textId="77777777" w:rsidR="00EF7D6C" w:rsidRPr="00E24A53" w:rsidRDefault="00EF7D6C" w:rsidP="00EF7D6C">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w:t>
      </w:r>
      <w:r w:rsidRPr="00E24A53">
        <w:rPr>
          <w:rFonts w:ascii="Arial" w:hAnsi="Arial" w:cs="Arial"/>
          <w:sz w:val="24"/>
          <w:szCs w:val="24"/>
          <w:vertAlign w:val="subscript"/>
        </w:rPr>
        <w:t>CDM</w:t>
      </w:r>
      <w:r>
        <w:rPr>
          <w:rFonts w:ascii="Arial" w:hAnsi="Arial" w:cs="Arial"/>
          <w:sz w:val="24"/>
          <w:szCs w:val="24"/>
        </w:rPr>
        <w:t xml:space="preserve"> is the adjustment for CDM</w:t>
      </w:r>
    </w:p>
    <w:p w14:paraId="3F5B70FB" w14:textId="77777777" w:rsidR="00EF7D6C" w:rsidRDefault="00EF7D6C" w:rsidP="00EF7D6C">
      <w:pPr>
        <w:pStyle w:val="NoSpacing"/>
        <w:rPr>
          <w:rFonts w:ascii="Arial" w:hAnsi="Arial" w:cs="Arial"/>
          <w:sz w:val="24"/>
          <w:szCs w:val="24"/>
          <w:u w:val="single"/>
        </w:rPr>
      </w:pPr>
    </w:p>
    <w:p w14:paraId="320A28E6" w14:textId="77777777" w:rsidR="00EF7D6C" w:rsidRPr="001A59D6" w:rsidRDefault="00EF7D6C" w:rsidP="00EF7D6C">
      <w:pPr>
        <w:pStyle w:val="NoSpacing"/>
        <w:ind w:left="720"/>
        <w:rPr>
          <w:rFonts w:ascii="Arial" w:hAnsi="Arial" w:cs="Arial"/>
          <w:sz w:val="24"/>
          <w:szCs w:val="24"/>
        </w:rPr>
      </w:pPr>
      <w:r>
        <w:rPr>
          <w:rFonts w:ascii="Arial" w:hAnsi="Arial" w:cs="Arial"/>
          <w:sz w:val="24"/>
          <w:szCs w:val="24"/>
        </w:rPr>
        <w:t>We were unable to distinguish between A</w:t>
      </w:r>
      <w:r w:rsidRPr="001A59D6">
        <w:rPr>
          <w:rFonts w:ascii="Arial" w:hAnsi="Arial" w:cs="Arial"/>
          <w:sz w:val="24"/>
          <w:szCs w:val="24"/>
          <w:vertAlign w:val="subscript"/>
        </w:rPr>
        <w:t>ng</w:t>
      </w:r>
      <w:r>
        <w:rPr>
          <w:rFonts w:ascii="Arial" w:hAnsi="Arial" w:cs="Arial"/>
          <w:sz w:val="24"/>
          <w:szCs w:val="24"/>
        </w:rPr>
        <w:t xml:space="preserve"> and A</w:t>
      </w:r>
      <w:r w:rsidRPr="001A59D6">
        <w:rPr>
          <w:rFonts w:ascii="Arial" w:hAnsi="Arial" w:cs="Arial"/>
          <w:sz w:val="24"/>
          <w:szCs w:val="24"/>
          <w:vertAlign w:val="subscript"/>
        </w:rPr>
        <w:t>CDM</w:t>
      </w:r>
      <w:r>
        <w:rPr>
          <w:rFonts w:ascii="Arial" w:hAnsi="Arial" w:cs="Arial"/>
          <w:sz w:val="24"/>
          <w:szCs w:val="24"/>
        </w:rPr>
        <w:t xml:space="preserve"> so assumed A</w:t>
      </w:r>
      <w:r w:rsidRPr="001A59D6">
        <w:rPr>
          <w:rFonts w:ascii="Arial" w:hAnsi="Arial" w:cs="Arial"/>
          <w:sz w:val="24"/>
          <w:szCs w:val="24"/>
          <w:vertAlign w:val="subscript"/>
        </w:rPr>
        <w:t>ng</w:t>
      </w:r>
      <w:r>
        <w:rPr>
          <w:rFonts w:ascii="Arial" w:hAnsi="Arial" w:cs="Arial"/>
          <w:sz w:val="24"/>
          <w:szCs w:val="24"/>
        </w:rPr>
        <w:t xml:space="preserve"> was zero. This underestimates the amount of CDM by whatever A</w:t>
      </w:r>
      <w:r w:rsidRPr="00BF7F7D">
        <w:rPr>
          <w:rFonts w:ascii="Arial" w:hAnsi="Arial" w:cs="Arial"/>
          <w:sz w:val="24"/>
          <w:szCs w:val="24"/>
          <w:vertAlign w:val="subscript"/>
        </w:rPr>
        <w:t>ng</w:t>
      </w:r>
      <w:r>
        <w:rPr>
          <w:rFonts w:ascii="Arial" w:hAnsi="Arial" w:cs="Arial"/>
          <w:sz w:val="24"/>
          <w:szCs w:val="24"/>
        </w:rPr>
        <w:t xml:space="preserve"> was.</w:t>
      </w:r>
    </w:p>
    <w:p w14:paraId="4ACFD69F" w14:textId="77777777" w:rsidR="00EF7D6C" w:rsidRDefault="00EF7D6C" w:rsidP="00EF7D6C">
      <w:pPr>
        <w:pStyle w:val="Heading1"/>
        <w:rPr>
          <w:rFonts w:cs="Arial"/>
          <w:b/>
        </w:rPr>
      </w:pPr>
      <w:r w:rsidRPr="00C5666D">
        <w:rPr>
          <w:rFonts w:cs="Arial"/>
          <w:b/>
        </w:rPr>
        <w:t>Staff-</w:t>
      </w:r>
      <w:r>
        <w:rPr>
          <w:rFonts w:cs="Arial"/>
          <w:b/>
        </w:rPr>
        <w:t>11</w:t>
      </w:r>
    </w:p>
    <w:p w14:paraId="22696E27" w14:textId="77777777" w:rsidR="00EF7D6C" w:rsidRPr="00C5666D" w:rsidRDefault="00EF7D6C" w:rsidP="00EF7D6C">
      <w:pPr>
        <w:rPr>
          <w:rFonts w:ascii="Arial" w:hAnsi="Arial" w:cs="Arial"/>
          <w:b/>
          <w:sz w:val="24"/>
          <w:szCs w:val="24"/>
        </w:rPr>
      </w:pPr>
      <w:r w:rsidRPr="00C5666D">
        <w:rPr>
          <w:rFonts w:ascii="Arial" w:hAnsi="Arial" w:cs="Arial"/>
          <w:b/>
          <w:sz w:val="24"/>
          <w:szCs w:val="24"/>
        </w:rPr>
        <w:t>Ref:</w:t>
      </w:r>
      <w:r w:rsidRPr="00C5666D">
        <w:rPr>
          <w:rFonts w:ascii="Arial" w:hAnsi="Arial" w:cs="Arial"/>
          <w:b/>
          <w:sz w:val="24"/>
          <w:szCs w:val="24"/>
        </w:rPr>
        <w:tab/>
        <w:t>LRAMVA workform</w:t>
      </w:r>
    </w:p>
    <w:p w14:paraId="41B38038" w14:textId="77777777" w:rsidR="00EF7D6C" w:rsidRPr="00C5666D" w:rsidRDefault="00EF7D6C" w:rsidP="00EF7D6C">
      <w:pPr>
        <w:rPr>
          <w:u w:val="single"/>
        </w:rPr>
      </w:pPr>
      <w:r w:rsidRPr="00C5666D">
        <w:rPr>
          <w:rFonts w:ascii="Arial" w:hAnsi="Arial" w:cs="Arial"/>
          <w:sz w:val="24"/>
          <w:szCs w:val="24"/>
          <w:u w:val="single"/>
        </w:rPr>
        <w:t xml:space="preserve">Questions </w:t>
      </w:r>
    </w:p>
    <w:p w14:paraId="1E4ACB13" w14:textId="77777777" w:rsidR="00EF7D6C" w:rsidRPr="00C5666D" w:rsidRDefault="00EF7D6C" w:rsidP="00EF7D6C">
      <w:pPr>
        <w:pStyle w:val="ListParagraph"/>
        <w:numPr>
          <w:ilvl w:val="0"/>
          <w:numId w:val="12"/>
        </w:numPr>
        <w:rPr>
          <w:rFonts w:ascii="Arial" w:hAnsi="Arial" w:cs="Arial"/>
          <w:sz w:val="24"/>
          <w:szCs w:val="24"/>
        </w:rPr>
      </w:pPr>
      <w:r w:rsidRPr="00C5666D">
        <w:rPr>
          <w:rFonts w:ascii="Arial" w:hAnsi="Arial" w:cs="Arial"/>
          <w:sz w:val="24"/>
          <w:szCs w:val="24"/>
        </w:rPr>
        <w:t xml:space="preserve">If Veridian </w:t>
      </w:r>
      <w:r>
        <w:rPr>
          <w:rFonts w:ascii="Arial" w:hAnsi="Arial" w:cs="Arial"/>
          <w:sz w:val="24"/>
          <w:szCs w:val="24"/>
        </w:rPr>
        <w:t>Connections</w:t>
      </w:r>
      <w:r w:rsidRPr="00C5666D">
        <w:rPr>
          <w:rFonts w:ascii="Arial" w:hAnsi="Arial" w:cs="Arial"/>
          <w:sz w:val="24"/>
          <w:szCs w:val="24"/>
        </w:rPr>
        <w:t xml:space="preserve"> made any changes to the LRAMVA work form as a result of its responses to these questions, please file an updated LRAMVA work form.</w:t>
      </w:r>
    </w:p>
    <w:p w14:paraId="365D4C81" w14:textId="77777777" w:rsidR="00EF7D6C" w:rsidRDefault="00EF7D6C" w:rsidP="00EF7D6C">
      <w:pPr>
        <w:pStyle w:val="ListParagraph"/>
        <w:rPr>
          <w:rFonts w:ascii="Arial" w:hAnsi="Arial" w:cs="Arial"/>
          <w:sz w:val="24"/>
          <w:szCs w:val="24"/>
        </w:rPr>
      </w:pPr>
    </w:p>
    <w:p w14:paraId="344CB7F9" w14:textId="77777777" w:rsidR="00EF7D6C" w:rsidRPr="00C5666D" w:rsidRDefault="00EF7D6C" w:rsidP="00EF7D6C">
      <w:pPr>
        <w:pStyle w:val="ListParagraph"/>
        <w:numPr>
          <w:ilvl w:val="0"/>
          <w:numId w:val="12"/>
        </w:numPr>
        <w:rPr>
          <w:rFonts w:ascii="Arial" w:hAnsi="Arial" w:cs="Arial"/>
          <w:sz w:val="24"/>
          <w:szCs w:val="24"/>
        </w:rPr>
      </w:pPr>
      <w:r w:rsidRPr="00C5666D">
        <w:rPr>
          <w:rFonts w:ascii="Arial" w:hAnsi="Arial" w:cs="Arial"/>
          <w:sz w:val="24"/>
          <w:szCs w:val="24"/>
        </w:rPr>
        <w:lastRenderedPageBreak/>
        <w:t>Please confirm any changes to the LRAMVA workform in response to these LRAMVA questions, in “Table A-2.  Updates to LRAMVA Disposition (Tab 2)”.</w:t>
      </w:r>
    </w:p>
    <w:p w14:paraId="7E3A8D64" w14:textId="77777777" w:rsidR="00EF7D6C" w:rsidRDefault="00EF7D6C" w:rsidP="00EF7D6C">
      <w:pPr>
        <w:rPr>
          <w:rFonts w:ascii="Arial" w:hAnsi="Arial" w:cs="Arial"/>
          <w:sz w:val="24"/>
          <w:szCs w:val="24"/>
          <w:u w:val="single"/>
        </w:rPr>
      </w:pPr>
      <w:r w:rsidRPr="001A59D6">
        <w:rPr>
          <w:rFonts w:ascii="Arial" w:hAnsi="Arial" w:cs="Arial"/>
          <w:sz w:val="24"/>
          <w:szCs w:val="24"/>
          <w:u w:val="single"/>
        </w:rPr>
        <w:t>Answers</w:t>
      </w:r>
    </w:p>
    <w:p w14:paraId="274F2F8A" w14:textId="77777777" w:rsidR="00EF7D6C" w:rsidRDefault="00EF7D6C" w:rsidP="00EF7D6C">
      <w:pPr>
        <w:pStyle w:val="ListParagraph"/>
        <w:numPr>
          <w:ilvl w:val="0"/>
          <w:numId w:val="34"/>
        </w:numPr>
        <w:rPr>
          <w:rFonts w:ascii="Arial" w:hAnsi="Arial" w:cs="Arial"/>
          <w:sz w:val="24"/>
          <w:szCs w:val="24"/>
        </w:rPr>
      </w:pPr>
      <w:r>
        <w:rPr>
          <w:rFonts w:ascii="Arial" w:hAnsi="Arial" w:cs="Arial"/>
          <w:sz w:val="24"/>
          <w:szCs w:val="24"/>
        </w:rPr>
        <w:t xml:space="preserve">As requested in Question in Staff 8c, we have included the estimated allocation of the original threshold calculation on Tab 2 of the workform, and have attached the updated workform. There are no changes to the calculation of the LRAMVA as a result of presenting this (unused) allocation. In double checking the threshold calculation, it was noted that a value from the settlement agreement for the manual adjustment for the Intermediate class had been improperly transcribed. This was corrected and does have an impact on the LRAMVA claim. A revised LRAMVA workform has been included as </w:t>
      </w:r>
      <w:r w:rsidR="005D6362">
        <w:rPr>
          <w:rFonts w:ascii="Arial" w:hAnsi="Arial" w:cs="Arial"/>
          <w:sz w:val="24"/>
          <w:szCs w:val="24"/>
        </w:rPr>
        <w:t>Attachment D.</w:t>
      </w:r>
    </w:p>
    <w:p w14:paraId="23DF7E80" w14:textId="77777777" w:rsidR="00EF7D6C" w:rsidRDefault="00EF7D6C" w:rsidP="00EF7D6C">
      <w:pPr>
        <w:pStyle w:val="ListParagraph"/>
        <w:rPr>
          <w:rFonts w:ascii="Arial" w:hAnsi="Arial" w:cs="Arial"/>
          <w:sz w:val="24"/>
          <w:szCs w:val="24"/>
        </w:rPr>
      </w:pPr>
    </w:p>
    <w:p w14:paraId="5004C546" w14:textId="77777777" w:rsidR="00EF7D6C" w:rsidRPr="001A59D6" w:rsidRDefault="00EF7D6C" w:rsidP="00EF7D6C">
      <w:pPr>
        <w:pStyle w:val="ListParagraph"/>
        <w:numPr>
          <w:ilvl w:val="0"/>
          <w:numId w:val="34"/>
        </w:numPr>
        <w:rPr>
          <w:rFonts w:ascii="Arial" w:hAnsi="Arial" w:cs="Arial"/>
          <w:sz w:val="24"/>
          <w:szCs w:val="24"/>
        </w:rPr>
      </w:pPr>
      <w:r>
        <w:rPr>
          <w:rFonts w:ascii="Arial" w:hAnsi="Arial" w:cs="Arial"/>
          <w:sz w:val="24"/>
          <w:szCs w:val="24"/>
        </w:rPr>
        <w:t>The changes mentioned in the answer Staff-11a are referenced in the list of changes.</w:t>
      </w:r>
    </w:p>
    <w:p w14:paraId="6210E0ED" w14:textId="77777777" w:rsidR="00EF7D6C" w:rsidRPr="001A59D6" w:rsidRDefault="00EF7D6C" w:rsidP="00EF7D6C">
      <w:pPr>
        <w:rPr>
          <w:rFonts w:ascii="Arial" w:hAnsi="Arial" w:cs="Arial"/>
          <w:sz w:val="24"/>
          <w:szCs w:val="24"/>
        </w:rPr>
      </w:pPr>
    </w:p>
    <w:p w14:paraId="3C91BD6A" w14:textId="77777777" w:rsidR="00907C3F" w:rsidRPr="00C5666D" w:rsidRDefault="00907C3F" w:rsidP="00E07413">
      <w:pPr>
        <w:spacing w:line="276" w:lineRule="auto"/>
        <w:rPr>
          <w:rFonts w:ascii="Arial" w:hAnsi="Arial" w:cs="Arial"/>
          <w:b/>
          <w:sz w:val="24"/>
          <w:szCs w:val="24"/>
        </w:rPr>
      </w:pPr>
    </w:p>
    <w:sectPr w:rsidR="00907C3F" w:rsidRPr="00C5666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5ADB6" w14:textId="77777777" w:rsidR="00BC5061" w:rsidRDefault="00BC5061" w:rsidP="00876423">
      <w:pPr>
        <w:spacing w:after="0" w:line="240" w:lineRule="auto"/>
      </w:pPr>
      <w:r>
        <w:separator/>
      </w:r>
    </w:p>
  </w:endnote>
  <w:endnote w:type="continuationSeparator" w:id="0">
    <w:p w14:paraId="741C2EB2" w14:textId="77777777" w:rsidR="00BC5061" w:rsidRDefault="00BC5061" w:rsidP="00876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431213"/>
      <w:docPartObj>
        <w:docPartGallery w:val="Page Numbers (Bottom of Page)"/>
        <w:docPartUnique/>
      </w:docPartObj>
    </w:sdtPr>
    <w:sdtEndPr/>
    <w:sdtContent>
      <w:sdt>
        <w:sdtPr>
          <w:id w:val="-1769616900"/>
          <w:docPartObj>
            <w:docPartGallery w:val="Page Numbers (Top of Page)"/>
            <w:docPartUnique/>
          </w:docPartObj>
        </w:sdtPr>
        <w:sdtEndPr/>
        <w:sdtContent>
          <w:p w14:paraId="77FE0061" w14:textId="77777777" w:rsidR="00876423" w:rsidRDefault="008764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5D10">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5D10">
              <w:rPr>
                <w:b/>
                <w:bCs/>
                <w:noProof/>
              </w:rPr>
              <w:t>13</w:t>
            </w:r>
            <w:r>
              <w:rPr>
                <w:b/>
                <w:bCs/>
                <w:sz w:val="24"/>
                <w:szCs w:val="24"/>
              </w:rPr>
              <w:fldChar w:fldCharType="end"/>
            </w:r>
          </w:p>
        </w:sdtContent>
      </w:sdt>
    </w:sdtContent>
  </w:sdt>
  <w:p w14:paraId="66616F10" w14:textId="77777777" w:rsidR="00876423" w:rsidRDefault="00876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49CAC" w14:textId="77777777" w:rsidR="00BC5061" w:rsidRDefault="00BC5061" w:rsidP="00876423">
      <w:pPr>
        <w:spacing w:after="0" w:line="240" w:lineRule="auto"/>
      </w:pPr>
      <w:r>
        <w:separator/>
      </w:r>
    </w:p>
  </w:footnote>
  <w:footnote w:type="continuationSeparator" w:id="0">
    <w:p w14:paraId="77645200" w14:textId="77777777" w:rsidR="00BC5061" w:rsidRDefault="00BC5061" w:rsidP="008764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752D"/>
    <w:multiLevelType w:val="hybridMultilevel"/>
    <w:tmpl w:val="14CC3CB4"/>
    <w:lvl w:ilvl="0" w:tplc="65585F96">
      <w:start w:val="3"/>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4C2A"/>
    <w:multiLevelType w:val="hybridMultilevel"/>
    <w:tmpl w:val="58F04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24C03"/>
    <w:multiLevelType w:val="hybridMultilevel"/>
    <w:tmpl w:val="AF46C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210892"/>
    <w:multiLevelType w:val="hybridMultilevel"/>
    <w:tmpl w:val="DEC6F1C8"/>
    <w:lvl w:ilvl="0" w:tplc="71D2E33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C751B"/>
    <w:multiLevelType w:val="hybridMultilevel"/>
    <w:tmpl w:val="60C870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91D33"/>
    <w:multiLevelType w:val="hybridMultilevel"/>
    <w:tmpl w:val="CBE219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F296F"/>
    <w:multiLevelType w:val="hybridMultilevel"/>
    <w:tmpl w:val="6F162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E57B2"/>
    <w:multiLevelType w:val="hybridMultilevel"/>
    <w:tmpl w:val="69F40BFE"/>
    <w:lvl w:ilvl="0" w:tplc="37CE4A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F14B6"/>
    <w:multiLevelType w:val="hybridMultilevel"/>
    <w:tmpl w:val="EB9EA512"/>
    <w:lvl w:ilvl="0" w:tplc="421A29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6A5A04"/>
    <w:multiLevelType w:val="hybridMultilevel"/>
    <w:tmpl w:val="50DC8CE2"/>
    <w:lvl w:ilvl="0" w:tplc="7EC024EE">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33AF2"/>
    <w:multiLevelType w:val="hybridMultilevel"/>
    <w:tmpl w:val="7AEE9A82"/>
    <w:lvl w:ilvl="0" w:tplc="59EE74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D228D"/>
    <w:multiLevelType w:val="hybridMultilevel"/>
    <w:tmpl w:val="CBA86E6E"/>
    <w:lvl w:ilvl="0" w:tplc="677466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D4F0C"/>
    <w:multiLevelType w:val="hybridMultilevel"/>
    <w:tmpl w:val="68CA95C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46E03"/>
    <w:multiLevelType w:val="hybridMultilevel"/>
    <w:tmpl w:val="5554E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103FC4"/>
    <w:multiLevelType w:val="hybridMultilevel"/>
    <w:tmpl w:val="60227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06CC3"/>
    <w:multiLevelType w:val="hybridMultilevel"/>
    <w:tmpl w:val="B2E0C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DD70EE"/>
    <w:multiLevelType w:val="hybridMultilevel"/>
    <w:tmpl w:val="6930F212"/>
    <w:lvl w:ilvl="0" w:tplc="7EC024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E29A3"/>
    <w:multiLevelType w:val="hybridMultilevel"/>
    <w:tmpl w:val="CF5ED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53554"/>
    <w:multiLevelType w:val="hybridMultilevel"/>
    <w:tmpl w:val="4392C7D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851015"/>
    <w:multiLevelType w:val="hybridMultilevel"/>
    <w:tmpl w:val="D49A968A"/>
    <w:lvl w:ilvl="0" w:tplc="2892B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C53A59"/>
    <w:multiLevelType w:val="hybridMultilevel"/>
    <w:tmpl w:val="D2EA10D0"/>
    <w:lvl w:ilvl="0" w:tplc="37CE4A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AB2730"/>
    <w:multiLevelType w:val="hybridMultilevel"/>
    <w:tmpl w:val="63D08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55F19"/>
    <w:multiLevelType w:val="hybridMultilevel"/>
    <w:tmpl w:val="E8A0F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7276B"/>
    <w:multiLevelType w:val="hybridMultilevel"/>
    <w:tmpl w:val="A16078AE"/>
    <w:lvl w:ilvl="0" w:tplc="FBACAC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AB7631"/>
    <w:multiLevelType w:val="hybridMultilevel"/>
    <w:tmpl w:val="7786C7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1471B"/>
    <w:multiLevelType w:val="hybridMultilevel"/>
    <w:tmpl w:val="B30206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C3140"/>
    <w:multiLevelType w:val="hybridMultilevel"/>
    <w:tmpl w:val="61509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7601B"/>
    <w:multiLevelType w:val="hybridMultilevel"/>
    <w:tmpl w:val="628887E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71539F"/>
    <w:multiLevelType w:val="hybridMultilevel"/>
    <w:tmpl w:val="8D22E75A"/>
    <w:lvl w:ilvl="0" w:tplc="F07E9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CC4A72"/>
    <w:multiLevelType w:val="hybridMultilevel"/>
    <w:tmpl w:val="8968C00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77584D"/>
    <w:multiLevelType w:val="hybridMultilevel"/>
    <w:tmpl w:val="989064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24BBB"/>
    <w:multiLevelType w:val="hybridMultilevel"/>
    <w:tmpl w:val="7786C7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251FCE"/>
    <w:multiLevelType w:val="hybridMultilevel"/>
    <w:tmpl w:val="011A7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C0570"/>
    <w:multiLevelType w:val="hybridMultilevel"/>
    <w:tmpl w:val="75D4C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57D48"/>
    <w:multiLevelType w:val="hybridMultilevel"/>
    <w:tmpl w:val="7786C7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5B52B9"/>
    <w:multiLevelType w:val="hybridMultilevel"/>
    <w:tmpl w:val="0C8C969A"/>
    <w:lvl w:ilvl="0" w:tplc="7EC024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9F1E6E"/>
    <w:multiLevelType w:val="hybridMultilevel"/>
    <w:tmpl w:val="05FE5DD0"/>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26"/>
  </w:num>
  <w:num w:numId="2">
    <w:abstractNumId w:val="36"/>
  </w:num>
  <w:num w:numId="3">
    <w:abstractNumId w:val="24"/>
  </w:num>
  <w:num w:numId="4">
    <w:abstractNumId w:val="8"/>
  </w:num>
  <w:num w:numId="5">
    <w:abstractNumId w:val="10"/>
  </w:num>
  <w:num w:numId="6">
    <w:abstractNumId w:val="23"/>
  </w:num>
  <w:num w:numId="7">
    <w:abstractNumId w:val="11"/>
  </w:num>
  <w:num w:numId="8">
    <w:abstractNumId w:val="34"/>
  </w:num>
  <w:num w:numId="9">
    <w:abstractNumId w:val="30"/>
  </w:num>
  <w:num w:numId="10">
    <w:abstractNumId w:val="17"/>
  </w:num>
  <w:num w:numId="11">
    <w:abstractNumId w:val="33"/>
  </w:num>
  <w:num w:numId="12">
    <w:abstractNumId w:val="14"/>
  </w:num>
  <w:num w:numId="13">
    <w:abstractNumId w:val="12"/>
  </w:num>
  <w:num w:numId="14">
    <w:abstractNumId w:val="29"/>
  </w:num>
  <w:num w:numId="15">
    <w:abstractNumId w:val="21"/>
  </w:num>
  <w:num w:numId="16">
    <w:abstractNumId w:val="5"/>
  </w:num>
  <w:num w:numId="17">
    <w:abstractNumId w:val="15"/>
  </w:num>
  <w:num w:numId="18">
    <w:abstractNumId w:val="19"/>
  </w:num>
  <w:num w:numId="19">
    <w:abstractNumId w:val="25"/>
  </w:num>
  <w:num w:numId="20">
    <w:abstractNumId w:val="28"/>
  </w:num>
  <w:num w:numId="21">
    <w:abstractNumId w:val="1"/>
  </w:num>
  <w:num w:numId="22">
    <w:abstractNumId w:val="31"/>
  </w:num>
  <w:num w:numId="23">
    <w:abstractNumId w:val="4"/>
  </w:num>
  <w:num w:numId="24">
    <w:abstractNumId w:val="13"/>
  </w:num>
  <w:num w:numId="25">
    <w:abstractNumId w:val="20"/>
  </w:num>
  <w:num w:numId="26">
    <w:abstractNumId w:val="7"/>
  </w:num>
  <w:num w:numId="27">
    <w:abstractNumId w:val="27"/>
  </w:num>
  <w:num w:numId="28">
    <w:abstractNumId w:val="32"/>
  </w:num>
  <w:num w:numId="29">
    <w:abstractNumId w:val="22"/>
  </w:num>
  <w:num w:numId="30">
    <w:abstractNumId w:val="6"/>
  </w:num>
  <w:num w:numId="31">
    <w:abstractNumId w:val="3"/>
  </w:num>
  <w:num w:numId="32">
    <w:abstractNumId w:val="35"/>
  </w:num>
  <w:num w:numId="33">
    <w:abstractNumId w:val="9"/>
  </w:num>
  <w:num w:numId="34">
    <w:abstractNumId w:val="16"/>
  </w:num>
  <w:num w:numId="35">
    <w:abstractNumId w:val="18"/>
  </w:num>
  <w:num w:numId="36">
    <w:abstractNumId w:val="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5F"/>
    <w:rsid w:val="00021573"/>
    <w:rsid w:val="0003085F"/>
    <w:rsid w:val="00047D8D"/>
    <w:rsid w:val="000566FF"/>
    <w:rsid w:val="0007405F"/>
    <w:rsid w:val="000A2287"/>
    <w:rsid w:val="000D4973"/>
    <w:rsid w:val="000F6A7A"/>
    <w:rsid w:val="00122D12"/>
    <w:rsid w:val="0016275D"/>
    <w:rsid w:val="00192DEE"/>
    <w:rsid w:val="001C2147"/>
    <w:rsid w:val="001F1C7A"/>
    <w:rsid w:val="00216885"/>
    <w:rsid w:val="0025174F"/>
    <w:rsid w:val="002616AB"/>
    <w:rsid w:val="00290293"/>
    <w:rsid w:val="002B6C0A"/>
    <w:rsid w:val="002F6156"/>
    <w:rsid w:val="00317FC8"/>
    <w:rsid w:val="003964AD"/>
    <w:rsid w:val="003B6FCC"/>
    <w:rsid w:val="003C2B02"/>
    <w:rsid w:val="003C2FF2"/>
    <w:rsid w:val="003F45CF"/>
    <w:rsid w:val="004763AC"/>
    <w:rsid w:val="004B3B81"/>
    <w:rsid w:val="004E59F1"/>
    <w:rsid w:val="00577A67"/>
    <w:rsid w:val="005A1A52"/>
    <w:rsid w:val="005B393C"/>
    <w:rsid w:val="005D6362"/>
    <w:rsid w:val="005E5AEA"/>
    <w:rsid w:val="006149E7"/>
    <w:rsid w:val="006266A7"/>
    <w:rsid w:val="006304CD"/>
    <w:rsid w:val="00643AF1"/>
    <w:rsid w:val="00726334"/>
    <w:rsid w:val="0075260C"/>
    <w:rsid w:val="00752CA2"/>
    <w:rsid w:val="00774F9F"/>
    <w:rsid w:val="00783040"/>
    <w:rsid w:val="007C4E1B"/>
    <w:rsid w:val="007D51C6"/>
    <w:rsid w:val="008505E2"/>
    <w:rsid w:val="00876423"/>
    <w:rsid w:val="00886305"/>
    <w:rsid w:val="00907C3F"/>
    <w:rsid w:val="00974D7F"/>
    <w:rsid w:val="0099109A"/>
    <w:rsid w:val="009B41E6"/>
    <w:rsid w:val="009D38E8"/>
    <w:rsid w:val="009E6396"/>
    <w:rsid w:val="009F5470"/>
    <w:rsid w:val="00A47001"/>
    <w:rsid w:val="00A57BCC"/>
    <w:rsid w:val="00A8447F"/>
    <w:rsid w:val="00A91755"/>
    <w:rsid w:val="00AA2FEA"/>
    <w:rsid w:val="00AC47B2"/>
    <w:rsid w:val="00B11207"/>
    <w:rsid w:val="00B1673C"/>
    <w:rsid w:val="00B25B17"/>
    <w:rsid w:val="00B2617D"/>
    <w:rsid w:val="00B27AC7"/>
    <w:rsid w:val="00B63483"/>
    <w:rsid w:val="00B6774C"/>
    <w:rsid w:val="00BB10A3"/>
    <w:rsid w:val="00BB23C2"/>
    <w:rsid w:val="00BC4D46"/>
    <w:rsid w:val="00BC5061"/>
    <w:rsid w:val="00BD46E2"/>
    <w:rsid w:val="00C330D5"/>
    <w:rsid w:val="00C41AA7"/>
    <w:rsid w:val="00C43610"/>
    <w:rsid w:val="00C5666D"/>
    <w:rsid w:val="00C75D10"/>
    <w:rsid w:val="00C946E0"/>
    <w:rsid w:val="00CA5F3D"/>
    <w:rsid w:val="00CA6857"/>
    <w:rsid w:val="00D132A3"/>
    <w:rsid w:val="00D219F1"/>
    <w:rsid w:val="00D824E6"/>
    <w:rsid w:val="00D83C58"/>
    <w:rsid w:val="00D8678E"/>
    <w:rsid w:val="00E04821"/>
    <w:rsid w:val="00E05939"/>
    <w:rsid w:val="00E0685A"/>
    <w:rsid w:val="00E07413"/>
    <w:rsid w:val="00E32F43"/>
    <w:rsid w:val="00E87ACF"/>
    <w:rsid w:val="00ED3FFE"/>
    <w:rsid w:val="00EF7D6C"/>
    <w:rsid w:val="00F509DE"/>
    <w:rsid w:val="00FB31CE"/>
    <w:rsid w:val="00FB4AA5"/>
    <w:rsid w:val="00FC6BD6"/>
    <w:rsid w:val="00FE5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2944"/>
  <w15:chartTrackingRefBased/>
  <w15:docId w15:val="{FCDA122A-30C4-4C7C-9AF5-1D2D7D0E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85F"/>
  </w:style>
  <w:style w:type="paragraph" w:styleId="Heading1">
    <w:name w:val="heading 1"/>
    <w:basedOn w:val="Normal"/>
    <w:next w:val="Normal"/>
    <w:link w:val="Heading1Char"/>
    <w:uiPriority w:val="9"/>
    <w:qFormat/>
    <w:rsid w:val="0003085F"/>
    <w:pPr>
      <w:keepNext/>
      <w:keepLines/>
      <w:spacing w:before="240" w:after="0"/>
      <w:outlineLvl w:val="0"/>
    </w:pPr>
    <w:rPr>
      <w:rFonts w:ascii="Arial" w:eastAsiaTheme="majorEastAsia" w:hAnsi="Arial"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85F"/>
    <w:rPr>
      <w:rFonts w:ascii="Arial" w:eastAsiaTheme="majorEastAsia" w:hAnsi="Arial" w:cstheme="majorBidi"/>
      <w:color w:val="2E74B5" w:themeColor="accent1" w:themeShade="BF"/>
      <w:sz w:val="24"/>
      <w:szCs w:val="24"/>
    </w:rPr>
  </w:style>
  <w:style w:type="paragraph" w:styleId="NoSpacing">
    <w:name w:val="No Spacing"/>
    <w:uiPriority w:val="1"/>
    <w:qFormat/>
    <w:rsid w:val="0003085F"/>
    <w:pPr>
      <w:spacing w:after="0" w:line="240" w:lineRule="auto"/>
    </w:pPr>
  </w:style>
  <w:style w:type="paragraph" w:styleId="ListParagraph">
    <w:name w:val="List Paragraph"/>
    <w:basedOn w:val="Normal"/>
    <w:uiPriority w:val="34"/>
    <w:qFormat/>
    <w:rsid w:val="0003085F"/>
    <w:pPr>
      <w:ind w:left="720"/>
      <w:contextualSpacing/>
    </w:pPr>
  </w:style>
  <w:style w:type="character" w:styleId="CommentReference">
    <w:name w:val="annotation reference"/>
    <w:basedOn w:val="DefaultParagraphFont"/>
    <w:uiPriority w:val="99"/>
    <w:semiHidden/>
    <w:unhideWhenUsed/>
    <w:rsid w:val="00317FC8"/>
    <w:rPr>
      <w:sz w:val="16"/>
      <w:szCs w:val="16"/>
    </w:rPr>
  </w:style>
  <w:style w:type="paragraph" w:styleId="CommentText">
    <w:name w:val="annotation text"/>
    <w:basedOn w:val="Normal"/>
    <w:link w:val="CommentTextChar"/>
    <w:uiPriority w:val="99"/>
    <w:semiHidden/>
    <w:unhideWhenUsed/>
    <w:rsid w:val="00317FC8"/>
    <w:pPr>
      <w:spacing w:line="240" w:lineRule="auto"/>
    </w:pPr>
    <w:rPr>
      <w:sz w:val="20"/>
      <w:szCs w:val="20"/>
    </w:rPr>
  </w:style>
  <w:style w:type="character" w:customStyle="1" w:styleId="CommentTextChar">
    <w:name w:val="Comment Text Char"/>
    <w:basedOn w:val="DefaultParagraphFont"/>
    <w:link w:val="CommentText"/>
    <w:uiPriority w:val="99"/>
    <w:semiHidden/>
    <w:rsid w:val="00317FC8"/>
    <w:rPr>
      <w:sz w:val="20"/>
      <w:szCs w:val="20"/>
    </w:rPr>
  </w:style>
  <w:style w:type="paragraph" w:styleId="CommentSubject">
    <w:name w:val="annotation subject"/>
    <w:basedOn w:val="CommentText"/>
    <w:next w:val="CommentText"/>
    <w:link w:val="CommentSubjectChar"/>
    <w:uiPriority w:val="99"/>
    <w:semiHidden/>
    <w:unhideWhenUsed/>
    <w:rsid w:val="00317FC8"/>
    <w:rPr>
      <w:b/>
      <w:bCs/>
    </w:rPr>
  </w:style>
  <w:style w:type="character" w:customStyle="1" w:styleId="CommentSubjectChar">
    <w:name w:val="Comment Subject Char"/>
    <w:basedOn w:val="CommentTextChar"/>
    <w:link w:val="CommentSubject"/>
    <w:uiPriority w:val="99"/>
    <w:semiHidden/>
    <w:rsid w:val="00317FC8"/>
    <w:rPr>
      <w:b/>
      <w:bCs/>
      <w:sz w:val="20"/>
      <w:szCs w:val="20"/>
    </w:rPr>
  </w:style>
  <w:style w:type="paragraph" w:styleId="BalloonText">
    <w:name w:val="Balloon Text"/>
    <w:basedOn w:val="Normal"/>
    <w:link w:val="BalloonTextChar"/>
    <w:uiPriority w:val="99"/>
    <w:semiHidden/>
    <w:unhideWhenUsed/>
    <w:rsid w:val="00317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FC8"/>
    <w:rPr>
      <w:rFonts w:ascii="Segoe UI" w:hAnsi="Segoe UI" w:cs="Segoe UI"/>
      <w:sz w:val="18"/>
      <w:szCs w:val="18"/>
    </w:rPr>
  </w:style>
  <w:style w:type="paragraph" w:styleId="Header">
    <w:name w:val="header"/>
    <w:basedOn w:val="Normal"/>
    <w:link w:val="HeaderChar"/>
    <w:uiPriority w:val="99"/>
    <w:unhideWhenUsed/>
    <w:rsid w:val="00876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423"/>
  </w:style>
  <w:style w:type="paragraph" w:styleId="Footer">
    <w:name w:val="footer"/>
    <w:basedOn w:val="Normal"/>
    <w:link w:val="FooterChar"/>
    <w:uiPriority w:val="99"/>
    <w:unhideWhenUsed/>
    <w:rsid w:val="00876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423"/>
  </w:style>
  <w:style w:type="character" w:styleId="Hyperlink">
    <w:name w:val="Hyperlink"/>
    <w:basedOn w:val="DefaultParagraphFont"/>
    <w:uiPriority w:val="99"/>
    <w:unhideWhenUsed/>
    <w:rsid w:val="00EF7D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ds.oeb.ca/HPECMWebDrawer/Record/415309/Fil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1E5ED-D8E0-4CD2-A536-AA8171E9F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3529</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But</dc:creator>
  <cp:keywords/>
  <dc:description/>
  <cp:lastModifiedBy>Tracey German</cp:lastModifiedBy>
  <cp:revision>3</cp:revision>
  <cp:lastPrinted>2018-12-12T12:38:00Z</cp:lastPrinted>
  <dcterms:created xsi:type="dcterms:W3CDTF">2018-12-12T13:58:00Z</dcterms:created>
  <dcterms:modified xsi:type="dcterms:W3CDTF">2018-12-12T16:20:00Z</dcterms:modified>
</cp:coreProperties>
</file>