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C7498" w14:textId="77777777" w:rsidR="003832E7" w:rsidRPr="00931A4E" w:rsidRDefault="005A6264" w:rsidP="003832E7">
      <w:pPr>
        <w:pStyle w:val="Default"/>
        <w:jc w:val="right"/>
        <w:rPr>
          <w:rFonts w:ascii="Arial" w:hAnsi="Arial" w:cs="Arial"/>
          <w:sz w:val="22"/>
          <w:szCs w:val="22"/>
        </w:rPr>
      </w:pPr>
      <w:r>
        <w:rPr>
          <w:rFonts w:ascii="Arial" w:hAnsi="Arial" w:cs="Arial"/>
          <w:bCs/>
          <w:sz w:val="22"/>
          <w:szCs w:val="22"/>
        </w:rPr>
        <w:t>Hearst Power Distribution Company Limited</w:t>
      </w:r>
    </w:p>
    <w:p w14:paraId="3871AC2F" w14:textId="77777777" w:rsidR="00A07077" w:rsidRPr="00931A4E" w:rsidRDefault="008A48F6" w:rsidP="00A07077">
      <w:pPr>
        <w:pStyle w:val="Default"/>
        <w:jc w:val="right"/>
        <w:rPr>
          <w:rFonts w:ascii="Arial" w:hAnsi="Arial" w:cs="Arial"/>
          <w:sz w:val="22"/>
          <w:szCs w:val="22"/>
        </w:rPr>
      </w:pPr>
      <w:r w:rsidRPr="00931A4E">
        <w:rPr>
          <w:rFonts w:ascii="Arial" w:hAnsi="Arial" w:cs="Arial"/>
          <w:sz w:val="22"/>
          <w:szCs w:val="22"/>
        </w:rPr>
        <w:t>OEB</w:t>
      </w:r>
      <w:r w:rsidR="00A07077" w:rsidRPr="00931A4E">
        <w:rPr>
          <w:rFonts w:ascii="Arial" w:hAnsi="Arial" w:cs="Arial"/>
          <w:sz w:val="22"/>
          <w:szCs w:val="22"/>
        </w:rPr>
        <w:t xml:space="preserve"> Staff </w:t>
      </w:r>
      <w:r w:rsidR="008813C3" w:rsidRPr="00931A4E">
        <w:rPr>
          <w:rFonts w:ascii="Arial" w:hAnsi="Arial" w:cs="Arial"/>
          <w:sz w:val="22"/>
          <w:szCs w:val="22"/>
        </w:rPr>
        <w:t>Questions</w:t>
      </w:r>
    </w:p>
    <w:p w14:paraId="7BE74D0E" w14:textId="77777777" w:rsidR="00A07077" w:rsidRDefault="00090160" w:rsidP="00B069AA">
      <w:pPr>
        <w:pStyle w:val="Default"/>
        <w:jc w:val="right"/>
        <w:rPr>
          <w:rFonts w:ascii="Arial" w:hAnsi="Arial" w:cs="Arial"/>
          <w:sz w:val="22"/>
          <w:szCs w:val="22"/>
        </w:rPr>
      </w:pPr>
      <w:r w:rsidRPr="00931A4E">
        <w:rPr>
          <w:rFonts w:ascii="Arial" w:hAnsi="Arial" w:cs="Arial"/>
          <w:sz w:val="22"/>
          <w:szCs w:val="22"/>
        </w:rPr>
        <w:t>EB-201</w:t>
      </w:r>
      <w:r w:rsidR="00805FDA" w:rsidRPr="00931A4E">
        <w:rPr>
          <w:rFonts w:ascii="Arial" w:hAnsi="Arial" w:cs="Arial"/>
          <w:sz w:val="22"/>
          <w:szCs w:val="22"/>
        </w:rPr>
        <w:t>8</w:t>
      </w:r>
      <w:r w:rsidR="009D5F4B" w:rsidRPr="00931A4E">
        <w:rPr>
          <w:rFonts w:ascii="Arial" w:hAnsi="Arial" w:cs="Arial"/>
          <w:sz w:val="22"/>
          <w:szCs w:val="22"/>
        </w:rPr>
        <w:t>-0</w:t>
      </w:r>
      <w:r w:rsidR="005A6264">
        <w:rPr>
          <w:rFonts w:ascii="Arial" w:hAnsi="Arial" w:cs="Arial"/>
          <w:sz w:val="22"/>
          <w:szCs w:val="22"/>
        </w:rPr>
        <w:t>038</w:t>
      </w:r>
    </w:p>
    <w:p w14:paraId="738404F3" w14:textId="77777777" w:rsidR="00172648" w:rsidRPr="00931A4E" w:rsidRDefault="005A32C9" w:rsidP="00B069AA">
      <w:pPr>
        <w:pStyle w:val="Default"/>
        <w:jc w:val="right"/>
        <w:rPr>
          <w:rFonts w:ascii="Arial" w:hAnsi="Arial" w:cs="Arial"/>
          <w:sz w:val="22"/>
          <w:szCs w:val="22"/>
        </w:rPr>
      </w:pPr>
      <w:r w:rsidRPr="005A32C9">
        <w:rPr>
          <w:rFonts w:ascii="Arial" w:hAnsi="Arial" w:cs="Arial"/>
          <w:sz w:val="22"/>
          <w:szCs w:val="22"/>
        </w:rPr>
        <w:t>December 28, 2018</w:t>
      </w:r>
    </w:p>
    <w:p w14:paraId="2ABEC9A7" w14:textId="77777777" w:rsidR="00A07077" w:rsidRPr="00931A4E" w:rsidRDefault="00A07077" w:rsidP="00A07077">
      <w:pPr>
        <w:pStyle w:val="Default"/>
        <w:rPr>
          <w:rFonts w:ascii="Arial" w:hAnsi="Arial" w:cs="Arial"/>
          <w:sz w:val="22"/>
          <w:szCs w:val="22"/>
        </w:rPr>
      </w:pPr>
    </w:p>
    <w:p w14:paraId="744ACA61" w14:textId="77777777" w:rsidR="00A07077" w:rsidRPr="00931A4E" w:rsidRDefault="005A6264" w:rsidP="00A07077">
      <w:pPr>
        <w:pStyle w:val="Default"/>
        <w:jc w:val="center"/>
        <w:rPr>
          <w:rFonts w:ascii="Arial" w:hAnsi="Arial" w:cs="Arial"/>
          <w:sz w:val="28"/>
          <w:szCs w:val="28"/>
        </w:rPr>
      </w:pPr>
      <w:r>
        <w:rPr>
          <w:rFonts w:ascii="Arial" w:hAnsi="Arial" w:cs="Arial"/>
          <w:b/>
          <w:bCs/>
          <w:sz w:val="28"/>
          <w:szCs w:val="28"/>
        </w:rPr>
        <w:t>Hearst Power Distribution Company Limited (Hearst Power</w:t>
      </w:r>
      <w:r w:rsidR="00931A4E" w:rsidRPr="00931A4E">
        <w:rPr>
          <w:rFonts w:ascii="Arial" w:hAnsi="Arial" w:cs="Arial"/>
          <w:b/>
          <w:bCs/>
          <w:sz w:val="28"/>
          <w:szCs w:val="28"/>
        </w:rPr>
        <w:t>)</w:t>
      </w:r>
    </w:p>
    <w:p w14:paraId="7442ECB6" w14:textId="77777777" w:rsidR="00A07077" w:rsidRDefault="00090160" w:rsidP="00A07077">
      <w:pPr>
        <w:pStyle w:val="Default"/>
        <w:jc w:val="center"/>
        <w:rPr>
          <w:rFonts w:ascii="Arial" w:hAnsi="Arial" w:cs="Arial"/>
          <w:b/>
          <w:bCs/>
          <w:sz w:val="28"/>
          <w:szCs w:val="28"/>
        </w:rPr>
      </w:pPr>
      <w:r w:rsidRPr="00931A4E">
        <w:rPr>
          <w:rFonts w:ascii="Arial" w:hAnsi="Arial" w:cs="Arial"/>
          <w:b/>
          <w:bCs/>
          <w:sz w:val="28"/>
          <w:szCs w:val="28"/>
        </w:rPr>
        <w:t>EB-201</w:t>
      </w:r>
      <w:r w:rsidR="002C2BF2" w:rsidRPr="00931A4E">
        <w:rPr>
          <w:rFonts w:ascii="Arial" w:hAnsi="Arial" w:cs="Arial"/>
          <w:b/>
          <w:bCs/>
          <w:sz w:val="28"/>
          <w:szCs w:val="28"/>
        </w:rPr>
        <w:t>8</w:t>
      </w:r>
      <w:r w:rsidR="00B069AA" w:rsidRPr="00931A4E">
        <w:rPr>
          <w:rFonts w:ascii="Arial" w:hAnsi="Arial" w:cs="Arial"/>
          <w:b/>
          <w:bCs/>
          <w:sz w:val="28"/>
          <w:szCs w:val="28"/>
        </w:rPr>
        <w:t>-0</w:t>
      </w:r>
      <w:r w:rsidR="005A6264">
        <w:rPr>
          <w:rFonts w:ascii="Arial" w:hAnsi="Arial" w:cs="Arial"/>
          <w:b/>
          <w:bCs/>
          <w:sz w:val="28"/>
          <w:szCs w:val="28"/>
        </w:rPr>
        <w:t>038</w:t>
      </w:r>
    </w:p>
    <w:p w14:paraId="467FFD86" w14:textId="77777777" w:rsidR="00172648" w:rsidRDefault="00172648" w:rsidP="00A07077">
      <w:pPr>
        <w:pStyle w:val="Default"/>
        <w:jc w:val="center"/>
        <w:rPr>
          <w:rFonts w:ascii="Arial" w:hAnsi="Arial" w:cs="Arial"/>
          <w:b/>
          <w:bCs/>
          <w:sz w:val="28"/>
          <w:szCs w:val="28"/>
        </w:rPr>
      </w:pPr>
      <w:r>
        <w:rPr>
          <w:rFonts w:ascii="Arial" w:hAnsi="Arial" w:cs="Arial"/>
          <w:b/>
          <w:bCs/>
          <w:sz w:val="28"/>
          <w:szCs w:val="28"/>
        </w:rPr>
        <w:t>Follow-Up Questions</w:t>
      </w:r>
    </w:p>
    <w:p w14:paraId="372DDDD0" w14:textId="77777777" w:rsidR="00EC0B55" w:rsidRDefault="00EC0B55" w:rsidP="00302509">
      <w:pPr>
        <w:autoSpaceDE w:val="0"/>
        <w:autoSpaceDN w:val="0"/>
        <w:adjustRightInd w:val="0"/>
        <w:spacing w:after="0" w:line="240" w:lineRule="auto"/>
        <w:rPr>
          <w:rFonts w:ascii="Arial" w:hAnsi="Arial" w:cs="Arial"/>
          <w:b/>
          <w:bCs/>
          <w:color w:val="000000"/>
          <w:sz w:val="24"/>
          <w:szCs w:val="24"/>
        </w:rPr>
      </w:pPr>
    </w:p>
    <w:p w14:paraId="75A3501F" w14:textId="77777777" w:rsidR="000D2B05" w:rsidRDefault="000D2B05" w:rsidP="00822E84">
      <w:pPr>
        <w:spacing w:after="0" w:line="240" w:lineRule="auto"/>
        <w:rPr>
          <w:rFonts w:ascii="Arial" w:hAnsi="Arial" w:cs="Arial"/>
          <w:sz w:val="24"/>
          <w:szCs w:val="24"/>
        </w:rPr>
      </w:pPr>
    </w:p>
    <w:p w14:paraId="1545B41E" w14:textId="77777777" w:rsidR="005A32C9" w:rsidRPr="005A32C9" w:rsidRDefault="00986D75" w:rsidP="005A32C9">
      <w:pPr>
        <w:spacing w:after="0" w:line="240" w:lineRule="auto"/>
        <w:rPr>
          <w:rFonts w:ascii="Arial" w:hAnsi="Arial" w:cs="Arial"/>
          <w:b/>
          <w:sz w:val="24"/>
          <w:szCs w:val="24"/>
          <w:lang w:val="en-US"/>
        </w:rPr>
      </w:pPr>
      <w:r>
        <w:rPr>
          <w:rFonts w:ascii="Arial" w:hAnsi="Arial" w:cs="Arial"/>
          <w:b/>
          <w:sz w:val="24"/>
          <w:szCs w:val="24"/>
          <w:lang w:val="en-US"/>
        </w:rPr>
        <w:t>Staff Question-1</w:t>
      </w:r>
    </w:p>
    <w:p w14:paraId="2E1BAA4E" w14:textId="77777777" w:rsidR="005A32C9" w:rsidRPr="005A32C9" w:rsidRDefault="002E33D5" w:rsidP="005A32C9">
      <w:pPr>
        <w:spacing w:after="0" w:line="240" w:lineRule="auto"/>
        <w:rPr>
          <w:rFonts w:ascii="Arial" w:hAnsi="Arial" w:cs="Arial"/>
          <w:b/>
          <w:sz w:val="24"/>
          <w:szCs w:val="24"/>
          <w:lang w:val="en-US"/>
        </w:rPr>
      </w:pPr>
      <w:r>
        <w:rPr>
          <w:rFonts w:ascii="Arial" w:hAnsi="Arial" w:cs="Arial"/>
          <w:b/>
          <w:sz w:val="24"/>
          <w:szCs w:val="24"/>
          <w:lang w:val="en-US"/>
        </w:rPr>
        <w:t>Ref: Heart Power Responses to OEB Staff Questions R</w:t>
      </w:r>
      <w:r w:rsidR="005A32C9" w:rsidRPr="005A32C9">
        <w:rPr>
          <w:rFonts w:ascii="Arial" w:hAnsi="Arial" w:cs="Arial"/>
          <w:b/>
          <w:sz w:val="24"/>
          <w:szCs w:val="24"/>
          <w:lang w:val="en-US"/>
        </w:rPr>
        <w:t xml:space="preserve">ound #1_iv Dec. 14 (Spreadsheet Tab #11) and </w:t>
      </w:r>
      <w:r>
        <w:rPr>
          <w:rFonts w:ascii="Arial" w:hAnsi="Arial" w:cs="Arial"/>
          <w:b/>
          <w:sz w:val="24"/>
          <w:szCs w:val="24"/>
          <w:lang w:val="en-US"/>
        </w:rPr>
        <w:t>R</w:t>
      </w:r>
      <w:r w:rsidR="005A32C9" w:rsidRPr="005A32C9">
        <w:rPr>
          <w:rFonts w:ascii="Arial" w:hAnsi="Arial" w:cs="Arial"/>
          <w:b/>
          <w:sz w:val="24"/>
          <w:szCs w:val="24"/>
          <w:lang w:val="en-US"/>
        </w:rPr>
        <w:t>esponse to Staff Question 11</w:t>
      </w:r>
    </w:p>
    <w:p w14:paraId="76615025" w14:textId="77777777" w:rsidR="005A32C9" w:rsidRPr="005A32C9" w:rsidRDefault="005A32C9" w:rsidP="005A32C9">
      <w:pPr>
        <w:spacing w:after="0" w:line="240" w:lineRule="auto"/>
        <w:rPr>
          <w:rFonts w:ascii="Arial" w:hAnsi="Arial" w:cs="Arial"/>
          <w:sz w:val="24"/>
          <w:szCs w:val="24"/>
          <w:lang w:val="en-US"/>
        </w:rPr>
      </w:pPr>
    </w:p>
    <w:p w14:paraId="0E4C852B" w14:textId="77777777" w:rsidR="005A32C9" w:rsidRPr="005A32C9" w:rsidRDefault="005A32C9" w:rsidP="005A32C9">
      <w:pPr>
        <w:spacing w:after="0" w:line="240" w:lineRule="auto"/>
        <w:rPr>
          <w:rFonts w:ascii="Arial" w:hAnsi="Arial" w:cs="Arial"/>
          <w:sz w:val="24"/>
          <w:szCs w:val="24"/>
          <w:lang w:val="en-US"/>
        </w:rPr>
      </w:pPr>
      <w:r w:rsidRPr="005A32C9">
        <w:rPr>
          <w:rFonts w:ascii="Arial" w:hAnsi="Arial" w:cs="Arial"/>
          <w:noProof/>
          <w:sz w:val="24"/>
          <w:szCs w:val="24"/>
          <w:lang w:val="en-US"/>
        </w:rPr>
        <w:drawing>
          <wp:inline distT="0" distB="0" distL="0" distR="0" wp14:anchorId="101F59EF" wp14:editId="1DC9D029">
            <wp:extent cx="5943600" cy="184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849120"/>
                    </a:xfrm>
                    <a:prstGeom prst="rect">
                      <a:avLst/>
                    </a:prstGeom>
                  </pic:spPr>
                </pic:pic>
              </a:graphicData>
            </a:graphic>
          </wp:inline>
        </w:drawing>
      </w:r>
    </w:p>
    <w:p w14:paraId="289D817D" w14:textId="77777777" w:rsidR="005A32C9" w:rsidRPr="005A32C9" w:rsidRDefault="005A32C9" w:rsidP="005A32C9">
      <w:pPr>
        <w:spacing w:after="0" w:line="240" w:lineRule="auto"/>
        <w:rPr>
          <w:rFonts w:ascii="Arial" w:hAnsi="Arial" w:cs="Arial"/>
          <w:sz w:val="24"/>
          <w:szCs w:val="24"/>
          <w:lang w:val="en-US"/>
        </w:rPr>
      </w:pPr>
    </w:p>
    <w:p w14:paraId="3D7D5B19" w14:textId="77777777" w:rsidR="005A32C9" w:rsidRPr="005A32C9" w:rsidRDefault="005A32C9" w:rsidP="005A32C9">
      <w:pPr>
        <w:spacing w:after="0" w:line="240" w:lineRule="auto"/>
        <w:rPr>
          <w:rFonts w:ascii="Arial" w:hAnsi="Arial" w:cs="Arial"/>
          <w:sz w:val="24"/>
          <w:szCs w:val="24"/>
          <w:lang w:val="en-US"/>
        </w:rPr>
      </w:pPr>
      <w:r w:rsidRPr="005A32C9">
        <w:rPr>
          <w:rFonts w:ascii="Arial" w:hAnsi="Arial" w:cs="Arial"/>
          <w:sz w:val="24"/>
          <w:szCs w:val="24"/>
          <w:lang w:val="en-US"/>
        </w:rPr>
        <w:t>Hearst Power has stated the following:</w:t>
      </w:r>
    </w:p>
    <w:p w14:paraId="0D1C9AE3" w14:textId="77777777" w:rsidR="005A32C9" w:rsidRPr="005A32C9" w:rsidRDefault="005A32C9" w:rsidP="005A32C9">
      <w:pPr>
        <w:spacing w:after="0" w:line="240" w:lineRule="auto"/>
        <w:ind w:left="720"/>
        <w:rPr>
          <w:rFonts w:ascii="Arial" w:hAnsi="Arial" w:cs="Arial"/>
          <w:sz w:val="24"/>
          <w:szCs w:val="24"/>
        </w:rPr>
      </w:pPr>
      <w:r w:rsidRPr="005A32C9">
        <w:rPr>
          <w:rFonts w:ascii="Arial" w:hAnsi="Arial" w:cs="Arial"/>
          <w:sz w:val="24"/>
          <w:szCs w:val="24"/>
        </w:rPr>
        <w:t>Hearst Power reviewed all submission to the IESO in relation to account 1588 two items were identified as erroneous:</w:t>
      </w:r>
    </w:p>
    <w:p w14:paraId="1D6EB0E9" w14:textId="77777777" w:rsidR="005A32C9" w:rsidRPr="005A32C9" w:rsidRDefault="005A32C9" w:rsidP="005A32C9">
      <w:pPr>
        <w:numPr>
          <w:ilvl w:val="0"/>
          <w:numId w:val="43"/>
        </w:numPr>
        <w:spacing w:after="0" w:line="240" w:lineRule="auto"/>
        <w:rPr>
          <w:rFonts w:ascii="Arial" w:hAnsi="Arial" w:cs="Arial"/>
          <w:sz w:val="24"/>
          <w:szCs w:val="24"/>
        </w:rPr>
      </w:pPr>
      <w:r w:rsidRPr="005A32C9">
        <w:rPr>
          <w:rFonts w:ascii="Arial" w:hAnsi="Arial" w:cs="Arial"/>
          <w:sz w:val="24"/>
          <w:szCs w:val="24"/>
          <w:u w:val="single"/>
        </w:rPr>
        <w:t>Data entry error on true-ups</w:t>
      </w:r>
      <w:r w:rsidRPr="005A32C9">
        <w:rPr>
          <w:rFonts w:ascii="Arial" w:hAnsi="Arial" w:cs="Arial"/>
          <w:sz w:val="24"/>
          <w:szCs w:val="24"/>
        </w:rPr>
        <w:t>: Incorrect data was entered in one box on each of the true-ups completed in July and Sept 2017.</w:t>
      </w:r>
    </w:p>
    <w:p w14:paraId="3A85A832" w14:textId="77777777" w:rsidR="005A32C9" w:rsidRPr="005A32C9" w:rsidRDefault="005A32C9" w:rsidP="005A32C9">
      <w:pPr>
        <w:numPr>
          <w:ilvl w:val="0"/>
          <w:numId w:val="43"/>
        </w:numPr>
        <w:spacing w:after="0" w:line="240" w:lineRule="auto"/>
        <w:rPr>
          <w:rFonts w:ascii="Arial" w:hAnsi="Arial" w:cs="Arial"/>
          <w:sz w:val="24"/>
          <w:szCs w:val="24"/>
        </w:rPr>
      </w:pPr>
      <w:r w:rsidRPr="005A32C9">
        <w:rPr>
          <w:rFonts w:ascii="Arial" w:hAnsi="Arial" w:cs="Arial"/>
          <w:sz w:val="24"/>
          <w:szCs w:val="24"/>
          <w:u w:val="single"/>
        </w:rPr>
        <w:t>The inclusion of the estimated billing 1588 power variance account for January 2018:</w:t>
      </w:r>
      <w:r w:rsidRPr="005A32C9">
        <w:rPr>
          <w:rFonts w:ascii="Arial" w:hAnsi="Arial" w:cs="Arial"/>
          <w:sz w:val="24"/>
          <w:szCs w:val="24"/>
        </w:rPr>
        <w:t xml:space="preserve">  Every month, the settlement form submitted to the IESO regarding the 1588 variance account includes a monthly forecast/estimation for the current month AND a monthly with true-up for the previous month, all under a single claim.  Once the monthly claim is submitted to the IESO, the amount is received as one payment, it is entered in our Accounting General Ledger under only one month.  We now realized that this in incorrect and the single claim should be accounted in two separate entries in our GL; the forecast in one month and the true-up in the previous month.  A revision is required to remove the forecast for January 2018 enter in December 2017.</w:t>
      </w:r>
    </w:p>
    <w:p w14:paraId="34925FEE" w14:textId="77777777" w:rsidR="005A32C9" w:rsidRPr="005A32C9" w:rsidRDefault="005A32C9" w:rsidP="005A32C9">
      <w:pPr>
        <w:spacing w:after="0" w:line="240" w:lineRule="auto"/>
        <w:rPr>
          <w:rFonts w:ascii="Arial" w:hAnsi="Arial" w:cs="Arial"/>
          <w:sz w:val="24"/>
          <w:szCs w:val="24"/>
          <w:lang w:val="en-US"/>
        </w:rPr>
      </w:pPr>
    </w:p>
    <w:p w14:paraId="6E76F829" w14:textId="77777777" w:rsidR="005A32C9" w:rsidRPr="005A32C9" w:rsidRDefault="005A32C9" w:rsidP="002E33D5">
      <w:pPr>
        <w:spacing w:after="0" w:line="240" w:lineRule="auto"/>
        <w:ind w:left="720"/>
        <w:rPr>
          <w:rFonts w:ascii="Arial" w:hAnsi="Arial" w:cs="Arial"/>
          <w:sz w:val="24"/>
          <w:szCs w:val="24"/>
          <w:lang w:val="en-US"/>
        </w:rPr>
      </w:pPr>
      <w:r w:rsidRPr="005A32C9">
        <w:rPr>
          <w:rFonts w:ascii="Arial" w:hAnsi="Arial" w:cs="Arial"/>
          <w:sz w:val="24"/>
          <w:szCs w:val="24"/>
          <w:lang w:val="en-US"/>
        </w:rPr>
        <w:t xml:space="preserve">For all above revisions, please refer to </w:t>
      </w:r>
      <w:r>
        <w:rPr>
          <w:rFonts w:ascii="Arial" w:hAnsi="Arial" w:cs="Arial"/>
          <w:sz w:val="24"/>
          <w:szCs w:val="24"/>
          <w:lang w:val="en-US"/>
        </w:rPr>
        <w:t xml:space="preserve">the </w:t>
      </w:r>
      <w:r w:rsidRPr="005A32C9">
        <w:rPr>
          <w:rFonts w:ascii="Arial" w:hAnsi="Arial" w:cs="Arial"/>
          <w:sz w:val="24"/>
          <w:szCs w:val="24"/>
          <w:lang w:val="en-US"/>
        </w:rPr>
        <w:t>excel spreadsheet for more details.  Revisions to the RRR filings and the IRM model will be required once we receive final adjustments from the IESO.</w:t>
      </w:r>
    </w:p>
    <w:p w14:paraId="651B40C4" w14:textId="77777777" w:rsidR="005A32C9" w:rsidRPr="005A32C9" w:rsidRDefault="005A32C9" w:rsidP="005A32C9">
      <w:pPr>
        <w:pStyle w:val="ListParagraph"/>
        <w:numPr>
          <w:ilvl w:val="0"/>
          <w:numId w:val="46"/>
        </w:numPr>
        <w:spacing w:after="0" w:line="240" w:lineRule="auto"/>
        <w:rPr>
          <w:rFonts w:ascii="Arial" w:hAnsi="Arial" w:cs="Arial"/>
          <w:sz w:val="24"/>
          <w:szCs w:val="24"/>
        </w:rPr>
      </w:pPr>
      <w:r w:rsidRPr="005A32C9">
        <w:rPr>
          <w:rFonts w:ascii="Arial" w:hAnsi="Arial" w:cs="Arial"/>
          <w:sz w:val="24"/>
          <w:szCs w:val="24"/>
        </w:rPr>
        <w:lastRenderedPageBreak/>
        <w:t>With respect to item 1 above, please describe the nature of the data entry error on true-ups completed in July and September 2017.</w:t>
      </w:r>
    </w:p>
    <w:p w14:paraId="6190936A" w14:textId="3A28A6F5" w:rsidR="005A32C9" w:rsidRPr="007C6E35" w:rsidRDefault="005A32C9" w:rsidP="005A32C9">
      <w:pPr>
        <w:numPr>
          <w:ilvl w:val="1"/>
          <w:numId w:val="45"/>
        </w:numPr>
        <w:spacing w:after="0" w:line="240" w:lineRule="auto"/>
        <w:rPr>
          <w:rFonts w:ascii="Arial" w:hAnsi="Arial" w:cs="Arial"/>
          <w:sz w:val="24"/>
          <w:szCs w:val="24"/>
        </w:rPr>
      </w:pPr>
      <w:r w:rsidRPr="005A32C9">
        <w:rPr>
          <w:rFonts w:ascii="Arial" w:hAnsi="Arial" w:cs="Arial"/>
          <w:sz w:val="24"/>
          <w:szCs w:val="24"/>
        </w:rPr>
        <w:t>Are the July and September errors related to Class A consumption reporting with the IESO?</w:t>
      </w:r>
    </w:p>
    <w:p w14:paraId="4499E942" w14:textId="051058CE" w:rsidR="007C6E35" w:rsidRDefault="007C6E35" w:rsidP="007C6E35">
      <w:pPr>
        <w:spacing w:after="0" w:line="240" w:lineRule="auto"/>
        <w:ind w:left="1440"/>
        <w:rPr>
          <w:rFonts w:ascii="Arial" w:hAnsi="Arial" w:cs="Arial"/>
          <w:color w:val="FF0000"/>
          <w:sz w:val="24"/>
          <w:szCs w:val="24"/>
        </w:rPr>
      </w:pPr>
      <w:r w:rsidRPr="007C6E35">
        <w:rPr>
          <w:rFonts w:ascii="Arial" w:hAnsi="Arial" w:cs="Arial"/>
          <w:color w:val="FF0000"/>
          <w:sz w:val="24"/>
          <w:szCs w:val="24"/>
        </w:rPr>
        <w:t>Hearst Power: No</w:t>
      </w:r>
    </w:p>
    <w:p w14:paraId="5F2B915A" w14:textId="77777777" w:rsidR="007C6E35" w:rsidRPr="007C6E35" w:rsidRDefault="007C6E35" w:rsidP="007C6E35">
      <w:pPr>
        <w:spacing w:after="0" w:line="240" w:lineRule="auto"/>
        <w:ind w:left="1440"/>
        <w:rPr>
          <w:rFonts w:ascii="Arial" w:hAnsi="Arial" w:cs="Arial"/>
          <w:color w:val="FF0000"/>
          <w:sz w:val="24"/>
          <w:szCs w:val="24"/>
        </w:rPr>
      </w:pPr>
    </w:p>
    <w:p w14:paraId="02743F26" w14:textId="15E93A6E" w:rsidR="005A32C9" w:rsidRDefault="005A32C9" w:rsidP="005A32C9">
      <w:pPr>
        <w:numPr>
          <w:ilvl w:val="1"/>
          <w:numId w:val="45"/>
        </w:numPr>
        <w:spacing w:after="0" w:line="240" w:lineRule="auto"/>
        <w:rPr>
          <w:rFonts w:ascii="Arial" w:hAnsi="Arial" w:cs="Arial"/>
          <w:sz w:val="24"/>
          <w:szCs w:val="24"/>
        </w:rPr>
      </w:pPr>
      <w:r>
        <w:rPr>
          <w:rFonts w:ascii="Arial" w:hAnsi="Arial" w:cs="Arial"/>
          <w:sz w:val="24"/>
          <w:szCs w:val="24"/>
        </w:rPr>
        <w:t xml:space="preserve">If the answer to part </w:t>
      </w:r>
      <w:proofErr w:type="spellStart"/>
      <w:r>
        <w:rPr>
          <w:rFonts w:ascii="Arial" w:hAnsi="Arial" w:cs="Arial"/>
          <w:sz w:val="24"/>
          <w:szCs w:val="24"/>
        </w:rPr>
        <w:t>i</w:t>
      </w:r>
      <w:proofErr w:type="spellEnd"/>
      <w:r>
        <w:rPr>
          <w:rFonts w:ascii="Arial" w:hAnsi="Arial" w:cs="Arial"/>
          <w:sz w:val="24"/>
          <w:szCs w:val="24"/>
        </w:rPr>
        <w:t>. is “yes”</w:t>
      </w:r>
      <w:r w:rsidRPr="005A32C9">
        <w:rPr>
          <w:rFonts w:ascii="Arial" w:hAnsi="Arial" w:cs="Arial"/>
          <w:sz w:val="24"/>
          <w:szCs w:val="24"/>
        </w:rPr>
        <w:t>, please describe how it impacts Account 1588.</w:t>
      </w:r>
    </w:p>
    <w:p w14:paraId="2F734DE0" w14:textId="1D287706" w:rsidR="007C6E35" w:rsidRDefault="007C6E35" w:rsidP="007C6E35">
      <w:pPr>
        <w:spacing w:after="0" w:line="240" w:lineRule="auto"/>
        <w:ind w:left="1440"/>
        <w:rPr>
          <w:rFonts w:ascii="Arial" w:hAnsi="Arial" w:cs="Arial"/>
          <w:color w:val="FF0000"/>
          <w:sz w:val="24"/>
          <w:szCs w:val="24"/>
        </w:rPr>
      </w:pPr>
      <w:r>
        <w:rPr>
          <w:rFonts w:ascii="Arial" w:hAnsi="Arial" w:cs="Arial"/>
          <w:color w:val="FF0000"/>
          <w:sz w:val="24"/>
          <w:szCs w:val="24"/>
        </w:rPr>
        <w:t>Hearst Power: N/A</w:t>
      </w:r>
    </w:p>
    <w:p w14:paraId="346AECEF" w14:textId="77777777" w:rsidR="007C6E35" w:rsidRPr="007C6E35" w:rsidRDefault="007C6E35" w:rsidP="007C6E35">
      <w:pPr>
        <w:spacing w:after="0" w:line="240" w:lineRule="auto"/>
        <w:ind w:left="1440"/>
        <w:rPr>
          <w:rFonts w:ascii="Arial" w:hAnsi="Arial" w:cs="Arial"/>
          <w:color w:val="FF0000"/>
          <w:sz w:val="24"/>
          <w:szCs w:val="24"/>
        </w:rPr>
      </w:pPr>
    </w:p>
    <w:p w14:paraId="40A74F06" w14:textId="061B0FD4" w:rsidR="005A32C9" w:rsidRDefault="005A32C9" w:rsidP="005A32C9">
      <w:pPr>
        <w:numPr>
          <w:ilvl w:val="1"/>
          <w:numId w:val="45"/>
        </w:numPr>
        <w:spacing w:after="0" w:line="240" w:lineRule="auto"/>
        <w:rPr>
          <w:rFonts w:ascii="Arial" w:hAnsi="Arial" w:cs="Arial"/>
          <w:sz w:val="24"/>
          <w:szCs w:val="24"/>
        </w:rPr>
      </w:pPr>
      <w:r>
        <w:rPr>
          <w:rFonts w:ascii="Arial" w:hAnsi="Arial" w:cs="Arial"/>
          <w:sz w:val="24"/>
          <w:szCs w:val="24"/>
        </w:rPr>
        <w:t>What is the dollar</w:t>
      </w:r>
      <w:r w:rsidRPr="005A32C9">
        <w:rPr>
          <w:rFonts w:ascii="Arial" w:hAnsi="Arial" w:cs="Arial"/>
          <w:sz w:val="24"/>
          <w:szCs w:val="24"/>
        </w:rPr>
        <w:t xml:space="preserve"> value of </w:t>
      </w:r>
      <w:r>
        <w:rPr>
          <w:rFonts w:ascii="Arial" w:hAnsi="Arial" w:cs="Arial"/>
          <w:sz w:val="24"/>
          <w:szCs w:val="24"/>
        </w:rPr>
        <w:t xml:space="preserve">the </w:t>
      </w:r>
      <w:r w:rsidRPr="005A32C9">
        <w:rPr>
          <w:rFonts w:ascii="Arial" w:hAnsi="Arial" w:cs="Arial"/>
          <w:sz w:val="24"/>
          <w:szCs w:val="24"/>
        </w:rPr>
        <w:t>error related Class A currently reflected in Account 1588?</w:t>
      </w:r>
    </w:p>
    <w:p w14:paraId="6CBBA883" w14:textId="77777777" w:rsidR="007C6E35" w:rsidRPr="007C6E35" w:rsidRDefault="007C6E35" w:rsidP="007C6E35">
      <w:pPr>
        <w:pStyle w:val="ListParagraph"/>
        <w:spacing w:after="0" w:line="240" w:lineRule="auto"/>
        <w:ind w:firstLine="720"/>
        <w:rPr>
          <w:rFonts w:ascii="Arial" w:hAnsi="Arial" w:cs="Arial"/>
          <w:color w:val="FF0000"/>
          <w:sz w:val="24"/>
          <w:szCs w:val="24"/>
        </w:rPr>
      </w:pPr>
      <w:r w:rsidRPr="007C6E35">
        <w:rPr>
          <w:rFonts w:ascii="Arial" w:hAnsi="Arial" w:cs="Arial"/>
          <w:color w:val="FF0000"/>
          <w:sz w:val="24"/>
          <w:szCs w:val="24"/>
        </w:rPr>
        <w:t>Hearst Power: N/A</w:t>
      </w:r>
    </w:p>
    <w:p w14:paraId="573AF262" w14:textId="77777777" w:rsidR="007C6E35" w:rsidRPr="005A32C9" w:rsidRDefault="007C6E35" w:rsidP="007C6E35">
      <w:pPr>
        <w:spacing w:after="0" w:line="240" w:lineRule="auto"/>
        <w:ind w:left="1440"/>
        <w:rPr>
          <w:rFonts w:ascii="Arial" w:hAnsi="Arial" w:cs="Arial"/>
          <w:sz w:val="24"/>
          <w:szCs w:val="24"/>
        </w:rPr>
      </w:pPr>
    </w:p>
    <w:p w14:paraId="6D8F7830" w14:textId="25742494" w:rsidR="005A32C9" w:rsidRDefault="005A32C9" w:rsidP="005A32C9">
      <w:pPr>
        <w:numPr>
          <w:ilvl w:val="1"/>
          <w:numId w:val="45"/>
        </w:numPr>
        <w:spacing w:after="0" w:line="240" w:lineRule="auto"/>
        <w:rPr>
          <w:rFonts w:ascii="Arial" w:hAnsi="Arial" w:cs="Arial"/>
          <w:sz w:val="24"/>
          <w:szCs w:val="24"/>
        </w:rPr>
      </w:pPr>
      <w:r w:rsidRPr="005A32C9">
        <w:rPr>
          <w:rFonts w:ascii="Arial" w:hAnsi="Arial" w:cs="Arial"/>
          <w:sz w:val="24"/>
          <w:szCs w:val="24"/>
        </w:rPr>
        <w:t>If this error is related to July and September true-up, was the true-up completed in 2018?</w:t>
      </w:r>
    </w:p>
    <w:p w14:paraId="2C0AE239" w14:textId="31EE6782" w:rsidR="007C6E35" w:rsidRPr="007C6E35" w:rsidRDefault="007C6E35" w:rsidP="007C6E35">
      <w:pPr>
        <w:pStyle w:val="ListParagraph"/>
        <w:spacing w:after="0" w:line="240" w:lineRule="auto"/>
        <w:ind w:left="1440"/>
        <w:rPr>
          <w:rFonts w:ascii="Arial" w:hAnsi="Arial" w:cs="Arial"/>
          <w:color w:val="FF0000"/>
          <w:sz w:val="24"/>
          <w:szCs w:val="24"/>
        </w:rPr>
      </w:pPr>
      <w:r w:rsidRPr="007C6E35">
        <w:rPr>
          <w:rFonts w:ascii="Arial" w:hAnsi="Arial" w:cs="Arial"/>
          <w:color w:val="FF0000"/>
          <w:sz w:val="24"/>
          <w:szCs w:val="24"/>
        </w:rPr>
        <w:t xml:space="preserve">Hearst Power: </w:t>
      </w:r>
      <w:r>
        <w:rPr>
          <w:rFonts w:ascii="Arial" w:hAnsi="Arial" w:cs="Arial"/>
          <w:color w:val="FF0000"/>
          <w:sz w:val="24"/>
          <w:szCs w:val="24"/>
        </w:rPr>
        <w:t xml:space="preserve">The final/corrected true-up was completed in November 2018, when the discrepancies were identified.  This error can be quantified as $33,083.11 which is to be </w:t>
      </w:r>
      <w:r w:rsidR="006B1D02">
        <w:rPr>
          <w:rFonts w:ascii="Arial" w:hAnsi="Arial" w:cs="Arial"/>
          <w:color w:val="FF0000"/>
          <w:sz w:val="24"/>
          <w:szCs w:val="24"/>
        </w:rPr>
        <w:t>cred</w:t>
      </w:r>
      <w:r>
        <w:rPr>
          <w:rFonts w:ascii="Arial" w:hAnsi="Arial" w:cs="Arial"/>
          <w:color w:val="FF0000"/>
          <w:sz w:val="24"/>
          <w:szCs w:val="24"/>
        </w:rPr>
        <w:t>ited from account #1588 as an adjustment entry.</w:t>
      </w:r>
    </w:p>
    <w:p w14:paraId="73AC1768" w14:textId="77777777" w:rsidR="007C6E35" w:rsidRPr="005A32C9" w:rsidRDefault="007C6E35" w:rsidP="007C6E35">
      <w:pPr>
        <w:spacing w:after="0" w:line="240" w:lineRule="auto"/>
        <w:ind w:left="1440"/>
        <w:rPr>
          <w:rFonts w:ascii="Arial" w:hAnsi="Arial" w:cs="Arial"/>
          <w:sz w:val="24"/>
          <w:szCs w:val="24"/>
        </w:rPr>
      </w:pPr>
    </w:p>
    <w:p w14:paraId="3402C692" w14:textId="1C47437C" w:rsidR="005A32C9" w:rsidRDefault="005A32C9" w:rsidP="005A32C9">
      <w:pPr>
        <w:numPr>
          <w:ilvl w:val="2"/>
          <w:numId w:val="45"/>
        </w:numPr>
        <w:spacing w:after="0" w:line="240" w:lineRule="auto"/>
        <w:rPr>
          <w:rFonts w:ascii="Arial" w:hAnsi="Arial" w:cs="Arial"/>
          <w:sz w:val="24"/>
          <w:szCs w:val="24"/>
        </w:rPr>
      </w:pPr>
      <w:r w:rsidRPr="005A32C9">
        <w:rPr>
          <w:rFonts w:ascii="Arial" w:hAnsi="Arial" w:cs="Arial"/>
          <w:sz w:val="24"/>
          <w:szCs w:val="24"/>
        </w:rPr>
        <w:t>If the true-up was completed in 2017, why does Hearst Power believe that it needs to be corrected?</w:t>
      </w:r>
    </w:p>
    <w:p w14:paraId="6A89C777" w14:textId="241721A8" w:rsidR="007C6E35" w:rsidRPr="007C6E35" w:rsidRDefault="007C6E35" w:rsidP="007C6E35">
      <w:pPr>
        <w:pStyle w:val="ListParagraph"/>
        <w:spacing w:after="0" w:line="240" w:lineRule="auto"/>
        <w:ind w:left="1980"/>
        <w:rPr>
          <w:rFonts w:ascii="Arial" w:hAnsi="Arial" w:cs="Arial"/>
          <w:color w:val="FF0000"/>
          <w:sz w:val="24"/>
          <w:szCs w:val="24"/>
        </w:rPr>
      </w:pPr>
      <w:r w:rsidRPr="007C6E35">
        <w:rPr>
          <w:rFonts w:ascii="Arial" w:hAnsi="Arial" w:cs="Arial"/>
          <w:color w:val="FF0000"/>
          <w:sz w:val="24"/>
          <w:szCs w:val="24"/>
        </w:rPr>
        <w:t xml:space="preserve">Hearst Power: </w:t>
      </w:r>
      <w:r>
        <w:rPr>
          <w:rFonts w:ascii="Arial" w:hAnsi="Arial" w:cs="Arial"/>
          <w:color w:val="FF0000"/>
          <w:sz w:val="24"/>
          <w:szCs w:val="24"/>
        </w:rPr>
        <w:t>Hearst Power believes it needs to be corrected as incorrect values were entered during the true-up process which resulted in an incorrect true-up.</w:t>
      </w:r>
    </w:p>
    <w:p w14:paraId="74F4B327" w14:textId="77777777" w:rsidR="007C6E35" w:rsidRPr="007C6E35" w:rsidRDefault="007C6E35" w:rsidP="007C6E35">
      <w:pPr>
        <w:spacing w:after="0" w:line="240" w:lineRule="auto"/>
        <w:ind w:left="2160"/>
        <w:rPr>
          <w:rFonts w:ascii="Arial" w:hAnsi="Arial" w:cs="Arial"/>
          <w:color w:val="FF0000"/>
          <w:sz w:val="24"/>
          <w:szCs w:val="24"/>
        </w:rPr>
      </w:pPr>
    </w:p>
    <w:p w14:paraId="69888FB3" w14:textId="2672F663" w:rsidR="005A32C9" w:rsidRDefault="005A32C9" w:rsidP="005A32C9">
      <w:pPr>
        <w:pStyle w:val="ListParagraph"/>
        <w:numPr>
          <w:ilvl w:val="0"/>
          <w:numId w:val="46"/>
        </w:numPr>
        <w:spacing w:after="0" w:line="240" w:lineRule="auto"/>
        <w:rPr>
          <w:rFonts w:ascii="Arial" w:hAnsi="Arial" w:cs="Arial"/>
          <w:sz w:val="24"/>
          <w:szCs w:val="24"/>
        </w:rPr>
      </w:pPr>
      <w:r w:rsidRPr="005A32C9">
        <w:rPr>
          <w:rFonts w:ascii="Arial" w:hAnsi="Arial" w:cs="Arial"/>
          <w:sz w:val="24"/>
          <w:szCs w:val="24"/>
        </w:rPr>
        <w:t xml:space="preserve">With respect to item 2 above, please clarify what Hearst Power means by “forecast/estimation for the current month”. Does the current month mean the month that just passed? For </w:t>
      </w:r>
      <w:proofErr w:type="gramStart"/>
      <w:r w:rsidRPr="005A32C9">
        <w:rPr>
          <w:rFonts w:ascii="Arial" w:hAnsi="Arial" w:cs="Arial"/>
          <w:sz w:val="24"/>
          <w:szCs w:val="24"/>
        </w:rPr>
        <w:t>example</w:t>
      </w:r>
      <w:proofErr w:type="gramEnd"/>
      <w:r w:rsidRPr="005A32C9">
        <w:rPr>
          <w:rFonts w:ascii="Arial" w:hAnsi="Arial" w:cs="Arial"/>
          <w:sz w:val="24"/>
          <w:szCs w:val="24"/>
        </w:rPr>
        <w:t xml:space="preserve"> would the “current month” be December for the settlement form completed on January 4</w:t>
      </w:r>
      <w:r w:rsidRPr="005A32C9">
        <w:rPr>
          <w:rFonts w:ascii="Arial" w:hAnsi="Arial" w:cs="Arial"/>
          <w:sz w:val="24"/>
          <w:szCs w:val="24"/>
          <w:vertAlign w:val="superscript"/>
        </w:rPr>
        <w:t>th</w:t>
      </w:r>
      <w:r w:rsidRPr="005A32C9">
        <w:rPr>
          <w:rFonts w:ascii="Arial" w:hAnsi="Arial" w:cs="Arial"/>
          <w:sz w:val="24"/>
          <w:szCs w:val="24"/>
        </w:rPr>
        <w:t>?</w:t>
      </w:r>
    </w:p>
    <w:p w14:paraId="5F117948" w14:textId="3D6D758F" w:rsidR="00965CA4" w:rsidRDefault="00965CA4" w:rsidP="00965CA4">
      <w:pPr>
        <w:pStyle w:val="ListParagraph"/>
        <w:spacing w:after="0" w:line="240" w:lineRule="auto"/>
        <w:rPr>
          <w:rFonts w:ascii="Arial" w:hAnsi="Arial" w:cs="Arial"/>
          <w:color w:val="FF0000"/>
          <w:sz w:val="24"/>
          <w:szCs w:val="24"/>
        </w:rPr>
      </w:pPr>
      <w:r w:rsidRPr="00965CA4">
        <w:rPr>
          <w:rFonts w:ascii="Arial" w:hAnsi="Arial" w:cs="Arial"/>
          <w:color w:val="FF0000"/>
          <w:sz w:val="24"/>
          <w:szCs w:val="24"/>
        </w:rPr>
        <w:t xml:space="preserve">Hearst Power: </w:t>
      </w:r>
      <w:r>
        <w:rPr>
          <w:rFonts w:ascii="Arial" w:hAnsi="Arial" w:cs="Arial"/>
          <w:color w:val="FF0000"/>
          <w:sz w:val="24"/>
          <w:szCs w:val="24"/>
        </w:rPr>
        <w:t xml:space="preserve">Further to our discussion with OEB staff on Dec 27, more specifically the discussion with Ms. </w:t>
      </w:r>
      <w:r w:rsidRPr="00965CA4">
        <w:rPr>
          <w:rFonts w:ascii="Arial" w:hAnsi="Arial" w:cs="Arial"/>
          <w:color w:val="FF0000"/>
          <w:sz w:val="24"/>
          <w:szCs w:val="24"/>
        </w:rPr>
        <w:t>Rajvinder</w:t>
      </w:r>
      <w:r>
        <w:rPr>
          <w:rFonts w:ascii="Arial" w:hAnsi="Arial" w:cs="Arial"/>
          <w:color w:val="FF0000"/>
          <w:sz w:val="24"/>
          <w:szCs w:val="24"/>
        </w:rPr>
        <w:t xml:space="preserve"> </w:t>
      </w:r>
      <w:r w:rsidRPr="00965CA4">
        <w:rPr>
          <w:rFonts w:ascii="Arial" w:hAnsi="Arial" w:cs="Arial"/>
          <w:color w:val="FF0000"/>
          <w:sz w:val="24"/>
          <w:szCs w:val="24"/>
        </w:rPr>
        <w:t>Sabharwal</w:t>
      </w:r>
      <w:r>
        <w:rPr>
          <w:rFonts w:ascii="Arial" w:hAnsi="Arial" w:cs="Arial"/>
          <w:color w:val="FF0000"/>
          <w:sz w:val="24"/>
          <w:szCs w:val="24"/>
        </w:rPr>
        <w:t xml:space="preserve">, Hearst Power would like to re-state item #2 to order modify and better align its statement with </w:t>
      </w:r>
      <w:proofErr w:type="gramStart"/>
      <w:r>
        <w:rPr>
          <w:rFonts w:ascii="Arial" w:hAnsi="Arial" w:cs="Arial"/>
          <w:color w:val="FF0000"/>
          <w:sz w:val="24"/>
          <w:szCs w:val="24"/>
        </w:rPr>
        <w:t>its</w:t>
      </w:r>
      <w:proofErr w:type="gramEnd"/>
      <w:r>
        <w:rPr>
          <w:rFonts w:ascii="Arial" w:hAnsi="Arial" w:cs="Arial"/>
          <w:color w:val="FF0000"/>
          <w:sz w:val="24"/>
          <w:szCs w:val="24"/>
        </w:rPr>
        <w:t xml:space="preserve"> excel spreadsheet and having received and acknowledge the OEB comments.</w:t>
      </w:r>
      <w:r w:rsidR="006B1D02">
        <w:rPr>
          <w:rFonts w:ascii="Arial" w:hAnsi="Arial" w:cs="Arial"/>
          <w:color w:val="FF0000"/>
          <w:sz w:val="24"/>
          <w:szCs w:val="24"/>
        </w:rPr>
        <w:t xml:space="preserve">  The item #2 re-statement is the following:</w:t>
      </w:r>
    </w:p>
    <w:p w14:paraId="5EF70788" w14:textId="0BEA7AD5" w:rsidR="006B1D02" w:rsidRPr="006B1D02" w:rsidRDefault="006B1D02" w:rsidP="006B1D02">
      <w:pPr>
        <w:numPr>
          <w:ilvl w:val="0"/>
          <w:numId w:val="48"/>
        </w:numPr>
        <w:spacing w:after="0" w:line="240" w:lineRule="auto"/>
        <w:rPr>
          <w:rFonts w:ascii="Arial" w:hAnsi="Arial" w:cs="Arial"/>
          <w:sz w:val="24"/>
          <w:szCs w:val="24"/>
        </w:rPr>
      </w:pPr>
      <w:r w:rsidRPr="005A32C9">
        <w:rPr>
          <w:rFonts w:ascii="Arial" w:hAnsi="Arial" w:cs="Arial"/>
          <w:sz w:val="24"/>
          <w:szCs w:val="24"/>
          <w:u w:val="single"/>
        </w:rPr>
        <w:t xml:space="preserve">The inclusion of the </w:t>
      </w:r>
      <w:r>
        <w:rPr>
          <w:rFonts w:ascii="Arial" w:hAnsi="Arial" w:cs="Arial"/>
          <w:color w:val="FF0000"/>
          <w:sz w:val="24"/>
          <w:szCs w:val="24"/>
          <w:u w:val="single"/>
        </w:rPr>
        <w:t>December true-up in the</w:t>
      </w:r>
      <w:r w:rsidRPr="006B1D02">
        <w:rPr>
          <w:rFonts w:ascii="Arial" w:hAnsi="Arial" w:cs="Arial"/>
          <w:color w:val="FF0000"/>
          <w:sz w:val="24"/>
          <w:szCs w:val="24"/>
          <w:u w:val="single"/>
        </w:rPr>
        <w:t xml:space="preserve"> January preliminary report to the IESO</w:t>
      </w:r>
      <w:r w:rsidRPr="005A32C9">
        <w:rPr>
          <w:rFonts w:ascii="Arial" w:hAnsi="Arial" w:cs="Arial"/>
          <w:sz w:val="24"/>
          <w:szCs w:val="24"/>
          <w:u w:val="single"/>
        </w:rPr>
        <w:t>:</w:t>
      </w:r>
      <w:r w:rsidRPr="005A32C9">
        <w:rPr>
          <w:rFonts w:ascii="Arial" w:hAnsi="Arial" w:cs="Arial"/>
          <w:sz w:val="24"/>
          <w:szCs w:val="24"/>
        </w:rPr>
        <w:t xml:space="preserve">  Every month, the settlement form submitted to the IESO regarding the 1588 variance account includes a monthly forecast/estimation for the current month AND a monthly with true-up for the previous month, all under a single claim.  Once the monthly claim is submitted to the IESO, the amount is received as one payment, it is entered in our Accounting General Ledger under only one month.  We now realized that this in incorrect and the single claim should be accounted in two separate entries in our GL; the forecast in one month and the true-up in the previous month.  A revision is </w:t>
      </w:r>
      <w:r w:rsidRPr="005A32C9">
        <w:rPr>
          <w:rFonts w:ascii="Arial" w:hAnsi="Arial" w:cs="Arial"/>
          <w:sz w:val="24"/>
          <w:szCs w:val="24"/>
        </w:rPr>
        <w:lastRenderedPageBreak/>
        <w:t>required to remove the</w:t>
      </w:r>
      <w:r>
        <w:rPr>
          <w:rFonts w:ascii="Arial" w:hAnsi="Arial" w:cs="Arial"/>
          <w:sz w:val="24"/>
          <w:szCs w:val="24"/>
        </w:rPr>
        <w:t xml:space="preserve"> </w:t>
      </w:r>
      <w:r w:rsidRPr="006B1D02">
        <w:rPr>
          <w:rFonts w:ascii="Arial" w:hAnsi="Arial" w:cs="Arial"/>
          <w:color w:val="FF0000"/>
          <w:sz w:val="24"/>
          <w:szCs w:val="24"/>
        </w:rPr>
        <w:t>December true-up in the January 2018 preliminary statement.</w:t>
      </w:r>
    </w:p>
    <w:p w14:paraId="3D76FEA4" w14:textId="1913BB70" w:rsidR="006B1D02" w:rsidRDefault="006B1D02" w:rsidP="006B1D02">
      <w:pPr>
        <w:spacing w:after="0" w:line="240" w:lineRule="auto"/>
        <w:ind w:left="1800"/>
        <w:rPr>
          <w:rFonts w:ascii="Arial" w:hAnsi="Arial" w:cs="Arial"/>
          <w:sz w:val="24"/>
          <w:szCs w:val="24"/>
          <w:u w:val="single"/>
        </w:rPr>
      </w:pPr>
    </w:p>
    <w:p w14:paraId="250A73B5" w14:textId="07993D4E" w:rsidR="006B1D02" w:rsidRPr="006B1D02" w:rsidRDefault="006B1D02" w:rsidP="006B1D02">
      <w:pPr>
        <w:spacing w:after="0" w:line="240" w:lineRule="auto"/>
        <w:ind w:left="1800"/>
        <w:rPr>
          <w:rFonts w:ascii="Arial" w:hAnsi="Arial" w:cs="Arial"/>
          <w:color w:val="FF0000"/>
          <w:sz w:val="24"/>
          <w:szCs w:val="24"/>
        </w:rPr>
      </w:pPr>
      <w:r w:rsidRPr="006B1D02">
        <w:rPr>
          <w:rFonts w:ascii="Arial" w:hAnsi="Arial" w:cs="Arial"/>
          <w:color w:val="FF0000"/>
          <w:sz w:val="24"/>
          <w:szCs w:val="24"/>
        </w:rPr>
        <w:t>The December 2017 true-up included in the January 2018 preliminary statement can be quantified at $22,794.95 which is to be credited from account #1588 as of December 31</w:t>
      </w:r>
      <w:r w:rsidRPr="006B1D02">
        <w:rPr>
          <w:rFonts w:ascii="Arial" w:hAnsi="Arial" w:cs="Arial"/>
          <w:color w:val="FF0000"/>
          <w:sz w:val="24"/>
          <w:szCs w:val="24"/>
          <w:vertAlign w:val="superscript"/>
        </w:rPr>
        <w:t>st</w:t>
      </w:r>
      <w:r w:rsidRPr="006B1D02">
        <w:rPr>
          <w:rFonts w:ascii="Arial" w:hAnsi="Arial" w:cs="Arial"/>
          <w:color w:val="FF0000"/>
          <w:sz w:val="24"/>
          <w:szCs w:val="24"/>
        </w:rPr>
        <w:t>, 2017.</w:t>
      </w:r>
    </w:p>
    <w:p w14:paraId="2B43B156" w14:textId="77777777" w:rsidR="006B1D02" w:rsidRPr="00965CA4" w:rsidRDefault="006B1D02" w:rsidP="00965CA4">
      <w:pPr>
        <w:pStyle w:val="ListParagraph"/>
        <w:spacing w:after="0" w:line="240" w:lineRule="auto"/>
        <w:rPr>
          <w:rFonts w:ascii="Arial" w:hAnsi="Arial" w:cs="Arial"/>
          <w:color w:val="FF0000"/>
          <w:sz w:val="24"/>
          <w:szCs w:val="24"/>
        </w:rPr>
      </w:pPr>
    </w:p>
    <w:p w14:paraId="2362EAF7" w14:textId="77777777" w:rsidR="00965CA4" w:rsidRPr="00965CA4" w:rsidRDefault="00965CA4" w:rsidP="00965CA4">
      <w:pPr>
        <w:spacing w:after="0" w:line="240" w:lineRule="auto"/>
        <w:ind w:left="720"/>
        <w:rPr>
          <w:rFonts w:ascii="Arial" w:hAnsi="Arial" w:cs="Arial"/>
          <w:sz w:val="24"/>
          <w:szCs w:val="24"/>
        </w:rPr>
      </w:pPr>
    </w:p>
    <w:p w14:paraId="36FDBCDD" w14:textId="1CD1950E" w:rsidR="005A32C9" w:rsidRDefault="005A32C9" w:rsidP="005A32C9">
      <w:pPr>
        <w:numPr>
          <w:ilvl w:val="0"/>
          <w:numId w:val="46"/>
        </w:numPr>
        <w:spacing w:after="0" w:line="240" w:lineRule="auto"/>
        <w:rPr>
          <w:rFonts w:ascii="Arial" w:hAnsi="Arial" w:cs="Arial"/>
          <w:sz w:val="24"/>
          <w:szCs w:val="24"/>
        </w:rPr>
      </w:pPr>
      <w:r w:rsidRPr="005A32C9">
        <w:rPr>
          <w:rFonts w:ascii="Arial" w:hAnsi="Arial" w:cs="Arial"/>
          <w:sz w:val="24"/>
          <w:szCs w:val="24"/>
        </w:rPr>
        <w:t xml:space="preserve">Please quantify the amount included in the balance for disposition in Account 1588 that relates to the error related to item 1 and item 2 separately. </w:t>
      </w:r>
    </w:p>
    <w:p w14:paraId="2F500B03" w14:textId="257087E2" w:rsidR="006B1D02" w:rsidRDefault="006B1D02" w:rsidP="006B1D02">
      <w:pPr>
        <w:spacing w:after="0" w:line="240" w:lineRule="auto"/>
        <w:ind w:left="720"/>
        <w:rPr>
          <w:rFonts w:ascii="Arial" w:hAnsi="Arial" w:cs="Arial"/>
          <w:color w:val="FF0000"/>
          <w:sz w:val="24"/>
          <w:szCs w:val="24"/>
        </w:rPr>
      </w:pPr>
      <w:r>
        <w:rPr>
          <w:rFonts w:ascii="Arial" w:hAnsi="Arial" w:cs="Arial"/>
          <w:color w:val="FF0000"/>
          <w:sz w:val="24"/>
          <w:szCs w:val="24"/>
        </w:rPr>
        <w:t xml:space="preserve">Hearst Power: </w:t>
      </w:r>
    </w:p>
    <w:p w14:paraId="6919B66D" w14:textId="686AFF59" w:rsidR="006B1D02" w:rsidRDefault="006B1D02" w:rsidP="006B1D02">
      <w:pPr>
        <w:spacing w:after="0" w:line="240" w:lineRule="auto"/>
        <w:ind w:left="720"/>
        <w:rPr>
          <w:rFonts w:ascii="Arial" w:hAnsi="Arial" w:cs="Arial"/>
          <w:color w:val="FF0000"/>
          <w:sz w:val="24"/>
          <w:szCs w:val="24"/>
        </w:rPr>
      </w:pPr>
      <w:r>
        <w:rPr>
          <w:rFonts w:ascii="Arial" w:hAnsi="Arial" w:cs="Arial"/>
          <w:color w:val="FF0000"/>
          <w:sz w:val="24"/>
          <w:szCs w:val="24"/>
        </w:rPr>
        <w:t>Item #1 - $33,083.11</w:t>
      </w:r>
      <w:r w:rsidR="009E2812">
        <w:rPr>
          <w:rFonts w:ascii="Arial" w:hAnsi="Arial" w:cs="Arial"/>
          <w:color w:val="FF0000"/>
          <w:sz w:val="24"/>
          <w:szCs w:val="24"/>
        </w:rPr>
        <w:t xml:space="preserve"> to be credited from account 1588 in 2017</w:t>
      </w:r>
    </w:p>
    <w:p w14:paraId="722DFD69" w14:textId="7795A58A" w:rsidR="009E2812" w:rsidRDefault="009E2812" w:rsidP="009E2812">
      <w:pPr>
        <w:spacing w:after="0" w:line="240" w:lineRule="auto"/>
        <w:ind w:left="720"/>
        <w:rPr>
          <w:rFonts w:ascii="Arial" w:hAnsi="Arial" w:cs="Arial"/>
          <w:color w:val="FF0000"/>
          <w:sz w:val="24"/>
          <w:szCs w:val="24"/>
        </w:rPr>
      </w:pPr>
      <w:r>
        <w:rPr>
          <w:rFonts w:ascii="Arial" w:hAnsi="Arial" w:cs="Arial"/>
          <w:color w:val="FF0000"/>
          <w:sz w:val="24"/>
          <w:szCs w:val="24"/>
        </w:rPr>
        <w:t>Item #2 - $22,794.95 to be credited from account 1588 in 2017</w:t>
      </w:r>
    </w:p>
    <w:p w14:paraId="6BD2E5AD" w14:textId="77777777" w:rsidR="009E2812" w:rsidRPr="006B1D02" w:rsidRDefault="009E2812" w:rsidP="006B1D02">
      <w:pPr>
        <w:spacing w:after="0" w:line="240" w:lineRule="auto"/>
        <w:ind w:left="720"/>
        <w:rPr>
          <w:rFonts w:ascii="Arial" w:hAnsi="Arial" w:cs="Arial"/>
          <w:color w:val="FF0000"/>
          <w:sz w:val="24"/>
          <w:szCs w:val="24"/>
        </w:rPr>
      </w:pPr>
    </w:p>
    <w:p w14:paraId="3F434746" w14:textId="77777777" w:rsidR="000D2B05" w:rsidRDefault="000D2B05" w:rsidP="00822E84">
      <w:pPr>
        <w:spacing w:after="0" w:line="240" w:lineRule="auto"/>
        <w:rPr>
          <w:rFonts w:ascii="Arial" w:hAnsi="Arial" w:cs="Arial"/>
          <w:sz w:val="24"/>
          <w:szCs w:val="24"/>
        </w:rPr>
      </w:pPr>
    </w:p>
    <w:p w14:paraId="13120BDE" w14:textId="77777777" w:rsidR="00345354" w:rsidRDefault="00345354" w:rsidP="00822E84">
      <w:pPr>
        <w:spacing w:after="0" w:line="240" w:lineRule="auto"/>
        <w:rPr>
          <w:rFonts w:ascii="Arial" w:hAnsi="Arial" w:cs="Arial"/>
          <w:sz w:val="24"/>
          <w:szCs w:val="24"/>
        </w:rPr>
      </w:pPr>
    </w:p>
    <w:p w14:paraId="365E0968" w14:textId="77777777" w:rsidR="00986D75" w:rsidRPr="00BE5CA3" w:rsidRDefault="00986D75" w:rsidP="00986D75">
      <w:pPr>
        <w:spacing w:after="0" w:line="240" w:lineRule="auto"/>
        <w:rPr>
          <w:rFonts w:ascii="Arial" w:hAnsi="Arial" w:cs="Arial"/>
          <w:b/>
          <w:sz w:val="24"/>
          <w:szCs w:val="24"/>
        </w:rPr>
      </w:pPr>
      <w:r>
        <w:rPr>
          <w:rFonts w:ascii="Arial" w:hAnsi="Arial" w:cs="Arial"/>
          <w:b/>
          <w:sz w:val="24"/>
          <w:szCs w:val="24"/>
        </w:rPr>
        <w:t>Staff Question-2</w:t>
      </w:r>
    </w:p>
    <w:p w14:paraId="509BB8BE" w14:textId="77777777" w:rsidR="00986D75" w:rsidRDefault="00986D75" w:rsidP="00986D75">
      <w:pPr>
        <w:spacing w:after="0" w:line="240" w:lineRule="auto"/>
        <w:rPr>
          <w:rFonts w:ascii="Arial" w:hAnsi="Arial" w:cs="Arial"/>
          <w:b/>
          <w:sz w:val="24"/>
          <w:szCs w:val="24"/>
        </w:rPr>
      </w:pPr>
      <w:r w:rsidRPr="00BE5CA3">
        <w:rPr>
          <w:rFonts w:ascii="Arial" w:hAnsi="Arial" w:cs="Arial"/>
          <w:b/>
          <w:sz w:val="24"/>
          <w:szCs w:val="24"/>
        </w:rPr>
        <w:t>Ref:</w:t>
      </w:r>
      <w:r w:rsidRPr="00BE5CA3">
        <w:t xml:space="preserve"> </w:t>
      </w:r>
      <w:r w:rsidRPr="00BE5CA3">
        <w:rPr>
          <w:rFonts w:ascii="Arial" w:hAnsi="Arial" w:cs="Arial"/>
          <w:b/>
          <w:sz w:val="24"/>
          <w:szCs w:val="24"/>
        </w:rPr>
        <w:t xml:space="preserve">Rate Generator Model, </w:t>
      </w:r>
      <w:r>
        <w:rPr>
          <w:rFonts w:ascii="Arial" w:hAnsi="Arial" w:cs="Arial"/>
          <w:b/>
          <w:sz w:val="24"/>
          <w:szCs w:val="24"/>
        </w:rPr>
        <w:t>Various Tabs</w:t>
      </w:r>
    </w:p>
    <w:p w14:paraId="010B2253" w14:textId="77777777" w:rsidR="00986D75" w:rsidRDefault="00986D75" w:rsidP="00986D75">
      <w:pPr>
        <w:spacing w:after="0" w:line="240" w:lineRule="auto"/>
        <w:rPr>
          <w:rFonts w:ascii="Arial" w:hAnsi="Arial" w:cs="Arial"/>
          <w:b/>
          <w:sz w:val="24"/>
          <w:szCs w:val="24"/>
        </w:rPr>
      </w:pPr>
    </w:p>
    <w:p w14:paraId="233080B4" w14:textId="77777777" w:rsidR="00986D75" w:rsidRPr="00172648" w:rsidRDefault="00986D75" w:rsidP="00986D75">
      <w:pPr>
        <w:spacing w:after="0" w:line="240" w:lineRule="auto"/>
        <w:rPr>
          <w:rFonts w:ascii="Arial" w:hAnsi="Arial" w:cs="Arial"/>
          <w:sz w:val="24"/>
          <w:szCs w:val="24"/>
        </w:rPr>
      </w:pPr>
      <w:r>
        <w:rPr>
          <w:rFonts w:ascii="Arial" w:hAnsi="Arial" w:cs="Arial"/>
          <w:sz w:val="24"/>
          <w:szCs w:val="24"/>
        </w:rPr>
        <w:t>OEB staff has made the following edits to Hearst Power’s Rate Generator Model based on its responses to the initial OEB staff questions:</w:t>
      </w:r>
    </w:p>
    <w:p w14:paraId="16C635DD" w14:textId="77777777" w:rsidR="00986D75" w:rsidRDefault="00986D75" w:rsidP="00986D75">
      <w:pPr>
        <w:spacing w:after="0" w:line="240" w:lineRule="auto"/>
        <w:rPr>
          <w:rFonts w:ascii="Arial" w:hAnsi="Arial" w:cs="Arial"/>
          <w:b/>
          <w:sz w:val="24"/>
          <w:szCs w:val="24"/>
        </w:rPr>
      </w:pPr>
    </w:p>
    <w:p w14:paraId="4D0D0E4D" w14:textId="77777777" w:rsidR="00986D75" w:rsidRPr="00172648" w:rsidRDefault="00986D75" w:rsidP="00986D75">
      <w:pPr>
        <w:pStyle w:val="ListParagraph"/>
        <w:numPr>
          <w:ilvl w:val="0"/>
          <w:numId w:val="42"/>
        </w:numPr>
        <w:spacing w:after="160" w:line="259" w:lineRule="auto"/>
        <w:rPr>
          <w:rFonts w:ascii="Arial" w:hAnsi="Arial" w:cs="Arial"/>
          <w:sz w:val="24"/>
        </w:rPr>
      </w:pPr>
      <w:r>
        <w:rPr>
          <w:rFonts w:ascii="Arial" w:hAnsi="Arial" w:cs="Arial"/>
          <w:sz w:val="24"/>
        </w:rPr>
        <w:t>Removed LRAMVA allocation by rate class on Tab 4</w:t>
      </w:r>
    </w:p>
    <w:p w14:paraId="08EA8C36" w14:textId="77777777" w:rsidR="00986D75" w:rsidRPr="00172648" w:rsidRDefault="00986D75" w:rsidP="00986D75">
      <w:pPr>
        <w:pStyle w:val="ListParagraph"/>
        <w:numPr>
          <w:ilvl w:val="0"/>
          <w:numId w:val="42"/>
        </w:numPr>
        <w:spacing w:after="160" w:line="259" w:lineRule="auto"/>
        <w:rPr>
          <w:rFonts w:ascii="Arial" w:hAnsi="Arial" w:cs="Arial"/>
          <w:sz w:val="24"/>
        </w:rPr>
      </w:pPr>
      <w:r w:rsidRPr="00172648">
        <w:rPr>
          <w:rFonts w:ascii="Arial" w:hAnsi="Arial" w:cs="Arial"/>
          <w:sz w:val="24"/>
        </w:rPr>
        <w:t>Checked off box on Tab 4 re: RRR reconciliation</w:t>
      </w:r>
      <w:r>
        <w:rPr>
          <w:rFonts w:ascii="Arial" w:hAnsi="Arial" w:cs="Arial"/>
          <w:sz w:val="24"/>
        </w:rPr>
        <w:t xml:space="preserve"> as per response to staff question 3</w:t>
      </w:r>
    </w:p>
    <w:p w14:paraId="2911A286" w14:textId="77777777" w:rsidR="00986D75" w:rsidRPr="00172648" w:rsidRDefault="00986D75" w:rsidP="00986D75">
      <w:pPr>
        <w:pStyle w:val="ListParagraph"/>
        <w:numPr>
          <w:ilvl w:val="0"/>
          <w:numId w:val="42"/>
        </w:numPr>
        <w:spacing w:after="160" w:line="259" w:lineRule="auto"/>
        <w:rPr>
          <w:rFonts w:ascii="Arial" w:hAnsi="Arial" w:cs="Arial"/>
          <w:sz w:val="24"/>
        </w:rPr>
      </w:pPr>
      <w:r w:rsidRPr="00172648">
        <w:rPr>
          <w:rFonts w:ascii="Arial" w:hAnsi="Arial" w:cs="Arial"/>
          <w:sz w:val="24"/>
        </w:rPr>
        <w:t xml:space="preserve">Adjusted # in cell D20 as per </w:t>
      </w:r>
      <w:r>
        <w:rPr>
          <w:rFonts w:ascii="Arial" w:hAnsi="Arial" w:cs="Arial"/>
          <w:sz w:val="24"/>
        </w:rPr>
        <w:t xml:space="preserve">response to staff question </w:t>
      </w:r>
      <w:r w:rsidRPr="00172648">
        <w:rPr>
          <w:rFonts w:ascii="Arial" w:hAnsi="Arial" w:cs="Arial"/>
          <w:sz w:val="24"/>
        </w:rPr>
        <w:t>4</w:t>
      </w:r>
    </w:p>
    <w:p w14:paraId="2494BD48" w14:textId="77777777" w:rsidR="00986D75" w:rsidRDefault="00986D75" w:rsidP="00986D75">
      <w:pPr>
        <w:pStyle w:val="ListParagraph"/>
        <w:numPr>
          <w:ilvl w:val="0"/>
          <w:numId w:val="42"/>
        </w:numPr>
        <w:spacing w:after="160" w:line="259" w:lineRule="auto"/>
        <w:rPr>
          <w:rFonts w:ascii="Arial" w:hAnsi="Arial" w:cs="Arial"/>
          <w:sz w:val="24"/>
        </w:rPr>
      </w:pPr>
      <w:r w:rsidRPr="00172648">
        <w:rPr>
          <w:rFonts w:ascii="Arial" w:hAnsi="Arial" w:cs="Arial"/>
          <w:sz w:val="24"/>
        </w:rPr>
        <w:t xml:space="preserve">Changed tax impact to $10,182 as per </w:t>
      </w:r>
      <w:r>
        <w:rPr>
          <w:rFonts w:ascii="Arial" w:hAnsi="Arial" w:cs="Arial"/>
          <w:sz w:val="24"/>
        </w:rPr>
        <w:t xml:space="preserve">response to staff question </w:t>
      </w:r>
      <w:r w:rsidRPr="00172648">
        <w:rPr>
          <w:rFonts w:ascii="Arial" w:hAnsi="Arial" w:cs="Arial"/>
          <w:sz w:val="24"/>
        </w:rPr>
        <w:t>6</w:t>
      </w:r>
    </w:p>
    <w:p w14:paraId="792E3B62" w14:textId="77777777" w:rsidR="00986D75" w:rsidRPr="00172648" w:rsidRDefault="00986D75" w:rsidP="00986D75">
      <w:pPr>
        <w:pStyle w:val="ListParagraph"/>
        <w:numPr>
          <w:ilvl w:val="0"/>
          <w:numId w:val="42"/>
        </w:numPr>
        <w:spacing w:after="160" w:line="259" w:lineRule="auto"/>
        <w:rPr>
          <w:rFonts w:ascii="Arial" w:hAnsi="Arial" w:cs="Arial"/>
          <w:sz w:val="24"/>
        </w:rPr>
      </w:pPr>
      <w:r>
        <w:rPr>
          <w:rFonts w:ascii="Arial" w:hAnsi="Arial" w:cs="Arial"/>
          <w:sz w:val="24"/>
        </w:rPr>
        <w:t>Updated tax rate to 15% as per response to staff question 6</w:t>
      </w:r>
    </w:p>
    <w:p w14:paraId="7DA922B2" w14:textId="77777777" w:rsidR="00986D75" w:rsidRPr="00172648" w:rsidRDefault="00986D75" w:rsidP="00986D75">
      <w:pPr>
        <w:pStyle w:val="ListParagraph"/>
        <w:numPr>
          <w:ilvl w:val="0"/>
          <w:numId w:val="42"/>
        </w:numPr>
        <w:spacing w:after="160" w:line="259" w:lineRule="auto"/>
        <w:rPr>
          <w:rFonts w:ascii="Arial" w:hAnsi="Arial" w:cs="Arial"/>
          <w:sz w:val="24"/>
        </w:rPr>
      </w:pPr>
      <w:r w:rsidRPr="00172648">
        <w:rPr>
          <w:rFonts w:ascii="Arial" w:hAnsi="Arial" w:cs="Arial"/>
          <w:sz w:val="24"/>
        </w:rPr>
        <w:t>Updated price escalator to 1.5%</w:t>
      </w:r>
      <w:r>
        <w:rPr>
          <w:rStyle w:val="FootnoteReference"/>
          <w:rFonts w:ascii="Arial" w:hAnsi="Arial" w:cs="Arial"/>
          <w:sz w:val="24"/>
        </w:rPr>
        <w:footnoteReference w:id="1"/>
      </w:r>
    </w:p>
    <w:p w14:paraId="5CA50FDB" w14:textId="42FC9EBC" w:rsidR="00986D75" w:rsidRDefault="00986D75" w:rsidP="00986D75">
      <w:pPr>
        <w:spacing w:after="0" w:line="240" w:lineRule="auto"/>
        <w:rPr>
          <w:rFonts w:ascii="Arial" w:hAnsi="Arial" w:cs="Arial"/>
          <w:sz w:val="24"/>
          <w:szCs w:val="24"/>
        </w:rPr>
      </w:pPr>
      <w:r w:rsidRPr="00172648">
        <w:rPr>
          <w:rFonts w:ascii="Arial" w:hAnsi="Arial" w:cs="Arial"/>
          <w:sz w:val="24"/>
          <w:szCs w:val="24"/>
        </w:rPr>
        <w:t>Please review the updated Rate Generator Model</w:t>
      </w:r>
      <w:r>
        <w:rPr>
          <w:rFonts w:ascii="Arial" w:hAnsi="Arial" w:cs="Arial"/>
          <w:sz w:val="24"/>
          <w:szCs w:val="24"/>
        </w:rPr>
        <w:t xml:space="preserve"> and bill impacts provided with these questions </w:t>
      </w:r>
      <w:r w:rsidRPr="00172648">
        <w:rPr>
          <w:rFonts w:ascii="Arial" w:hAnsi="Arial" w:cs="Arial"/>
          <w:sz w:val="24"/>
          <w:szCs w:val="24"/>
        </w:rPr>
        <w:t>and confirm Hearst Power</w:t>
      </w:r>
      <w:r>
        <w:rPr>
          <w:rFonts w:ascii="Arial" w:hAnsi="Arial" w:cs="Arial"/>
          <w:sz w:val="24"/>
          <w:szCs w:val="24"/>
        </w:rPr>
        <w:t>’</w:t>
      </w:r>
      <w:r w:rsidRPr="00172648">
        <w:rPr>
          <w:rFonts w:ascii="Arial" w:hAnsi="Arial" w:cs="Arial"/>
          <w:sz w:val="24"/>
          <w:szCs w:val="24"/>
        </w:rPr>
        <w:t xml:space="preserve">s acceptance of the updated model. </w:t>
      </w:r>
      <w:r>
        <w:rPr>
          <w:rFonts w:ascii="Arial" w:hAnsi="Arial" w:cs="Arial"/>
          <w:sz w:val="24"/>
          <w:szCs w:val="24"/>
        </w:rPr>
        <w:t>If any further edits are required throughout the remainder of this proceeding, please ensure to make them to this version of the model.</w:t>
      </w:r>
    </w:p>
    <w:p w14:paraId="70627905" w14:textId="0CC9B625" w:rsidR="009E2812" w:rsidRDefault="009E2812" w:rsidP="00986D75">
      <w:pPr>
        <w:spacing w:after="0" w:line="240" w:lineRule="auto"/>
        <w:rPr>
          <w:rFonts w:ascii="Arial" w:hAnsi="Arial" w:cs="Arial"/>
          <w:sz w:val="24"/>
          <w:szCs w:val="24"/>
        </w:rPr>
      </w:pPr>
    </w:p>
    <w:p w14:paraId="315D70B3" w14:textId="35D24451" w:rsidR="009E2812" w:rsidRDefault="009E2812" w:rsidP="00986D75">
      <w:pPr>
        <w:spacing w:after="0" w:line="240" w:lineRule="auto"/>
        <w:rPr>
          <w:rFonts w:ascii="Arial" w:hAnsi="Arial" w:cs="Arial"/>
          <w:color w:val="FF0000"/>
          <w:sz w:val="24"/>
          <w:szCs w:val="24"/>
        </w:rPr>
      </w:pPr>
      <w:r>
        <w:rPr>
          <w:rFonts w:ascii="Arial" w:hAnsi="Arial" w:cs="Arial"/>
          <w:sz w:val="24"/>
          <w:szCs w:val="24"/>
        </w:rPr>
        <w:tab/>
      </w:r>
      <w:r>
        <w:rPr>
          <w:rFonts w:ascii="Arial" w:hAnsi="Arial" w:cs="Arial"/>
          <w:color w:val="FF0000"/>
          <w:sz w:val="24"/>
          <w:szCs w:val="24"/>
        </w:rPr>
        <w:t>Hearst Power:</w:t>
      </w:r>
    </w:p>
    <w:p w14:paraId="5E93B935" w14:textId="3ADA2D71" w:rsidR="009E2812" w:rsidRPr="009E2812" w:rsidRDefault="009E2812" w:rsidP="00E45AE7">
      <w:pPr>
        <w:spacing w:after="0" w:line="240" w:lineRule="auto"/>
        <w:ind w:left="720"/>
        <w:rPr>
          <w:rFonts w:ascii="Arial" w:hAnsi="Arial" w:cs="Arial"/>
          <w:color w:val="FF0000"/>
          <w:sz w:val="24"/>
          <w:szCs w:val="24"/>
        </w:rPr>
      </w:pPr>
      <w:r>
        <w:rPr>
          <w:rFonts w:ascii="Arial" w:hAnsi="Arial" w:cs="Arial"/>
          <w:color w:val="FF0000"/>
          <w:sz w:val="24"/>
          <w:szCs w:val="24"/>
        </w:rPr>
        <w:t>Hearst Power is in agreement with the statement in</w:t>
      </w:r>
      <w:r w:rsidR="00E45AE7">
        <w:rPr>
          <w:rFonts w:ascii="Arial" w:hAnsi="Arial" w:cs="Arial"/>
          <w:color w:val="FF0000"/>
          <w:sz w:val="24"/>
          <w:szCs w:val="24"/>
        </w:rPr>
        <w:t>clude</w:t>
      </w:r>
      <w:r w:rsidR="00885435">
        <w:rPr>
          <w:rFonts w:ascii="Arial" w:hAnsi="Arial" w:cs="Arial"/>
          <w:color w:val="FF0000"/>
          <w:sz w:val="24"/>
          <w:szCs w:val="24"/>
        </w:rPr>
        <w:t>d</w:t>
      </w:r>
      <w:bookmarkStart w:id="0" w:name="_GoBack"/>
      <w:bookmarkEnd w:id="0"/>
      <w:r w:rsidR="00E45AE7">
        <w:rPr>
          <w:rFonts w:ascii="Arial" w:hAnsi="Arial" w:cs="Arial"/>
          <w:color w:val="FF0000"/>
          <w:sz w:val="24"/>
          <w:szCs w:val="24"/>
        </w:rPr>
        <w:t xml:space="preserve"> in Staff Question-2 above.</w:t>
      </w:r>
    </w:p>
    <w:p w14:paraId="435E34E0" w14:textId="77777777" w:rsidR="00345354" w:rsidRPr="00172648" w:rsidRDefault="00345354" w:rsidP="00822E84">
      <w:pPr>
        <w:spacing w:after="0" w:line="240" w:lineRule="auto"/>
        <w:rPr>
          <w:rFonts w:ascii="Arial" w:hAnsi="Arial" w:cs="Arial"/>
          <w:sz w:val="24"/>
          <w:szCs w:val="24"/>
        </w:rPr>
      </w:pPr>
    </w:p>
    <w:sectPr w:rsidR="00345354" w:rsidRPr="00172648" w:rsidSect="00EA0919">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53DEC" w14:textId="77777777" w:rsidR="008225DD" w:rsidRDefault="008225DD" w:rsidP="008225DD">
      <w:pPr>
        <w:spacing w:after="0" w:line="240" w:lineRule="auto"/>
      </w:pPr>
      <w:r>
        <w:separator/>
      </w:r>
    </w:p>
  </w:endnote>
  <w:endnote w:type="continuationSeparator" w:id="0">
    <w:p w14:paraId="3BD7C263" w14:textId="77777777" w:rsidR="008225DD" w:rsidRDefault="008225DD" w:rsidP="0082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50860"/>
      <w:docPartObj>
        <w:docPartGallery w:val="Page Numbers (Bottom of Page)"/>
        <w:docPartUnique/>
      </w:docPartObj>
    </w:sdtPr>
    <w:sdtEndPr>
      <w:rPr>
        <w:noProof/>
      </w:rPr>
    </w:sdtEndPr>
    <w:sdtContent>
      <w:p w14:paraId="133D67E0" w14:textId="77777777" w:rsidR="008225DD" w:rsidRDefault="008225DD">
        <w:pPr>
          <w:pStyle w:val="Footer"/>
          <w:jc w:val="right"/>
        </w:pPr>
        <w:r>
          <w:fldChar w:fldCharType="begin"/>
        </w:r>
        <w:r>
          <w:instrText xml:space="preserve"> PAGE   \* MERGEFORMAT </w:instrText>
        </w:r>
        <w:r>
          <w:fldChar w:fldCharType="separate"/>
        </w:r>
        <w:r w:rsidR="002E33D5">
          <w:rPr>
            <w:noProof/>
          </w:rPr>
          <w:t>2</w:t>
        </w:r>
        <w:r>
          <w:rPr>
            <w:noProof/>
          </w:rPr>
          <w:fldChar w:fldCharType="end"/>
        </w:r>
      </w:p>
    </w:sdtContent>
  </w:sdt>
  <w:p w14:paraId="35C6B925" w14:textId="77777777" w:rsidR="008225DD" w:rsidRDefault="0082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28CAB" w14:textId="77777777" w:rsidR="008225DD" w:rsidRDefault="008225DD" w:rsidP="008225DD">
      <w:pPr>
        <w:spacing w:after="0" w:line="240" w:lineRule="auto"/>
      </w:pPr>
      <w:r>
        <w:separator/>
      </w:r>
    </w:p>
  </w:footnote>
  <w:footnote w:type="continuationSeparator" w:id="0">
    <w:p w14:paraId="08060E8C" w14:textId="77777777" w:rsidR="008225DD" w:rsidRDefault="008225DD" w:rsidP="008225DD">
      <w:pPr>
        <w:spacing w:after="0" w:line="240" w:lineRule="auto"/>
      </w:pPr>
      <w:r>
        <w:continuationSeparator/>
      </w:r>
    </w:p>
  </w:footnote>
  <w:footnote w:id="1">
    <w:p w14:paraId="5E15D400" w14:textId="77777777" w:rsidR="00986D75" w:rsidRDefault="00986D75" w:rsidP="00986D75">
      <w:pPr>
        <w:pStyle w:val="FootnoteText"/>
      </w:pPr>
      <w:r>
        <w:rPr>
          <w:rStyle w:val="FootnoteReference"/>
        </w:rPr>
        <w:footnoteRef/>
      </w:r>
      <w:r>
        <w:t xml:space="preserve"> </w:t>
      </w:r>
      <w:hyperlink r:id="rId1" w:anchor="updates" w:history="1">
        <w:r w:rsidRPr="00961E12">
          <w:rPr>
            <w:rStyle w:val="Hyperlink"/>
          </w:rPr>
          <w:t>https://www.oeb.ca/industry/applications-oeb/electricity-distribution-rates/2019-electricity-distribution-rate#updates</w:t>
        </w:r>
      </w:hyperlink>
    </w:p>
    <w:p w14:paraId="0672E76F" w14:textId="77777777" w:rsidR="00986D75" w:rsidRPr="005A32C9" w:rsidRDefault="00986D75" w:rsidP="00986D75">
      <w:pPr>
        <w:pStyle w:val="FootnoteText"/>
        <w:rPr>
          <w:lang w:val="en-US"/>
        </w:rPr>
      </w:pPr>
      <w:r>
        <w:t>Announced November 23,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7BF8"/>
    <w:multiLevelType w:val="hybridMultilevel"/>
    <w:tmpl w:val="93DAA002"/>
    <w:lvl w:ilvl="0" w:tplc="FF60A7E0">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31E3"/>
    <w:multiLevelType w:val="hybridMultilevel"/>
    <w:tmpl w:val="DD3AAFF8"/>
    <w:lvl w:ilvl="0" w:tplc="4ED2287E">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DE6E14"/>
    <w:multiLevelType w:val="hybridMultilevel"/>
    <w:tmpl w:val="3104F2F2"/>
    <w:lvl w:ilvl="0" w:tplc="ECD66BB2">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D70D4"/>
    <w:multiLevelType w:val="hybridMultilevel"/>
    <w:tmpl w:val="4ACE3060"/>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0B263B"/>
    <w:multiLevelType w:val="hybridMultilevel"/>
    <w:tmpl w:val="671E422E"/>
    <w:lvl w:ilvl="0" w:tplc="59989C0A">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0A93B40"/>
    <w:multiLevelType w:val="hybridMultilevel"/>
    <w:tmpl w:val="40B83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9795126"/>
    <w:multiLevelType w:val="hybridMultilevel"/>
    <w:tmpl w:val="B7F602C6"/>
    <w:lvl w:ilvl="0" w:tplc="4660325C">
      <w:start w:val="2"/>
      <w:numFmt w:val="decimal"/>
      <w:lvlText w:val="%1."/>
      <w:lvlJc w:val="left"/>
      <w:pPr>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94A05FF"/>
    <w:multiLevelType w:val="hybridMultilevel"/>
    <w:tmpl w:val="8CF4F0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37657"/>
    <w:multiLevelType w:val="hybridMultilevel"/>
    <w:tmpl w:val="78A24C6C"/>
    <w:lvl w:ilvl="0" w:tplc="61C40264">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AD667D1"/>
    <w:multiLevelType w:val="hybridMultilevel"/>
    <w:tmpl w:val="7EF28056"/>
    <w:lvl w:ilvl="0" w:tplc="FACCFE04">
      <w:start w:val="1"/>
      <w:numFmt w:val="lowerLetter"/>
      <w:lvlText w:val="(%1)"/>
      <w:lvlJc w:val="left"/>
      <w:pPr>
        <w:ind w:left="1440" w:hanging="360"/>
      </w:pPr>
      <w:rPr>
        <w:rFonts w:ascii="Arial" w:eastAsiaTheme="minorHAnsi"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3DE657B4"/>
    <w:multiLevelType w:val="hybridMultilevel"/>
    <w:tmpl w:val="46EAE89E"/>
    <w:lvl w:ilvl="0" w:tplc="9D8A51C2">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1B74734"/>
    <w:multiLevelType w:val="hybridMultilevel"/>
    <w:tmpl w:val="C3BE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33390"/>
    <w:multiLevelType w:val="hybridMultilevel"/>
    <w:tmpl w:val="0C94DAE4"/>
    <w:lvl w:ilvl="0" w:tplc="E4EE3EAE">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D217CB"/>
    <w:multiLevelType w:val="hybridMultilevel"/>
    <w:tmpl w:val="93802D6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968BF"/>
    <w:multiLevelType w:val="hybridMultilevel"/>
    <w:tmpl w:val="4ACE3060"/>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2653555"/>
    <w:multiLevelType w:val="hybridMultilevel"/>
    <w:tmpl w:val="8DC89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EA34BA"/>
    <w:multiLevelType w:val="hybridMultilevel"/>
    <w:tmpl w:val="1906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58E0152"/>
    <w:multiLevelType w:val="hybridMultilevel"/>
    <w:tmpl w:val="B032E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5DF224B"/>
    <w:multiLevelType w:val="hybridMultilevel"/>
    <w:tmpl w:val="95D46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65C3492"/>
    <w:multiLevelType w:val="hybridMultilevel"/>
    <w:tmpl w:val="6548DED2"/>
    <w:lvl w:ilvl="0" w:tplc="A418A15A">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06F3466"/>
    <w:multiLevelType w:val="hybridMultilevel"/>
    <w:tmpl w:val="2166C1B4"/>
    <w:lvl w:ilvl="0" w:tplc="6E96E5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1"/>
  </w:num>
  <w:num w:numId="3">
    <w:abstractNumId w:val="38"/>
  </w:num>
  <w:num w:numId="4">
    <w:abstractNumId w:val="47"/>
  </w:num>
  <w:num w:numId="5">
    <w:abstractNumId w:val="21"/>
  </w:num>
  <w:num w:numId="6">
    <w:abstractNumId w:val="14"/>
  </w:num>
  <w:num w:numId="7">
    <w:abstractNumId w:val="34"/>
  </w:num>
  <w:num w:numId="8">
    <w:abstractNumId w:val="26"/>
  </w:num>
  <w:num w:numId="9">
    <w:abstractNumId w:val="27"/>
  </w:num>
  <w:num w:numId="10">
    <w:abstractNumId w:val="9"/>
  </w:num>
  <w:num w:numId="11">
    <w:abstractNumId w:val="33"/>
  </w:num>
  <w:num w:numId="12">
    <w:abstractNumId w:val="41"/>
  </w:num>
  <w:num w:numId="13">
    <w:abstractNumId w:val="8"/>
  </w:num>
  <w:num w:numId="14">
    <w:abstractNumId w:val="5"/>
  </w:num>
  <w:num w:numId="15">
    <w:abstractNumId w:val="46"/>
  </w:num>
  <w:num w:numId="16">
    <w:abstractNumId w:val="12"/>
  </w:num>
  <w:num w:numId="17">
    <w:abstractNumId w:val="36"/>
  </w:num>
  <w:num w:numId="18">
    <w:abstractNumId w:val="43"/>
  </w:num>
  <w:num w:numId="19">
    <w:abstractNumId w:val="45"/>
  </w:num>
  <w:num w:numId="20">
    <w:abstractNumId w:val="20"/>
  </w:num>
  <w:num w:numId="21">
    <w:abstractNumId w:val="42"/>
  </w:num>
  <w:num w:numId="22">
    <w:abstractNumId w:val="18"/>
  </w:num>
  <w:num w:numId="23">
    <w:abstractNumId w:val="39"/>
  </w:num>
  <w:num w:numId="24">
    <w:abstractNumId w:val="37"/>
  </w:num>
  <w:num w:numId="25">
    <w:abstractNumId w:val="6"/>
  </w:num>
  <w:num w:numId="26">
    <w:abstractNumId w:val="30"/>
  </w:num>
  <w:num w:numId="27">
    <w:abstractNumId w:val="35"/>
  </w:num>
  <w:num w:numId="28">
    <w:abstractNumId w:val="28"/>
  </w:num>
  <w:num w:numId="29">
    <w:abstractNumId w:val="0"/>
  </w:num>
  <w:num w:numId="30">
    <w:abstractNumId w:val="40"/>
  </w:num>
  <w:num w:numId="31">
    <w:abstractNumId w:val="19"/>
  </w:num>
  <w:num w:numId="32">
    <w:abstractNumId w:val="22"/>
  </w:num>
  <w:num w:numId="33">
    <w:abstractNumId w:val="23"/>
  </w:num>
  <w:num w:numId="34">
    <w:abstractNumId w:val="10"/>
  </w:num>
  <w:num w:numId="35">
    <w:abstractNumId w:val="7"/>
  </w:num>
  <w:num w:numId="36">
    <w:abstractNumId w:val="32"/>
  </w:num>
  <w:num w:numId="37">
    <w:abstractNumId w:val="1"/>
  </w:num>
  <w:num w:numId="38">
    <w:abstractNumId w:val="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5"/>
  </w:num>
  <w:num w:numId="44">
    <w:abstractNumId w:val="15"/>
  </w:num>
  <w:num w:numId="45">
    <w:abstractNumId w:val="24"/>
  </w:num>
  <w:num w:numId="46">
    <w:abstractNumId w:val="44"/>
  </w:num>
  <w:num w:numId="47">
    <w:abstractNumId w:val="4"/>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0F58"/>
    <w:rsid w:val="0003073C"/>
    <w:rsid w:val="00035337"/>
    <w:rsid w:val="00054071"/>
    <w:rsid w:val="0006126D"/>
    <w:rsid w:val="00067F57"/>
    <w:rsid w:val="00071BEC"/>
    <w:rsid w:val="00074514"/>
    <w:rsid w:val="0008101B"/>
    <w:rsid w:val="000832D4"/>
    <w:rsid w:val="00090160"/>
    <w:rsid w:val="000B3E7E"/>
    <w:rsid w:val="000C138C"/>
    <w:rsid w:val="000C7BED"/>
    <w:rsid w:val="000D223C"/>
    <w:rsid w:val="000D2B05"/>
    <w:rsid w:val="000E4006"/>
    <w:rsid w:val="000F1E3A"/>
    <w:rsid w:val="001431DF"/>
    <w:rsid w:val="00164E99"/>
    <w:rsid w:val="00172648"/>
    <w:rsid w:val="00183CC8"/>
    <w:rsid w:val="00187E9B"/>
    <w:rsid w:val="001927C2"/>
    <w:rsid w:val="001A1312"/>
    <w:rsid w:val="001A4DCD"/>
    <w:rsid w:val="001B4A14"/>
    <w:rsid w:val="002019F6"/>
    <w:rsid w:val="00203092"/>
    <w:rsid w:val="002208C0"/>
    <w:rsid w:val="00224C06"/>
    <w:rsid w:val="00234F26"/>
    <w:rsid w:val="0025687C"/>
    <w:rsid w:val="00274A48"/>
    <w:rsid w:val="00291CCC"/>
    <w:rsid w:val="002A6415"/>
    <w:rsid w:val="002B7B7C"/>
    <w:rsid w:val="002C2BF2"/>
    <w:rsid w:val="002C7EF6"/>
    <w:rsid w:val="002E33D5"/>
    <w:rsid w:val="002F4756"/>
    <w:rsid w:val="00300EE0"/>
    <w:rsid w:val="00302509"/>
    <w:rsid w:val="003049C5"/>
    <w:rsid w:val="00327AB8"/>
    <w:rsid w:val="00332436"/>
    <w:rsid w:val="00340C00"/>
    <w:rsid w:val="00345354"/>
    <w:rsid w:val="003702D1"/>
    <w:rsid w:val="00373FAD"/>
    <w:rsid w:val="003777B5"/>
    <w:rsid w:val="003832E7"/>
    <w:rsid w:val="00391F3C"/>
    <w:rsid w:val="003932F9"/>
    <w:rsid w:val="003A20A0"/>
    <w:rsid w:val="003A58B0"/>
    <w:rsid w:val="00400DFC"/>
    <w:rsid w:val="00412DC6"/>
    <w:rsid w:val="004377B0"/>
    <w:rsid w:val="00472C81"/>
    <w:rsid w:val="00475032"/>
    <w:rsid w:val="00481FFD"/>
    <w:rsid w:val="004859EF"/>
    <w:rsid w:val="004B1608"/>
    <w:rsid w:val="005164F5"/>
    <w:rsid w:val="00516B1D"/>
    <w:rsid w:val="00522D6D"/>
    <w:rsid w:val="0052560F"/>
    <w:rsid w:val="00530735"/>
    <w:rsid w:val="00536D93"/>
    <w:rsid w:val="005666F2"/>
    <w:rsid w:val="00572064"/>
    <w:rsid w:val="005740F8"/>
    <w:rsid w:val="00584369"/>
    <w:rsid w:val="00587A35"/>
    <w:rsid w:val="005A32C9"/>
    <w:rsid w:val="005A6264"/>
    <w:rsid w:val="005F4693"/>
    <w:rsid w:val="0061712E"/>
    <w:rsid w:val="0064279A"/>
    <w:rsid w:val="00691086"/>
    <w:rsid w:val="006A2C6F"/>
    <w:rsid w:val="006A5D23"/>
    <w:rsid w:val="006B1D02"/>
    <w:rsid w:val="006C78E6"/>
    <w:rsid w:val="006E3D58"/>
    <w:rsid w:val="00704EE5"/>
    <w:rsid w:val="007066E2"/>
    <w:rsid w:val="00722640"/>
    <w:rsid w:val="0073197E"/>
    <w:rsid w:val="00744C7D"/>
    <w:rsid w:val="00746080"/>
    <w:rsid w:val="00772B57"/>
    <w:rsid w:val="00780BFE"/>
    <w:rsid w:val="00781D04"/>
    <w:rsid w:val="00784D41"/>
    <w:rsid w:val="007868A9"/>
    <w:rsid w:val="007C2D45"/>
    <w:rsid w:val="007C6E35"/>
    <w:rsid w:val="007F49EB"/>
    <w:rsid w:val="00805FDA"/>
    <w:rsid w:val="00812C1B"/>
    <w:rsid w:val="008225DD"/>
    <w:rsid w:val="00822E84"/>
    <w:rsid w:val="00835AD0"/>
    <w:rsid w:val="00873257"/>
    <w:rsid w:val="008747B3"/>
    <w:rsid w:val="008813C3"/>
    <w:rsid w:val="00885435"/>
    <w:rsid w:val="008926F0"/>
    <w:rsid w:val="008964E8"/>
    <w:rsid w:val="008A23C3"/>
    <w:rsid w:val="008A48F6"/>
    <w:rsid w:val="008E6045"/>
    <w:rsid w:val="0090113B"/>
    <w:rsid w:val="00931A4E"/>
    <w:rsid w:val="0093258A"/>
    <w:rsid w:val="009425AC"/>
    <w:rsid w:val="0094373C"/>
    <w:rsid w:val="00946DEE"/>
    <w:rsid w:val="00951E2B"/>
    <w:rsid w:val="00952939"/>
    <w:rsid w:val="0095439F"/>
    <w:rsid w:val="00961EA0"/>
    <w:rsid w:val="00965CA4"/>
    <w:rsid w:val="00974D49"/>
    <w:rsid w:val="009846BB"/>
    <w:rsid w:val="00986D75"/>
    <w:rsid w:val="009A5C44"/>
    <w:rsid w:val="009B03AF"/>
    <w:rsid w:val="009C4216"/>
    <w:rsid w:val="009D02C2"/>
    <w:rsid w:val="009D5F4B"/>
    <w:rsid w:val="009E2812"/>
    <w:rsid w:val="009E626E"/>
    <w:rsid w:val="009E7CBF"/>
    <w:rsid w:val="00A07077"/>
    <w:rsid w:val="00A26524"/>
    <w:rsid w:val="00A27901"/>
    <w:rsid w:val="00A4366B"/>
    <w:rsid w:val="00A50DD0"/>
    <w:rsid w:val="00A516B0"/>
    <w:rsid w:val="00A5620A"/>
    <w:rsid w:val="00A9183D"/>
    <w:rsid w:val="00AA06D9"/>
    <w:rsid w:val="00AC2406"/>
    <w:rsid w:val="00AD3FCF"/>
    <w:rsid w:val="00AE0770"/>
    <w:rsid w:val="00B03802"/>
    <w:rsid w:val="00B069AA"/>
    <w:rsid w:val="00B23A36"/>
    <w:rsid w:val="00B25576"/>
    <w:rsid w:val="00B25EF5"/>
    <w:rsid w:val="00B50EB2"/>
    <w:rsid w:val="00B6722A"/>
    <w:rsid w:val="00B72AEF"/>
    <w:rsid w:val="00B82D78"/>
    <w:rsid w:val="00B93C81"/>
    <w:rsid w:val="00BA434C"/>
    <w:rsid w:val="00BB203A"/>
    <w:rsid w:val="00BD4F65"/>
    <w:rsid w:val="00BE5CA3"/>
    <w:rsid w:val="00C06F9E"/>
    <w:rsid w:val="00C13E6B"/>
    <w:rsid w:val="00C1487D"/>
    <w:rsid w:val="00C2370B"/>
    <w:rsid w:val="00C624D5"/>
    <w:rsid w:val="00C848A0"/>
    <w:rsid w:val="00C878C5"/>
    <w:rsid w:val="00C944CD"/>
    <w:rsid w:val="00C96AEA"/>
    <w:rsid w:val="00CA53C6"/>
    <w:rsid w:val="00CC0B6D"/>
    <w:rsid w:val="00CE1CD3"/>
    <w:rsid w:val="00CE2823"/>
    <w:rsid w:val="00CE4F01"/>
    <w:rsid w:val="00D2213E"/>
    <w:rsid w:val="00D55546"/>
    <w:rsid w:val="00D6213C"/>
    <w:rsid w:val="00D647C0"/>
    <w:rsid w:val="00D77694"/>
    <w:rsid w:val="00D77B0F"/>
    <w:rsid w:val="00DB6B52"/>
    <w:rsid w:val="00DE5488"/>
    <w:rsid w:val="00DE75AC"/>
    <w:rsid w:val="00DF3237"/>
    <w:rsid w:val="00DF5A52"/>
    <w:rsid w:val="00DF5E69"/>
    <w:rsid w:val="00E17C58"/>
    <w:rsid w:val="00E231C2"/>
    <w:rsid w:val="00E429DA"/>
    <w:rsid w:val="00E45AE7"/>
    <w:rsid w:val="00E62C2A"/>
    <w:rsid w:val="00E8586E"/>
    <w:rsid w:val="00E96A06"/>
    <w:rsid w:val="00EA0919"/>
    <w:rsid w:val="00EB5240"/>
    <w:rsid w:val="00EC0B55"/>
    <w:rsid w:val="00ED7597"/>
    <w:rsid w:val="00EF1F0D"/>
    <w:rsid w:val="00F034BF"/>
    <w:rsid w:val="00F233A3"/>
    <w:rsid w:val="00F26D30"/>
    <w:rsid w:val="00F57152"/>
    <w:rsid w:val="00F70964"/>
    <w:rsid w:val="00F7362C"/>
    <w:rsid w:val="00F81039"/>
    <w:rsid w:val="00F92F61"/>
    <w:rsid w:val="00FB1A17"/>
    <w:rsid w:val="00FB6F10"/>
    <w:rsid w:val="00FC4CF8"/>
    <w:rsid w:val="00FC5DA7"/>
    <w:rsid w:val="00FD45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A2C1"/>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5DD"/>
  </w:style>
  <w:style w:type="paragraph" w:styleId="NoSpacing">
    <w:name w:val="No Spacing"/>
    <w:uiPriority w:val="1"/>
    <w:qFormat/>
    <w:rsid w:val="009846BB"/>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A918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183D"/>
    <w:rPr>
      <w:sz w:val="20"/>
      <w:szCs w:val="20"/>
    </w:rPr>
  </w:style>
  <w:style w:type="character" w:styleId="FootnoteReference">
    <w:name w:val="footnote reference"/>
    <w:basedOn w:val="DefaultParagraphFont"/>
    <w:uiPriority w:val="99"/>
    <w:semiHidden/>
    <w:unhideWhenUsed/>
    <w:rsid w:val="00A9183D"/>
    <w:rPr>
      <w:vertAlign w:val="superscript"/>
    </w:rPr>
  </w:style>
  <w:style w:type="character" w:styleId="Hyperlink">
    <w:name w:val="Hyperlink"/>
    <w:basedOn w:val="DefaultParagraphFont"/>
    <w:uiPriority w:val="99"/>
    <w:unhideWhenUsed/>
    <w:rsid w:val="005A32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047486486">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eb.ca/industry/applications-oeb/electricity-distribution-rates/2019-electricity-distribution-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48280-7091-496B-B188-56E02C8F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Jessy Richard</cp:lastModifiedBy>
  <cp:revision>4</cp:revision>
  <cp:lastPrinted>2014-09-29T14:43:00Z</cp:lastPrinted>
  <dcterms:created xsi:type="dcterms:W3CDTF">2019-01-07T14:26:00Z</dcterms:created>
  <dcterms:modified xsi:type="dcterms:W3CDTF">2019-01-07T16:43:00Z</dcterms:modified>
</cp:coreProperties>
</file>