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2E7" w:rsidRPr="00AE62C4" w:rsidRDefault="00434693" w:rsidP="003832E7">
      <w:pPr>
        <w:pStyle w:val="Default"/>
        <w:jc w:val="right"/>
        <w:rPr>
          <w:rFonts w:ascii="Arial" w:hAnsi="Arial" w:cs="Arial"/>
          <w:sz w:val="22"/>
          <w:szCs w:val="22"/>
        </w:rPr>
      </w:pPr>
      <w:r>
        <w:rPr>
          <w:rFonts w:ascii="Arial" w:hAnsi="Arial" w:cs="Arial"/>
          <w:bCs/>
          <w:sz w:val="22"/>
          <w:szCs w:val="22"/>
        </w:rPr>
        <w:t>Thunder Bay Hydro Electricity Distribution Inc</w:t>
      </w:r>
      <w:r w:rsidR="00AE62C4" w:rsidRPr="00AE62C4">
        <w:rPr>
          <w:rFonts w:ascii="Arial" w:hAnsi="Arial" w:cs="Arial"/>
          <w:bCs/>
          <w:sz w:val="22"/>
          <w:szCs w:val="22"/>
        </w:rPr>
        <w:t>.</w:t>
      </w:r>
      <w:r w:rsidR="00CC0B6D" w:rsidRPr="00AE62C4">
        <w:rPr>
          <w:rFonts w:ascii="Arial" w:hAnsi="Arial" w:cs="Arial"/>
          <w:bCs/>
          <w:sz w:val="22"/>
          <w:szCs w:val="22"/>
        </w:rPr>
        <w:t xml:space="preserve"> </w:t>
      </w:r>
    </w:p>
    <w:p w:rsidR="00A07077" w:rsidRPr="00AE62C4" w:rsidRDefault="008A48F6" w:rsidP="00A07077">
      <w:pPr>
        <w:pStyle w:val="Default"/>
        <w:jc w:val="right"/>
        <w:rPr>
          <w:rFonts w:ascii="Arial" w:hAnsi="Arial" w:cs="Arial"/>
          <w:sz w:val="22"/>
          <w:szCs w:val="22"/>
        </w:rPr>
      </w:pPr>
      <w:r w:rsidRPr="00AE62C4">
        <w:rPr>
          <w:rFonts w:ascii="Arial" w:hAnsi="Arial" w:cs="Arial"/>
          <w:sz w:val="22"/>
          <w:szCs w:val="22"/>
        </w:rPr>
        <w:t>OEB</w:t>
      </w:r>
      <w:r w:rsidR="00A07077" w:rsidRPr="00AE62C4">
        <w:rPr>
          <w:rFonts w:ascii="Arial" w:hAnsi="Arial" w:cs="Arial"/>
          <w:sz w:val="22"/>
          <w:szCs w:val="22"/>
        </w:rPr>
        <w:t xml:space="preserve"> Staff </w:t>
      </w:r>
      <w:r w:rsidR="008813C3" w:rsidRPr="00AE62C4">
        <w:rPr>
          <w:rFonts w:ascii="Arial" w:hAnsi="Arial" w:cs="Arial"/>
          <w:sz w:val="22"/>
          <w:szCs w:val="22"/>
        </w:rPr>
        <w:t>Questions</w:t>
      </w:r>
    </w:p>
    <w:p w:rsidR="00A07077" w:rsidRDefault="00090160" w:rsidP="00B069AA">
      <w:pPr>
        <w:pStyle w:val="Default"/>
        <w:jc w:val="right"/>
        <w:rPr>
          <w:rFonts w:ascii="Arial" w:hAnsi="Arial" w:cs="Arial"/>
          <w:sz w:val="22"/>
          <w:szCs w:val="22"/>
        </w:rPr>
      </w:pPr>
      <w:r w:rsidRPr="00AE62C4">
        <w:rPr>
          <w:rFonts w:ascii="Arial" w:hAnsi="Arial" w:cs="Arial"/>
          <w:sz w:val="22"/>
          <w:szCs w:val="22"/>
        </w:rPr>
        <w:t>EB-201</w:t>
      </w:r>
      <w:r w:rsidR="00ED728F">
        <w:rPr>
          <w:rFonts w:ascii="Arial" w:hAnsi="Arial" w:cs="Arial"/>
          <w:sz w:val="22"/>
          <w:szCs w:val="22"/>
        </w:rPr>
        <w:t>8-0069</w:t>
      </w:r>
    </w:p>
    <w:p w:rsidR="00A07077" w:rsidRDefault="00A07077" w:rsidP="00A07077">
      <w:pPr>
        <w:pStyle w:val="Default"/>
        <w:rPr>
          <w:rFonts w:ascii="Arial" w:hAnsi="Arial" w:cs="Arial"/>
          <w:sz w:val="22"/>
          <w:szCs w:val="22"/>
        </w:rPr>
      </w:pPr>
    </w:p>
    <w:p w:rsidR="00A07077" w:rsidRPr="00DF2E5D" w:rsidRDefault="00ED728F" w:rsidP="00A07077">
      <w:pPr>
        <w:pStyle w:val="Default"/>
        <w:jc w:val="center"/>
        <w:rPr>
          <w:rFonts w:ascii="Arial" w:hAnsi="Arial" w:cs="Arial"/>
          <w:sz w:val="28"/>
          <w:szCs w:val="28"/>
        </w:rPr>
      </w:pPr>
      <w:r>
        <w:rPr>
          <w:rFonts w:ascii="Arial" w:hAnsi="Arial" w:cs="Arial"/>
          <w:b/>
          <w:bCs/>
          <w:sz w:val="28"/>
          <w:szCs w:val="28"/>
        </w:rPr>
        <w:t>Thunder Bay Hydro Electricity Distribution</w:t>
      </w:r>
      <w:r w:rsidR="00FF1BB8">
        <w:rPr>
          <w:rFonts w:ascii="Arial" w:hAnsi="Arial" w:cs="Arial"/>
          <w:b/>
          <w:bCs/>
          <w:sz w:val="28"/>
          <w:szCs w:val="28"/>
        </w:rPr>
        <w:t xml:space="preserve"> </w:t>
      </w:r>
      <w:r w:rsidR="00DF2E5D" w:rsidRPr="00DF2E5D">
        <w:rPr>
          <w:rFonts w:ascii="Arial" w:hAnsi="Arial" w:cs="Arial"/>
          <w:b/>
          <w:bCs/>
          <w:sz w:val="28"/>
          <w:szCs w:val="28"/>
        </w:rPr>
        <w:t>Inc.</w:t>
      </w:r>
      <w:r w:rsidR="00E429DA" w:rsidRPr="00DF2E5D">
        <w:rPr>
          <w:rFonts w:ascii="Arial" w:hAnsi="Arial" w:cs="Arial"/>
          <w:b/>
          <w:bCs/>
          <w:sz w:val="28"/>
          <w:szCs w:val="28"/>
        </w:rPr>
        <w:t xml:space="preserve"> </w:t>
      </w:r>
      <w:r>
        <w:rPr>
          <w:rFonts w:ascii="Arial" w:hAnsi="Arial" w:cs="Arial"/>
          <w:b/>
          <w:bCs/>
          <w:sz w:val="28"/>
          <w:szCs w:val="28"/>
        </w:rPr>
        <w:t>(Thunder Bay</w:t>
      </w:r>
      <w:r w:rsidR="00C12D58">
        <w:rPr>
          <w:rFonts w:ascii="Arial" w:hAnsi="Arial" w:cs="Arial"/>
          <w:b/>
          <w:bCs/>
          <w:sz w:val="28"/>
          <w:szCs w:val="28"/>
        </w:rPr>
        <w:t xml:space="preserve"> Hydro) </w:t>
      </w:r>
    </w:p>
    <w:p w:rsidR="00A07077" w:rsidRDefault="00090160" w:rsidP="00A07077">
      <w:pPr>
        <w:pStyle w:val="Default"/>
        <w:jc w:val="center"/>
        <w:rPr>
          <w:rFonts w:ascii="Arial" w:hAnsi="Arial" w:cs="Arial"/>
          <w:b/>
          <w:bCs/>
          <w:sz w:val="28"/>
          <w:szCs w:val="28"/>
        </w:rPr>
      </w:pPr>
      <w:r w:rsidRPr="00DF2E5D">
        <w:rPr>
          <w:rFonts w:ascii="Arial" w:hAnsi="Arial" w:cs="Arial"/>
          <w:b/>
          <w:bCs/>
          <w:sz w:val="28"/>
          <w:szCs w:val="28"/>
        </w:rPr>
        <w:t>EB-201</w:t>
      </w:r>
      <w:r w:rsidR="002C2BF2" w:rsidRPr="00DF2E5D">
        <w:rPr>
          <w:rFonts w:ascii="Arial" w:hAnsi="Arial" w:cs="Arial"/>
          <w:b/>
          <w:bCs/>
          <w:sz w:val="28"/>
          <w:szCs w:val="28"/>
        </w:rPr>
        <w:t>8</w:t>
      </w:r>
      <w:r w:rsidR="00B069AA" w:rsidRPr="00DF2E5D">
        <w:rPr>
          <w:rFonts w:ascii="Arial" w:hAnsi="Arial" w:cs="Arial"/>
          <w:b/>
          <w:bCs/>
          <w:sz w:val="28"/>
          <w:szCs w:val="28"/>
        </w:rPr>
        <w:t>-0</w:t>
      </w:r>
      <w:r w:rsidR="00ED728F">
        <w:rPr>
          <w:rFonts w:ascii="Arial" w:hAnsi="Arial" w:cs="Arial"/>
          <w:b/>
          <w:bCs/>
          <w:sz w:val="28"/>
          <w:szCs w:val="28"/>
        </w:rPr>
        <w:t>069</w:t>
      </w:r>
    </w:p>
    <w:p w:rsidR="00A07077" w:rsidRDefault="00A07077" w:rsidP="00A07077">
      <w:pPr>
        <w:rPr>
          <w:rFonts w:ascii="Arial" w:hAnsi="Arial" w:cs="Arial"/>
          <w:b/>
          <w:bCs/>
          <w:sz w:val="28"/>
          <w:szCs w:val="28"/>
        </w:rPr>
      </w:pPr>
    </w:p>
    <w:p w:rsidR="00F110C3" w:rsidRDefault="00FF1BB8" w:rsidP="00F110C3">
      <w:pPr>
        <w:rPr>
          <w:rFonts w:ascii="Arial" w:hAnsi="Arial" w:cs="Arial"/>
          <w:b/>
        </w:rPr>
      </w:pPr>
      <w:r w:rsidRPr="00B42CD6">
        <w:rPr>
          <w:rFonts w:ascii="Arial" w:hAnsi="Arial" w:cs="Arial"/>
          <w:b/>
        </w:rPr>
        <w:t>OEB Staff-1</w:t>
      </w:r>
    </w:p>
    <w:p w:rsidR="00F110C3" w:rsidRDefault="00F110C3" w:rsidP="00F110C3">
      <w:pPr>
        <w:rPr>
          <w:rFonts w:ascii="Arial" w:hAnsi="Arial" w:cs="Arial"/>
          <w:b/>
        </w:rPr>
      </w:pPr>
      <w:r>
        <w:rPr>
          <w:rFonts w:ascii="Arial" w:hAnsi="Arial" w:cs="Arial"/>
          <w:b/>
        </w:rPr>
        <w:t xml:space="preserve">Ref: Tab 6.1a GA Allocation and Tab 6.2a CBR </w:t>
      </w:r>
      <w:proofErr w:type="spellStart"/>
      <w:r>
        <w:rPr>
          <w:rFonts w:ascii="Arial" w:hAnsi="Arial" w:cs="Arial"/>
          <w:b/>
        </w:rPr>
        <w:t>B_Allocation</w:t>
      </w:r>
      <w:proofErr w:type="spellEnd"/>
      <w:r>
        <w:rPr>
          <w:rFonts w:ascii="Arial" w:hAnsi="Arial" w:cs="Arial"/>
          <w:b/>
        </w:rPr>
        <w:t xml:space="preserve"> </w:t>
      </w:r>
    </w:p>
    <w:p w:rsidR="00AE62C4" w:rsidRDefault="00F110C3" w:rsidP="008E6045">
      <w:pPr>
        <w:rPr>
          <w:rFonts w:ascii="Arial" w:hAnsi="Arial" w:cs="Arial"/>
        </w:rPr>
      </w:pPr>
      <w:r w:rsidRPr="00F110C3">
        <w:rPr>
          <w:rFonts w:ascii="Arial" w:hAnsi="Arial" w:cs="Arial"/>
        </w:rPr>
        <w:t xml:space="preserve">OEB staff has done a calculation for </w:t>
      </w:r>
      <w:r>
        <w:rPr>
          <w:rFonts w:ascii="Arial" w:hAnsi="Arial" w:cs="Arial"/>
        </w:rPr>
        <w:t xml:space="preserve">the kWh’s entered in Tab 6.1a GA Allocation and Tab 6.2a CBR </w:t>
      </w:r>
      <w:proofErr w:type="spellStart"/>
      <w:r>
        <w:rPr>
          <w:rFonts w:ascii="Arial" w:hAnsi="Arial" w:cs="Arial"/>
        </w:rPr>
        <w:t>B_Allocation</w:t>
      </w:r>
      <w:proofErr w:type="spellEnd"/>
      <w:r w:rsidR="00CC7A84">
        <w:rPr>
          <w:rFonts w:ascii="Arial" w:hAnsi="Arial" w:cs="Arial"/>
        </w:rPr>
        <w:t>. Please review below</w:t>
      </w:r>
      <w:r w:rsidR="00ED728F">
        <w:rPr>
          <w:rFonts w:ascii="Arial" w:hAnsi="Arial" w:cs="Arial"/>
        </w:rPr>
        <w:t xml:space="preserve"> and confirm Thunder Bay</w:t>
      </w:r>
      <w:r w:rsidR="00FF1BB8">
        <w:rPr>
          <w:rFonts w:ascii="Arial" w:hAnsi="Arial" w:cs="Arial"/>
        </w:rPr>
        <w:t xml:space="preserve"> Hydro</w:t>
      </w:r>
      <w:r w:rsidR="00685301">
        <w:rPr>
          <w:rFonts w:ascii="Arial" w:hAnsi="Arial" w:cs="Arial"/>
        </w:rPr>
        <w:t xml:space="preserve"> agre</w:t>
      </w:r>
      <w:r w:rsidR="00ED728F">
        <w:rPr>
          <w:rFonts w:ascii="Arial" w:hAnsi="Arial" w:cs="Arial"/>
        </w:rPr>
        <w:t>es with OEB staff’s calculation and OEB staff will update the model</w:t>
      </w:r>
      <w:r w:rsidR="00CC7A84">
        <w:rPr>
          <w:rFonts w:ascii="Arial" w:hAnsi="Arial" w:cs="Arial"/>
        </w:rPr>
        <w:t xml:space="preserve"> for Tab 6.2a CBR </w:t>
      </w:r>
      <w:proofErr w:type="spellStart"/>
      <w:r w:rsidR="00CC7A84">
        <w:rPr>
          <w:rFonts w:ascii="Arial" w:hAnsi="Arial" w:cs="Arial"/>
        </w:rPr>
        <w:t>B_Allocation</w:t>
      </w:r>
      <w:proofErr w:type="spellEnd"/>
      <w:r w:rsidR="00ED728F">
        <w:rPr>
          <w:rFonts w:ascii="Arial" w:hAnsi="Arial" w:cs="Arial"/>
        </w:rPr>
        <w:t>,</w:t>
      </w:r>
      <w:r w:rsidR="00685301">
        <w:rPr>
          <w:rFonts w:ascii="Arial" w:hAnsi="Arial" w:cs="Arial"/>
        </w:rPr>
        <w:t xml:space="preserve"> if not please explain why.</w:t>
      </w:r>
      <w:r w:rsidR="00CC7A84">
        <w:rPr>
          <w:rFonts w:ascii="Arial" w:hAnsi="Arial" w:cs="Arial"/>
        </w:rPr>
        <w:t xml:space="preserve"> OEB staff confirms Tab 6.1a GA Allocation is correct. </w:t>
      </w:r>
    </w:p>
    <w:p w:rsidR="00FF1BB8" w:rsidRDefault="00CC7A84" w:rsidP="008E6045">
      <w:pPr>
        <w:rPr>
          <w:rFonts w:ascii="Arial" w:hAnsi="Arial" w:cs="Arial"/>
          <w:b/>
          <w:sz w:val="24"/>
          <w:szCs w:val="24"/>
        </w:rPr>
      </w:pPr>
      <w:r w:rsidRPr="00CC7A84">
        <w:rPr>
          <w:noProof/>
          <w:lang w:val="en-US"/>
        </w:rPr>
        <w:drawing>
          <wp:inline distT="0" distB="0" distL="0" distR="0">
            <wp:extent cx="5943600" cy="32809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280991"/>
                    </a:xfrm>
                    <a:prstGeom prst="rect">
                      <a:avLst/>
                    </a:prstGeom>
                    <a:noFill/>
                    <a:ln>
                      <a:noFill/>
                    </a:ln>
                  </pic:spPr>
                </pic:pic>
              </a:graphicData>
            </a:graphic>
          </wp:inline>
        </w:drawing>
      </w:r>
    </w:p>
    <w:p w:rsidR="00B02993" w:rsidRDefault="00B02993" w:rsidP="00C12D58">
      <w:pPr>
        <w:rPr>
          <w:rFonts w:ascii="Arial" w:hAnsi="Arial" w:cs="Arial"/>
          <w:b/>
        </w:rPr>
      </w:pPr>
    </w:p>
    <w:p w:rsidR="00B02993" w:rsidRDefault="00B02993" w:rsidP="00C12D58">
      <w:pPr>
        <w:rPr>
          <w:rFonts w:ascii="Arial" w:hAnsi="Arial" w:cs="Arial"/>
          <w:b/>
        </w:rPr>
      </w:pPr>
    </w:p>
    <w:p w:rsidR="00B02993" w:rsidRDefault="00B02993" w:rsidP="00C12D58">
      <w:pPr>
        <w:rPr>
          <w:rFonts w:ascii="Arial" w:hAnsi="Arial" w:cs="Arial"/>
          <w:b/>
        </w:rPr>
      </w:pPr>
    </w:p>
    <w:p w:rsidR="00B02993" w:rsidRDefault="00B02993" w:rsidP="00C12D58">
      <w:pPr>
        <w:rPr>
          <w:rFonts w:ascii="Arial" w:hAnsi="Arial" w:cs="Arial"/>
          <w:b/>
        </w:rPr>
      </w:pPr>
    </w:p>
    <w:p w:rsidR="00B02993" w:rsidRDefault="00B02993" w:rsidP="00C12D58">
      <w:pPr>
        <w:rPr>
          <w:rFonts w:ascii="Arial" w:hAnsi="Arial" w:cs="Arial"/>
          <w:b/>
        </w:rPr>
      </w:pPr>
    </w:p>
    <w:p w:rsidR="00B02993" w:rsidRDefault="00B02993" w:rsidP="00C12D58">
      <w:pPr>
        <w:rPr>
          <w:rFonts w:ascii="Arial" w:hAnsi="Arial" w:cs="Arial"/>
          <w:b/>
        </w:rPr>
      </w:pPr>
    </w:p>
    <w:p w:rsidR="00B02993" w:rsidRDefault="00B02993" w:rsidP="00C12D58">
      <w:pPr>
        <w:rPr>
          <w:rFonts w:ascii="Arial" w:hAnsi="Arial" w:cs="Arial"/>
          <w:b/>
        </w:rPr>
      </w:pPr>
    </w:p>
    <w:p w:rsidR="00C12D58" w:rsidRDefault="00C12D58" w:rsidP="00C12D58">
      <w:pPr>
        <w:rPr>
          <w:rFonts w:ascii="Arial" w:hAnsi="Arial" w:cs="Arial"/>
          <w:b/>
        </w:rPr>
      </w:pPr>
      <w:r>
        <w:rPr>
          <w:rFonts w:ascii="Arial" w:hAnsi="Arial" w:cs="Arial"/>
          <w:b/>
        </w:rPr>
        <w:t>OEB Staff-2</w:t>
      </w:r>
    </w:p>
    <w:p w:rsidR="00C12D58" w:rsidRDefault="00C12D58" w:rsidP="00C12D58">
      <w:pPr>
        <w:rPr>
          <w:rFonts w:ascii="Arial" w:hAnsi="Arial" w:cs="Arial"/>
          <w:b/>
        </w:rPr>
      </w:pPr>
      <w:r>
        <w:rPr>
          <w:rFonts w:ascii="Arial" w:hAnsi="Arial" w:cs="Arial"/>
          <w:b/>
        </w:rPr>
        <w:t>Ref:</w:t>
      </w:r>
      <w:r w:rsidR="00B76E45">
        <w:rPr>
          <w:rFonts w:ascii="Arial" w:hAnsi="Arial" w:cs="Arial"/>
          <w:b/>
        </w:rPr>
        <w:t xml:space="preserve"> Tab 6.2a CBR_B Allocation and Tab 6.2 CBR B </w:t>
      </w:r>
    </w:p>
    <w:p w:rsidR="00B02993" w:rsidRDefault="00B02993" w:rsidP="00C12D58">
      <w:pPr>
        <w:rPr>
          <w:rFonts w:ascii="Arial" w:hAnsi="Arial" w:cs="Arial"/>
          <w:b/>
          <w:sz w:val="24"/>
          <w:szCs w:val="24"/>
        </w:rPr>
      </w:pPr>
      <w:r>
        <w:rPr>
          <w:noProof/>
          <w:lang w:val="en-US"/>
        </w:rPr>
        <w:drawing>
          <wp:inline distT="0" distB="0" distL="0" distR="0" wp14:anchorId="3DA9C985" wp14:editId="00BF4B13">
            <wp:extent cx="5943600" cy="3125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125470"/>
                    </a:xfrm>
                    <a:prstGeom prst="rect">
                      <a:avLst/>
                    </a:prstGeom>
                  </pic:spPr>
                </pic:pic>
              </a:graphicData>
            </a:graphic>
          </wp:inline>
        </w:drawing>
      </w:r>
    </w:p>
    <w:p w:rsidR="000C3F32" w:rsidRDefault="00B02993" w:rsidP="00B02993">
      <w:pPr>
        <w:rPr>
          <w:rFonts w:ascii="Arial" w:eastAsia="Times New Roman" w:hAnsi="Arial" w:cs="Arial"/>
          <w:lang w:val="en-US"/>
        </w:rPr>
      </w:pPr>
      <w:r w:rsidRPr="00B02993">
        <w:rPr>
          <w:rFonts w:ascii="Arial" w:hAnsi="Arial" w:cs="Arial"/>
          <w:sz w:val="24"/>
          <w:szCs w:val="24"/>
        </w:rPr>
        <w:t xml:space="preserve">The message above pops </w:t>
      </w:r>
      <w:r>
        <w:rPr>
          <w:rFonts w:ascii="Arial" w:hAnsi="Arial" w:cs="Arial"/>
          <w:sz w:val="24"/>
          <w:szCs w:val="24"/>
        </w:rPr>
        <w:t xml:space="preserve">up </w:t>
      </w:r>
      <w:r w:rsidRPr="00B02993">
        <w:rPr>
          <w:rFonts w:ascii="Arial" w:hAnsi="Arial" w:cs="Arial"/>
          <w:sz w:val="24"/>
          <w:szCs w:val="24"/>
        </w:rPr>
        <w:t>on Tab 6.2 CBR B</w:t>
      </w:r>
      <w:r>
        <w:rPr>
          <w:rFonts w:ascii="Arial" w:hAnsi="Arial" w:cs="Arial"/>
          <w:sz w:val="24"/>
          <w:szCs w:val="24"/>
        </w:rPr>
        <w:t xml:space="preserve">, therefore the amount in Account 1580 </w:t>
      </w:r>
      <w:r w:rsidRPr="00B02993">
        <w:rPr>
          <w:rFonts w:ascii="Arial" w:eastAsia="Times New Roman" w:hAnsi="Arial" w:cs="Arial"/>
          <w:lang w:val="en-US"/>
        </w:rPr>
        <w:t>Variance WMS – Sub-account CBR Class B</w:t>
      </w:r>
      <w:r>
        <w:rPr>
          <w:rFonts w:ascii="Arial" w:eastAsia="Times New Roman" w:hAnsi="Arial" w:cs="Arial"/>
          <w:lang w:val="en-US"/>
        </w:rPr>
        <w:t xml:space="preserve"> will roll up into Account 1580WMS control account. OEB staff will remove the kWh’s entered in cell D20 of Tab 6.2a CBR </w:t>
      </w:r>
      <w:proofErr w:type="spellStart"/>
      <w:r>
        <w:rPr>
          <w:rFonts w:ascii="Arial" w:eastAsia="Times New Roman" w:hAnsi="Arial" w:cs="Arial"/>
          <w:lang w:val="en-US"/>
        </w:rPr>
        <w:t>B_Allocation</w:t>
      </w:r>
      <w:proofErr w:type="spellEnd"/>
      <w:r>
        <w:rPr>
          <w:rFonts w:ascii="Arial" w:eastAsia="Times New Roman" w:hAnsi="Arial" w:cs="Arial"/>
          <w:lang w:val="en-US"/>
        </w:rPr>
        <w:t>.</w:t>
      </w:r>
    </w:p>
    <w:p w:rsidR="00B42CD6" w:rsidRDefault="00B42CD6" w:rsidP="000C3F32">
      <w:pPr>
        <w:rPr>
          <w:rFonts w:ascii="Arial" w:hAnsi="Arial" w:cs="Arial"/>
          <w:b/>
        </w:rPr>
      </w:pPr>
    </w:p>
    <w:p w:rsidR="000C3F32" w:rsidRDefault="00F46552" w:rsidP="000C3F32">
      <w:pPr>
        <w:rPr>
          <w:rFonts w:ascii="Arial" w:hAnsi="Arial" w:cs="Arial"/>
          <w:b/>
        </w:rPr>
      </w:pPr>
      <w:r>
        <w:rPr>
          <w:rFonts w:ascii="Arial" w:hAnsi="Arial" w:cs="Arial"/>
          <w:b/>
        </w:rPr>
        <w:t>OEB Staff-3</w:t>
      </w:r>
    </w:p>
    <w:p w:rsidR="00B02993" w:rsidRPr="00B02993" w:rsidRDefault="000C3F32" w:rsidP="000C3F32">
      <w:pPr>
        <w:rPr>
          <w:rFonts w:ascii="Arial" w:eastAsia="Times New Roman" w:hAnsi="Arial" w:cs="Arial"/>
          <w:lang w:val="en-US"/>
        </w:rPr>
      </w:pPr>
      <w:r>
        <w:rPr>
          <w:rFonts w:ascii="Arial" w:hAnsi="Arial" w:cs="Arial"/>
          <w:b/>
        </w:rPr>
        <w:t>Ref: Tab 3 Continuity Schedule</w:t>
      </w:r>
    </w:p>
    <w:p w:rsidR="000C3F32" w:rsidRPr="00F46552" w:rsidRDefault="00CC7A84" w:rsidP="00F46552">
      <w:pPr>
        <w:spacing w:after="0" w:line="240" w:lineRule="auto"/>
        <w:rPr>
          <w:rFonts w:ascii="Arial" w:eastAsia="Times New Roman" w:hAnsi="Arial" w:cs="Arial"/>
          <w:lang w:val="en-US"/>
        </w:rPr>
      </w:pPr>
      <w:r>
        <w:rPr>
          <w:rFonts w:ascii="Arial" w:eastAsia="Times New Roman" w:hAnsi="Arial" w:cs="Arial"/>
          <w:lang w:val="en-US"/>
        </w:rPr>
        <w:t xml:space="preserve">Thunder Bay Hydro is requesting disposition of Account 1595-(2015), the residual balance of this account was already previously disposed in 2018. </w:t>
      </w:r>
      <w:r w:rsidR="00F177E3">
        <w:rPr>
          <w:rFonts w:ascii="Arial" w:eastAsia="Times New Roman" w:hAnsi="Arial" w:cs="Arial"/>
          <w:lang w:val="en-US"/>
        </w:rPr>
        <w:t xml:space="preserve">As per instructions on Tab 3 Continuity Schedule residual balances are only to be disposed of once, see cell C53 and below. </w:t>
      </w:r>
    </w:p>
    <w:p w:rsidR="00B02993" w:rsidRDefault="00B02993" w:rsidP="00C12D58">
      <w:pPr>
        <w:rPr>
          <w:rFonts w:ascii="Arial" w:hAnsi="Arial" w:cs="Arial"/>
          <w:sz w:val="24"/>
          <w:szCs w:val="24"/>
        </w:rPr>
      </w:pPr>
    </w:p>
    <w:p w:rsidR="00CC7A84" w:rsidRDefault="00F177E3" w:rsidP="00C12D58">
      <w:pPr>
        <w:rPr>
          <w:rFonts w:ascii="Arial" w:hAnsi="Arial" w:cs="Arial"/>
          <w:sz w:val="24"/>
          <w:szCs w:val="24"/>
        </w:rPr>
      </w:pPr>
      <w:r w:rsidRPr="00F177E3">
        <w:rPr>
          <w:noProof/>
          <w:lang w:val="en-US"/>
        </w:rPr>
        <w:drawing>
          <wp:inline distT="0" distB="0" distL="0" distR="0">
            <wp:extent cx="5943600" cy="13539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353927"/>
                    </a:xfrm>
                    <a:prstGeom prst="rect">
                      <a:avLst/>
                    </a:prstGeom>
                    <a:noFill/>
                    <a:ln>
                      <a:noFill/>
                    </a:ln>
                  </pic:spPr>
                </pic:pic>
              </a:graphicData>
            </a:graphic>
          </wp:inline>
        </w:drawing>
      </w:r>
    </w:p>
    <w:p w:rsidR="00F177E3" w:rsidRDefault="00F177E3" w:rsidP="00C12D58">
      <w:pPr>
        <w:rPr>
          <w:rFonts w:ascii="Arial" w:eastAsia="Times New Roman" w:hAnsi="Arial" w:cs="Arial"/>
          <w:lang w:val="en-US"/>
        </w:rPr>
      </w:pPr>
      <w:r w:rsidRPr="00F177E3">
        <w:rPr>
          <w:rFonts w:ascii="Arial" w:eastAsia="Times New Roman" w:hAnsi="Arial" w:cs="Arial"/>
          <w:lang w:val="en-US"/>
        </w:rPr>
        <w:lastRenderedPageBreak/>
        <w:t xml:space="preserve">Please provide an explanation for </w:t>
      </w:r>
      <w:r>
        <w:rPr>
          <w:rFonts w:ascii="Arial" w:eastAsia="Times New Roman" w:hAnsi="Arial" w:cs="Arial"/>
          <w:lang w:val="en-US"/>
        </w:rPr>
        <w:t xml:space="preserve">requesting to dispose of the residual balance a second time or request OEB staff remove the check mark to dispose of the Account 1595-(2015) balance of $1,625.  </w:t>
      </w:r>
    </w:p>
    <w:p w:rsidR="00E14A02" w:rsidRPr="00E14A02" w:rsidRDefault="00E14A02" w:rsidP="00E14A02">
      <w:pPr>
        <w:rPr>
          <w:rFonts w:ascii="Arial" w:hAnsi="Arial" w:cs="Arial"/>
          <w:b/>
        </w:rPr>
      </w:pPr>
      <w:bookmarkStart w:id="0" w:name="_GoBack"/>
      <w:r w:rsidRPr="00E14A02">
        <w:rPr>
          <w:rFonts w:ascii="Arial" w:hAnsi="Arial" w:cs="Arial"/>
          <w:b/>
        </w:rPr>
        <w:t xml:space="preserve">OEB </w:t>
      </w:r>
      <w:proofErr w:type="gramStart"/>
      <w:r w:rsidRPr="00E14A02">
        <w:rPr>
          <w:rFonts w:ascii="Arial" w:hAnsi="Arial" w:cs="Arial"/>
          <w:b/>
        </w:rPr>
        <w:t>Staff  –</w:t>
      </w:r>
      <w:proofErr w:type="gramEnd"/>
      <w:r w:rsidRPr="00E14A02">
        <w:rPr>
          <w:rFonts w:ascii="Arial" w:hAnsi="Arial" w:cs="Arial"/>
          <w:b/>
        </w:rPr>
        <w:t xml:space="preserve"> 4</w:t>
      </w:r>
    </w:p>
    <w:p w:rsidR="00E14A02" w:rsidRPr="00E14A02" w:rsidRDefault="00E14A02" w:rsidP="00E14A02">
      <w:pPr>
        <w:rPr>
          <w:rFonts w:ascii="Arial" w:hAnsi="Arial" w:cs="Arial"/>
          <w:b/>
        </w:rPr>
      </w:pPr>
      <w:r w:rsidRPr="00E14A02">
        <w:rPr>
          <w:rFonts w:ascii="Arial" w:hAnsi="Arial" w:cs="Arial"/>
          <w:b/>
        </w:rPr>
        <w:t>Ref. Appendix A: GA Methodology Description</w:t>
      </w:r>
    </w:p>
    <w:p w:rsidR="00E14A02" w:rsidRPr="00E14A02" w:rsidRDefault="00E14A02" w:rsidP="00E14A02">
      <w:pPr>
        <w:rPr>
          <w:rFonts w:ascii="Arial" w:hAnsi="Arial" w:cs="Arial"/>
        </w:rPr>
      </w:pPr>
      <w:r w:rsidRPr="00E14A02">
        <w:rPr>
          <w:rFonts w:ascii="Arial" w:hAnsi="Arial" w:cs="Arial"/>
        </w:rPr>
        <w:t>In the response provided to Question 2, Thunder Bay Hydro describes how it performs its monthly settlements with the IESO. In a particular, the utility states that it uses a monthly average of kWh and the second estimate GA rate for purposes of completing its initial settlement.</w:t>
      </w:r>
    </w:p>
    <w:p w:rsidR="00E14A02" w:rsidRPr="00E14A02" w:rsidRDefault="00E14A02" w:rsidP="00E14A02">
      <w:pPr>
        <w:pStyle w:val="ListParagraph"/>
        <w:numPr>
          <w:ilvl w:val="0"/>
          <w:numId w:val="30"/>
        </w:numPr>
        <w:spacing w:after="160" w:line="259" w:lineRule="auto"/>
        <w:rPr>
          <w:rFonts w:ascii="Arial" w:hAnsi="Arial" w:cs="Arial"/>
        </w:rPr>
      </w:pPr>
      <w:r w:rsidRPr="00E14A02">
        <w:rPr>
          <w:rFonts w:ascii="Arial" w:hAnsi="Arial" w:cs="Arial"/>
        </w:rPr>
        <w:t>It is not clear from the response provided in Question 2b that the utility then trues-up its initial settlement for both the RPP kWh (to actual RPP kWh) and the GA rate (to the actual GA rate for the month that was settled). Please confirm that this is the case, and if not, please explain why.</w:t>
      </w:r>
    </w:p>
    <w:p w:rsidR="00E14A02" w:rsidRPr="00E14A02" w:rsidRDefault="00E14A02" w:rsidP="00E14A02">
      <w:pPr>
        <w:pStyle w:val="ListParagraph"/>
        <w:numPr>
          <w:ilvl w:val="0"/>
          <w:numId w:val="30"/>
        </w:numPr>
        <w:spacing w:after="160" w:line="259" w:lineRule="auto"/>
        <w:rPr>
          <w:rFonts w:ascii="Arial" w:hAnsi="Arial" w:cs="Arial"/>
        </w:rPr>
      </w:pPr>
      <w:r w:rsidRPr="00E14A02">
        <w:rPr>
          <w:rFonts w:ascii="Arial" w:hAnsi="Arial" w:cs="Arial"/>
        </w:rPr>
        <w:t>Please indicate the frequency in which the utility performs the above true-ups (i.e. in the month after initial settlement, quarterly, etc).</w:t>
      </w:r>
    </w:p>
    <w:p w:rsidR="00E14A02" w:rsidRPr="00E14A02" w:rsidRDefault="00E14A02" w:rsidP="00E14A02">
      <w:pPr>
        <w:pStyle w:val="ListParagraph"/>
        <w:numPr>
          <w:ilvl w:val="0"/>
          <w:numId w:val="30"/>
        </w:numPr>
        <w:spacing w:after="160" w:line="259" w:lineRule="auto"/>
        <w:rPr>
          <w:rFonts w:ascii="Arial" w:hAnsi="Arial" w:cs="Arial"/>
        </w:rPr>
      </w:pPr>
      <w:r w:rsidRPr="00E14A02">
        <w:rPr>
          <w:rFonts w:ascii="Arial" w:hAnsi="Arial" w:cs="Arial"/>
        </w:rPr>
        <w:t>Please confirm that Thunder Bay Hydro meant the 4</w:t>
      </w:r>
      <w:r w:rsidRPr="00E14A02">
        <w:rPr>
          <w:rFonts w:ascii="Arial" w:hAnsi="Arial" w:cs="Arial"/>
          <w:vertAlign w:val="superscript"/>
        </w:rPr>
        <w:t>th</w:t>
      </w:r>
      <w:r w:rsidRPr="00E14A02">
        <w:rPr>
          <w:rFonts w:ascii="Arial" w:hAnsi="Arial" w:cs="Arial"/>
        </w:rPr>
        <w:t xml:space="preserve"> quarter in the response provided to Question 2d.</w:t>
      </w:r>
    </w:p>
    <w:p w:rsidR="00E14A02" w:rsidRPr="00E14A02" w:rsidRDefault="00E14A02" w:rsidP="00E14A02">
      <w:pPr>
        <w:rPr>
          <w:rFonts w:ascii="Arial" w:hAnsi="Arial" w:cs="Arial"/>
          <w:b/>
        </w:rPr>
      </w:pPr>
      <w:r w:rsidRPr="00E14A02">
        <w:rPr>
          <w:rFonts w:ascii="Arial" w:hAnsi="Arial" w:cs="Arial"/>
          <w:b/>
        </w:rPr>
        <w:t>OEB Staff I – 5</w:t>
      </w:r>
    </w:p>
    <w:p w:rsidR="00E14A02" w:rsidRPr="00E14A02" w:rsidRDefault="00E14A02" w:rsidP="00E14A02">
      <w:pPr>
        <w:rPr>
          <w:rFonts w:ascii="Arial" w:hAnsi="Arial" w:cs="Arial"/>
          <w:b/>
        </w:rPr>
      </w:pPr>
      <w:r w:rsidRPr="00E14A02">
        <w:rPr>
          <w:rFonts w:ascii="Arial" w:hAnsi="Arial" w:cs="Arial"/>
          <w:b/>
        </w:rPr>
        <w:t>Ref. Appendix A: GA Methodology Description</w:t>
      </w:r>
    </w:p>
    <w:p w:rsidR="00E14A02" w:rsidRPr="00E14A02" w:rsidRDefault="00E14A02" w:rsidP="00E14A02">
      <w:pPr>
        <w:rPr>
          <w:rFonts w:ascii="Arial" w:hAnsi="Arial" w:cs="Arial"/>
        </w:rPr>
      </w:pPr>
      <w:r w:rsidRPr="00E14A02">
        <w:rPr>
          <w:rFonts w:ascii="Arial" w:hAnsi="Arial" w:cs="Arial"/>
        </w:rPr>
        <w:t>In the response provided to Question 2, Thunder Bay Hydro describes how it initially records its monthly CT 148 charge from the IESO.</w:t>
      </w:r>
    </w:p>
    <w:p w:rsidR="00E14A02" w:rsidRPr="00E14A02" w:rsidRDefault="00E14A02" w:rsidP="00E14A02">
      <w:pPr>
        <w:pStyle w:val="ListParagraph"/>
        <w:numPr>
          <w:ilvl w:val="0"/>
          <w:numId w:val="31"/>
        </w:numPr>
        <w:spacing w:after="160" w:line="259" w:lineRule="auto"/>
        <w:rPr>
          <w:rFonts w:ascii="Arial" w:hAnsi="Arial" w:cs="Arial"/>
        </w:rPr>
      </w:pPr>
      <w:r w:rsidRPr="00E14A02">
        <w:rPr>
          <w:rFonts w:ascii="Arial" w:hAnsi="Arial" w:cs="Arial"/>
        </w:rPr>
        <w:t>Please confirm whether Thunder Bay Hydro initially records an estimate of the CT 148 charge prior to the receipt of the actual invoice, or does the utility wait for the actual invoice to come in before it actually records anything in their G/L (and accrues the invoice to the appropriate period).</w:t>
      </w:r>
    </w:p>
    <w:p w:rsidR="00E14A02" w:rsidRPr="00E14A02" w:rsidRDefault="00E14A02" w:rsidP="00E14A02">
      <w:pPr>
        <w:rPr>
          <w:rFonts w:ascii="Arial" w:hAnsi="Arial" w:cs="Arial"/>
          <w:b/>
        </w:rPr>
      </w:pPr>
      <w:r w:rsidRPr="00E14A02">
        <w:rPr>
          <w:rFonts w:ascii="Arial" w:hAnsi="Arial" w:cs="Arial"/>
          <w:b/>
        </w:rPr>
        <w:t xml:space="preserve">OEB </w:t>
      </w:r>
      <w:proofErr w:type="gramStart"/>
      <w:r w:rsidRPr="00E14A02">
        <w:rPr>
          <w:rFonts w:ascii="Arial" w:hAnsi="Arial" w:cs="Arial"/>
          <w:b/>
        </w:rPr>
        <w:t xml:space="preserve">Staff </w:t>
      </w:r>
      <w:r w:rsidRPr="00E14A02">
        <w:rPr>
          <w:rFonts w:ascii="Arial" w:hAnsi="Arial" w:cs="Arial"/>
          <w:b/>
        </w:rPr>
        <w:t xml:space="preserve"> –</w:t>
      </w:r>
      <w:proofErr w:type="gramEnd"/>
      <w:r w:rsidRPr="00E14A02">
        <w:rPr>
          <w:rFonts w:ascii="Arial" w:hAnsi="Arial" w:cs="Arial"/>
          <w:b/>
        </w:rPr>
        <w:t xml:space="preserve"> </w:t>
      </w:r>
      <w:r w:rsidRPr="00E14A02">
        <w:rPr>
          <w:rFonts w:ascii="Arial" w:hAnsi="Arial" w:cs="Arial"/>
          <w:b/>
        </w:rPr>
        <w:t>6</w:t>
      </w:r>
    </w:p>
    <w:p w:rsidR="00E14A02" w:rsidRPr="00E14A02" w:rsidRDefault="00E14A02" w:rsidP="00E14A02">
      <w:pPr>
        <w:rPr>
          <w:rFonts w:ascii="Arial" w:hAnsi="Arial" w:cs="Arial"/>
          <w:b/>
        </w:rPr>
      </w:pPr>
      <w:r w:rsidRPr="00E14A02">
        <w:rPr>
          <w:rFonts w:ascii="Arial" w:hAnsi="Arial" w:cs="Arial"/>
          <w:b/>
        </w:rPr>
        <w:t>Ref. GA Analysis Workform.</w:t>
      </w:r>
    </w:p>
    <w:p w:rsidR="00E14A02" w:rsidRPr="00E14A02" w:rsidRDefault="00E14A02" w:rsidP="00E14A02">
      <w:pPr>
        <w:pStyle w:val="ListParagraph"/>
        <w:numPr>
          <w:ilvl w:val="0"/>
          <w:numId w:val="32"/>
        </w:numPr>
        <w:spacing w:after="160" w:line="259" w:lineRule="auto"/>
        <w:rPr>
          <w:rFonts w:ascii="Arial" w:hAnsi="Arial" w:cs="Arial"/>
        </w:rPr>
      </w:pPr>
      <w:r w:rsidRPr="00E14A02">
        <w:rPr>
          <w:rFonts w:ascii="Arial" w:hAnsi="Arial" w:cs="Arial"/>
        </w:rPr>
        <w:t>Please ensure that cell C62 of Note 5 in the GA Analysis Workform agrees to the 2017 transactions per for Account 1589 per the DVA continuity schedule.</w:t>
      </w:r>
    </w:p>
    <w:p w:rsidR="00E14A02" w:rsidRPr="00E14A02" w:rsidRDefault="00E14A02" w:rsidP="00E14A02">
      <w:pPr>
        <w:pStyle w:val="ListParagraph"/>
        <w:numPr>
          <w:ilvl w:val="0"/>
          <w:numId w:val="32"/>
        </w:numPr>
        <w:spacing w:after="160" w:line="259" w:lineRule="auto"/>
        <w:rPr>
          <w:rFonts w:ascii="Arial" w:hAnsi="Arial" w:cs="Arial"/>
        </w:rPr>
      </w:pPr>
      <w:r w:rsidRPr="00E14A02">
        <w:rPr>
          <w:rFonts w:ascii="Arial" w:hAnsi="Arial" w:cs="Arial"/>
        </w:rPr>
        <w:t xml:space="preserve">Please provide further explanation as to the nature of reconciling item 8 that is presented in Note 5 of the GA Analysis Workform including details as to how it represents a difference between the expectation calculated in Note 4 and what actually got recorded by the utility in Account 1589 during 2017. </w:t>
      </w:r>
    </w:p>
    <w:p w:rsidR="00E14A02" w:rsidRPr="00E14A02" w:rsidRDefault="00E14A02" w:rsidP="00E14A02">
      <w:pPr>
        <w:pStyle w:val="ListParagraph"/>
        <w:numPr>
          <w:ilvl w:val="1"/>
          <w:numId w:val="32"/>
        </w:numPr>
        <w:spacing w:after="160" w:line="259" w:lineRule="auto"/>
        <w:rPr>
          <w:rFonts w:ascii="Arial" w:hAnsi="Arial" w:cs="Arial"/>
        </w:rPr>
      </w:pPr>
      <w:r w:rsidRPr="00E14A02">
        <w:rPr>
          <w:rFonts w:ascii="Arial" w:hAnsi="Arial" w:cs="Arial"/>
        </w:rPr>
        <w:t>Please also provide details as to how the amount of the reconciling item was quantified.</w:t>
      </w:r>
    </w:p>
    <w:p w:rsidR="00E14A02" w:rsidRPr="00E14A02" w:rsidRDefault="00E14A02" w:rsidP="00E14A02">
      <w:pPr>
        <w:pStyle w:val="ListParagraph"/>
        <w:numPr>
          <w:ilvl w:val="1"/>
          <w:numId w:val="32"/>
        </w:numPr>
        <w:spacing w:after="160" w:line="259" w:lineRule="auto"/>
        <w:rPr>
          <w:rFonts w:ascii="Arial" w:hAnsi="Arial" w:cs="Arial"/>
        </w:rPr>
      </w:pPr>
      <w:r w:rsidRPr="00E14A02">
        <w:rPr>
          <w:rFonts w:ascii="Arial" w:hAnsi="Arial" w:cs="Arial"/>
        </w:rPr>
        <w:t>Please also explain why Thunder Bay has not proposed to record this reconciling item as a principal adjustment to their December 31, 2017 balance in Account 1589 in the DVA continuity schedule.</w:t>
      </w:r>
    </w:p>
    <w:p w:rsidR="00E14A02" w:rsidRPr="00E14A02" w:rsidRDefault="00E14A02" w:rsidP="00E14A02">
      <w:pPr>
        <w:pStyle w:val="ListParagraph"/>
        <w:numPr>
          <w:ilvl w:val="0"/>
          <w:numId w:val="32"/>
        </w:numPr>
        <w:spacing w:after="160" w:line="259" w:lineRule="auto"/>
        <w:rPr>
          <w:rFonts w:ascii="Arial" w:hAnsi="Arial" w:cs="Arial"/>
        </w:rPr>
      </w:pPr>
      <w:r w:rsidRPr="00E14A02">
        <w:rPr>
          <w:rFonts w:ascii="Arial" w:hAnsi="Arial" w:cs="Arial"/>
        </w:rPr>
        <w:lastRenderedPageBreak/>
        <w:t>Thunder Bay Hydro has recorded an adjustment in 2a of Note 5 to account for the difference between unbilled revenue for December 2016 and what actually got billed subsequently in January 2017.  Please quantify what this difference would be for the December 2017 unbilled revenue accrual and what actually got billed in January 2018 and record it as reconciling adjustment 2b in the GA Analysis Workform. If the utility is indicating that there is no difference that would need to be accounted for, then please explain why that would be the case.</w:t>
      </w:r>
    </w:p>
    <w:p w:rsidR="00E14A02" w:rsidRPr="00E14A02" w:rsidRDefault="00E14A02" w:rsidP="00E14A02">
      <w:pPr>
        <w:rPr>
          <w:rFonts w:ascii="Arial" w:hAnsi="Arial" w:cs="Arial"/>
        </w:rPr>
      </w:pPr>
    </w:p>
    <w:bookmarkEnd w:id="0"/>
    <w:p w:rsidR="00E14A02" w:rsidRPr="00E14A02" w:rsidRDefault="00E14A02" w:rsidP="00C12D58">
      <w:pPr>
        <w:rPr>
          <w:rFonts w:ascii="Arial" w:eastAsia="Times New Roman" w:hAnsi="Arial" w:cs="Arial"/>
          <w:lang w:val="en-US"/>
        </w:rPr>
      </w:pPr>
    </w:p>
    <w:sectPr w:rsidR="00E14A02" w:rsidRPr="00E14A02"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0CE1"/>
    <w:multiLevelType w:val="hybridMultilevel"/>
    <w:tmpl w:val="D6EE23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0DB367F"/>
    <w:multiLevelType w:val="hybridMultilevel"/>
    <w:tmpl w:val="D47E9A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E304A"/>
    <w:multiLevelType w:val="hybridMultilevel"/>
    <w:tmpl w:val="819EFE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A1C3777"/>
    <w:multiLevelType w:val="hybridMultilevel"/>
    <w:tmpl w:val="21AC3A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4723E2C"/>
    <w:multiLevelType w:val="hybridMultilevel"/>
    <w:tmpl w:val="9780AB4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8"/>
  </w:num>
  <w:num w:numId="3">
    <w:abstractNumId w:val="24"/>
  </w:num>
  <w:num w:numId="4">
    <w:abstractNumId w:val="31"/>
  </w:num>
  <w:num w:numId="5">
    <w:abstractNumId w:val="14"/>
  </w:num>
  <w:num w:numId="6">
    <w:abstractNumId w:val="11"/>
  </w:num>
  <w:num w:numId="7">
    <w:abstractNumId w:val="19"/>
  </w:num>
  <w:num w:numId="8">
    <w:abstractNumId w:val="15"/>
  </w:num>
  <w:num w:numId="9">
    <w:abstractNumId w:val="16"/>
  </w:num>
  <w:num w:numId="10">
    <w:abstractNumId w:val="5"/>
  </w:num>
  <w:num w:numId="11">
    <w:abstractNumId w:val="18"/>
  </w:num>
  <w:num w:numId="12">
    <w:abstractNumId w:val="26"/>
  </w:num>
  <w:num w:numId="13">
    <w:abstractNumId w:val="4"/>
  </w:num>
  <w:num w:numId="14">
    <w:abstractNumId w:val="2"/>
  </w:num>
  <w:num w:numId="15">
    <w:abstractNumId w:val="30"/>
  </w:num>
  <w:num w:numId="16">
    <w:abstractNumId w:val="9"/>
  </w:num>
  <w:num w:numId="17">
    <w:abstractNumId w:val="21"/>
  </w:num>
  <w:num w:numId="18">
    <w:abstractNumId w:val="28"/>
  </w:num>
  <w:num w:numId="19">
    <w:abstractNumId w:val="29"/>
  </w:num>
  <w:num w:numId="20">
    <w:abstractNumId w:val="13"/>
  </w:num>
  <w:num w:numId="21">
    <w:abstractNumId w:val="27"/>
  </w:num>
  <w:num w:numId="22">
    <w:abstractNumId w:val="12"/>
  </w:num>
  <w:num w:numId="23">
    <w:abstractNumId w:val="25"/>
  </w:num>
  <w:num w:numId="24">
    <w:abstractNumId w:val="23"/>
  </w:num>
  <w:num w:numId="25">
    <w:abstractNumId w:val="3"/>
  </w:num>
  <w:num w:numId="26">
    <w:abstractNumId w:val="17"/>
  </w:num>
  <w:num w:numId="27">
    <w:abstractNumId w:val="20"/>
  </w:num>
  <w:num w:numId="28">
    <w:abstractNumId w:val="7"/>
  </w:num>
  <w:num w:numId="29">
    <w:abstractNumId w:val="10"/>
  </w:num>
  <w:num w:numId="30">
    <w:abstractNumId w:val="0"/>
  </w:num>
  <w:num w:numId="31">
    <w:abstractNumId w:val="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52"/>
    <w:rsid w:val="0003073C"/>
    <w:rsid w:val="00035337"/>
    <w:rsid w:val="00054071"/>
    <w:rsid w:val="0006126D"/>
    <w:rsid w:val="00067F57"/>
    <w:rsid w:val="00071BEC"/>
    <w:rsid w:val="00074514"/>
    <w:rsid w:val="000832D4"/>
    <w:rsid w:val="00090160"/>
    <w:rsid w:val="000B3E7E"/>
    <w:rsid w:val="000C3F32"/>
    <w:rsid w:val="000D223C"/>
    <w:rsid w:val="000E4006"/>
    <w:rsid w:val="000F1E3A"/>
    <w:rsid w:val="00160311"/>
    <w:rsid w:val="00164E99"/>
    <w:rsid w:val="00183CC8"/>
    <w:rsid w:val="00187E9B"/>
    <w:rsid w:val="001927C2"/>
    <w:rsid w:val="001A4DCD"/>
    <w:rsid w:val="00203092"/>
    <w:rsid w:val="00205729"/>
    <w:rsid w:val="002208C0"/>
    <w:rsid w:val="00224C06"/>
    <w:rsid w:val="0025687C"/>
    <w:rsid w:val="00274A48"/>
    <w:rsid w:val="00291CCC"/>
    <w:rsid w:val="002A6415"/>
    <w:rsid w:val="002B7B7C"/>
    <w:rsid w:val="002C2BF2"/>
    <w:rsid w:val="002C7EF6"/>
    <w:rsid w:val="002F4756"/>
    <w:rsid w:val="00302509"/>
    <w:rsid w:val="003049C5"/>
    <w:rsid w:val="00340C00"/>
    <w:rsid w:val="003702D1"/>
    <w:rsid w:val="00373FAD"/>
    <w:rsid w:val="003777B5"/>
    <w:rsid w:val="003832E7"/>
    <w:rsid w:val="003A20A0"/>
    <w:rsid w:val="003A58B0"/>
    <w:rsid w:val="00400DFC"/>
    <w:rsid w:val="00412DC6"/>
    <w:rsid w:val="00434693"/>
    <w:rsid w:val="004377B0"/>
    <w:rsid w:val="00472C81"/>
    <w:rsid w:val="00475032"/>
    <w:rsid w:val="004859EF"/>
    <w:rsid w:val="004862A5"/>
    <w:rsid w:val="005164F5"/>
    <w:rsid w:val="0052560F"/>
    <w:rsid w:val="005666F2"/>
    <w:rsid w:val="00572064"/>
    <w:rsid w:val="00584369"/>
    <w:rsid w:val="00587A35"/>
    <w:rsid w:val="005F4693"/>
    <w:rsid w:val="0064279A"/>
    <w:rsid w:val="00685301"/>
    <w:rsid w:val="006A5D23"/>
    <w:rsid w:val="006E3D58"/>
    <w:rsid w:val="00704EE5"/>
    <w:rsid w:val="007066E2"/>
    <w:rsid w:val="00722640"/>
    <w:rsid w:val="0073197E"/>
    <w:rsid w:val="00746080"/>
    <w:rsid w:val="00772B57"/>
    <w:rsid w:val="00781D04"/>
    <w:rsid w:val="007C2D45"/>
    <w:rsid w:val="007F49EB"/>
    <w:rsid w:val="00812C1B"/>
    <w:rsid w:val="00835AD0"/>
    <w:rsid w:val="008747B3"/>
    <w:rsid w:val="008813C3"/>
    <w:rsid w:val="008926F0"/>
    <w:rsid w:val="008964E8"/>
    <w:rsid w:val="008A48F6"/>
    <w:rsid w:val="008E6045"/>
    <w:rsid w:val="0090113B"/>
    <w:rsid w:val="0093258A"/>
    <w:rsid w:val="0094373C"/>
    <w:rsid w:val="00946DEE"/>
    <w:rsid w:val="00951E2B"/>
    <w:rsid w:val="00952939"/>
    <w:rsid w:val="00961EA0"/>
    <w:rsid w:val="009A5C44"/>
    <w:rsid w:val="009B03AF"/>
    <w:rsid w:val="009B15A2"/>
    <w:rsid w:val="009C4216"/>
    <w:rsid w:val="009D5F4B"/>
    <w:rsid w:val="009E626E"/>
    <w:rsid w:val="009E7CBF"/>
    <w:rsid w:val="00A07077"/>
    <w:rsid w:val="00A50DD0"/>
    <w:rsid w:val="00A516B0"/>
    <w:rsid w:val="00A5620A"/>
    <w:rsid w:val="00AA06D9"/>
    <w:rsid w:val="00AC2406"/>
    <w:rsid w:val="00AD3FCF"/>
    <w:rsid w:val="00AE62C4"/>
    <w:rsid w:val="00B02993"/>
    <w:rsid w:val="00B03802"/>
    <w:rsid w:val="00B069AA"/>
    <w:rsid w:val="00B23A36"/>
    <w:rsid w:val="00B25576"/>
    <w:rsid w:val="00B25EF5"/>
    <w:rsid w:val="00B42CD6"/>
    <w:rsid w:val="00B50EB2"/>
    <w:rsid w:val="00B63264"/>
    <w:rsid w:val="00B6722A"/>
    <w:rsid w:val="00B76E45"/>
    <w:rsid w:val="00B82D78"/>
    <w:rsid w:val="00BA434C"/>
    <w:rsid w:val="00BD4F65"/>
    <w:rsid w:val="00C06F9E"/>
    <w:rsid w:val="00C12D58"/>
    <w:rsid w:val="00C13E6B"/>
    <w:rsid w:val="00C2370B"/>
    <w:rsid w:val="00C624D5"/>
    <w:rsid w:val="00C848A0"/>
    <w:rsid w:val="00C878C5"/>
    <w:rsid w:val="00C96AEA"/>
    <w:rsid w:val="00CC0B6D"/>
    <w:rsid w:val="00CC7A84"/>
    <w:rsid w:val="00CE1CD3"/>
    <w:rsid w:val="00CE4F01"/>
    <w:rsid w:val="00D55546"/>
    <w:rsid w:val="00D6213C"/>
    <w:rsid w:val="00D647C0"/>
    <w:rsid w:val="00D77694"/>
    <w:rsid w:val="00D77B0F"/>
    <w:rsid w:val="00DB6B52"/>
    <w:rsid w:val="00DE5488"/>
    <w:rsid w:val="00DE75AC"/>
    <w:rsid w:val="00DF2E5D"/>
    <w:rsid w:val="00DF5A52"/>
    <w:rsid w:val="00E14A02"/>
    <w:rsid w:val="00E17C58"/>
    <w:rsid w:val="00E231C2"/>
    <w:rsid w:val="00E429DA"/>
    <w:rsid w:val="00E62C2A"/>
    <w:rsid w:val="00E8586E"/>
    <w:rsid w:val="00E96A06"/>
    <w:rsid w:val="00EA0919"/>
    <w:rsid w:val="00EB5240"/>
    <w:rsid w:val="00EC0B55"/>
    <w:rsid w:val="00ED728F"/>
    <w:rsid w:val="00F034BF"/>
    <w:rsid w:val="00F110C3"/>
    <w:rsid w:val="00F177E3"/>
    <w:rsid w:val="00F233A3"/>
    <w:rsid w:val="00F26D30"/>
    <w:rsid w:val="00F46552"/>
    <w:rsid w:val="00F57152"/>
    <w:rsid w:val="00F7362C"/>
    <w:rsid w:val="00F92F61"/>
    <w:rsid w:val="00FB6F10"/>
    <w:rsid w:val="00FC4CF8"/>
    <w:rsid w:val="00FC5DA7"/>
    <w:rsid w:val="00FF1B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DDA64"/>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3F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343284915">
      <w:bodyDiv w:val="1"/>
      <w:marLeft w:val="0"/>
      <w:marRight w:val="0"/>
      <w:marTop w:val="0"/>
      <w:marBottom w:val="0"/>
      <w:divBdr>
        <w:top w:val="none" w:sz="0" w:space="0" w:color="auto"/>
        <w:left w:val="none" w:sz="0" w:space="0" w:color="auto"/>
        <w:bottom w:val="none" w:sz="0" w:space="0" w:color="auto"/>
        <w:right w:val="none" w:sz="0" w:space="0" w:color="auto"/>
      </w:divBdr>
    </w:div>
    <w:div w:id="414011908">
      <w:bodyDiv w:val="1"/>
      <w:marLeft w:val="0"/>
      <w:marRight w:val="0"/>
      <w:marTop w:val="0"/>
      <w:marBottom w:val="0"/>
      <w:divBdr>
        <w:top w:val="none" w:sz="0" w:space="0" w:color="auto"/>
        <w:left w:val="none" w:sz="0" w:space="0" w:color="auto"/>
        <w:bottom w:val="none" w:sz="0" w:space="0" w:color="auto"/>
        <w:right w:val="none" w:sz="0" w:space="0" w:color="auto"/>
      </w:divBdr>
    </w:div>
    <w:div w:id="74673451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080562696">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13729242">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82381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F1BFE-6741-4554-BD51-4F452288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Kelli Benincasa</cp:lastModifiedBy>
  <cp:revision>5</cp:revision>
  <cp:lastPrinted>2014-09-29T14:43:00Z</cp:lastPrinted>
  <dcterms:created xsi:type="dcterms:W3CDTF">2019-01-08T19:03:00Z</dcterms:created>
  <dcterms:modified xsi:type="dcterms:W3CDTF">2019-01-18T16:19:00Z</dcterms:modified>
</cp:coreProperties>
</file>