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5DEC2" w14:textId="78663338" w:rsidR="001F7A6D" w:rsidRDefault="00E3715A" w:rsidP="00872388">
      <w:pPr>
        <w:spacing w:after="0" w:line="240" w:lineRule="auto"/>
        <w:jc w:val="center"/>
        <w:rPr>
          <w:rFonts w:ascii="Arial" w:hAnsi="Arial" w:cs="Arial"/>
          <w:b/>
          <w:sz w:val="24"/>
          <w:szCs w:val="24"/>
        </w:rPr>
      </w:pPr>
      <w:r>
        <w:rPr>
          <w:rFonts w:ascii="Arial" w:hAnsi="Arial" w:cs="Arial"/>
          <w:b/>
          <w:sz w:val="24"/>
          <w:szCs w:val="24"/>
        </w:rPr>
        <w:t>Peterborough Distribution</w:t>
      </w:r>
      <w:r w:rsidR="005406CC" w:rsidRPr="00A774ED">
        <w:rPr>
          <w:rFonts w:ascii="Arial" w:hAnsi="Arial" w:cs="Arial"/>
          <w:b/>
          <w:sz w:val="24"/>
          <w:szCs w:val="24"/>
        </w:rPr>
        <w:t xml:space="preserve"> Inc.</w:t>
      </w:r>
      <w:r w:rsidR="003E3A51">
        <w:rPr>
          <w:rFonts w:ascii="Arial" w:hAnsi="Arial" w:cs="Arial"/>
          <w:b/>
          <w:sz w:val="24"/>
          <w:szCs w:val="24"/>
        </w:rPr>
        <w:t xml:space="preserve"> </w:t>
      </w:r>
      <w:r w:rsidR="009D1DE8">
        <w:rPr>
          <w:rFonts w:ascii="Arial" w:hAnsi="Arial" w:cs="Arial"/>
          <w:b/>
          <w:sz w:val="24"/>
          <w:szCs w:val="24"/>
        </w:rPr>
        <w:t xml:space="preserve">– 2019 </w:t>
      </w:r>
      <w:r w:rsidR="00110D25">
        <w:rPr>
          <w:rFonts w:ascii="Arial" w:hAnsi="Arial" w:cs="Arial"/>
          <w:b/>
          <w:sz w:val="24"/>
          <w:szCs w:val="24"/>
        </w:rPr>
        <w:t xml:space="preserve">IRM </w:t>
      </w:r>
      <w:bookmarkStart w:id="0" w:name="_GoBack"/>
      <w:r w:rsidR="009D1DE8">
        <w:rPr>
          <w:rFonts w:ascii="Arial" w:hAnsi="Arial" w:cs="Arial"/>
          <w:b/>
          <w:sz w:val="24"/>
          <w:szCs w:val="24"/>
        </w:rPr>
        <w:t>Applic</w:t>
      </w:r>
      <w:bookmarkEnd w:id="0"/>
      <w:r w:rsidR="009D1DE8">
        <w:rPr>
          <w:rFonts w:ascii="Arial" w:hAnsi="Arial" w:cs="Arial"/>
          <w:b/>
          <w:sz w:val="24"/>
          <w:szCs w:val="24"/>
        </w:rPr>
        <w:t xml:space="preserve">ation </w:t>
      </w:r>
      <w:r w:rsidR="009D1DE8" w:rsidRPr="00A774ED">
        <w:rPr>
          <w:rFonts w:ascii="Arial" w:hAnsi="Arial" w:cs="Arial"/>
          <w:b/>
          <w:sz w:val="24"/>
          <w:szCs w:val="24"/>
        </w:rPr>
        <w:t>(EB-201</w:t>
      </w:r>
      <w:r w:rsidR="002C3B4D">
        <w:rPr>
          <w:rFonts w:ascii="Arial" w:hAnsi="Arial" w:cs="Arial"/>
          <w:b/>
          <w:sz w:val="24"/>
          <w:szCs w:val="24"/>
        </w:rPr>
        <w:t>8</w:t>
      </w:r>
      <w:r w:rsidR="009D1DE8" w:rsidRPr="00A774ED">
        <w:rPr>
          <w:rFonts w:ascii="Arial" w:hAnsi="Arial" w:cs="Arial"/>
          <w:b/>
          <w:sz w:val="24"/>
          <w:szCs w:val="24"/>
        </w:rPr>
        <w:t>-</w:t>
      </w:r>
      <w:r w:rsidRPr="00A774ED">
        <w:rPr>
          <w:rFonts w:ascii="Arial" w:hAnsi="Arial" w:cs="Arial"/>
          <w:b/>
          <w:sz w:val="24"/>
          <w:szCs w:val="24"/>
        </w:rPr>
        <w:t>0</w:t>
      </w:r>
      <w:r>
        <w:rPr>
          <w:rFonts w:ascii="Arial" w:hAnsi="Arial" w:cs="Arial"/>
          <w:b/>
          <w:sz w:val="24"/>
          <w:szCs w:val="24"/>
        </w:rPr>
        <w:t>067</w:t>
      </w:r>
      <w:r w:rsidR="009D1DE8" w:rsidRPr="00A774ED">
        <w:rPr>
          <w:rFonts w:ascii="Arial" w:hAnsi="Arial" w:cs="Arial"/>
          <w:b/>
          <w:sz w:val="24"/>
          <w:szCs w:val="24"/>
        </w:rPr>
        <w:t>)</w:t>
      </w:r>
    </w:p>
    <w:p w14:paraId="44DF8C52" w14:textId="77777777" w:rsidR="008D1333" w:rsidRDefault="001F7A6D" w:rsidP="00872388">
      <w:pPr>
        <w:spacing w:after="0" w:line="240" w:lineRule="auto"/>
        <w:jc w:val="center"/>
        <w:rPr>
          <w:rFonts w:ascii="Arial" w:hAnsi="Arial" w:cs="Arial"/>
          <w:b/>
          <w:sz w:val="24"/>
          <w:szCs w:val="24"/>
        </w:rPr>
      </w:pPr>
      <w:r>
        <w:rPr>
          <w:rFonts w:ascii="Arial" w:hAnsi="Arial" w:cs="Arial"/>
          <w:b/>
          <w:sz w:val="24"/>
          <w:szCs w:val="24"/>
        </w:rPr>
        <w:t xml:space="preserve">OEB Staff </w:t>
      </w:r>
      <w:r w:rsidR="008D1333" w:rsidRPr="00A774ED">
        <w:rPr>
          <w:rFonts w:ascii="Arial" w:hAnsi="Arial" w:cs="Arial"/>
          <w:b/>
          <w:sz w:val="24"/>
          <w:szCs w:val="24"/>
        </w:rPr>
        <w:t>Questions</w:t>
      </w:r>
    </w:p>
    <w:p w14:paraId="4F170971" w14:textId="4525CF09" w:rsidR="009D1DE8" w:rsidRDefault="00E3715A" w:rsidP="00872388">
      <w:pPr>
        <w:spacing w:after="0" w:line="240" w:lineRule="auto"/>
        <w:jc w:val="center"/>
        <w:rPr>
          <w:rFonts w:ascii="Arial" w:hAnsi="Arial" w:cs="Arial"/>
          <w:b/>
          <w:sz w:val="24"/>
          <w:szCs w:val="24"/>
        </w:rPr>
      </w:pPr>
      <w:r>
        <w:rPr>
          <w:rFonts w:ascii="Arial" w:hAnsi="Arial" w:cs="Arial"/>
          <w:b/>
          <w:sz w:val="24"/>
          <w:szCs w:val="24"/>
        </w:rPr>
        <w:t xml:space="preserve">January </w:t>
      </w:r>
      <w:r w:rsidR="00B01CFC">
        <w:rPr>
          <w:rFonts w:ascii="Arial" w:hAnsi="Arial" w:cs="Arial"/>
          <w:b/>
          <w:sz w:val="24"/>
          <w:szCs w:val="24"/>
        </w:rPr>
        <w:t>24</w:t>
      </w:r>
      <w:r w:rsidR="009D1DE8">
        <w:rPr>
          <w:rFonts w:ascii="Arial" w:hAnsi="Arial" w:cs="Arial"/>
          <w:b/>
          <w:sz w:val="24"/>
          <w:szCs w:val="24"/>
        </w:rPr>
        <w:t xml:space="preserve">, </w:t>
      </w:r>
      <w:r>
        <w:rPr>
          <w:rFonts w:ascii="Arial" w:hAnsi="Arial" w:cs="Arial"/>
          <w:b/>
          <w:sz w:val="24"/>
          <w:szCs w:val="24"/>
        </w:rPr>
        <w:t>2019</w:t>
      </w:r>
    </w:p>
    <w:p w14:paraId="41D22438" w14:textId="77777777" w:rsidR="008D1333" w:rsidRDefault="008D1333" w:rsidP="006B72CA">
      <w:pPr>
        <w:spacing w:line="276" w:lineRule="auto"/>
        <w:rPr>
          <w:rFonts w:ascii="Arial" w:hAnsi="Arial" w:cs="Arial"/>
          <w:b/>
          <w:sz w:val="24"/>
          <w:szCs w:val="24"/>
        </w:rPr>
      </w:pPr>
    </w:p>
    <w:p w14:paraId="35C44EF6" w14:textId="77777777" w:rsidR="000B03EB" w:rsidRPr="00746A76" w:rsidRDefault="000B03EB" w:rsidP="006F5A2F">
      <w:pPr>
        <w:spacing w:after="120" w:line="276" w:lineRule="auto"/>
        <w:rPr>
          <w:rFonts w:ascii="Arial" w:hAnsi="Arial" w:cs="Arial"/>
          <w:b/>
          <w:sz w:val="24"/>
          <w:szCs w:val="24"/>
        </w:rPr>
      </w:pPr>
      <w:r w:rsidRPr="00746A76">
        <w:rPr>
          <w:rFonts w:ascii="Arial" w:hAnsi="Arial" w:cs="Arial"/>
          <w:b/>
          <w:sz w:val="24"/>
          <w:szCs w:val="24"/>
        </w:rPr>
        <w:t>Question # 1</w:t>
      </w:r>
    </w:p>
    <w:p w14:paraId="50E95A2F" w14:textId="45BDA157" w:rsidR="00EE7CDE" w:rsidRDefault="000B03EB" w:rsidP="00872388">
      <w:pPr>
        <w:spacing w:after="120" w:line="276" w:lineRule="auto"/>
        <w:rPr>
          <w:rFonts w:ascii="Arial" w:hAnsi="Arial" w:cs="Arial"/>
          <w:sz w:val="24"/>
          <w:szCs w:val="24"/>
        </w:rPr>
      </w:pPr>
      <w:r w:rsidRPr="00746A76">
        <w:rPr>
          <w:rFonts w:ascii="Arial" w:hAnsi="Arial" w:cs="Arial"/>
          <w:b/>
          <w:sz w:val="24"/>
        </w:rPr>
        <w:t xml:space="preserve">Ref: </w:t>
      </w:r>
      <w:r w:rsidR="003A0B75">
        <w:rPr>
          <w:rFonts w:ascii="Arial" w:hAnsi="Arial" w:cs="Arial"/>
          <w:b/>
          <w:sz w:val="24"/>
        </w:rPr>
        <w:tab/>
      </w:r>
      <w:r w:rsidR="00EE7CDE">
        <w:rPr>
          <w:rFonts w:ascii="Arial" w:hAnsi="Arial" w:cs="Arial"/>
          <w:b/>
          <w:sz w:val="24"/>
        </w:rPr>
        <w:t>IRM Model, Tab 1</w:t>
      </w:r>
    </w:p>
    <w:p w14:paraId="026E6456" w14:textId="43BFFEC5" w:rsidR="00EE7CDE" w:rsidRDefault="00EE7CDE" w:rsidP="00872388">
      <w:pPr>
        <w:spacing w:after="120" w:line="276" w:lineRule="auto"/>
        <w:rPr>
          <w:rFonts w:ascii="Arial" w:hAnsi="Arial" w:cs="Arial"/>
          <w:sz w:val="24"/>
          <w:szCs w:val="24"/>
        </w:rPr>
      </w:pPr>
      <w:r w:rsidRPr="004409E6">
        <w:rPr>
          <w:rFonts w:ascii="Arial" w:hAnsi="Arial" w:cs="Arial"/>
          <w:sz w:val="24"/>
          <w:szCs w:val="24"/>
        </w:rPr>
        <w:t xml:space="preserve">In the Decision and Rate Order issued for </w:t>
      </w:r>
      <w:r>
        <w:rPr>
          <w:rFonts w:ascii="Arial" w:hAnsi="Arial" w:cs="Arial"/>
          <w:sz w:val="24"/>
          <w:szCs w:val="24"/>
        </w:rPr>
        <w:t>Peterborough Distribution</w:t>
      </w:r>
      <w:r w:rsidRPr="004409E6">
        <w:rPr>
          <w:rFonts w:ascii="Arial" w:hAnsi="Arial" w:cs="Arial"/>
          <w:sz w:val="24"/>
          <w:szCs w:val="24"/>
        </w:rPr>
        <w:t>’s 201</w:t>
      </w:r>
      <w:r>
        <w:rPr>
          <w:rFonts w:ascii="Arial" w:hAnsi="Arial" w:cs="Arial"/>
          <w:sz w:val="24"/>
          <w:szCs w:val="24"/>
        </w:rPr>
        <w:t>8</w:t>
      </w:r>
      <w:r w:rsidRPr="004409E6">
        <w:rPr>
          <w:rFonts w:ascii="Arial" w:hAnsi="Arial" w:cs="Arial"/>
          <w:sz w:val="24"/>
          <w:szCs w:val="24"/>
        </w:rPr>
        <w:t xml:space="preserve"> rates (EB-201</w:t>
      </w:r>
      <w:r>
        <w:rPr>
          <w:rFonts w:ascii="Arial" w:hAnsi="Arial" w:cs="Arial"/>
          <w:sz w:val="24"/>
          <w:szCs w:val="24"/>
        </w:rPr>
        <w:t>7-0266</w:t>
      </w:r>
      <w:r w:rsidRPr="004409E6">
        <w:rPr>
          <w:rFonts w:ascii="Arial" w:hAnsi="Arial" w:cs="Arial"/>
          <w:sz w:val="24"/>
          <w:szCs w:val="24"/>
        </w:rPr>
        <w:t>), the Group 1 DVA accounts balances as of December 31, 201</w:t>
      </w:r>
      <w:r>
        <w:rPr>
          <w:rFonts w:ascii="Arial" w:hAnsi="Arial" w:cs="Arial"/>
          <w:sz w:val="24"/>
          <w:szCs w:val="24"/>
        </w:rPr>
        <w:t>6</w:t>
      </w:r>
      <w:r w:rsidRPr="004409E6">
        <w:rPr>
          <w:rFonts w:ascii="Arial" w:hAnsi="Arial" w:cs="Arial"/>
          <w:sz w:val="24"/>
          <w:szCs w:val="24"/>
        </w:rPr>
        <w:t xml:space="preserve"> were disposed of. Therefore, the rate year associated with this disposition should be 201</w:t>
      </w:r>
      <w:r>
        <w:rPr>
          <w:rFonts w:ascii="Arial" w:hAnsi="Arial" w:cs="Arial"/>
          <w:sz w:val="24"/>
          <w:szCs w:val="24"/>
        </w:rPr>
        <w:t>8</w:t>
      </w:r>
      <w:r w:rsidRPr="004409E6">
        <w:rPr>
          <w:rFonts w:ascii="Arial" w:hAnsi="Arial" w:cs="Arial"/>
          <w:sz w:val="24"/>
          <w:szCs w:val="24"/>
        </w:rPr>
        <w:t xml:space="preserve">. In tab 1 of the IRM model, </w:t>
      </w:r>
      <w:r>
        <w:rPr>
          <w:rFonts w:ascii="Arial" w:hAnsi="Arial" w:cs="Arial"/>
          <w:sz w:val="24"/>
          <w:szCs w:val="24"/>
        </w:rPr>
        <w:t>Peterborough Distribution</w:t>
      </w:r>
      <w:r w:rsidRPr="004409E6">
        <w:rPr>
          <w:rFonts w:ascii="Arial" w:hAnsi="Arial" w:cs="Arial"/>
          <w:sz w:val="24"/>
          <w:szCs w:val="24"/>
        </w:rPr>
        <w:t xml:space="preserve"> selected 201</w:t>
      </w:r>
      <w:r>
        <w:rPr>
          <w:rFonts w:ascii="Arial" w:hAnsi="Arial" w:cs="Arial"/>
          <w:sz w:val="24"/>
          <w:szCs w:val="24"/>
        </w:rPr>
        <w:t>7</w:t>
      </w:r>
      <w:r w:rsidRPr="004409E6">
        <w:rPr>
          <w:rFonts w:ascii="Arial" w:hAnsi="Arial" w:cs="Arial"/>
          <w:sz w:val="24"/>
          <w:szCs w:val="24"/>
        </w:rPr>
        <w:t xml:space="preserve"> as the rate year in which the Group 1 accounts were last cleared. Please confirm if the rate year should be corrected to 201</w:t>
      </w:r>
      <w:r>
        <w:rPr>
          <w:rFonts w:ascii="Arial" w:hAnsi="Arial" w:cs="Arial"/>
          <w:sz w:val="24"/>
          <w:szCs w:val="24"/>
        </w:rPr>
        <w:t>8</w:t>
      </w:r>
      <w:r w:rsidRPr="004409E6">
        <w:rPr>
          <w:rFonts w:ascii="Arial" w:hAnsi="Arial" w:cs="Arial"/>
          <w:sz w:val="24"/>
          <w:szCs w:val="24"/>
        </w:rPr>
        <w:t>.</w:t>
      </w:r>
    </w:p>
    <w:p w14:paraId="1B020464" w14:textId="77777777" w:rsidR="00EE7CDE" w:rsidRDefault="00EE7CDE" w:rsidP="00872388">
      <w:pPr>
        <w:spacing w:after="120" w:line="276" w:lineRule="auto"/>
        <w:rPr>
          <w:rFonts w:ascii="Arial" w:hAnsi="Arial" w:cs="Arial"/>
          <w:sz w:val="24"/>
          <w:szCs w:val="24"/>
        </w:rPr>
      </w:pPr>
    </w:p>
    <w:p w14:paraId="60C2DCE7" w14:textId="1E862D4A" w:rsidR="00EE7CDE" w:rsidRDefault="00EE7CDE" w:rsidP="00872388">
      <w:pPr>
        <w:spacing w:after="120" w:line="276" w:lineRule="auto"/>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1C8431F9" wp14:editId="0D6D2F16">
                <wp:simplePos x="0" y="0"/>
                <wp:positionH relativeFrom="column">
                  <wp:posOffset>3077845</wp:posOffset>
                </wp:positionH>
                <wp:positionV relativeFrom="paragraph">
                  <wp:posOffset>1948180</wp:posOffset>
                </wp:positionV>
                <wp:extent cx="238581" cy="637365"/>
                <wp:effectExtent l="0" t="104140" r="635" b="95885"/>
                <wp:wrapNone/>
                <wp:docPr id="2" name="Down Arrow 2"/>
                <wp:cNvGraphicFramePr/>
                <a:graphic xmlns:a="http://schemas.openxmlformats.org/drawingml/2006/main">
                  <a:graphicData uri="http://schemas.microsoft.com/office/word/2010/wordprocessingShape">
                    <wps:wsp>
                      <wps:cNvSpPr/>
                      <wps:spPr>
                        <a:xfrm rot="3831327">
                          <a:off x="0" y="0"/>
                          <a:ext cx="238581" cy="637365"/>
                        </a:xfrm>
                        <a:prstGeom prst="downArrow">
                          <a:avLst/>
                        </a:prstGeom>
                        <a:solidFill>
                          <a:srgbClr val="FF0000"/>
                        </a:solidFill>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0EB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42.35pt;margin-top:153.4pt;width:18.8pt;height:50.2pt;rotation:41848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" adj="17557" fillcolor="red" strokecolor="#1f4d78 [1604]" strokeweight="1pt"/>
            </w:pict>
          </mc:Fallback>
        </mc:AlternateContent>
      </w:r>
      <w:r>
        <w:rPr>
          <w:noProof/>
        </w:rPr>
        <w:drawing>
          <wp:inline distT="0" distB="0" distL="0" distR="0" wp14:anchorId="263A3637" wp14:editId="0AFDD91B">
            <wp:extent cx="5943600" cy="2921635"/>
            <wp:effectExtent l="19050" t="19050" r="1905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21635"/>
                    </a:xfrm>
                    <a:prstGeom prst="rect">
                      <a:avLst/>
                    </a:prstGeom>
                    <a:ln>
                      <a:solidFill>
                        <a:schemeClr val="tx1"/>
                      </a:solidFill>
                    </a:ln>
                  </pic:spPr>
                </pic:pic>
              </a:graphicData>
            </a:graphic>
          </wp:inline>
        </w:drawing>
      </w:r>
    </w:p>
    <w:p w14:paraId="6A5BD394" w14:textId="4215BB92" w:rsidR="00EE7CDE" w:rsidRDefault="00EE7CDE" w:rsidP="00872388">
      <w:pPr>
        <w:spacing w:after="120" w:line="276" w:lineRule="auto"/>
        <w:rPr>
          <w:rFonts w:ascii="Arial" w:hAnsi="Arial" w:cs="Arial"/>
          <w:sz w:val="24"/>
          <w:szCs w:val="24"/>
        </w:rPr>
      </w:pPr>
    </w:p>
    <w:p w14:paraId="3359FC7D" w14:textId="72514E23" w:rsidR="00EE7CDE" w:rsidRPr="00746A76" w:rsidRDefault="00EE7CDE" w:rsidP="00EE7CDE">
      <w:pPr>
        <w:spacing w:after="120" w:line="276" w:lineRule="auto"/>
        <w:rPr>
          <w:rFonts w:ascii="Arial" w:hAnsi="Arial" w:cs="Arial"/>
          <w:b/>
          <w:sz w:val="24"/>
          <w:szCs w:val="24"/>
        </w:rPr>
      </w:pPr>
      <w:r w:rsidRPr="00746A76">
        <w:rPr>
          <w:rFonts w:ascii="Arial" w:hAnsi="Arial" w:cs="Arial"/>
          <w:b/>
          <w:sz w:val="24"/>
          <w:szCs w:val="24"/>
        </w:rPr>
        <w:t xml:space="preserve">Question # </w:t>
      </w:r>
      <w:r>
        <w:rPr>
          <w:rFonts w:ascii="Arial" w:hAnsi="Arial" w:cs="Arial"/>
          <w:b/>
          <w:sz w:val="24"/>
          <w:szCs w:val="24"/>
        </w:rPr>
        <w:t>2</w:t>
      </w:r>
    </w:p>
    <w:p w14:paraId="2F5AE002" w14:textId="28432532" w:rsidR="00EE7CDE" w:rsidRDefault="00EE7CDE" w:rsidP="00872388">
      <w:pPr>
        <w:spacing w:after="120" w:line="276" w:lineRule="auto"/>
        <w:rPr>
          <w:rFonts w:ascii="Arial" w:hAnsi="Arial" w:cs="Arial"/>
          <w:sz w:val="24"/>
          <w:szCs w:val="24"/>
        </w:rPr>
      </w:pPr>
      <w:r w:rsidRPr="00746A76">
        <w:rPr>
          <w:rFonts w:ascii="Arial" w:hAnsi="Arial" w:cs="Arial"/>
          <w:b/>
          <w:sz w:val="24"/>
        </w:rPr>
        <w:t xml:space="preserve">Ref: </w:t>
      </w:r>
      <w:r>
        <w:rPr>
          <w:rFonts w:ascii="Arial" w:hAnsi="Arial" w:cs="Arial"/>
          <w:b/>
          <w:sz w:val="24"/>
        </w:rPr>
        <w:tab/>
        <w:t xml:space="preserve">Manager’s </w:t>
      </w:r>
      <w:proofErr w:type="gramStart"/>
      <w:r>
        <w:rPr>
          <w:rFonts w:ascii="Arial" w:hAnsi="Arial" w:cs="Arial"/>
          <w:b/>
          <w:sz w:val="24"/>
        </w:rPr>
        <w:t>Summary</w:t>
      </w:r>
      <w:proofErr w:type="gramEnd"/>
      <w:r>
        <w:rPr>
          <w:rFonts w:ascii="Arial" w:hAnsi="Arial" w:cs="Arial"/>
          <w:b/>
          <w:sz w:val="24"/>
        </w:rPr>
        <w:t>, page</w:t>
      </w:r>
      <w:r w:rsidR="00B01CFC">
        <w:rPr>
          <w:rFonts w:ascii="Arial" w:hAnsi="Arial" w:cs="Arial"/>
          <w:b/>
          <w:sz w:val="24"/>
        </w:rPr>
        <w:t xml:space="preserve"> 9</w:t>
      </w:r>
    </w:p>
    <w:p w14:paraId="262315CD" w14:textId="6A3932B3" w:rsidR="000B03EB" w:rsidRDefault="00110D25" w:rsidP="00872388">
      <w:pPr>
        <w:spacing w:after="120" w:line="276" w:lineRule="auto"/>
        <w:rPr>
          <w:rFonts w:ascii="Arial" w:hAnsi="Arial" w:cs="Arial"/>
          <w:sz w:val="24"/>
          <w:szCs w:val="24"/>
        </w:rPr>
      </w:pPr>
      <w:r>
        <w:rPr>
          <w:rFonts w:ascii="Arial" w:hAnsi="Arial" w:cs="Arial"/>
          <w:sz w:val="24"/>
          <w:szCs w:val="24"/>
        </w:rPr>
        <w:t>The</w:t>
      </w:r>
      <w:r w:rsidRPr="0030022B">
        <w:rPr>
          <w:rFonts w:ascii="Arial" w:hAnsi="Arial" w:cs="Arial"/>
          <w:sz w:val="24"/>
          <w:szCs w:val="24"/>
        </w:rPr>
        <w:t xml:space="preserve"> tax amount of</w:t>
      </w:r>
      <w:r>
        <w:rPr>
          <w:rFonts w:ascii="Arial" w:hAnsi="Arial" w:cs="Arial"/>
          <w:sz w:val="24"/>
          <w:szCs w:val="24"/>
        </w:rPr>
        <w:t xml:space="preserve"> $61,605</w:t>
      </w:r>
      <w:r w:rsidRPr="00110D25">
        <w:rPr>
          <w:rFonts w:ascii="Arial" w:hAnsi="Arial" w:cs="Arial"/>
          <w:sz w:val="24"/>
          <w:szCs w:val="24"/>
        </w:rPr>
        <w:t xml:space="preserve"> does not meet the minimum amount to generate a rate rider.</w:t>
      </w:r>
      <w:r>
        <w:rPr>
          <w:rFonts w:ascii="Arial" w:hAnsi="Arial" w:cs="Arial"/>
          <w:sz w:val="24"/>
          <w:szCs w:val="24"/>
        </w:rPr>
        <w:t xml:space="preserve"> </w:t>
      </w:r>
      <w:r w:rsidRPr="0030022B">
        <w:rPr>
          <w:rFonts w:ascii="Arial" w:hAnsi="Arial" w:cs="Arial"/>
          <w:sz w:val="24"/>
          <w:szCs w:val="24"/>
        </w:rPr>
        <w:t>Please confirm that the entire 50/50 sharing amount will be transferred to Account 1595 for disposition at a future date.</w:t>
      </w:r>
    </w:p>
    <w:p w14:paraId="66B4CC93" w14:textId="77777777" w:rsidR="00110D25" w:rsidRDefault="00110D25" w:rsidP="00872388">
      <w:pPr>
        <w:spacing w:after="120" w:line="276" w:lineRule="auto"/>
        <w:rPr>
          <w:rFonts w:ascii="Arial" w:hAnsi="Arial" w:cs="Arial"/>
          <w:b/>
          <w:sz w:val="24"/>
          <w:szCs w:val="24"/>
        </w:rPr>
      </w:pPr>
    </w:p>
    <w:p w14:paraId="4FA87C5A" w14:textId="77777777" w:rsidR="00EE7CDE" w:rsidRDefault="00EE7CDE" w:rsidP="006F5A2F">
      <w:pPr>
        <w:spacing w:after="120" w:line="276" w:lineRule="auto"/>
        <w:rPr>
          <w:rFonts w:ascii="Arial" w:hAnsi="Arial" w:cs="Arial"/>
          <w:b/>
          <w:sz w:val="24"/>
          <w:szCs w:val="24"/>
        </w:rPr>
      </w:pPr>
    </w:p>
    <w:p w14:paraId="2B082334" w14:textId="6646D9E8" w:rsidR="00017B92" w:rsidRPr="00017B92" w:rsidRDefault="00017B92" w:rsidP="006F5A2F">
      <w:pPr>
        <w:spacing w:after="120" w:line="276" w:lineRule="auto"/>
        <w:rPr>
          <w:rFonts w:ascii="Arial" w:hAnsi="Arial" w:cs="Arial"/>
          <w:b/>
          <w:sz w:val="24"/>
          <w:szCs w:val="24"/>
        </w:rPr>
      </w:pPr>
      <w:r w:rsidRPr="00017B92">
        <w:rPr>
          <w:rFonts w:ascii="Arial" w:hAnsi="Arial" w:cs="Arial"/>
          <w:b/>
          <w:sz w:val="24"/>
          <w:szCs w:val="24"/>
        </w:rPr>
        <w:lastRenderedPageBreak/>
        <w:t>Question #</w:t>
      </w:r>
      <w:r w:rsidR="00B01CFC">
        <w:rPr>
          <w:rFonts w:ascii="Arial" w:hAnsi="Arial" w:cs="Arial"/>
          <w:b/>
          <w:sz w:val="24"/>
          <w:szCs w:val="24"/>
        </w:rPr>
        <w:t>3</w:t>
      </w:r>
    </w:p>
    <w:p w14:paraId="6C8F0DA0" w14:textId="42ED98C2" w:rsidR="0057538A" w:rsidRPr="005406CC" w:rsidRDefault="00017B92" w:rsidP="00B01CFC">
      <w:pPr>
        <w:spacing w:after="120" w:line="240" w:lineRule="auto"/>
        <w:rPr>
          <w:rFonts w:ascii="Arial" w:hAnsi="Arial" w:cs="Arial"/>
          <w:sz w:val="24"/>
        </w:rPr>
      </w:pPr>
      <w:r w:rsidRPr="00B01CFC">
        <w:rPr>
          <w:rFonts w:ascii="Arial" w:hAnsi="Arial" w:cs="Arial"/>
          <w:b/>
          <w:sz w:val="24"/>
          <w:szCs w:val="24"/>
        </w:rPr>
        <w:t xml:space="preserve">Ref: </w:t>
      </w:r>
      <w:r w:rsidR="003A0B75" w:rsidRPr="00B01CFC">
        <w:rPr>
          <w:rFonts w:ascii="Arial" w:hAnsi="Arial" w:cs="Arial"/>
          <w:b/>
          <w:sz w:val="24"/>
          <w:szCs w:val="24"/>
        </w:rPr>
        <w:tab/>
      </w:r>
      <w:r w:rsidR="00B01CFC" w:rsidRPr="00B01CFC">
        <w:rPr>
          <w:rFonts w:ascii="Arial" w:hAnsi="Arial" w:cs="Arial"/>
          <w:b/>
          <w:sz w:val="24"/>
          <w:szCs w:val="24"/>
        </w:rPr>
        <w:t>IRM Model, Tab 3</w:t>
      </w:r>
    </w:p>
    <w:p w14:paraId="200CBE0F" w14:textId="1F7AE3C1" w:rsidR="005716F5" w:rsidRDefault="00B01CFC" w:rsidP="00025576">
      <w:pPr>
        <w:rPr>
          <w:rFonts w:ascii="Arial" w:hAnsi="Arial" w:cs="Arial"/>
          <w:sz w:val="24"/>
          <w:szCs w:val="24"/>
        </w:rPr>
      </w:pPr>
      <w:r>
        <w:rPr>
          <w:rFonts w:ascii="Arial" w:hAnsi="Arial" w:cs="Arial"/>
          <w:sz w:val="24"/>
          <w:szCs w:val="24"/>
        </w:rPr>
        <w:t>Tab 3 of the IRM Model shows two interest adjustments</w:t>
      </w:r>
      <w:r w:rsidR="00715A93">
        <w:rPr>
          <w:rFonts w:ascii="Arial" w:hAnsi="Arial" w:cs="Arial"/>
          <w:sz w:val="24"/>
          <w:szCs w:val="24"/>
        </w:rPr>
        <w:t xml:space="preserve"> for 2017</w:t>
      </w:r>
      <w:r>
        <w:rPr>
          <w:rFonts w:ascii="Arial" w:hAnsi="Arial" w:cs="Arial"/>
          <w:sz w:val="24"/>
          <w:szCs w:val="24"/>
        </w:rPr>
        <w:t xml:space="preserve"> and variances in the same amount in relation to </w:t>
      </w:r>
      <w:r w:rsidR="00715A93">
        <w:rPr>
          <w:rFonts w:ascii="Arial" w:hAnsi="Arial" w:cs="Arial"/>
          <w:sz w:val="24"/>
          <w:szCs w:val="24"/>
        </w:rPr>
        <w:t>A</w:t>
      </w:r>
      <w:r>
        <w:rPr>
          <w:rFonts w:ascii="Arial" w:hAnsi="Arial" w:cs="Arial"/>
          <w:sz w:val="24"/>
          <w:szCs w:val="24"/>
        </w:rPr>
        <w:t xml:space="preserve">ccount 1595 (2015 </w:t>
      </w:r>
      <w:r w:rsidR="00715A93">
        <w:rPr>
          <w:rFonts w:ascii="Arial" w:hAnsi="Arial" w:cs="Arial"/>
          <w:sz w:val="24"/>
          <w:szCs w:val="24"/>
        </w:rPr>
        <w:t xml:space="preserve">and 2016). </w:t>
      </w:r>
      <w:r>
        <w:rPr>
          <w:rFonts w:ascii="Arial" w:hAnsi="Arial" w:cs="Arial"/>
          <w:sz w:val="24"/>
          <w:szCs w:val="24"/>
        </w:rPr>
        <w:t xml:space="preserve">Please explain the nature of these adjustments and the resulting variances. </w:t>
      </w:r>
    </w:p>
    <w:p w14:paraId="3CB52429" w14:textId="513F45A4" w:rsidR="00F82586" w:rsidRDefault="00B01CFC" w:rsidP="00025576">
      <w:pPr>
        <w:rPr>
          <w:rFonts w:ascii="Arial" w:hAnsi="Arial" w:cs="Arial"/>
          <w:sz w:val="24"/>
          <w:szCs w:val="24"/>
        </w:rPr>
      </w:pPr>
      <w:r>
        <w:rPr>
          <w:noProof/>
        </w:rPr>
        <w:drawing>
          <wp:inline distT="0" distB="0" distL="0" distR="0" wp14:anchorId="6BE909CF" wp14:editId="62B2135C">
            <wp:extent cx="5943600" cy="24288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28875"/>
                    </a:xfrm>
                    <a:prstGeom prst="rect">
                      <a:avLst/>
                    </a:prstGeom>
                    <a:ln>
                      <a:solidFill>
                        <a:schemeClr val="tx1"/>
                      </a:solidFill>
                    </a:ln>
                  </pic:spPr>
                </pic:pic>
              </a:graphicData>
            </a:graphic>
          </wp:inline>
        </w:drawing>
      </w:r>
    </w:p>
    <w:p w14:paraId="035F840A" w14:textId="77777777" w:rsidR="00B01CFC" w:rsidRDefault="00B01CFC" w:rsidP="00025576">
      <w:pPr>
        <w:rPr>
          <w:rFonts w:ascii="Arial" w:hAnsi="Arial" w:cs="Arial"/>
          <w:sz w:val="24"/>
          <w:szCs w:val="24"/>
        </w:rPr>
      </w:pPr>
    </w:p>
    <w:p w14:paraId="56257434" w14:textId="1C096C2A" w:rsidR="00B01CFC" w:rsidRDefault="00B01CFC" w:rsidP="00025576">
      <w:pPr>
        <w:rPr>
          <w:rFonts w:ascii="Arial" w:hAnsi="Arial" w:cs="Arial"/>
          <w:sz w:val="24"/>
          <w:szCs w:val="24"/>
        </w:rPr>
      </w:pPr>
      <w:r>
        <w:rPr>
          <w:noProof/>
        </w:rPr>
        <w:drawing>
          <wp:inline distT="0" distB="0" distL="0" distR="0" wp14:anchorId="5DD6865D" wp14:editId="76F0A9CB">
            <wp:extent cx="5943600" cy="2921000"/>
            <wp:effectExtent l="19050" t="19050" r="1905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8539" cy="2923427"/>
                    </a:xfrm>
                    <a:prstGeom prst="rect">
                      <a:avLst/>
                    </a:prstGeom>
                    <a:ln>
                      <a:solidFill>
                        <a:schemeClr val="tx1"/>
                      </a:solidFill>
                    </a:ln>
                  </pic:spPr>
                </pic:pic>
              </a:graphicData>
            </a:graphic>
          </wp:inline>
        </w:drawing>
      </w:r>
    </w:p>
    <w:p w14:paraId="30873C15" w14:textId="58A8195E" w:rsidR="00715A93" w:rsidRDefault="00715A93" w:rsidP="00025576">
      <w:pPr>
        <w:rPr>
          <w:rFonts w:ascii="Arial" w:hAnsi="Arial" w:cs="Arial"/>
          <w:sz w:val="24"/>
          <w:szCs w:val="24"/>
        </w:rPr>
      </w:pPr>
    </w:p>
    <w:p w14:paraId="43E20763" w14:textId="5F02BC3B" w:rsidR="00715A93" w:rsidRDefault="00715A93" w:rsidP="00025576">
      <w:pPr>
        <w:rPr>
          <w:rFonts w:ascii="Arial" w:hAnsi="Arial" w:cs="Arial"/>
          <w:sz w:val="24"/>
          <w:szCs w:val="24"/>
        </w:rPr>
      </w:pPr>
    </w:p>
    <w:p w14:paraId="06FC19E6" w14:textId="56D0AD12" w:rsidR="00715A93" w:rsidRDefault="00715A93" w:rsidP="00025576">
      <w:pPr>
        <w:rPr>
          <w:rFonts w:ascii="Arial" w:hAnsi="Arial" w:cs="Arial"/>
          <w:sz w:val="24"/>
          <w:szCs w:val="24"/>
        </w:rPr>
      </w:pPr>
    </w:p>
    <w:p w14:paraId="4E7DB1BE" w14:textId="0C9BBEF1" w:rsidR="00715A93" w:rsidRDefault="00715A93" w:rsidP="00025576">
      <w:pPr>
        <w:rPr>
          <w:rFonts w:ascii="Arial" w:hAnsi="Arial" w:cs="Arial"/>
          <w:sz w:val="24"/>
          <w:szCs w:val="24"/>
        </w:rPr>
      </w:pPr>
    </w:p>
    <w:p w14:paraId="29CC3629" w14:textId="77BE2613" w:rsidR="00715A93" w:rsidRPr="00017B92" w:rsidRDefault="00715A93" w:rsidP="00715A93">
      <w:pPr>
        <w:spacing w:after="120" w:line="276" w:lineRule="auto"/>
        <w:rPr>
          <w:rFonts w:ascii="Arial" w:hAnsi="Arial" w:cs="Arial"/>
          <w:b/>
          <w:sz w:val="24"/>
          <w:szCs w:val="24"/>
        </w:rPr>
      </w:pPr>
      <w:r w:rsidRPr="00017B92">
        <w:rPr>
          <w:rFonts w:ascii="Arial" w:hAnsi="Arial" w:cs="Arial"/>
          <w:b/>
          <w:sz w:val="24"/>
          <w:szCs w:val="24"/>
        </w:rPr>
        <w:lastRenderedPageBreak/>
        <w:t>Question #</w:t>
      </w:r>
      <w:r>
        <w:rPr>
          <w:rFonts w:ascii="Arial" w:hAnsi="Arial" w:cs="Arial"/>
          <w:b/>
          <w:sz w:val="24"/>
          <w:szCs w:val="24"/>
        </w:rPr>
        <w:t>4</w:t>
      </w:r>
    </w:p>
    <w:p w14:paraId="1A469CBD" w14:textId="2746B547" w:rsidR="00715A93" w:rsidRDefault="00715A93" w:rsidP="00715A93">
      <w:pPr>
        <w:spacing w:after="120" w:line="240" w:lineRule="auto"/>
        <w:rPr>
          <w:rFonts w:ascii="Arial" w:hAnsi="Arial" w:cs="Arial"/>
          <w:b/>
          <w:sz w:val="24"/>
          <w:szCs w:val="24"/>
        </w:rPr>
      </w:pPr>
      <w:r w:rsidRPr="00B01CFC">
        <w:rPr>
          <w:rFonts w:ascii="Arial" w:hAnsi="Arial" w:cs="Arial"/>
          <w:b/>
          <w:sz w:val="24"/>
          <w:szCs w:val="24"/>
        </w:rPr>
        <w:t xml:space="preserve">Ref: </w:t>
      </w:r>
      <w:r w:rsidRPr="00B01CFC">
        <w:rPr>
          <w:rFonts w:ascii="Arial" w:hAnsi="Arial" w:cs="Arial"/>
          <w:b/>
          <w:sz w:val="24"/>
          <w:szCs w:val="24"/>
        </w:rPr>
        <w:tab/>
      </w:r>
      <w:r>
        <w:rPr>
          <w:rFonts w:ascii="Arial" w:hAnsi="Arial" w:cs="Arial"/>
          <w:b/>
          <w:sz w:val="24"/>
          <w:szCs w:val="24"/>
        </w:rPr>
        <w:t xml:space="preserve">Account 1595 </w:t>
      </w:r>
      <w:proofErr w:type="spellStart"/>
      <w:r>
        <w:rPr>
          <w:rFonts w:ascii="Arial" w:hAnsi="Arial" w:cs="Arial"/>
          <w:b/>
          <w:sz w:val="24"/>
          <w:szCs w:val="24"/>
        </w:rPr>
        <w:t>Workform</w:t>
      </w:r>
      <w:proofErr w:type="spellEnd"/>
    </w:p>
    <w:p w14:paraId="344F60EF" w14:textId="7CF24E80" w:rsidR="00715A93" w:rsidRDefault="00715A93" w:rsidP="00715A93">
      <w:pPr>
        <w:rPr>
          <w:rFonts w:ascii="Arial" w:hAnsi="Arial" w:cs="Arial"/>
          <w:sz w:val="24"/>
        </w:rPr>
      </w:pPr>
      <w:r>
        <w:rPr>
          <w:rFonts w:ascii="Arial" w:hAnsi="Arial" w:cs="Arial"/>
          <w:sz w:val="24"/>
        </w:rPr>
        <w:t xml:space="preserve">The balance in Account 1595 (2015) shows a variance of greater than 10%. Please provide </w:t>
      </w:r>
      <w:r w:rsidR="00DD4B0B">
        <w:rPr>
          <w:rFonts w:ascii="Arial" w:hAnsi="Arial" w:cs="Arial"/>
          <w:sz w:val="24"/>
        </w:rPr>
        <w:t>a detailed explanation including the</w:t>
      </w:r>
      <w:r>
        <w:rPr>
          <w:rFonts w:ascii="Arial" w:hAnsi="Arial" w:cs="Arial"/>
          <w:sz w:val="24"/>
        </w:rPr>
        <w:t xml:space="preserve"> underlying causes of the material balance in the “additional notes and comments” box of the </w:t>
      </w:r>
      <w:proofErr w:type="spellStart"/>
      <w:r>
        <w:rPr>
          <w:rFonts w:ascii="Arial" w:hAnsi="Arial" w:cs="Arial"/>
          <w:sz w:val="24"/>
        </w:rPr>
        <w:t>workform</w:t>
      </w:r>
      <w:proofErr w:type="spellEnd"/>
      <w:r>
        <w:rPr>
          <w:rFonts w:ascii="Arial" w:hAnsi="Arial" w:cs="Arial"/>
          <w:sz w:val="24"/>
        </w:rPr>
        <w:t xml:space="preserve">. </w:t>
      </w:r>
    </w:p>
    <w:p w14:paraId="14A73470" w14:textId="77777777" w:rsidR="00715A93" w:rsidRPr="00715A93" w:rsidRDefault="00715A93" w:rsidP="00715A93">
      <w:pPr>
        <w:rPr>
          <w:rFonts w:ascii="Arial" w:hAnsi="Arial" w:cs="Arial"/>
          <w:sz w:val="24"/>
        </w:rPr>
      </w:pPr>
    </w:p>
    <w:p w14:paraId="0B030705" w14:textId="55268699" w:rsidR="00715A93" w:rsidRPr="00715A93" w:rsidRDefault="00715A93" w:rsidP="00715A93">
      <w:pPr>
        <w:spacing w:after="120"/>
        <w:rPr>
          <w:rFonts w:ascii="Arial" w:hAnsi="Arial" w:cs="Arial"/>
          <w:b/>
          <w:sz w:val="24"/>
        </w:rPr>
      </w:pPr>
      <w:r>
        <w:rPr>
          <w:rFonts w:ascii="Arial" w:hAnsi="Arial" w:cs="Arial"/>
          <w:b/>
          <w:sz w:val="24"/>
        </w:rPr>
        <w:t>Question #5</w:t>
      </w:r>
    </w:p>
    <w:p w14:paraId="0E31038A" w14:textId="50C5088D" w:rsidR="00715A93" w:rsidRPr="00715A93" w:rsidRDefault="00715A93" w:rsidP="00715A93">
      <w:pPr>
        <w:rPr>
          <w:rFonts w:ascii="Arial" w:hAnsi="Arial" w:cs="Arial"/>
          <w:b/>
          <w:sz w:val="24"/>
        </w:rPr>
      </w:pPr>
      <w:r w:rsidRPr="00715A93">
        <w:rPr>
          <w:rFonts w:ascii="Arial" w:hAnsi="Arial" w:cs="Arial"/>
          <w:b/>
          <w:sz w:val="24"/>
        </w:rPr>
        <w:t xml:space="preserve">Ref: </w:t>
      </w:r>
      <w:r>
        <w:rPr>
          <w:rFonts w:ascii="Arial" w:hAnsi="Arial" w:cs="Arial"/>
          <w:b/>
          <w:sz w:val="24"/>
        </w:rPr>
        <w:tab/>
      </w:r>
      <w:r w:rsidRPr="00715A93">
        <w:rPr>
          <w:rFonts w:ascii="Arial" w:hAnsi="Arial" w:cs="Arial"/>
          <w:b/>
          <w:sz w:val="24"/>
        </w:rPr>
        <w:t>Appendix A GA Methodology Questions</w:t>
      </w:r>
    </w:p>
    <w:p w14:paraId="09618BDE" w14:textId="5A7D0C07" w:rsidR="00715A93" w:rsidRPr="00715A93" w:rsidRDefault="00715A93" w:rsidP="00715A93">
      <w:pPr>
        <w:rPr>
          <w:rFonts w:ascii="Arial" w:hAnsi="Arial" w:cs="Arial"/>
          <w:sz w:val="24"/>
        </w:rPr>
      </w:pPr>
      <w:r w:rsidRPr="00715A93">
        <w:rPr>
          <w:rFonts w:ascii="Arial" w:hAnsi="Arial" w:cs="Arial"/>
          <w:sz w:val="24"/>
        </w:rPr>
        <w:t>In the respon</w:t>
      </w:r>
      <w:r>
        <w:rPr>
          <w:rFonts w:ascii="Arial" w:hAnsi="Arial" w:cs="Arial"/>
          <w:sz w:val="24"/>
        </w:rPr>
        <w:t>ses provided to Question 2, Peterborough Distribution</w:t>
      </w:r>
      <w:r w:rsidRPr="00715A93">
        <w:rPr>
          <w:rFonts w:ascii="Arial" w:hAnsi="Arial" w:cs="Arial"/>
          <w:sz w:val="24"/>
        </w:rPr>
        <w:t xml:space="preserve"> describes its RPP settlement process and subsequent true-up of those settlements</w:t>
      </w:r>
      <w:r>
        <w:rPr>
          <w:rFonts w:ascii="Arial" w:hAnsi="Arial" w:cs="Arial"/>
          <w:sz w:val="24"/>
        </w:rPr>
        <w:t>.</w:t>
      </w:r>
    </w:p>
    <w:p w14:paraId="667BB942" w14:textId="7BE73120" w:rsidR="00715A93" w:rsidRPr="00715A93" w:rsidRDefault="00715A93" w:rsidP="00715A93">
      <w:pPr>
        <w:numPr>
          <w:ilvl w:val="0"/>
          <w:numId w:val="22"/>
        </w:numPr>
        <w:rPr>
          <w:rFonts w:ascii="Arial" w:hAnsi="Arial" w:cs="Arial"/>
          <w:sz w:val="24"/>
        </w:rPr>
      </w:pPr>
      <w:r>
        <w:rPr>
          <w:rFonts w:ascii="Arial" w:hAnsi="Arial" w:cs="Arial"/>
          <w:sz w:val="24"/>
        </w:rPr>
        <w:t>Peterborough Distribution</w:t>
      </w:r>
      <w:r w:rsidRPr="00715A93">
        <w:rPr>
          <w:rFonts w:ascii="Arial" w:hAnsi="Arial" w:cs="Arial"/>
          <w:sz w:val="24"/>
        </w:rPr>
        <w:t xml:space="preserve"> indicates that it performs a true-up of its RPP settlement two months after the initial submission. Please confirm that this means, for example, that the settlement of the month of December consumption would take place on January 4</w:t>
      </w:r>
      <w:r w:rsidRPr="00715A93">
        <w:rPr>
          <w:rFonts w:ascii="Arial" w:hAnsi="Arial" w:cs="Arial"/>
          <w:sz w:val="24"/>
          <w:vertAlign w:val="superscript"/>
        </w:rPr>
        <w:t>th</w:t>
      </w:r>
      <w:r w:rsidRPr="00715A93">
        <w:rPr>
          <w:rFonts w:ascii="Arial" w:hAnsi="Arial" w:cs="Arial"/>
          <w:sz w:val="24"/>
        </w:rPr>
        <w:t xml:space="preserve">. Then the subsequent true-up to actual of the settlement of the month December consumption would take place on </w:t>
      </w:r>
      <w:r>
        <w:rPr>
          <w:rFonts w:ascii="Arial" w:hAnsi="Arial" w:cs="Arial"/>
          <w:sz w:val="24"/>
        </w:rPr>
        <w:t>Peterborough Distribution</w:t>
      </w:r>
      <w:r w:rsidRPr="00715A93">
        <w:rPr>
          <w:rFonts w:ascii="Arial" w:hAnsi="Arial" w:cs="Arial"/>
          <w:sz w:val="24"/>
        </w:rPr>
        <w:t>’s March 4</w:t>
      </w:r>
      <w:r w:rsidRPr="00715A93">
        <w:rPr>
          <w:rFonts w:ascii="Arial" w:hAnsi="Arial" w:cs="Arial"/>
          <w:sz w:val="24"/>
          <w:vertAlign w:val="superscript"/>
        </w:rPr>
        <w:t>th</w:t>
      </w:r>
      <w:r w:rsidRPr="00715A93">
        <w:rPr>
          <w:rFonts w:ascii="Arial" w:hAnsi="Arial" w:cs="Arial"/>
          <w:sz w:val="24"/>
        </w:rPr>
        <w:t xml:space="preserve"> settlement with the IESO (2 months later).</w:t>
      </w:r>
    </w:p>
    <w:p w14:paraId="296C7FA2" w14:textId="4A918924" w:rsidR="00715A93" w:rsidRPr="00715A93" w:rsidRDefault="00715A93" w:rsidP="00715A93">
      <w:pPr>
        <w:numPr>
          <w:ilvl w:val="0"/>
          <w:numId w:val="22"/>
        </w:numPr>
        <w:rPr>
          <w:rFonts w:ascii="Arial" w:hAnsi="Arial" w:cs="Arial"/>
          <w:sz w:val="24"/>
        </w:rPr>
      </w:pPr>
      <w:r w:rsidRPr="00715A93">
        <w:rPr>
          <w:rFonts w:ascii="Arial" w:hAnsi="Arial" w:cs="Arial"/>
          <w:sz w:val="24"/>
        </w:rPr>
        <w:t xml:space="preserve">Please confirm when </w:t>
      </w:r>
      <w:r>
        <w:rPr>
          <w:rFonts w:ascii="Arial" w:hAnsi="Arial" w:cs="Arial"/>
          <w:sz w:val="24"/>
        </w:rPr>
        <w:t>Peterborough Distribution</w:t>
      </w:r>
      <w:r w:rsidRPr="00715A93">
        <w:rPr>
          <w:rFonts w:ascii="Arial" w:hAnsi="Arial" w:cs="Arial"/>
          <w:sz w:val="24"/>
        </w:rPr>
        <w:t xml:space="preserve"> performs its RPP settlement true-up, it includes both the true-up to actual RPP consumption and the true-up to the actual GA rate, and both of these true-ups are done at the same time. For example, using the December 2017 RPP consumption settlement with the IESO, please confirm that both the true-up to actual December 2017 RPP consumption and the true-up to the actual December 2017 GA rate were both done on the March 4</w:t>
      </w:r>
      <w:r w:rsidRPr="00715A93">
        <w:rPr>
          <w:rFonts w:ascii="Arial" w:hAnsi="Arial" w:cs="Arial"/>
          <w:sz w:val="24"/>
          <w:vertAlign w:val="superscript"/>
        </w:rPr>
        <w:t>th</w:t>
      </w:r>
      <w:r w:rsidRPr="00715A93">
        <w:rPr>
          <w:rFonts w:ascii="Arial" w:hAnsi="Arial" w:cs="Arial"/>
          <w:sz w:val="24"/>
        </w:rPr>
        <w:t>, 2018 settlement with the IESO. If they are not being done at the same time, please provide further detail as to when eac</w:t>
      </w:r>
      <w:r>
        <w:rPr>
          <w:rFonts w:ascii="Arial" w:hAnsi="Arial" w:cs="Arial"/>
          <w:sz w:val="24"/>
        </w:rPr>
        <w:t>h of the true-ups are performed</w:t>
      </w:r>
    </w:p>
    <w:p w14:paraId="42692C2A" w14:textId="3AA8086F" w:rsidR="00715A93" w:rsidRPr="00715A93" w:rsidRDefault="00715A93" w:rsidP="00715A93">
      <w:pPr>
        <w:numPr>
          <w:ilvl w:val="0"/>
          <w:numId w:val="22"/>
        </w:numPr>
        <w:rPr>
          <w:rFonts w:ascii="Arial" w:hAnsi="Arial" w:cs="Arial"/>
          <w:sz w:val="24"/>
        </w:rPr>
      </w:pPr>
      <w:r>
        <w:rPr>
          <w:rFonts w:ascii="Arial" w:hAnsi="Arial" w:cs="Arial"/>
          <w:sz w:val="24"/>
        </w:rPr>
        <w:t>Peterborough Distribution</w:t>
      </w:r>
      <w:r w:rsidRPr="00715A93">
        <w:rPr>
          <w:rFonts w:ascii="Arial" w:hAnsi="Arial" w:cs="Arial"/>
          <w:sz w:val="24"/>
        </w:rPr>
        <w:t xml:space="preserve"> has indicated that it has not recorded the true-ups for November and December 2017 settlements with the IESO in its DVA continuity schedule. However it appears that </w:t>
      </w:r>
      <w:r>
        <w:rPr>
          <w:rFonts w:ascii="Arial" w:hAnsi="Arial" w:cs="Arial"/>
          <w:sz w:val="24"/>
        </w:rPr>
        <w:t>Peterborough Distribution</w:t>
      </w:r>
      <w:r w:rsidRPr="00715A93">
        <w:rPr>
          <w:rFonts w:ascii="Arial" w:hAnsi="Arial" w:cs="Arial"/>
          <w:sz w:val="24"/>
        </w:rPr>
        <w:t xml:space="preserve"> has quantified those true-ups in Note 5 of</w:t>
      </w:r>
      <w:r>
        <w:rPr>
          <w:rFonts w:ascii="Arial" w:hAnsi="Arial" w:cs="Arial"/>
          <w:sz w:val="24"/>
        </w:rPr>
        <w:t xml:space="preserve"> its GA Analysis </w:t>
      </w:r>
      <w:proofErr w:type="spellStart"/>
      <w:r>
        <w:rPr>
          <w:rFonts w:ascii="Arial" w:hAnsi="Arial" w:cs="Arial"/>
          <w:sz w:val="24"/>
        </w:rPr>
        <w:t>workform</w:t>
      </w:r>
      <w:proofErr w:type="spellEnd"/>
      <w:r>
        <w:rPr>
          <w:rFonts w:ascii="Arial" w:hAnsi="Arial" w:cs="Arial"/>
          <w:sz w:val="24"/>
        </w:rPr>
        <w:t xml:space="preserve">. </w:t>
      </w:r>
      <w:r w:rsidRPr="00715A93">
        <w:rPr>
          <w:rFonts w:ascii="Arial" w:hAnsi="Arial" w:cs="Arial"/>
          <w:sz w:val="24"/>
        </w:rPr>
        <w:t xml:space="preserve">Please indicate which adjustments from note 5 of the GA Analysis </w:t>
      </w:r>
      <w:proofErr w:type="spellStart"/>
      <w:r w:rsidRPr="00715A93">
        <w:rPr>
          <w:rFonts w:ascii="Arial" w:hAnsi="Arial" w:cs="Arial"/>
          <w:sz w:val="24"/>
        </w:rPr>
        <w:t>Workform</w:t>
      </w:r>
      <w:proofErr w:type="spellEnd"/>
      <w:r w:rsidRPr="00715A93">
        <w:rPr>
          <w:rFonts w:ascii="Arial" w:hAnsi="Arial" w:cs="Arial"/>
          <w:sz w:val="24"/>
        </w:rPr>
        <w:t xml:space="preserve"> represent the November and December</w:t>
      </w:r>
      <w:r>
        <w:rPr>
          <w:rFonts w:ascii="Arial" w:hAnsi="Arial" w:cs="Arial"/>
          <w:sz w:val="24"/>
        </w:rPr>
        <w:t xml:space="preserve"> 2017 RPP settlement true-ups. </w:t>
      </w:r>
      <w:r w:rsidRPr="00715A93">
        <w:rPr>
          <w:rFonts w:ascii="Arial" w:hAnsi="Arial" w:cs="Arial"/>
          <w:sz w:val="24"/>
        </w:rPr>
        <w:t>Please provide the true-up amount broken down by month.</w:t>
      </w:r>
    </w:p>
    <w:p w14:paraId="62178AFF" w14:textId="77777777" w:rsidR="00DD4B0B" w:rsidRDefault="00DD4B0B" w:rsidP="00715A93">
      <w:pPr>
        <w:rPr>
          <w:rFonts w:ascii="Arial" w:hAnsi="Arial" w:cs="Arial"/>
          <w:b/>
          <w:sz w:val="24"/>
        </w:rPr>
      </w:pPr>
    </w:p>
    <w:p w14:paraId="57D01794" w14:textId="706EB4B6" w:rsidR="00715A93" w:rsidRPr="00715A93" w:rsidRDefault="00DD4B0B" w:rsidP="00715A93">
      <w:pPr>
        <w:rPr>
          <w:rFonts w:ascii="Arial" w:hAnsi="Arial" w:cs="Arial"/>
          <w:b/>
          <w:sz w:val="24"/>
        </w:rPr>
      </w:pPr>
      <w:r>
        <w:rPr>
          <w:rFonts w:ascii="Arial" w:hAnsi="Arial" w:cs="Arial"/>
          <w:b/>
          <w:sz w:val="24"/>
        </w:rPr>
        <w:t>Question #6</w:t>
      </w:r>
    </w:p>
    <w:p w14:paraId="65257E2D" w14:textId="00040425" w:rsidR="00715A93" w:rsidRPr="00715A93" w:rsidRDefault="00715A93" w:rsidP="00715A93">
      <w:pPr>
        <w:rPr>
          <w:rFonts w:ascii="Arial" w:hAnsi="Arial" w:cs="Arial"/>
          <w:b/>
          <w:sz w:val="24"/>
        </w:rPr>
      </w:pPr>
      <w:r w:rsidRPr="00715A93">
        <w:rPr>
          <w:rFonts w:ascii="Arial" w:hAnsi="Arial" w:cs="Arial"/>
          <w:b/>
          <w:sz w:val="24"/>
        </w:rPr>
        <w:t xml:space="preserve">Ref: </w:t>
      </w:r>
      <w:r w:rsidR="00DD4B0B">
        <w:rPr>
          <w:rFonts w:ascii="Arial" w:hAnsi="Arial" w:cs="Arial"/>
          <w:b/>
          <w:sz w:val="24"/>
        </w:rPr>
        <w:tab/>
      </w:r>
      <w:r w:rsidRPr="00715A93">
        <w:rPr>
          <w:rFonts w:ascii="Arial" w:hAnsi="Arial" w:cs="Arial"/>
          <w:b/>
          <w:sz w:val="24"/>
        </w:rPr>
        <w:t xml:space="preserve">GA </w:t>
      </w:r>
      <w:proofErr w:type="spellStart"/>
      <w:r w:rsidRPr="00715A93">
        <w:rPr>
          <w:rFonts w:ascii="Arial" w:hAnsi="Arial" w:cs="Arial"/>
          <w:b/>
          <w:sz w:val="24"/>
        </w:rPr>
        <w:t>Workform</w:t>
      </w:r>
      <w:proofErr w:type="spellEnd"/>
      <w:r w:rsidRPr="00715A93">
        <w:rPr>
          <w:rFonts w:ascii="Arial" w:hAnsi="Arial" w:cs="Arial"/>
          <w:b/>
          <w:sz w:val="24"/>
        </w:rPr>
        <w:t>, Note 5, adjustments 1a, 1b and 8</w:t>
      </w:r>
    </w:p>
    <w:p w14:paraId="6A667663" w14:textId="0073EF59" w:rsidR="00715A93" w:rsidRPr="00715A93" w:rsidRDefault="00715A93" w:rsidP="00715A93">
      <w:pPr>
        <w:rPr>
          <w:rFonts w:ascii="Arial" w:hAnsi="Arial" w:cs="Arial"/>
          <w:sz w:val="24"/>
        </w:rPr>
      </w:pPr>
      <w:r>
        <w:rPr>
          <w:rFonts w:ascii="Arial" w:hAnsi="Arial" w:cs="Arial"/>
          <w:sz w:val="24"/>
        </w:rPr>
        <w:t>Peterborough Distribution</w:t>
      </w:r>
      <w:r w:rsidRPr="00715A93">
        <w:rPr>
          <w:rFonts w:ascii="Arial" w:hAnsi="Arial" w:cs="Arial"/>
          <w:sz w:val="24"/>
        </w:rPr>
        <w:t xml:space="preserve"> has recorded several adjustments in the GA Analysis </w:t>
      </w:r>
      <w:proofErr w:type="spellStart"/>
      <w:r w:rsidRPr="00715A93">
        <w:rPr>
          <w:rFonts w:ascii="Arial" w:hAnsi="Arial" w:cs="Arial"/>
          <w:sz w:val="24"/>
        </w:rPr>
        <w:t>workform</w:t>
      </w:r>
      <w:proofErr w:type="spellEnd"/>
      <w:r w:rsidRPr="00715A93">
        <w:rPr>
          <w:rFonts w:ascii="Arial" w:hAnsi="Arial" w:cs="Arial"/>
          <w:sz w:val="24"/>
        </w:rPr>
        <w:t xml:space="preserve"> that it has described as RPP settlement adjustments.</w:t>
      </w:r>
    </w:p>
    <w:p w14:paraId="4C658B3F" w14:textId="49FD84C8" w:rsidR="00715A93" w:rsidRPr="00DD4B0B" w:rsidRDefault="00715A93" w:rsidP="00715A93">
      <w:pPr>
        <w:numPr>
          <w:ilvl w:val="0"/>
          <w:numId w:val="23"/>
        </w:numPr>
        <w:rPr>
          <w:rFonts w:ascii="Arial" w:hAnsi="Arial" w:cs="Arial"/>
          <w:sz w:val="24"/>
        </w:rPr>
      </w:pPr>
      <w:r w:rsidRPr="00715A93">
        <w:rPr>
          <w:rFonts w:ascii="Arial" w:hAnsi="Arial" w:cs="Arial"/>
          <w:sz w:val="24"/>
        </w:rPr>
        <w:lastRenderedPageBreak/>
        <w:t xml:space="preserve">Given that </w:t>
      </w:r>
      <w:r>
        <w:rPr>
          <w:rFonts w:ascii="Arial" w:hAnsi="Arial" w:cs="Arial"/>
          <w:sz w:val="24"/>
        </w:rPr>
        <w:t>Peterborough Distribution</w:t>
      </w:r>
      <w:r w:rsidRPr="00715A93">
        <w:rPr>
          <w:rFonts w:ascii="Arial" w:hAnsi="Arial" w:cs="Arial"/>
          <w:sz w:val="24"/>
        </w:rPr>
        <w:t xml:space="preserve"> has indicated that it uses Approach A in its response to Question 1 of the Appendix </w:t>
      </w:r>
      <w:proofErr w:type="gramStart"/>
      <w:r w:rsidRPr="00715A93">
        <w:rPr>
          <w:rFonts w:ascii="Arial" w:hAnsi="Arial" w:cs="Arial"/>
          <w:sz w:val="24"/>
        </w:rPr>
        <w:t>A</w:t>
      </w:r>
      <w:proofErr w:type="gramEnd"/>
      <w:r w:rsidRPr="00715A93">
        <w:rPr>
          <w:rFonts w:ascii="Arial" w:hAnsi="Arial" w:cs="Arial"/>
          <w:sz w:val="24"/>
        </w:rPr>
        <w:t xml:space="preserve"> GA Methodology questions, please explain why RPP settlement adjustment true-ups would impact account 1589 when no amounts related to RPP customers are recorded to this account?</w:t>
      </w:r>
    </w:p>
    <w:p w14:paraId="6E9BC407" w14:textId="37AE9C16" w:rsidR="00715A93" w:rsidRPr="00715A93" w:rsidRDefault="00715A93" w:rsidP="00715A93">
      <w:pPr>
        <w:numPr>
          <w:ilvl w:val="0"/>
          <w:numId w:val="23"/>
        </w:numPr>
        <w:rPr>
          <w:rFonts w:ascii="Arial" w:hAnsi="Arial" w:cs="Arial"/>
          <w:sz w:val="24"/>
        </w:rPr>
      </w:pPr>
      <w:r w:rsidRPr="00715A93">
        <w:rPr>
          <w:rFonts w:ascii="Arial" w:hAnsi="Arial" w:cs="Arial"/>
          <w:sz w:val="24"/>
        </w:rPr>
        <w:t xml:space="preserve">Based on how </w:t>
      </w:r>
      <w:r>
        <w:rPr>
          <w:rFonts w:ascii="Arial" w:hAnsi="Arial" w:cs="Arial"/>
          <w:sz w:val="24"/>
        </w:rPr>
        <w:t>Peterborough Distribution</w:t>
      </w:r>
      <w:r w:rsidRPr="00715A93">
        <w:rPr>
          <w:rFonts w:ascii="Arial" w:hAnsi="Arial" w:cs="Arial"/>
          <w:sz w:val="24"/>
        </w:rPr>
        <w:t xml:space="preserve"> records its transactions to Accounts 1588 and 1589, as described in the Appendix A responses, shouldn’t all RPP settlement true-up adjustments only impact Account 1588? Please explain.</w:t>
      </w:r>
    </w:p>
    <w:p w14:paraId="0F00B557" w14:textId="77777777" w:rsidR="00DD4B0B" w:rsidRDefault="00DD4B0B" w:rsidP="00715A93">
      <w:pPr>
        <w:rPr>
          <w:rFonts w:ascii="Arial" w:hAnsi="Arial" w:cs="Arial"/>
          <w:b/>
          <w:sz w:val="24"/>
        </w:rPr>
      </w:pPr>
    </w:p>
    <w:p w14:paraId="68BC4012" w14:textId="38BB92EF" w:rsidR="00715A93" w:rsidRPr="00715A93" w:rsidRDefault="00DD4B0B" w:rsidP="00715A93">
      <w:pPr>
        <w:rPr>
          <w:rFonts w:ascii="Arial" w:hAnsi="Arial" w:cs="Arial"/>
          <w:b/>
          <w:sz w:val="24"/>
        </w:rPr>
      </w:pPr>
      <w:r>
        <w:rPr>
          <w:rFonts w:ascii="Arial" w:hAnsi="Arial" w:cs="Arial"/>
          <w:b/>
          <w:sz w:val="24"/>
        </w:rPr>
        <w:t>Question #7</w:t>
      </w:r>
    </w:p>
    <w:p w14:paraId="18F2D260" w14:textId="3A6AAD4C" w:rsidR="00715A93" w:rsidRPr="00715A93" w:rsidRDefault="00715A93" w:rsidP="00715A93">
      <w:pPr>
        <w:rPr>
          <w:rFonts w:ascii="Arial" w:hAnsi="Arial" w:cs="Arial"/>
          <w:b/>
          <w:sz w:val="24"/>
        </w:rPr>
      </w:pPr>
      <w:r w:rsidRPr="00715A93">
        <w:rPr>
          <w:rFonts w:ascii="Arial" w:hAnsi="Arial" w:cs="Arial"/>
          <w:b/>
          <w:sz w:val="24"/>
        </w:rPr>
        <w:t xml:space="preserve">Ref: </w:t>
      </w:r>
      <w:r w:rsidR="00DD4B0B">
        <w:rPr>
          <w:rFonts w:ascii="Arial" w:hAnsi="Arial" w:cs="Arial"/>
          <w:b/>
          <w:sz w:val="24"/>
        </w:rPr>
        <w:tab/>
      </w:r>
      <w:r w:rsidRPr="00715A93">
        <w:rPr>
          <w:rFonts w:ascii="Arial" w:hAnsi="Arial" w:cs="Arial"/>
          <w:b/>
          <w:sz w:val="24"/>
        </w:rPr>
        <w:t>Appendix A GA Methodology Questions</w:t>
      </w:r>
    </w:p>
    <w:p w14:paraId="367D6C91" w14:textId="3BF086FD" w:rsidR="00715A93" w:rsidRPr="00715A93" w:rsidRDefault="00715A93" w:rsidP="00715A93">
      <w:pPr>
        <w:rPr>
          <w:rFonts w:ascii="Arial" w:hAnsi="Arial" w:cs="Arial"/>
          <w:sz w:val="24"/>
        </w:rPr>
      </w:pPr>
      <w:r w:rsidRPr="00715A93">
        <w:rPr>
          <w:rFonts w:ascii="Arial" w:hAnsi="Arial" w:cs="Arial"/>
          <w:sz w:val="24"/>
        </w:rPr>
        <w:t xml:space="preserve">Question 3 of Appendix A requires </w:t>
      </w:r>
      <w:r>
        <w:rPr>
          <w:rFonts w:ascii="Arial" w:hAnsi="Arial" w:cs="Arial"/>
          <w:sz w:val="24"/>
        </w:rPr>
        <w:t>Peterborough Distribution</w:t>
      </w:r>
      <w:r w:rsidRPr="00715A93">
        <w:rPr>
          <w:rFonts w:ascii="Arial" w:hAnsi="Arial" w:cs="Arial"/>
          <w:sz w:val="24"/>
        </w:rPr>
        <w:t xml:space="preserve"> to describe how it initially records its CT148 charge from the IESO and whether the initial recording of that charge is based on estimate that would require a true-up at a later date</w:t>
      </w:r>
      <w:r w:rsidR="00DD4B0B">
        <w:rPr>
          <w:rFonts w:ascii="Arial" w:hAnsi="Arial" w:cs="Arial"/>
          <w:sz w:val="24"/>
        </w:rPr>
        <w:t xml:space="preserve">. </w:t>
      </w:r>
      <w:r w:rsidRPr="00715A93">
        <w:rPr>
          <w:rFonts w:ascii="Arial" w:hAnsi="Arial" w:cs="Arial"/>
          <w:sz w:val="24"/>
        </w:rPr>
        <w:t xml:space="preserve">It appears that the responses provided by </w:t>
      </w:r>
      <w:r>
        <w:rPr>
          <w:rFonts w:ascii="Arial" w:hAnsi="Arial" w:cs="Arial"/>
          <w:sz w:val="24"/>
        </w:rPr>
        <w:t>Peterborough Distribution</w:t>
      </w:r>
      <w:r w:rsidRPr="00715A93">
        <w:rPr>
          <w:rFonts w:ascii="Arial" w:hAnsi="Arial" w:cs="Arial"/>
          <w:sz w:val="24"/>
        </w:rPr>
        <w:t xml:space="preserve"> do not address these requirements.</w:t>
      </w:r>
      <w:r w:rsidRPr="00715A93">
        <w:rPr>
          <w:rFonts w:ascii="Arial" w:hAnsi="Arial" w:cs="Arial"/>
          <w:sz w:val="24"/>
        </w:rPr>
        <w:tab/>
      </w:r>
    </w:p>
    <w:p w14:paraId="0A6311B8" w14:textId="3D08B409" w:rsidR="00715A93" w:rsidRPr="00DD4B0B" w:rsidRDefault="00715A93" w:rsidP="00715A93">
      <w:pPr>
        <w:numPr>
          <w:ilvl w:val="0"/>
          <w:numId w:val="24"/>
        </w:numPr>
        <w:rPr>
          <w:rFonts w:ascii="Arial" w:hAnsi="Arial" w:cs="Arial"/>
          <w:sz w:val="24"/>
        </w:rPr>
      </w:pPr>
      <w:r w:rsidRPr="00715A93">
        <w:rPr>
          <w:rFonts w:ascii="Arial" w:hAnsi="Arial" w:cs="Arial"/>
          <w:sz w:val="24"/>
        </w:rPr>
        <w:t>On or about the 15</w:t>
      </w:r>
      <w:r w:rsidRPr="00715A93">
        <w:rPr>
          <w:rFonts w:ascii="Arial" w:hAnsi="Arial" w:cs="Arial"/>
          <w:sz w:val="24"/>
          <w:vertAlign w:val="superscript"/>
        </w:rPr>
        <w:t>th</w:t>
      </w:r>
      <w:r w:rsidRPr="00715A93">
        <w:rPr>
          <w:rFonts w:ascii="Arial" w:hAnsi="Arial" w:cs="Arial"/>
          <w:sz w:val="24"/>
        </w:rPr>
        <w:t xml:space="preserve"> of every month, </w:t>
      </w:r>
      <w:r>
        <w:rPr>
          <w:rFonts w:ascii="Arial" w:hAnsi="Arial" w:cs="Arial"/>
          <w:sz w:val="24"/>
        </w:rPr>
        <w:t>Peterborough Distribution</w:t>
      </w:r>
      <w:r w:rsidRPr="00715A93">
        <w:rPr>
          <w:rFonts w:ascii="Arial" w:hAnsi="Arial" w:cs="Arial"/>
          <w:sz w:val="24"/>
        </w:rPr>
        <w:t xml:space="preserve"> receives an invoice from the IESO that includes a charge for CT 148 Global Adjustments.  Does </w:t>
      </w:r>
      <w:r>
        <w:rPr>
          <w:rFonts w:ascii="Arial" w:hAnsi="Arial" w:cs="Arial"/>
          <w:sz w:val="24"/>
        </w:rPr>
        <w:t>Peterborough Distribution</w:t>
      </w:r>
      <w:r w:rsidRPr="00715A93">
        <w:rPr>
          <w:rFonts w:ascii="Arial" w:hAnsi="Arial" w:cs="Arial"/>
          <w:sz w:val="24"/>
        </w:rPr>
        <w:t xml:space="preserve"> wait for the actual invoice from the IESO to come in before it records any amounts related to CT 148 in their G/L? Please explain</w:t>
      </w:r>
    </w:p>
    <w:p w14:paraId="6F1D4F51" w14:textId="40EBC0EC" w:rsidR="00715A93" w:rsidRPr="00DD4B0B" w:rsidRDefault="00715A93" w:rsidP="00715A93">
      <w:pPr>
        <w:numPr>
          <w:ilvl w:val="0"/>
          <w:numId w:val="24"/>
        </w:numPr>
        <w:rPr>
          <w:rFonts w:ascii="Arial" w:hAnsi="Arial" w:cs="Arial"/>
          <w:sz w:val="24"/>
        </w:rPr>
      </w:pPr>
      <w:r w:rsidRPr="00715A93">
        <w:rPr>
          <w:rFonts w:ascii="Arial" w:hAnsi="Arial" w:cs="Arial"/>
          <w:sz w:val="24"/>
        </w:rPr>
        <w:t>If the charge is initially estimated before the invoice is received, please explain when that estimate is made and how the estimate is quantified.</w:t>
      </w:r>
    </w:p>
    <w:p w14:paraId="0152EA4A" w14:textId="099E0CDC" w:rsidR="00715A93" w:rsidRPr="00DD4B0B" w:rsidRDefault="00715A93" w:rsidP="00715A93">
      <w:pPr>
        <w:numPr>
          <w:ilvl w:val="0"/>
          <w:numId w:val="24"/>
        </w:numPr>
        <w:rPr>
          <w:rFonts w:ascii="Arial" w:hAnsi="Arial" w:cs="Arial"/>
          <w:sz w:val="24"/>
        </w:rPr>
      </w:pPr>
      <w:r w:rsidRPr="00715A93">
        <w:rPr>
          <w:rFonts w:ascii="Arial" w:hAnsi="Arial" w:cs="Arial"/>
          <w:sz w:val="24"/>
        </w:rPr>
        <w:t xml:space="preserve">As part of its response to Question 1 of Appendix </w:t>
      </w:r>
      <w:proofErr w:type="gramStart"/>
      <w:r w:rsidRPr="00715A93">
        <w:rPr>
          <w:rFonts w:ascii="Arial" w:hAnsi="Arial" w:cs="Arial"/>
          <w:sz w:val="24"/>
        </w:rPr>
        <w:t>A</w:t>
      </w:r>
      <w:proofErr w:type="gramEnd"/>
      <w:r w:rsidRPr="00715A93">
        <w:rPr>
          <w:rFonts w:ascii="Arial" w:hAnsi="Arial" w:cs="Arial"/>
          <w:sz w:val="24"/>
        </w:rPr>
        <w:t xml:space="preserve"> </w:t>
      </w:r>
      <w:r>
        <w:rPr>
          <w:rFonts w:ascii="Arial" w:hAnsi="Arial" w:cs="Arial"/>
          <w:sz w:val="24"/>
        </w:rPr>
        <w:t>Peterborough Distribution</w:t>
      </w:r>
      <w:r w:rsidRPr="00715A93">
        <w:rPr>
          <w:rFonts w:ascii="Arial" w:hAnsi="Arial" w:cs="Arial"/>
          <w:sz w:val="24"/>
        </w:rPr>
        <w:t xml:space="preserve"> has indicated that it splits its CT 148 between accounts 1588 and 1589.  Given that actual consumption for a particular month is not known at the time the CT 148 charge is received, the initial split between accounts 1588 and 1589 is based on an estimate.  When is the true-up to the actual split performed? Please describe how that true-up is calculated.</w:t>
      </w:r>
    </w:p>
    <w:p w14:paraId="52E707F7" w14:textId="1BE2F021" w:rsidR="00715A93" w:rsidRPr="00DD4B0B" w:rsidRDefault="00715A93" w:rsidP="00715A93">
      <w:pPr>
        <w:numPr>
          <w:ilvl w:val="0"/>
          <w:numId w:val="24"/>
        </w:numPr>
        <w:rPr>
          <w:rFonts w:ascii="Arial" w:hAnsi="Arial" w:cs="Arial"/>
          <w:sz w:val="24"/>
        </w:rPr>
      </w:pPr>
      <w:r w:rsidRPr="00715A93">
        <w:rPr>
          <w:rFonts w:ascii="Arial" w:hAnsi="Arial" w:cs="Arial"/>
          <w:sz w:val="24"/>
        </w:rPr>
        <w:t xml:space="preserve">Please quantify what the CT 148 true-up was for November and December 2017 and explain the journal entry that is recorded in the G/L in order to capture this true-up.  </w:t>
      </w:r>
    </w:p>
    <w:p w14:paraId="04295DC9" w14:textId="77777777" w:rsidR="00715A93" w:rsidRPr="00715A93" w:rsidRDefault="00715A93" w:rsidP="00715A93">
      <w:pPr>
        <w:numPr>
          <w:ilvl w:val="0"/>
          <w:numId w:val="24"/>
        </w:numPr>
        <w:rPr>
          <w:rFonts w:ascii="Arial" w:hAnsi="Arial" w:cs="Arial"/>
          <w:sz w:val="24"/>
        </w:rPr>
      </w:pPr>
      <w:r w:rsidRPr="00715A93">
        <w:rPr>
          <w:rFonts w:ascii="Arial" w:hAnsi="Arial" w:cs="Arial"/>
          <w:sz w:val="24"/>
        </w:rPr>
        <w:t>What period was the true-up of November and December 2017 CT 148 recorded in?</w:t>
      </w:r>
    </w:p>
    <w:p w14:paraId="41FF8D56" w14:textId="77777777" w:rsidR="00715A93" w:rsidRPr="00715A93" w:rsidRDefault="00715A93" w:rsidP="00715A93">
      <w:pPr>
        <w:rPr>
          <w:rFonts w:ascii="Arial" w:hAnsi="Arial" w:cs="Arial"/>
          <w:sz w:val="24"/>
        </w:rPr>
      </w:pPr>
    </w:p>
    <w:p w14:paraId="03DDE141" w14:textId="08E41B4F" w:rsidR="00715A93" w:rsidRPr="00715A93" w:rsidRDefault="00DD4B0B" w:rsidP="00715A93">
      <w:pPr>
        <w:rPr>
          <w:rFonts w:ascii="Arial" w:hAnsi="Arial" w:cs="Arial"/>
          <w:b/>
          <w:sz w:val="24"/>
        </w:rPr>
      </w:pPr>
      <w:r>
        <w:rPr>
          <w:rFonts w:ascii="Arial" w:hAnsi="Arial" w:cs="Arial"/>
          <w:b/>
          <w:sz w:val="24"/>
        </w:rPr>
        <w:t>Question #8</w:t>
      </w:r>
    </w:p>
    <w:p w14:paraId="72173940" w14:textId="2B3F1F5E" w:rsidR="00715A93" w:rsidRPr="00715A93" w:rsidRDefault="00715A93" w:rsidP="00715A93">
      <w:pPr>
        <w:rPr>
          <w:rFonts w:ascii="Arial" w:hAnsi="Arial" w:cs="Arial"/>
          <w:b/>
          <w:sz w:val="24"/>
        </w:rPr>
      </w:pPr>
      <w:r w:rsidRPr="00715A93">
        <w:rPr>
          <w:rFonts w:ascii="Arial" w:hAnsi="Arial" w:cs="Arial"/>
          <w:b/>
          <w:sz w:val="24"/>
        </w:rPr>
        <w:t xml:space="preserve">Ref: </w:t>
      </w:r>
      <w:r w:rsidR="00DD4B0B">
        <w:rPr>
          <w:rFonts w:ascii="Arial" w:hAnsi="Arial" w:cs="Arial"/>
          <w:b/>
          <w:sz w:val="24"/>
        </w:rPr>
        <w:tab/>
        <w:t>IRM Model, Tab 3</w:t>
      </w:r>
    </w:p>
    <w:p w14:paraId="0C3359B8" w14:textId="55F2CB55" w:rsidR="00715A93" w:rsidRPr="00DD4B0B" w:rsidRDefault="00715A93" w:rsidP="00715A93">
      <w:pPr>
        <w:numPr>
          <w:ilvl w:val="0"/>
          <w:numId w:val="25"/>
        </w:numPr>
        <w:rPr>
          <w:rFonts w:ascii="Arial" w:hAnsi="Arial" w:cs="Arial"/>
          <w:sz w:val="24"/>
        </w:rPr>
      </w:pPr>
      <w:r w:rsidRPr="00715A93">
        <w:rPr>
          <w:rFonts w:ascii="Arial" w:hAnsi="Arial" w:cs="Arial"/>
          <w:sz w:val="24"/>
        </w:rPr>
        <w:t xml:space="preserve">As part of </w:t>
      </w:r>
      <w:r>
        <w:rPr>
          <w:rFonts w:ascii="Arial" w:hAnsi="Arial" w:cs="Arial"/>
          <w:sz w:val="24"/>
        </w:rPr>
        <w:t>Peterborough Distribution</w:t>
      </w:r>
      <w:r w:rsidRPr="00715A93">
        <w:rPr>
          <w:rFonts w:ascii="Arial" w:hAnsi="Arial" w:cs="Arial"/>
          <w:sz w:val="24"/>
        </w:rPr>
        <w:t>’s last IRM application</w:t>
      </w:r>
      <w:r w:rsidR="00DD4B0B">
        <w:rPr>
          <w:rFonts w:ascii="Arial" w:hAnsi="Arial" w:cs="Arial"/>
          <w:sz w:val="24"/>
        </w:rPr>
        <w:t xml:space="preserve"> (EB-2017-0266)</w:t>
      </w:r>
      <w:r w:rsidRPr="00715A93">
        <w:rPr>
          <w:rFonts w:ascii="Arial" w:hAnsi="Arial" w:cs="Arial"/>
          <w:sz w:val="24"/>
        </w:rPr>
        <w:t>, the OEB approv</w:t>
      </w:r>
      <w:r w:rsidR="00DD4B0B">
        <w:rPr>
          <w:rFonts w:ascii="Arial" w:hAnsi="Arial" w:cs="Arial"/>
          <w:sz w:val="24"/>
        </w:rPr>
        <w:t xml:space="preserve">ed principal adjustments to </w:t>
      </w:r>
      <w:r>
        <w:rPr>
          <w:rFonts w:ascii="Arial" w:hAnsi="Arial" w:cs="Arial"/>
          <w:sz w:val="24"/>
        </w:rPr>
        <w:t>Peterborough Distribution</w:t>
      </w:r>
      <w:r w:rsidRPr="00715A93">
        <w:rPr>
          <w:rFonts w:ascii="Arial" w:hAnsi="Arial" w:cs="Arial"/>
          <w:sz w:val="24"/>
        </w:rPr>
        <w:t xml:space="preserve">’s DVA </w:t>
      </w:r>
      <w:r w:rsidRPr="00715A93">
        <w:rPr>
          <w:rFonts w:ascii="Arial" w:hAnsi="Arial" w:cs="Arial"/>
          <w:sz w:val="24"/>
        </w:rPr>
        <w:lastRenderedPageBreak/>
        <w:t xml:space="preserve">continuity schedule in the amount debit $1,425,806 and credit $1,493,039 to </w:t>
      </w:r>
      <w:r w:rsidR="00DD4B0B">
        <w:rPr>
          <w:rFonts w:ascii="Arial" w:hAnsi="Arial" w:cs="Arial"/>
          <w:sz w:val="24"/>
        </w:rPr>
        <w:t>A</w:t>
      </w:r>
      <w:r w:rsidRPr="00715A93">
        <w:rPr>
          <w:rFonts w:ascii="Arial" w:hAnsi="Arial" w:cs="Arial"/>
          <w:sz w:val="24"/>
        </w:rPr>
        <w:t>ccounts 1588 and 1589 respectively.</w:t>
      </w:r>
      <w:r w:rsidR="00DD4B0B">
        <w:rPr>
          <w:rFonts w:ascii="Arial" w:hAnsi="Arial" w:cs="Arial"/>
          <w:sz w:val="24"/>
        </w:rPr>
        <w:t xml:space="preserve"> </w:t>
      </w:r>
      <w:r w:rsidRPr="00715A93">
        <w:rPr>
          <w:rFonts w:ascii="Arial" w:hAnsi="Arial" w:cs="Arial"/>
          <w:sz w:val="24"/>
        </w:rPr>
        <w:t xml:space="preserve">These principal adjustments are not reflected in the DVA continuity schedule submitted by </w:t>
      </w:r>
      <w:r>
        <w:rPr>
          <w:rFonts w:ascii="Arial" w:hAnsi="Arial" w:cs="Arial"/>
          <w:sz w:val="24"/>
        </w:rPr>
        <w:t>Peterborough Distribution</w:t>
      </w:r>
      <w:r w:rsidRPr="00715A93">
        <w:rPr>
          <w:rFonts w:ascii="Arial" w:hAnsi="Arial" w:cs="Arial"/>
          <w:sz w:val="24"/>
        </w:rPr>
        <w:t xml:space="preserve"> and therefore the continuity schedule does not represent what the OEB ha</w:t>
      </w:r>
      <w:r w:rsidR="00DD4B0B">
        <w:rPr>
          <w:rFonts w:ascii="Arial" w:hAnsi="Arial" w:cs="Arial"/>
          <w:sz w:val="24"/>
        </w:rPr>
        <w:t xml:space="preserve">d approved in that proceeding. </w:t>
      </w:r>
      <w:r w:rsidRPr="00715A93">
        <w:rPr>
          <w:rFonts w:ascii="Arial" w:hAnsi="Arial" w:cs="Arial"/>
          <w:sz w:val="24"/>
        </w:rPr>
        <w:t>Please update the December 2016 closing balances in Accounts 1588 and 1589 within the DVA continuity schedule submitted as part of the current application, to reflect as principal adjustments during 2016, the amounts that had been approved as principal adjustments in that proceeding.</w:t>
      </w:r>
    </w:p>
    <w:p w14:paraId="2905A835" w14:textId="77777777" w:rsidR="00715A93" w:rsidRPr="00715A93" w:rsidRDefault="00715A93" w:rsidP="00715A93">
      <w:pPr>
        <w:numPr>
          <w:ilvl w:val="0"/>
          <w:numId w:val="25"/>
        </w:numPr>
        <w:rPr>
          <w:rFonts w:ascii="Arial" w:hAnsi="Arial" w:cs="Arial"/>
          <w:sz w:val="24"/>
        </w:rPr>
      </w:pPr>
      <w:r w:rsidRPr="00715A93">
        <w:rPr>
          <w:rFonts w:ascii="Arial" w:hAnsi="Arial" w:cs="Arial"/>
          <w:sz w:val="24"/>
        </w:rPr>
        <w:t>For 2017, please record the reversal of these 2016 principal adjustments in the principal adjustments during 2017 column of the DVA continuity schedule.</w:t>
      </w:r>
    </w:p>
    <w:p w14:paraId="428DA2EC" w14:textId="77777777" w:rsidR="00715A93" w:rsidRPr="0030022B" w:rsidRDefault="00715A93" w:rsidP="00025576">
      <w:pPr>
        <w:rPr>
          <w:rFonts w:ascii="Arial" w:hAnsi="Arial" w:cs="Arial"/>
          <w:sz w:val="24"/>
          <w:szCs w:val="24"/>
        </w:rPr>
      </w:pPr>
    </w:p>
    <w:sectPr w:rsidR="00715A93" w:rsidRPr="0030022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C1B1" w14:textId="77777777" w:rsidR="002460E7" w:rsidRDefault="002460E7" w:rsidP="00A774ED">
      <w:pPr>
        <w:spacing w:after="0" w:line="240" w:lineRule="auto"/>
      </w:pPr>
      <w:r>
        <w:separator/>
      </w:r>
    </w:p>
  </w:endnote>
  <w:endnote w:type="continuationSeparator" w:id="0">
    <w:p w14:paraId="25B14ABF" w14:textId="77777777" w:rsidR="002460E7" w:rsidRDefault="002460E7" w:rsidP="00A7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71537"/>
      <w:docPartObj>
        <w:docPartGallery w:val="Page Numbers (Bottom of Page)"/>
        <w:docPartUnique/>
      </w:docPartObj>
    </w:sdtPr>
    <w:sdtEndPr/>
    <w:sdtContent>
      <w:sdt>
        <w:sdtPr>
          <w:id w:val="-1769616900"/>
          <w:docPartObj>
            <w:docPartGallery w:val="Page Numbers (Top of Page)"/>
            <w:docPartUnique/>
          </w:docPartObj>
        </w:sdtPr>
        <w:sdtEndPr/>
        <w:sdtContent>
          <w:p w14:paraId="4DE12C11" w14:textId="79D954EA" w:rsidR="00A774ED" w:rsidRDefault="00A774ED">
            <w:pPr>
              <w:pStyle w:val="Footer"/>
              <w:jc w:val="right"/>
            </w:pPr>
            <w:r>
              <w:t xml:space="preserve">Page </w:t>
            </w:r>
            <w:r w:rsidRPr="00CA3193">
              <w:rPr>
                <w:bCs/>
                <w:sz w:val="24"/>
                <w:szCs w:val="24"/>
              </w:rPr>
              <w:fldChar w:fldCharType="begin"/>
            </w:r>
            <w:r w:rsidRPr="00CA3193">
              <w:rPr>
                <w:bCs/>
              </w:rPr>
              <w:instrText xml:space="preserve"> PAGE </w:instrText>
            </w:r>
            <w:r w:rsidRPr="00CA3193">
              <w:rPr>
                <w:bCs/>
                <w:sz w:val="24"/>
                <w:szCs w:val="24"/>
              </w:rPr>
              <w:fldChar w:fldCharType="separate"/>
            </w:r>
            <w:r w:rsidR="00D03A64">
              <w:rPr>
                <w:bCs/>
                <w:noProof/>
              </w:rPr>
              <w:t>5</w:t>
            </w:r>
            <w:r w:rsidRPr="00CA3193">
              <w:rPr>
                <w:bCs/>
                <w:sz w:val="24"/>
                <w:szCs w:val="24"/>
              </w:rPr>
              <w:fldChar w:fldCharType="end"/>
            </w:r>
            <w:r w:rsidRPr="00CA3193">
              <w:t xml:space="preserve"> of </w:t>
            </w:r>
            <w:r w:rsidRPr="00CA3193">
              <w:rPr>
                <w:bCs/>
                <w:sz w:val="24"/>
                <w:szCs w:val="24"/>
              </w:rPr>
              <w:fldChar w:fldCharType="begin"/>
            </w:r>
            <w:r w:rsidRPr="00CA3193">
              <w:rPr>
                <w:bCs/>
              </w:rPr>
              <w:instrText xml:space="preserve"> NUMPAGES  </w:instrText>
            </w:r>
            <w:r w:rsidRPr="00CA3193">
              <w:rPr>
                <w:bCs/>
                <w:sz w:val="24"/>
                <w:szCs w:val="24"/>
              </w:rPr>
              <w:fldChar w:fldCharType="separate"/>
            </w:r>
            <w:r w:rsidR="00D03A64">
              <w:rPr>
                <w:bCs/>
                <w:noProof/>
              </w:rPr>
              <w:t>5</w:t>
            </w:r>
            <w:r w:rsidRPr="00CA3193">
              <w:rPr>
                <w:bCs/>
                <w:sz w:val="24"/>
                <w:szCs w:val="24"/>
              </w:rPr>
              <w:fldChar w:fldCharType="end"/>
            </w:r>
          </w:p>
        </w:sdtContent>
      </w:sdt>
    </w:sdtContent>
  </w:sdt>
  <w:p w14:paraId="526472B9" w14:textId="77777777" w:rsidR="00A774ED" w:rsidRDefault="00A7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DC4B4" w14:textId="77777777" w:rsidR="002460E7" w:rsidRDefault="002460E7" w:rsidP="00A774ED">
      <w:pPr>
        <w:spacing w:after="0" w:line="240" w:lineRule="auto"/>
      </w:pPr>
      <w:r>
        <w:separator/>
      </w:r>
    </w:p>
  </w:footnote>
  <w:footnote w:type="continuationSeparator" w:id="0">
    <w:p w14:paraId="6ED56F3F" w14:textId="77777777" w:rsidR="002460E7" w:rsidRDefault="002460E7" w:rsidP="00A7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C83"/>
    <w:multiLevelType w:val="hybridMultilevel"/>
    <w:tmpl w:val="6C4C1E30"/>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21DB"/>
    <w:multiLevelType w:val="hybridMultilevel"/>
    <w:tmpl w:val="1C76381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A359E"/>
    <w:multiLevelType w:val="hybridMultilevel"/>
    <w:tmpl w:val="0742D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A67D4"/>
    <w:multiLevelType w:val="hybridMultilevel"/>
    <w:tmpl w:val="EED611A8"/>
    <w:lvl w:ilvl="0" w:tplc="B2F018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77938"/>
    <w:multiLevelType w:val="hybridMultilevel"/>
    <w:tmpl w:val="76D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03715"/>
    <w:multiLevelType w:val="hybridMultilevel"/>
    <w:tmpl w:val="A3E29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045D6"/>
    <w:multiLevelType w:val="hybridMultilevel"/>
    <w:tmpl w:val="DE8A1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E3EF4"/>
    <w:multiLevelType w:val="hybridMultilevel"/>
    <w:tmpl w:val="A926C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50A39"/>
    <w:multiLevelType w:val="hybridMultilevel"/>
    <w:tmpl w:val="A9C0CD3C"/>
    <w:lvl w:ilvl="0" w:tplc="A2B6BE6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D692F"/>
    <w:multiLevelType w:val="multilevel"/>
    <w:tmpl w:val="695A43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FD3AC5"/>
    <w:multiLevelType w:val="hybridMultilevel"/>
    <w:tmpl w:val="C88A0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02A10"/>
    <w:multiLevelType w:val="hybridMultilevel"/>
    <w:tmpl w:val="D66C97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89B639F"/>
    <w:multiLevelType w:val="hybridMultilevel"/>
    <w:tmpl w:val="1DB402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D6047B0"/>
    <w:multiLevelType w:val="hybridMultilevel"/>
    <w:tmpl w:val="EC2E68A4"/>
    <w:lvl w:ilvl="0" w:tplc="04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5E4B66"/>
    <w:multiLevelType w:val="hybridMultilevel"/>
    <w:tmpl w:val="B83E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D0282A"/>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850BD"/>
    <w:multiLevelType w:val="hybridMultilevel"/>
    <w:tmpl w:val="5DDAC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47161"/>
    <w:multiLevelType w:val="hybridMultilevel"/>
    <w:tmpl w:val="7746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9757D"/>
    <w:multiLevelType w:val="hybridMultilevel"/>
    <w:tmpl w:val="A926C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26D7D"/>
    <w:multiLevelType w:val="hybridMultilevel"/>
    <w:tmpl w:val="3484253A"/>
    <w:lvl w:ilvl="0" w:tplc="332ED0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76A0B"/>
    <w:multiLevelType w:val="hybridMultilevel"/>
    <w:tmpl w:val="4C4EA86C"/>
    <w:lvl w:ilvl="0" w:tplc="CE10F0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7"/>
  </w:num>
  <w:num w:numId="2">
    <w:abstractNumId w:val="9"/>
  </w:num>
  <w:num w:numId="3">
    <w:abstractNumId w:val="1"/>
  </w:num>
  <w:num w:numId="4">
    <w:abstractNumId w:val="22"/>
  </w:num>
  <w:num w:numId="5">
    <w:abstractNumId w:val="23"/>
  </w:num>
  <w:num w:numId="6">
    <w:abstractNumId w:val="4"/>
  </w:num>
  <w:num w:numId="7">
    <w:abstractNumId w:val="8"/>
  </w:num>
  <w:num w:numId="8">
    <w:abstractNumId w:val="18"/>
  </w:num>
  <w:num w:numId="9">
    <w:abstractNumId w:val="6"/>
  </w:num>
  <w:num w:numId="10">
    <w:abstractNumId w:val="3"/>
  </w:num>
  <w:num w:numId="11">
    <w:abstractNumId w:val="13"/>
  </w:num>
  <w:num w:numId="12">
    <w:abstractNumId w:val="0"/>
  </w:num>
  <w:num w:numId="13">
    <w:abstractNumId w:val="10"/>
  </w:num>
  <w:num w:numId="14">
    <w:abstractNumId w:val="11"/>
  </w:num>
  <w:num w:numId="15">
    <w:abstractNumId w:val="12"/>
  </w:num>
  <w:num w:numId="16">
    <w:abstractNumId w:val="15"/>
  </w:num>
  <w:num w:numId="17">
    <w:abstractNumId w:val="14"/>
  </w:num>
  <w:num w:numId="18">
    <w:abstractNumId w:val="14"/>
  </w:num>
  <w:num w:numId="19">
    <w:abstractNumId w:val="5"/>
  </w:num>
  <w:num w:numId="20">
    <w:abstractNumId w:val="20"/>
  </w:num>
  <w:num w:numId="21">
    <w:abstractNumId w:val="21"/>
  </w:num>
  <w:num w:numId="22">
    <w:abstractNumId w:val="16"/>
  </w:num>
  <w:num w:numId="23">
    <w:abstractNumId w:val="7"/>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CC"/>
    <w:rsid w:val="00017B92"/>
    <w:rsid w:val="00025576"/>
    <w:rsid w:val="00040CD7"/>
    <w:rsid w:val="000521A6"/>
    <w:rsid w:val="00053209"/>
    <w:rsid w:val="0005628D"/>
    <w:rsid w:val="00084A8A"/>
    <w:rsid w:val="000A6E7B"/>
    <w:rsid w:val="000A753C"/>
    <w:rsid w:val="000B03EB"/>
    <w:rsid w:val="000B78BE"/>
    <w:rsid w:val="00110C8C"/>
    <w:rsid w:val="00110D25"/>
    <w:rsid w:val="001704E3"/>
    <w:rsid w:val="001F21DC"/>
    <w:rsid w:val="001F7A6D"/>
    <w:rsid w:val="00230B43"/>
    <w:rsid w:val="002460E7"/>
    <w:rsid w:val="00282144"/>
    <w:rsid w:val="00287E18"/>
    <w:rsid w:val="002A5699"/>
    <w:rsid w:val="002C3B4D"/>
    <w:rsid w:val="002C6322"/>
    <w:rsid w:val="002D435B"/>
    <w:rsid w:val="002D76FE"/>
    <w:rsid w:val="0030022B"/>
    <w:rsid w:val="003629D4"/>
    <w:rsid w:val="0037671F"/>
    <w:rsid w:val="003A0B75"/>
    <w:rsid w:val="003C154B"/>
    <w:rsid w:val="003E3A51"/>
    <w:rsid w:val="004164E2"/>
    <w:rsid w:val="00431EC6"/>
    <w:rsid w:val="00437AA5"/>
    <w:rsid w:val="00443DBF"/>
    <w:rsid w:val="0045694B"/>
    <w:rsid w:val="004743CF"/>
    <w:rsid w:val="004A282A"/>
    <w:rsid w:val="004C3CB9"/>
    <w:rsid w:val="004D11C2"/>
    <w:rsid w:val="004E1217"/>
    <w:rsid w:val="00534166"/>
    <w:rsid w:val="005406CC"/>
    <w:rsid w:val="00555ABA"/>
    <w:rsid w:val="00555EAD"/>
    <w:rsid w:val="005716F5"/>
    <w:rsid w:val="0057538A"/>
    <w:rsid w:val="00575D28"/>
    <w:rsid w:val="00587DA3"/>
    <w:rsid w:val="005E79FF"/>
    <w:rsid w:val="006604EC"/>
    <w:rsid w:val="006669B4"/>
    <w:rsid w:val="00676009"/>
    <w:rsid w:val="006B72CA"/>
    <w:rsid w:val="006F5A2F"/>
    <w:rsid w:val="00706F9A"/>
    <w:rsid w:val="00712F22"/>
    <w:rsid w:val="00715A93"/>
    <w:rsid w:val="0074464E"/>
    <w:rsid w:val="00746A76"/>
    <w:rsid w:val="0078197A"/>
    <w:rsid w:val="00785EAE"/>
    <w:rsid w:val="007D0C91"/>
    <w:rsid w:val="007D0EA8"/>
    <w:rsid w:val="007D401F"/>
    <w:rsid w:val="007F6043"/>
    <w:rsid w:val="00824979"/>
    <w:rsid w:val="00824E96"/>
    <w:rsid w:val="008267C7"/>
    <w:rsid w:val="00850A2F"/>
    <w:rsid w:val="0086031B"/>
    <w:rsid w:val="008663C9"/>
    <w:rsid w:val="00872388"/>
    <w:rsid w:val="008B73E8"/>
    <w:rsid w:val="008C6E69"/>
    <w:rsid w:val="008D1333"/>
    <w:rsid w:val="0094532F"/>
    <w:rsid w:val="00951598"/>
    <w:rsid w:val="009A722C"/>
    <w:rsid w:val="009C65EE"/>
    <w:rsid w:val="009D1DE8"/>
    <w:rsid w:val="00A1250E"/>
    <w:rsid w:val="00A25E50"/>
    <w:rsid w:val="00A774ED"/>
    <w:rsid w:val="00A92F18"/>
    <w:rsid w:val="00AA6804"/>
    <w:rsid w:val="00AC4375"/>
    <w:rsid w:val="00AC64D2"/>
    <w:rsid w:val="00AD682F"/>
    <w:rsid w:val="00B01CFC"/>
    <w:rsid w:val="00B119F9"/>
    <w:rsid w:val="00B573E2"/>
    <w:rsid w:val="00B805A4"/>
    <w:rsid w:val="00BA0CFD"/>
    <w:rsid w:val="00BB071F"/>
    <w:rsid w:val="00BC2631"/>
    <w:rsid w:val="00C2336F"/>
    <w:rsid w:val="00C41FDB"/>
    <w:rsid w:val="00CA3193"/>
    <w:rsid w:val="00CD3007"/>
    <w:rsid w:val="00CF5F61"/>
    <w:rsid w:val="00D01897"/>
    <w:rsid w:val="00D03A64"/>
    <w:rsid w:val="00D415B8"/>
    <w:rsid w:val="00D63B09"/>
    <w:rsid w:val="00DD4B0B"/>
    <w:rsid w:val="00DE5D28"/>
    <w:rsid w:val="00E22347"/>
    <w:rsid w:val="00E3715A"/>
    <w:rsid w:val="00E950B0"/>
    <w:rsid w:val="00E953CF"/>
    <w:rsid w:val="00EC2491"/>
    <w:rsid w:val="00EE7CDE"/>
    <w:rsid w:val="00EF33E6"/>
    <w:rsid w:val="00F077CE"/>
    <w:rsid w:val="00F26EA4"/>
    <w:rsid w:val="00F65333"/>
    <w:rsid w:val="00F74AAF"/>
    <w:rsid w:val="00F82586"/>
    <w:rsid w:val="00FA29B1"/>
    <w:rsid w:val="00FC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8B40"/>
  <w15:chartTrackingRefBased/>
  <w15:docId w15:val="{E6D6847B-688A-45D8-8B24-F37F1C8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CC"/>
    <w:pPr>
      <w:ind w:left="720"/>
      <w:contextualSpacing/>
    </w:pPr>
  </w:style>
  <w:style w:type="table" w:styleId="TableGrid">
    <w:name w:val="Table Grid"/>
    <w:basedOn w:val="TableNormal"/>
    <w:uiPriority w:val="59"/>
    <w:rsid w:val="005406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4ED"/>
  </w:style>
  <w:style w:type="paragraph" w:styleId="Footer">
    <w:name w:val="footer"/>
    <w:basedOn w:val="Normal"/>
    <w:link w:val="FooterChar"/>
    <w:uiPriority w:val="99"/>
    <w:unhideWhenUsed/>
    <w:rsid w:val="00A7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4ED"/>
  </w:style>
  <w:style w:type="character" w:styleId="CommentReference">
    <w:name w:val="annotation reference"/>
    <w:basedOn w:val="DefaultParagraphFont"/>
    <w:uiPriority w:val="99"/>
    <w:semiHidden/>
    <w:unhideWhenUsed/>
    <w:rsid w:val="002C6322"/>
    <w:rPr>
      <w:sz w:val="16"/>
      <w:szCs w:val="16"/>
    </w:rPr>
  </w:style>
  <w:style w:type="paragraph" w:styleId="CommentText">
    <w:name w:val="annotation text"/>
    <w:basedOn w:val="Normal"/>
    <w:link w:val="CommentTextChar"/>
    <w:uiPriority w:val="99"/>
    <w:semiHidden/>
    <w:unhideWhenUsed/>
    <w:rsid w:val="002C6322"/>
    <w:pPr>
      <w:spacing w:line="240" w:lineRule="auto"/>
    </w:pPr>
    <w:rPr>
      <w:sz w:val="20"/>
      <w:szCs w:val="20"/>
    </w:rPr>
  </w:style>
  <w:style w:type="character" w:customStyle="1" w:styleId="CommentTextChar">
    <w:name w:val="Comment Text Char"/>
    <w:basedOn w:val="DefaultParagraphFont"/>
    <w:link w:val="CommentText"/>
    <w:uiPriority w:val="99"/>
    <w:semiHidden/>
    <w:rsid w:val="002C6322"/>
    <w:rPr>
      <w:sz w:val="20"/>
      <w:szCs w:val="20"/>
    </w:rPr>
  </w:style>
  <w:style w:type="paragraph" w:styleId="CommentSubject">
    <w:name w:val="annotation subject"/>
    <w:basedOn w:val="CommentText"/>
    <w:next w:val="CommentText"/>
    <w:link w:val="CommentSubjectChar"/>
    <w:uiPriority w:val="99"/>
    <w:semiHidden/>
    <w:unhideWhenUsed/>
    <w:rsid w:val="002C6322"/>
    <w:rPr>
      <w:b/>
      <w:bCs/>
    </w:rPr>
  </w:style>
  <w:style w:type="character" w:customStyle="1" w:styleId="CommentSubjectChar">
    <w:name w:val="Comment Subject Char"/>
    <w:basedOn w:val="CommentTextChar"/>
    <w:link w:val="CommentSubject"/>
    <w:uiPriority w:val="99"/>
    <w:semiHidden/>
    <w:rsid w:val="002C6322"/>
    <w:rPr>
      <w:b/>
      <w:bCs/>
      <w:sz w:val="20"/>
      <w:szCs w:val="20"/>
    </w:rPr>
  </w:style>
  <w:style w:type="paragraph" w:styleId="BalloonText">
    <w:name w:val="Balloon Text"/>
    <w:basedOn w:val="Normal"/>
    <w:link w:val="BalloonTextChar"/>
    <w:uiPriority w:val="99"/>
    <w:semiHidden/>
    <w:unhideWhenUsed/>
    <w:rsid w:val="002C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22"/>
    <w:rPr>
      <w:rFonts w:ascii="Segoe UI" w:hAnsi="Segoe UI" w:cs="Segoe UI"/>
      <w:sz w:val="18"/>
      <w:szCs w:val="18"/>
    </w:rPr>
  </w:style>
  <w:style w:type="paragraph" w:styleId="FootnoteText">
    <w:name w:val="footnote text"/>
    <w:basedOn w:val="Normal"/>
    <w:link w:val="FootnoteTextChar"/>
    <w:uiPriority w:val="99"/>
    <w:semiHidden/>
    <w:unhideWhenUsed/>
    <w:rsid w:val="00431EC6"/>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431EC6"/>
    <w:rPr>
      <w:sz w:val="20"/>
      <w:szCs w:val="20"/>
      <w:lang w:val="en-CA"/>
    </w:rPr>
  </w:style>
  <w:style w:type="character" w:styleId="FootnoteReference">
    <w:name w:val="footnote reference"/>
    <w:basedOn w:val="DefaultParagraphFont"/>
    <w:uiPriority w:val="99"/>
    <w:semiHidden/>
    <w:unhideWhenUsed/>
    <w:rsid w:val="00431EC6"/>
    <w:rPr>
      <w:vertAlign w:val="superscript"/>
    </w:rPr>
  </w:style>
  <w:style w:type="paragraph" w:styleId="Revision">
    <w:name w:val="Revision"/>
    <w:hidden/>
    <w:uiPriority w:val="99"/>
    <w:semiHidden/>
    <w:rsid w:val="002D435B"/>
    <w:pPr>
      <w:spacing w:after="0" w:line="240" w:lineRule="auto"/>
    </w:pPr>
  </w:style>
  <w:style w:type="character" w:styleId="Hyperlink">
    <w:name w:val="Hyperlink"/>
    <w:basedOn w:val="DefaultParagraphFont"/>
    <w:uiPriority w:val="99"/>
    <w:unhideWhenUsed/>
    <w:rsid w:val="007F60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308754">
      <w:bodyDiv w:val="1"/>
      <w:marLeft w:val="0"/>
      <w:marRight w:val="0"/>
      <w:marTop w:val="0"/>
      <w:marBottom w:val="0"/>
      <w:divBdr>
        <w:top w:val="none" w:sz="0" w:space="0" w:color="auto"/>
        <w:left w:val="none" w:sz="0" w:space="0" w:color="auto"/>
        <w:bottom w:val="none" w:sz="0" w:space="0" w:color="auto"/>
        <w:right w:val="none" w:sz="0" w:space="0" w:color="auto"/>
      </w:divBdr>
    </w:div>
    <w:div w:id="17651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8DCE5-224F-44F2-9D95-E46D6521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Vince Mazzone</cp:lastModifiedBy>
  <cp:revision>8</cp:revision>
  <cp:lastPrinted>2018-09-13T15:04:00Z</cp:lastPrinted>
  <dcterms:created xsi:type="dcterms:W3CDTF">2019-01-23T15:46:00Z</dcterms:created>
  <dcterms:modified xsi:type="dcterms:W3CDTF">2019-01-24T20:01:00Z</dcterms:modified>
</cp:coreProperties>
</file>