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2AD" w:rsidRPr="00DF2E5D" w:rsidRDefault="006362AD" w:rsidP="006362AD">
      <w:pPr>
        <w:pStyle w:val="Default"/>
        <w:jc w:val="center"/>
        <w:rPr>
          <w:rFonts w:ascii="Arial" w:hAnsi="Arial" w:cs="Arial"/>
          <w:sz w:val="28"/>
          <w:szCs w:val="28"/>
        </w:rPr>
      </w:pPr>
      <w:r>
        <w:rPr>
          <w:rFonts w:ascii="Arial" w:hAnsi="Arial" w:cs="Arial"/>
          <w:b/>
          <w:bCs/>
          <w:sz w:val="28"/>
          <w:szCs w:val="28"/>
        </w:rPr>
        <w:t>Milton Hydro Distribution Inc</w:t>
      </w:r>
      <w:r w:rsidRPr="00DF2E5D">
        <w:rPr>
          <w:rFonts w:ascii="Arial" w:hAnsi="Arial" w:cs="Arial"/>
          <w:b/>
          <w:bCs/>
          <w:sz w:val="28"/>
          <w:szCs w:val="28"/>
        </w:rPr>
        <w:t xml:space="preserve">. </w:t>
      </w:r>
      <w:r>
        <w:rPr>
          <w:rFonts w:ascii="Arial" w:hAnsi="Arial" w:cs="Arial"/>
          <w:b/>
          <w:bCs/>
          <w:sz w:val="28"/>
          <w:szCs w:val="28"/>
        </w:rPr>
        <w:t xml:space="preserve">(Milton Hydro) </w:t>
      </w:r>
    </w:p>
    <w:p w:rsidR="006362AD" w:rsidRDefault="006362AD" w:rsidP="006362AD">
      <w:pPr>
        <w:pStyle w:val="Default"/>
        <w:jc w:val="center"/>
        <w:rPr>
          <w:rFonts w:ascii="Arial" w:hAnsi="Arial" w:cs="Arial"/>
          <w:b/>
          <w:bCs/>
          <w:sz w:val="28"/>
          <w:szCs w:val="28"/>
        </w:rPr>
      </w:pPr>
      <w:r w:rsidRPr="00DF2E5D">
        <w:rPr>
          <w:rFonts w:ascii="Arial" w:hAnsi="Arial" w:cs="Arial"/>
          <w:b/>
          <w:bCs/>
          <w:sz w:val="28"/>
          <w:szCs w:val="28"/>
        </w:rPr>
        <w:t>EB-2018</w:t>
      </w:r>
      <w:r>
        <w:rPr>
          <w:rFonts w:ascii="Arial" w:hAnsi="Arial" w:cs="Arial"/>
          <w:b/>
          <w:bCs/>
          <w:sz w:val="28"/>
          <w:szCs w:val="28"/>
        </w:rPr>
        <w:t>-0053</w:t>
      </w:r>
    </w:p>
    <w:p w:rsidR="006362AD" w:rsidRDefault="006362AD" w:rsidP="006362AD">
      <w:pPr>
        <w:rPr>
          <w:rFonts w:ascii="Arial" w:hAnsi="Arial" w:cs="Arial"/>
          <w:b/>
          <w:bCs/>
          <w:sz w:val="28"/>
          <w:szCs w:val="28"/>
        </w:rPr>
      </w:pPr>
    </w:p>
    <w:p w:rsidR="006362AD" w:rsidRDefault="006362AD" w:rsidP="006362AD">
      <w:pPr>
        <w:rPr>
          <w:rFonts w:ascii="Arial" w:hAnsi="Arial" w:cs="Arial"/>
          <w:b/>
        </w:rPr>
      </w:pPr>
      <w:r w:rsidRPr="00D10AA2">
        <w:rPr>
          <w:rFonts w:ascii="Arial" w:hAnsi="Arial" w:cs="Arial"/>
          <w:b/>
        </w:rPr>
        <w:t>OEB Staff-1</w:t>
      </w:r>
      <w:bookmarkStart w:id="0" w:name="_GoBack"/>
      <w:bookmarkEnd w:id="0"/>
    </w:p>
    <w:p w:rsidR="006362AD" w:rsidRDefault="006362AD" w:rsidP="006362AD">
      <w:pPr>
        <w:rPr>
          <w:rFonts w:ascii="Arial" w:hAnsi="Arial" w:cs="Arial"/>
          <w:b/>
        </w:rPr>
      </w:pPr>
      <w:r>
        <w:rPr>
          <w:rFonts w:ascii="Arial" w:hAnsi="Arial" w:cs="Arial"/>
          <w:b/>
        </w:rPr>
        <w:t xml:space="preserve">Ref: Tab 6.1a GA Allocation and Tab 6.2a CBR </w:t>
      </w:r>
      <w:proofErr w:type="spellStart"/>
      <w:r>
        <w:rPr>
          <w:rFonts w:ascii="Arial" w:hAnsi="Arial" w:cs="Arial"/>
          <w:b/>
        </w:rPr>
        <w:t>B_Allocation</w:t>
      </w:r>
      <w:proofErr w:type="spellEnd"/>
      <w:r>
        <w:rPr>
          <w:rFonts w:ascii="Arial" w:hAnsi="Arial" w:cs="Arial"/>
          <w:b/>
        </w:rPr>
        <w:t xml:space="preserve"> </w:t>
      </w:r>
    </w:p>
    <w:p w:rsidR="006362AD" w:rsidRDefault="006362AD" w:rsidP="004E757C">
      <w:pPr>
        <w:pStyle w:val="ListParagraph"/>
        <w:numPr>
          <w:ilvl w:val="0"/>
          <w:numId w:val="2"/>
        </w:numPr>
        <w:ind w:left="714" w:hanging="357"/>
        <w:rPr>
          <w:rFonts w:ascii="Arial" w:hAnsi="Arial" w:cs="Arial"/>
        </w:rPr>
      </w:pPr>
      <w:r w:rsidRPr="00A45DA0">
        <w:rPr>
          <w:rFonts w:ascii="Arial" w:hAnsi="Arial" w:cs="Arial"/>
        </w:rPr>
        <w:t xml:space="preserve">OEB staff has done a calculation for the kWh’s entered in Tab 6.1a GA Allocation and Tab 6.2a CBR </w:t>
      </w:r>
      <w:proofErr w:type="spellStart"/>
      <w:r w:rsidRPr="00A45DA0">
        <w:rPr>
          <w:rFonts w:ascii="Arial" w:hAnsi="Arial" w:cs="Arial"/>
        </w:rPr>
        <w:t>B_Allocation</w:t>
      </w:r>
      <w:proofErr w:type="spellEnd"/>
      <w:r w:rsidR="00A45DA0" w:rsidRPr="00A45DA0">
        <w:rPr>
          <w:rFonts w:ascii="Arial" w:hAnsi="Arial" w:cs="Arial"/>
        </w:rPr>
        <w:t xml:space="preserve"> for the 2017 rate year</w:t>
      </w:r>
      <w:r w:rsidRPr="00A45DA0">
        <w:rPr>
          <w:rFonts w:ascii="Arial" w:hAnsi="Arial" w:cs="Arial"/>
        </w:rPr>
        <w:t>. Please review the attached spread and confirm Milton Hydro agrees with OEB staff’s calculation, if not please explain why.</w:t>
      </w:r>
    </w:p>
    <w:p w:rsidR="00A45DA0" w:rsidRPr="00A45DA0" w:rsidRDefault="00A45DA0" w:rsidP="00A45DA0">
      <w:pPr>
        <w:pStyle w:val="ListParagraph"/>
        <w:numPr>
          <w:ilvl w:val="0"/>
          <w:numId w:val="2"/>
        </w:numPr>
        <w:rPr>
          <w:rFonts w:ascii="Arial" w:hAnsi="Arial" w:cs="Arial"/>
        </w:rPr>
      </w:pPr>
      <w:r>
        <w:rPr>
          <w:rFonts w:ascii="Arial" w:hAnsi="Arial" w:cs="Arial"/>
        </w:rPr>
        <w:t>Please prepare and provide the same calculation for the 2016 rate year.</w:t>
      </w:r>
    </w:p>
    <w:p w:rsidR="00A45DA0" w:rsidRDefault="00A45DA0" w:rsidP="006362AD">
      <w:pPr>
        <w:rPr>
          <w:rFonts w:ascii="Arial" w:hAnsi="Arial" w:cs="Arial"/>
        </w:rPr>
      </w:pPr>
      <w:r w:rsidRPr="00A45DA0">
        <w:rPr>
          <w:noProof/>
          <w:lang w:eastAsia="en-CA"/>
        </w:rPr>
        <w:drawing>
          <wp:inline distT="0" distB="0" distL="0" distR="0">
            <wp:extent cx="5943600" cy="32809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80991"/>
                    </a:xfrm>
                    <a:prstGeom prst="rect">
                      <a:avLst/>
                    </a:prstGeom>
                    <a:noFill/>
                    <a:ln>
                      <a:noFill/>
                    </a:ln>
                  </pic:spPr>
                </pic:pic>
              </a:graphicData>
            </a:graphic>
          </wp:inline>
        </w:drawing>
      </w:r>
    </w:p>
    <w:p w:rsidR="006362AD" w:rsidRDefault="006362AD" w:rsidP="006362AD">
      <w:pPr>
        <w:rPr>
          <w:rFonts w:ascii="Arial" w:hAnsi="Arial" w:cs="Arial"/>
          <w:b/>
          <w:sz w:val="24"/>
          <w:szCs w:val="24"/>
        </w:rPr>
      </w:pPr>
    </w:p>
    <w:p w:rsidR="006362AD" w:rsidRDefault="00EC0809" w:rsidP="006362AD">
      <w:pPr>
        <w:rPr>
          <w:rFonts w:ascii="Arial" w:hAnsi="Arial" w:cs="Arial"/>
        </w:rPr>
      </w:pPr>
      <w:r>
        <w:rPr>
          <w:rFonts w:ascii="Arial" w:hAnsi="Arial" w:cs="Arial"/>
          <w:b/>
        </w:rPr>
        <w:t>Response:</w:t>
      </w:r>
    </w:p>
    <w:p w:rsidR="004E757C" w:rsidRDefault="004E757C" w:rsidP="004E757C">
      <w:pPr>
        <w:pStyle w:val="ListParagraph"/>
        <w:numPr>
          <w:ilvl w:val="0"/>
          <w:numId w:val="9"/>
        </w:numPr>
        <w:ind w:left="714" w:hanging="357"/>
        <w:contextualSpacing w:val="0"/>
        <w:rPr>
          <w:rFonts w:ascii="Arial" w:hAnsi="Arial" w:cs="Arial"/>
        </w:rPr>
      </w:pPr>
      <w:r w:rsidRPr="004E757C">
        <w:rPr>
          <w:rFonts w:ascii="Arial" w:hAnsi="Arial" w:cs="Arial"/>
        </w:rPr>
        <w:t xml:space="preserve">Milton Hydro agrees with the calculations in a) above. </w:t>
      </w:r>
    </w:p>
    <w:p w:rsidR="004E757C" w:rsidRDefault="004E757C" w:rsidP="004E757C">
      <w:pPr>
        <w:pStyle w:val="ListParagraph"/>
        <w:numPr>
          <w:ilvl w:val="0"/>
          <w:numId w:val="9"/>
        </w:numPr>
        <w:ind w:left="714" w:hanging="357"/>
        <w:contextualSpacing w:val="0"/>
        <w:rPr>
          <w:rFonts w:ascii="Arial" w:hAnsi="Arial" w:cs="Arial"/>
        </w:rPr>
      </w:pPr>
      <w:r>
        <w:rPr>
          <w:rFonts w:ascii="Arial" w:hAnsi="Arial" w:cs="Arial"/>
        </w:rPr>
        <w:t>Milton Hydro has prepared and provided the same calculation for the 2016 rate year below:</w:t>
      </w:r>
      <w:r w:rsidR="008C68FB">
        <w:rPr>
          <w:rFonts w:ascii="Arial" w:hAnsi="Arial" w:cs="Arial"/>
        </w:rPr>
        <w:t xml:space="preserve"> The Rate Generator Model has been corrected and resubmitted with these IR Responses. </w:t>
      </w:r>
    </w:p>
    <w:p w:rsidR="00AE2398" w:rsidRPr="00AE2398" w:rsidRDefault="00AE2398" w:rsidP="00AE2398">
      <w:pPr>
        <w:ind w:left="357"/>
        <w:rPr>
          <w:rFonts w:ascii="Arial" w:hAnsi="Arial" w:cs="Arial"/>
        </w:rPr>
      </w:pPr>
    </w:p>
    <w:p w:rsidR="00EC0809" w:rsidRPr="00EC0809" w:rsidRDefault="004B2712" w:rsidP="006362AD">
      <w:pPr>
        <w:rPr>
          <w:rFonts w:ascii="Arial" w:hAnsi="Arial" w:cs="Arial"/>
        </w:rPr>
      </w:pPr>
      <w:r w:rsidRPr="004B2712">
        <w:rPr>
          <w:noProof/>
          <w:lang w:eastAsia="en-CA"/>
        </w:rPr>
        <w:lastRenderedPageBreak/>
        <w:drawing>
          <wp:inline distT="0" distB="0" distL="0" distR="0">
            <wp:extent cx="5943600" cy="3271692"/>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71692"/>
                    </a:xfrm>
                    <a:prstGeom prst="rect">
                      <a:avLst/>
                    </a:prstGeom>
                    <a:noFill/>
                    <a:ln>
                      <a:noFill/>
                    </a:ln>
                  </pic:spPr>
                </pic:pic>
              </a:graphicData>
            </a:graphic>
          </wp:inline>
        </w:drawing>
      </w:r>
    </w:p>
    <w:p w:rsidR="006362AD" w:rsidRDefault="006362AD"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4E757C" w:rsidRDefault="004E757C" w:rsidP="006362AD">
      <w:pPr>
        <w:rPr>
          <w:rFonts w:ascii="Arial" w:hAnsi="Arial" w:cs="Arial"/>
          <w:b/>
        </w:rPr>
      </w:pPr>
    </w:p>
    <w:p w:rsidR="006362AD" w:rsidRDefault="006362AD" w:rsidP="006362AD">
      <w:pPr>
        <w:rPr>
          <w:rFonts w:ascii="Arial" w:hAnsi="Arial" w:cs="Arial"/>
          <w:b/>
        </w:rPr>
      </w:pPr>
      <w:r>
        <w:rPr>
          <w:rFonts w:ascii="Arial" w:hAnsi="Arial" w:cs="Arial"/>
          <w:b/>
        </w:rPr>
        <w:lastRenderedPageBreak/>
        <w:t>OEB Staff-2</w:t>
      </w:r>
    </w:p>
    <w:p w:rsidR="006362AD" w:rsidRPr="00B02993" w:rsidRDefault="006362AD" w:rsidP="006362AD">
      <w:pPr>
        <w:rPr>
          <w:rFonts w:ascii="Arial" w:eastAsia="Times New Roman" w:hAnsi="Arial" w:cs="Arial"/>
          <w:lang w:val="en-US"/>
        </w:rPr>
      </w:pPr>
      <w:r>
        <w:rPr>
          <w:rFonts w:ascii="Arial" w:hAnsi="Arial" w:cs="Arial"/>
          <w:b/>
        </w:rPr>
        <w:t>Ref: Tab 3 Continuity Schedule</w:t>
      </w:r>
    </w:p>
    <w:p w:rsidR="006362AD" w:rsidRDefault="006362AD" w:rsidP="006362AD">
      <w:pPr>
        <w:spacing w:after="0" w:line="240" w:lineRule="auto"/>
        <w:rPr>
          <w:rFonts w:ascii="Arial" w:eastAsia="Times New Roman" w:hAnsi="Arial" w:cs="Arial"/>
          <w:lang w:val="en-US"/>
        </w:rPr>
      </w:pPr>
      <w:r>
        <w:rPr>
          <w:rFonts w:ascii="Arial" w:eastAsia="Times New Roman" w:hAnsi="Arial" w:cs="Arial"/>
          <w:lang w:val="en-US"/>
        </w:rPr>
        <w:t xml:space="preserve">Milton Hydro has not requested to dispose of Account 1595 </w:t>
      </w:r>
      <w:r w:rsidRPr="000C3F32">
        <w:rPr>
          <w:rFonts w:ascii="Arial" w:eastAsia="Times New Roman" w:hAnsi="Arial" w:cs="Arial"/>
          <w:lang w:val="en-US"/>
        </w:rPr>
        <w:t>Disposition and Recovery/Refund of Regulatory Balances (2016)</w:t>
      </w:r>
      <w:r>
        <w:rPr>
          <w:rFonts w:ascii="Arial" w:eastAsia="Times New Roman" w:hAnsi="Arial" w:cs="Arial"/>
          <w:vertAlign w:val="superscript"/>
          <w:lang w:val="en-US"/>
        </w:rPr>
        <w:t xml:space="preserve"> </w:t>
      </w:r>
      <w:r>
        <w:rPr>
          <w:rFonts w:ascii="Arial" w:eastAsia="Times New Roman" w:hAnsi="Arial" w:cs="Arial"/>
          <w:lang w:val="en-US"/>
        </w:rPr>
        <w:t xml:space="preserve">in the amount of $3,916. </w:t>
      </w:r>
    </w:p>
    <w:p w:rsidR="006362AD" w:rsidRDefault="006362AD" w:rsidP="006362AD">
      <w:pPr>
        <w:spacing w:after="0" w:line="240" w:lineRule="auto"/>
        <w:rPr>
          <w:rFonts w:ascii="Arial" w:eastAsia="Times New Roman" w:hAnsi="Arial" w:cs="Arial"/>
          <w:lang w:val="en-US"/>
        </w:rPr>
      </w:pPr>
    </w:p>
    <w:p w:rsidR="006362AD" w:rsidRDefault="006362AD" w:rsidP="006362AD">
      <w:pPr>
        <w:pStyle w:val="ListParagraph"/>
        <w:numPr>
          <w:ilvl w:val="0"/>
          <w:numId w:val="1"/>
        </w:numPr>
        <w:spacing w:after="0" w:line="240" w:lineRule="auto"/>
        <w:rPr>
          <w:rFonts w:ascii="Arial" w:eastAsia="Times New Roman" w:hAnsi="Arial" w:cs="Arial"/>
          <w:lang w:val="en-US"/>
        </w:rPr>
      </w:pPr>
      <w:r w:rsidRPr="000C3F32">
        <w:rPr>
          <w:rFonts w:ascii="Arial" w:eastAsia="Times New Roman" w:hAnsi="Arial" w:cs="Arial"/>
          <w:lang w:val="en-US"/>
        </w:rPr>
        <w:t>The account appears to be eligible for disposit</w:t>
      </w:r>
      <w:r>
        <w:rPr>
          <w:rFonts w:ascii="Arial" w:eastAsia="Times New Roman" w:hAnsi="Arial" w:cs="Arial"/>
          <w:lang w:val="en-US"/>
        </w:rPr>
        <w:t>ion, please explain Milton</w:t>
      </w:r>
      <w:r w:rsidRPr="000C3F32">
        <w:rPr>
          <w:rFonts w:ascii="Arial" w:eastAsia="Times New Roman" w:hAnsi="Arial" w:cs="Arial"/>
          <w:lang w:val="en-US"/>
        </w:rPr>
        <w:t xml:space="preserve"> Hydro’s rationale for not requesting disposition.</w:t>
      </w:r>
      <w:r>
        <w:rPr>
          <w:rFonts w:ascii="Arial" w:eastAsia="Times New Roman" w:hAnsi="Arial" w:cs="Arial"/>
          <w:lang w:val="en-US"/>
        </w:rPr>
        <w:t xml:space="preserve"> If the account is eligible for disposition OEB </w:t>
      </w:r>
      <w:r w:rsidR="00C15811">
        <w:rPr>
          <w:rFonts w:ascii="Arial" w:eastAsia="Times New Roman" w:hAnsi="Arial" w:cs="Arial"/>
          <w:lang w:val="en-US"/>
        </w:rPr>
        <w:t xml:space="preserve">staff </w:t>
      </w:r>
      <w:r>
        <w:rPr>
          <w:rFonts w:ascii="Arial" w:eastAsia="Times New Roman" w:hAnsi="Arial" w:cs="Arial"/>
          <w:lang w:val="en-US"/>
        </w:rPr>
        <w:t xml:space="preserve">will update the continuity schedule. </w:t>
      </w:r>
      <w:r w:rsidRPr="000C3F32">
        <w:rPr>
          <w:rFonts w:ascii="Arial" w:eastAsia="Times New Roman" w:hAnsi="Arial" w:cs="Arial"/>
          <w:lang w:val="en-US"/>
        </w:rPr>
        <w:t xml:space="preserve"> </w:t>
      </w:r>
    </w:p>
    <w:p w:rsidR="006362AD" w:rsidRDefault="006362AD" w:rsidP="006362AD">
      <w:pPr>
        <w:pStyle w:val="ListParagraph"/>
        <w:numPr>
          <w:ilvl w:val="0"/>
          <w:numId w:val="1"/>
        </w:numPr>
        <w:spacing w:after="0" w:line="240" w:lineRule="auto"/>
        <w:rPr>
          <w:rFonts w:ascii="Arial" w:eastAsia="Times New Roman" w:hAnsi="Arial" w:cs="Arial"/>
          <w:lang w:val="en-US"/>
        </w:rPr>
      </w:pPr>
      <w:r>
        <w:rPr>
          <w:rFonts w:ascii="Arial" w:eastAsia="Times New Roman" w:hAnsi="Arial" w:cs="Arial"/>
          <w:lang w:val="en-US"/>
        </w:rPr>
        <w:t>Please update</w:t>
      </w:r>
      <w:r w:rsidR="001347D7">
        <w:rPr>
          <w:rFonts w:ascii="Arial" w:eastAsia="Times New Roman" w:hAnsi="Arial" w:cs="Arial"/>
          <w:lang w:val="en-US"/>
        </w:rPr>
        <w:t xml:space="preserve"> and submit</w:t>
      </w:r>
      <w:r>
        <w:rPr>
          <w:rFonts w:ascii="Arial" w:eastAsia="Times New Roman" w:hAnsi="Arial" w:cs="Arial"/>
          <w:lang w:val="en-US"/>
        </w:rPr>
        <w:t xml:space="preserve"> the Account 1595 Analysis Workform. </w:t>
      </w: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r w:rsidRPr="00645E70">
        <w:rPr>
          <w:rFonts w:ascii="Arial" w:eastAsia="Times New Roman" w:hAnsi="Arial" w:cs="Arial"/>
          <w:b/>
          <w:lang w:val="en-US"/>
        </w:rPr>
        <w:t>Response:</w:t>
      </w:r>
    </w:p>
    <w:p w:rsidR="00645E70" w:rsidRDefault="00645E70" w:rsidP="00645E70">
      <w:pPr>
        <w:spacing w:after="0" w:line="240" w:lineRule="auto"/>
        <w:rPr>
          <w:rFonts w:ascii="Arial" w:eastAsia="Times New Roman" w:hAnsi="Arial" w:cs="Arial"/>
          <w:lang w:val="en-US"/>
        </w:rPr>
      </w:pPr>
    </w:p>
    <w:p w:rsidR="00645E70" w:rsidRDefault="00645E70" w:rsidP="00436D08">
      <w:pPr>
        <w:pStyle w:val="ListParagraph"/>
        <w:numPr>
          <w:ilvl w:val="0"/>
          <w:numId w:val="10"/>
        </w:numPr>
        <w:spacing w:line="300" w:lineRule="atLeast"/>
        <w:ind w:left="714" w:hanging="357"/>
        <w:contextualSpacing w:val="0"/>
        <w:rPr>
          <w:rFonts w:ascii="Arial" w:eastAsia="Times New Roman" w:hAnsi="Arial" w:cs="Arial"/>
          <w:lang w:val="en-US"/>
        </w:rPr>
      </w:pPr>
      <w:r>
        <w:rPr>
          <w:rFonts w:ascii="Arial" w:eastAsia="Times New Roman" w:hAnsi="Arial" w:cs="Arial"/>
          <w:lang w:val="en-US"/>
        </w:rPr>
        <w:t xml:space="preserve">Account 1595 </w:t>
      </w:r>
      <w:r w:rsidRPr="000C3F32">
        <w:rPr>
          <w:rFonts w:ascii="Arial" w:eastAsia="Times New Roman" w:hAnsi="Arial" w:cs="Arial"/>
          <w:lang w:val="en-US"/>
        </w:rPr>
        <w:t>Disposition and Recovery/Refund of Regulatory Balances (2016)</w:t>
      </w:r>
      <w:r>
        <w:rPr>
          <w:rFonts w:ascii="Arial" w:eastAsia="Times New Roman" w:hAnsi="Arial" w:cs="Arial"/>
          <w:vertAlign w:val="superscript"/>
          <w:lang w:val="en-US"/>
        </w:rPr>
        <w:t xml:space="preserve"> </w:t>
      </w:r>
      <w:r>
        <w:rPr>
          <w:rFonts w:ascii="Arial" w:eastAsia="Times New Roman" w:hAnsi="Arial" w:cs="Arial"/>
          <w:lang w:val="en-US"/>
        </w:rPr>
        <w:t>in the amount of $3,916 is eligible for disposition.</w:t>
      </w:r>
      <w:r w:rsidR="008C68FB">
        <w:rPr>
          <w:rFonts w:ascii="Arial" w:eastAsia="Times New Roman" w:hAnsi="Arial" w:cs="Arial"/>
          <w:lang w:val="en-US"/>
        </w:rPr>
        <w:t xml:space="preserve"> The Rate Generator Model has been checked for disposition and re-submitted in conjunction with the corrections made in response to IR 1b)</w:t>
      </w:r>
      <w:r w:rsidR="00BA7E07">
        <w:rPr>
          <w:rFonts w:ascii="Arial" w:eastAsia="Times New Roman" w:hAnsi="Arial" w:cs="Arial"/>
          <w:lang w:val="en-US"/>
        </w:rPr>
        <w:t xml:space="preserve"> above</w:t>
      </w:r>
      <w:r w:rsidR="008C68FB">
        <w:rPr>
          <w:rFonts w:ascii="Arial" w:eastAsia="Times New Roman" w:hAnsi="Arial" w:cs="Arial"/>
          <w:lang w:val="en-US"/>
        </w:rPr>
        <w:t>.</w:t>
      </w:r>
    </w:p>
    <w:p w:rsidR="00645E70" w:rsidRPr="00645E70" w:rsidRDefault="00645E70" w:rsidP="00436D08">
      <w:pPr>
        <w:pStyle w:val="ListParagraph"/>
        <w:numPr>
          <w:ilvl w:val="0"/>
          <w:numId w:val="10"/>
        </w:numPr>
        <w:spacing w:line="300" w:lineRule="atLeast"/>
        <w:ind w:left="714" w:hanging="357"/>
        <w:contextualSpacing w:val="0"/>
        <w:rPr>
          <w:rFonts w:ascii="Arial" w:eastAsia="Times New Roman" w:hAnsi="Arial" w:cs="Arial"/>
          <w:lang w:val="en-US"/>
        </w:rPr>
      </w:pPr>
      <w:r>
        <w:rPr>
          <w:rFonts w:ascii="Arial" w:eastAsia="Times New Roman" w:hAnsi="Arial" w:cs="Arial"/>
          <w:lang w:val="en-US"/>
        </w:rPr>
        <w:t xml:space="preserve">Milton Hydro has updated and </w:t>
      </w:r>
      <w:r w:rsidR="008C68FB">
        <w:rPr>
          <w:rFonts w:ascii="Arial" w:eastAsia="Times New Roman" w:hAnsi="Arial" w:cs="Arial"/>
          <w:lang w:val="en-US"/>
        </w:rPr>
        <w:t>re-</w:t>
      </w:r>
      <w:r>
        <w:rPr>
          <w:rFonts w:ascii="Arial" w:eastAsia="Times New Roman" w:hAnsi="Arial" w:cs="Arial"/>
          <w:lang w:val="en-US"/>
        </w:rPr>
        <w:t xml:space="preserve">submitted the Account 1595 Analysis </w:t>
      </w:r>
      <w:proofErr w:type="spellStart"/>
      <w:r>
        <w:rPr>
          <w:rFonts w:ascii="Arial" w:eastAsia="Times New Roman" w:hAnsi="Arial" w:cs="Arial"/>
          <w:lang w:val="en-US"/>
        </w:rPr>
        <w:t>Workform</w:t>
      </w:r>
      <w:proofErr w:type="spellEnd"/>
      <w:r>
        <w:rPr>
          <w:rFonts w:ascii="Arial" w:eastAsia="Times New Roman" w:hAnsi="Arial" w:cs="Arial"/>
          <w:lang w:val="en-US"/>
        </w:rPr>
        <w:t xml:space="preserve"> to include Account 1595 </w:t>
      </w:r>
      <w:r w:rsidRPr="000C3F32">
        <w:rPr>
          <w:rFonts w:ascii="Arial" w:eastAsia="Times New Roman" w:hAnsi="Arial" w:cs="Arial"/>
          <w:lang w:val="en-US"/>
        </w:rPr>
        <w:t>Disposition and Recovery/Refund of Regulatory Balances (2016)</w:t>
      </w:r>
      <w:r>
        <w:rPr>
          <w:rFonts w:ascii="Arial" w:eastAsia="Times New Roman" w:hAnsi="Arial" w:cs="Arial"/>
          <w:lang w:val="en-US"/>
        </w:rPr>
        <w:t>.</w:t>
      </w:r>
    </w:p>
    <w:p w:rsidR="00645E70" w:rsidRP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Default="00645E70" w:rsidP="00645E70">
      <w:pPr>
        <w:spacing w:after="0" w:line="240" w:lineRule="auto"/>
        <w:rPr>
          <w:rFonts w:ascii="Arial" w:eastAsia="Times New Roman" w:hAnsi="Arial" w:cs="Arial"/>
          <w:lang w:val="en-US"/>
        </w:rPr>
      </w:pPr>
    </w:p>
    <w:p w:rsidR="00645E70" w:rsidRPr="00645E70" w:rsidRDefault="00645E70" w:rsidP="00645E70">
      <w:pPr>
        <w:spacing w:after="0" w:line="240" w:lineRule="auto"/>
        <w:rPr>
          <w:rFonts w:ascii="Arial" w:eastAsia="Times New Roman" w:hAnsi="Arial" w:cs="Arial"/>
          <w:lang w:val="en-US"/>
        </w:rPr>
      </w:pPr>
    </w:p>
    <w:p w:rsidR="00CA57C6" w:rsidRDefault="002A0834" w:rsidP="00CA57C6">
      <w:pPr>
        <w:rPr>
          <w:rFonts w:ascii="Arial" w:hAnsi="Arial" w:cs="Arial"/>
          <w:b/>
        </w:rPr>
      </w:pPr>
      <w:r>
        <w:rPr>
          <w:rFonts w:ascii="Arial" w:hAnsi="Arial" w:cs="Arial"/>
          <w:b/>
        </w:rPr>
        <w:t>OEB Staff-3</w:t>
      </w:r>
    </w:p>
    <w:p w:rsidR="00CA57C6" w:rsidRDefault="00CA57C6" w:rsidP="00CA57C6">
      <w:pPr>
        <w:rPr>
          <w:rFonts w:ascii="Arial" w:hAnsi="Arial" w:cs="Arial"/>
          <w:b/>
        </w:rPr>
      </w:pPr>
      <w:r>
        <w:rPr>
          <w:rFonts w:ascii="Arial" w:hAnsi="Arial" w:cs="Arial"/>
          <w:b/>
        </w:rPr>
        <w:t xml:space="preserve">Ref: GA Analysis </w:t>
      </w:r>
      <w:proofErr w:type="spellStart"/>
      <w:r>
        <w:rPr>
          <w:rFonts w:ascii="Arial" w:hAnsi="Arial" w:cs="Arial"/>
          <w:b/>
        </w:rPr>
        <w:t>Workform</w:t>
      </w:r>
      <w:proofErr w:type="spellEnd"/>
      <w:r>
        <w:rPr>
          <w:rFonts w:ascii="Arial" w:hAnsi="Arial" w:cs="Arial"/>
          <w:b/>
        </w:rPr>
        <w:t xml:space="preserve"> Instructions, Appendix A</w:t>
      </w:r>
    </w:p>
    <w:p w:rsidR="002A0834" w:rsidRDefault="00CA57C6" w:rsidP="002967B0">
      <w:pPr>
        <w:rPr>
          <w:rFonts w:ascii="Arial" w:hAnsi="Arial" w:cs="Arial"/>
        </w:rPr>
      </w:pPr>
      <w:r>
        <w:rPr>
          <w:rFonts w:ascii="Arial" w:hAnsi="Arial" w:cs="Arial"/>
        </w:rPr>
        <w:t>For the response provided to Question 1, please confirm that OEB Staff’</w:t>
      </w:r>
      <w:r w:rsidR="002A0834">
        <w:rPr>
          <w:rFonts w:ascii="Arial" w:hAnsi="Arial" w:cs="Arial"/>
        </w:rPr>
        <w:t>s understanding is correct:</w:t>
      </w:r>
    </w:p>
    <w:p w:rsidR="00CA57C6" w:rsidRPr="00CA57C6" w:rsidRDefault="00CA57C6" w:rsidP="002967B0">
      <w:pPr>
        <w:rPr>
          <w:rFonts w:ascii="Arial" w:hAnsi="Arial" w:cs="Arial"/>
        </w:rPr>
      </w:pPr>
      <w:r>
        <w:rPr>
          <w:rFonts w:ascii="Arial" w:hAnsi="Arial" w:cs="Arial"/>
        </w:rPr>
        <w:t>The entire CT 148 charge is initially recorded to account 4707.  The portion of the monthly RPP settlement related to GA RPP is also credit</w:t>
      </w:r>
      <w:r w:rsidR="00A205AE">
        <w:rPr>
          <w:rFonts w:ascii="Arial" w:hAnsi="Arial" w:cs="Arial"/>
        </w:rPr>
        <w:t>ed</w:t>
      </w:r>
      <w:r>
        <w:rPr>
          <w:rFonts w:ascii="Arial" w:hAnsi="Arial" w:cs="Arial"/>
        </w:rPr>
        <w:t xml:space="preserve"> to account 4707.  The net result is that only GA </w:t>
      </w:r>
      <w:r w:rsidR="002A0834">
        <w:rPr>
          <w:rFonts w:ascii="Arial" w:hAnsi="Arial" w:cs="Arial"/>
        </w:rPr>
        <w:t>Non-RPP expense is left in account 4707. Any variance between</w:t>
      </w:r>
      <w:r w:rsidR="00A205AE">
        <w:rPr>
          <w:rFonts w:ascii="Arial" w:hAnsi="Arial" w:cs="Arial"/>
        </w:rPr>
        <w:t xml:space="preserve"> the</w:t>
      </w:r>
      <w:r w:rsidR="002A0834">
        <w:rPr>
          <w:rFonts w:ascii="Arial" w:hAnsi="Arial" w:cs="Arial"/>
        </w:rPr>
        <w:t xml:space="preserve"> GA Non-RPP billed to customers and </w:t>
      </w:r>
      <w:r w:rsidR="00A205AE">
        <w:rPr>
          <w:rFonts w:ascii="Arial" w:hAnsi="Arial" w:cs="Arial"/>
        </w:rPr>
        <w:t xml:space="preserve">the </w:t>
      </w:r>
      <w:r w:rsidR="002A0834">
        <w:rPr>
          <w:rFonts w:ascii="Arial" w:hAnsi="Arial" w:cs="Arial"/>
        </w:rPr>
        <w:t>GA Non-RPP expense is then recorded to account 1589.</w:t>
      </w:r>
    </w:p>
    <w:p w:rsidR="00CA57C6" w:rsidRDefault="00CA57C6" w:rsidP="002967B0">
      <w:pPr>
        <w:rPr>
          <w:rFonts w:ascii="Arial" w:hAnsi="Arial" w:cs="Arial"/>
          <w:b/>
        </w:rPr>
      </w:pPr>
    </w:p>
    <w:p w:rsidR="00F05D19" w:rsidRDefault="008A1D63" w:rsidP="002967B0">
      <w:pPr>
        <w:rPr>
          <w:rFonts w:ascii="Arial" w:hAnsi="Arial" w:cs="Arial"/>
        </w:rPr>
      </w:pPr>
      <w:r>
        <w:rPr>
          <w:rFonts w:ascii="Arial" w:hAnsi="Arial" w:cs="Arial"/>
          <w:b/>
        </w:rPr>
        <w:t>Response:</w:t>
      </w:r>
    </w:p>
    <w:p w:rsidR="008A1D63" w:rsidRPr="008A1D63" w:rsidRDefault="001E30F3" w:rsidP="002967B0">
      <w:pPr>
        <w:rPr>
          <w:rFonts w:ascii="Arial" w:hAnsi="Arial" w:cs="Arial"/>
        </w:rPr>
      </w:pPr>
      <w:r>
        <w:rPr>
          <w:rFonts w:ascii="Arial" w:hAnsi="Arial" w:cs="Arial"/>
        </w:rPr>
        <w:t xml:space="preserve">Milton Hydro confirms that the OEB Staff’s understanding is </w:t>
      </w:r>
      <w:r w:rsidR="00233DD2">
        <w:rPr>
          <w:rFonts w:ascii="Arial" w:hAnsi="Arial" w:cs="Arial"/>
        </w:rPr>
        <w:t>correct</w:t>
      </w:r>
      <w:r>
        <w:rPr>
          <w:rFonts w:ascii="Arial" w:hAnsi="Arial" w:cs="Arial"/>
        </w:rPr>
        <w:t xml:space="preserve"> and the same as Milton Hydro’s response in its interrogatories in its 2018 IRM/</w:t>
      </w:r>
      <w:r w:rsidR="00D54032">
        <w:rPr>
          <w:rFonts w:ascii="Arial" w:hAnsi="Arial" w:cs="Arial"/>
        </w:rPr>
        <w:t xml:space="preserve"> and G</w:t>
      </w:r>
      <w:r>
        <w:rPr>
          <w:rFonts w:ascii="Arial" w:hAnsi="Arial" w:cs="Arial"/>
        </w:rPr>
        <w:t xml:space="preserve">A application. </w:t>
      </w: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F05D19" w:rsidRDefault="00F05D19" w:rsidP="002967B0">
      <w:pPr>
        <w:rPr>
          <w:rFonts w:ascii="Arial" w:hAnsi="Arial" w:cs="Arial"/>
          <w:b/>
        </w:rPr>
      </w:pPr>
    </w:p>
    <w:p w:rsidR="002967B0" w:rsidRDefault="002A0834" w:rsidP="002967B0">
      <w:pPr>
        <w:rPr>
          <w:rFonts w:ascii="Arial" w:hAnsi="Arial" w:cs="Arial"/>
          <w:b/>
        </w:rPr>
      </w:pPr>
      <w:r>
        <w:rPr>
          <w:rFonts w:ascii="Arial" w:hAnsi="Arial" w:cs="Arial"/>
          <w:b/>
        </w:rPr>
        <w:lastRenderedPageBreak/>
        <w:t>OEB Staff-4</w:t>
      </w:r>
    </w:p>
    <w:p w:rsidR="002967B0" w:rsidRDefault="002967B0" w:rsidP="002967B0">
      <w:pPr>
        <w:rPr>
          <w:rFonts w:ascii="Arial" w:hAnsi="Arial" w:cs="Arial"/>
          <w:b/>
        </w:rPr>
      </w:pPr>
      <w:r>
        <w:rPr>
          <w:rFonts w:ascii="Arial" w:hAnsi="Arial" w:cs="Arial"/>
          <w:b/>
        </w:rPr>
        <w:t xml:space="preserve">Ref: GA Analysis </w:t>
      </w:r>
      <w:proofErr w:type="spellStart"/>
      <w:r>
        <w:rPr>
          <w:rFonts w:ascii="Arial" w:hAnsi="Arial" w:cs="Arial"/>
          <w:b/>
        </w:rPr>
        <w:t>Workform</w:t>
      </w:r>
      <w:proofErr w:type="spellEnd"/>
      <w:r>
        <w:rPr>
          <w:rFonts w:ascii="Arial" w:hAnsi="Arial" w:cs="Arial"/>
          <w:b/>
        </w:rPr>
        <w:t xml:space="preserve"> Instructions, Appendix A</w:t>
      </w:r>
    </w:p>
    <w:p w:rsidR="002967B0" w:rsidRDefault="002967B0" w:rsidP="002967B0">
      <w:pPr>
        <w:rPr>
          <w:rFonts w:ascii="Arial" w:hAnsi="Arial" w:cs="Arial"/>
        </w:rPr>
      </w:pPr>
      <w:r>
        <w:rPr>
          <w:rFonts w:ascii="Arial" w:hAnsi="Arial" w:cs="Arial"/>
        </w:rPr>
        <w:t>In the responses provided to Question 2, the Applicant provides information regarding its monthly settlement with the IESO and true-ups that</w:t>
      </w:r>
      <w:r w:rsidR="00A205AE">
        <w:rPr>
          <w:rFonts w:ascii="Arial" w:hAnsi="Arial" w:cs="Arial"/>
        </w:rPr>
        <w:t xml:space="preserve"> are required</w:t>
      </w:r>
      <w:r>
        <w:rPr>
          <w:rFonts w:ascii="Arial" w:hAnsi="Arial" w:cs="Arial"/>
        </w:rPr>
        <w:t xml:space="preserve"> </w:t>
      </w:r>
      <w:proofErr w:type="gramStart"/>
      <w:r>
        <w:rPr>
          <w:rFonts w:ascii="Arial" w:hAnsi="Arial" w:cs="Arial"/>
        </w:rPr>
        <w:t>subsequent to</w:t>
      </w:r>
      <w:proofErr w:type="gramEnd"/>
      <w:r>
        <w:rPr>
          <w:rFonts w:ascii="Arial" w:hAnsi="Arial" w:cs="Arial"/>
        </w:rPr>
        <w:t xml:space="preserve"> the completion of the settlement.</w:t>
      </w:r>
    </w:p>
    <w:p w:rsidR="002967B0" w:rsidRDefault="002967B0" w:rsidP="002967B0">
      <w:pPr>
        <w:pStyle w:val="ListParagraph"/>
        <w:numPr>
          <w:ilvl w:val="0"/>
          <w:numId w:val="3"/>
        </w:numPr>
        <w:rPr>
          <w:rFonts w:ascii="Arial" w:hAnsi="Arial" w:cs="Arial"/>
        </w:rPr>
      </w:pPr>
      <w:r>
        <w:rPr>
          <w:rFonts w:ascii="Arial" w:hAnsi="Arial" w:cs="Arial"/>
        </w:rPr>
        <w:t>In the response provided to question 2a, please confirm that Milton Hydro is indicating that it settles with the IESO based on actual billed consumption for a particular month and therefore a subsequent true-up</w:t>
      </w:r>
      <w:r w:rsidR="00A205AE">
        <w:rPr>
          <w:rFonts w:ascii="Arial" w:hAnsi="Arial" w:cs="Arial"/>
        </w:rPr>
        <w:t xml:space="preserve"> of the settlement</w:t>
      </w:r>
      <w:r>
        <w:rPr>
          <w:rFonts w:ascii="Arial" w:hAnsi="Arial" w:cs="Arial"/>
        </w:rPr>
        <w:t xml:space="preserve"> to actual consumption is not required.  The true-up that is required with respect to its IESO settlements relates to</w:t>
      </w:r>
      <w:r w:rsidR="00A205AE">
        <w:rPr>
          <w:rFonts w:ascii="Arial" w:hAnsi="Arial" w:cs="Arial"/>
        </w:rPr>
        <w:t xml:space="preserve"> only</w:t>
      </w:r>
      <w:r>
        <w:rPr>
          <w:rFonts w:ascii="Arial" w:hAnsi="Arial" w:cs="Arial"/>
        </w:rPr>
        <w:t xml:space="preserve"> the GA rate used for settlement purposes (</w:t>
      </w:r>
      <w:proofErr w:type="spellStart"/>
      <w:r>
        <w:rPr>
          <w:rFonts w:ascii="Arial" w:hAnsi="Arial" w:cs="Arial"/>
        </w:rPr>
        <w:t>i.e</w:t>
      </w:r>
      <w:proofErr w:type="spellEnd"/>
      <w:r>
        <w:rPr>
          <w:rFonts w:ascii="Arial" w:hAnsi="Arial" w:cs="Arial"/>
        </w:rPr>
        <w:t xml:space="preserve"> the difference between the first GA Estimate and the actual GA rate).  </w:t>
      </w:r>
    </w:p>
    <w:p w:rsidR="002967B0" w:rsidRDefault="002967B0" w:rsidP="002967B0">
      <w:pPr>
        <w:pStyle w:val="ListParagraph"/>
        <w:numPr>
          <w:ilvl w:val="0"/>
          <w:numId w:val="3"/>
        </w:numPr>
        <w:rPr>
          <w:rFonts w:ascii="Arial" w:hAnsi="Arial" w:cs="Arial"/>
        </w:rPr>
      </w:pPr>
      <w:r>
        <w:rPr>
          <w:rFonts w:ascii="Arial" w:hAnsi="Arial" w:cs="Arial"/>
        </w:rPr>
        <w:t>If in the above, Milton Hydro is confirming that its</w:t>
      </w:r>
      <w:r w:rsidR="00956AB2">
        <w:rPr>
          <w:rFonts w:ascii="Arial" w:hAnsi="Arial" w:cs="Arial"/>
        </w:rPr>
        <w:t xml:space="preserve"> monthly</w:t>
      </w:r>
      <w:r>
        <w:rPr>
          <w:rFonts w:ascii="Arial" w:hAnsi="Arial" w:cs="Arial"/>
        </w:rPr>
        <w:t xml:space="preserve"> settlements with the IESO a</w:t>
      </w:r>
      <w:r w:rsidR="00956AB2">
        <w:rPr>
          <w:rFonts w:ascii="Arial" w:hAnsi="Arial" w:cs="Arial"/>
        </w:rPr>
        <w:t>re performed using actual</w:t>
      </w:r>
      <w:r>
        <w:rPr>
          <w:rFonts w:ascii="Arial" w:hAnsi="Arial" w:cs="Arial"/>
        </w:rPr>
        <w:t xml:space="preserve"> consumption</w:t>
      </w:r>
      <w:r w:rsidR="00A205AE">
        <w:rPr>
          <w:rFonts w:ascii="Arial" w:hAnsi="Arial" w:cs="Arial"/>
        </w:rPr>
        <w:t xml:space="preserve"> quantities for the month</w:t>
      </w:r>
      <w:r>
        <w:rPr>
          <w:rFonts w:ascii="Arial" w:hAnsi="Arial" w:cs="Arial"/>
        </w:rPr>
        <w:t>, then please explain how</w:t>
      </w:r>
      <w:r w:rsidR="00956AB2">
        <w:rPr>
          <w:rFonts w:ascii="Arial" w:hAnsi="Arial" w:cs="Arial"/>
        </w:rPr>
        <w:t xml:space="preserve"> Milton Hydro is able to quantify what its</w:t>
      </w:r>
      <w:r>
        <w:rPr>
          <w:rFonts w:ascii="Arial" w:hAnsi="Arial" w:cs="Arial"/>
        </w:rPr>
        <w:t xml:space="preserve"> actual consumption</w:t>
      </w:r>
      <w:r w:rsidR="00956AB2">
        <w:rPr>
          <w:rFonts w:ascii="Arial" w:hAnsi="Arial" w:cs="Arial"/>
        </w:rPr>
        <w:t xml:space="preserve"> for the month is</w:t>
      </w:r>
      <w:r>
        <w:rPr>
          <w:rFonts w:ascii="Arial" w:hAnsi="Arial" w:cs="Arial"/>
        </w:rPr>
        <w:t xml:space="preserve"> by the 4</w:t>
      </w:r>
      <w:r w:rsidRPr="002967B0">
        <w:rPr>
          <w:rFonts w:ascii="Arial" w:hAnsi="Arial" w:cs="Arial"/>
          <w:vertAlign w:val="superscript"/>
        </w:rPr>
        <w:t>th</w:t>
      </w:r>
      <w:r>
        <w:rPr>
          <w:rFonts w:ascii="Arial" w:hAnsi="Arial" w:cs="Arial"/>
        </w:rPr>
        <w:t xml:space="preserve"> day following the month-end</w:t>
      </w:r>
      <w:r w:rsidR="00753E04">
        <w:rPr>
          <w:rFonts w:ascii="Arial" w:hAnsi="Arial" w:cs="Arial"/>
        </w:rPr>
        <w:t>.</w:t>
      </w:r>
    </w:p>
    <w:p w:rsidR="00753E04" w:rsidRDefault="00753E04" w:rsidP="002967B0">
      <w:pPr>
        <w:pStyle w:val="ListParagraph"/>
        <w:numPr>
          <w:ilvl w:val="0"/>
          <w:numId w:val="3"/>
        </w:numPr>
        <w:rPr>
          <w:rFonts w:ascii="Arial" w:hAnsi="Arial" w:cs="Arial"/>
        </w:rPr>
      </w:pPr>
      <w:r>
        <w:rPr>
          <w:rFonts w:ascii="Arial" w:hAnsi="Arial" w:cs="Arial"/>
        </w:rPr>
        <w:t>In response 2d Milton Hydro has stated that</w:t>
      </w:r>
      <w:r w:rsidR="00A205AE">
        <w:rPr>
          <w:rFonts w:ascii="Arial" w:hAnsi="Arial" w:cs="Arial"/>
        </w:rPr>
        <w:t xml:space="preserve"> its</w:t>
      </w:r>
      <w:r>
        <w:rPr>
          <w:rFonts w:ascii="Arial" w:hAnsi="Arial" w:cs="Arial"/>
        </w:rPr>
        <w:t xml:space="preserve"> December 2017 </w:t>
      </w:r>
      <w:r w:rsidR="00A205AE">
        <w:rPr>
          <w:rFonts w:ascii="Arial" w:hAnsi="Arial" w:cs="Arial"/>
        </w:rPr>
        <w:t xml:space="preserve">IESO settlement </w:t>
      </w:r>
      <w:r>
        <w:rPr>
          <w:rFonts w:ascii="Arial" w:hAnsi="Arial" w:cs="Arial"/>
        </w:rPr>
        <w:t xml:space="preserve">is trued-up in January 2018. Is that response accurate given that the December 2017 initial settlement </w:t>
      </w:r>
      <w:r w:rsidR="00A205AE">
        <w:rPr>
          <w:rFonts w:ascii="Arial" w:hAnsi="Arial" w:cs="Arial"/>
        </w:rPr>
        <w:t xml:space="preserve">with the IESO </w:t>
      </w:r>
      <w:r>
        <w:rPr>
          <w:rFonts w:ascii="Arial" w:hAnsi="Arial" w:cs="Arial"/>
        </w:rPr>
        <w:t xml:space="preserve">takes place in January 2018, therefore the true-up </w:t>
      </w:r>
      <w:r w:rsidR="00CA57C6">
        <w:rPr>
          <w:rFonts w:ascii="Arial" w:hAnsi="Arial" w:cs="Arial"/>
        </w:rPr>
        <w:t>of that settlement</w:t>
      </w:r>
      <w:r>
        <w:rPr>
          <w:rFonts w:ascii="Arial" w:hAnsi="Arial" w:cs="Arial"/>
        </w:rPr>
        <w:t xml:space="preserve"> would take place in February 2018, not January 2018. Please confirm that this is the case for Milton Hydro. Please also confirm that the</w:t>
      </w:r>
      <w:r w:rsidR="00CA57C6">
        <w:rPr>
          <w:rFonts w:ascii="Arial" w:hAnsi="Arial" w:cs="Arial"/>
        </w:rPr>
        <w:t xml:space="preserve"> February 2018</w:t>
      </w:r>
      <w:r>
        <w:rPr>
          <w:rFonts w:ascii="Arial" w:hAnsi="Arial" w:cs="Arial"/>
        </w:rPr>
        <w:t xml:space="preserve"> true-up adju</w:t>
      </w:r>
      <w:r w:rsidR="00CA57C6">
        <w:rPr>
          <w:rFonts w:ascii="Arial" w:hAnsi="Arial" w:cs="Arial"/>
        </w:rPr>
        <w:t xml:space="preserve">stment for the December 2017 settlement </w:t>
      </w:r>
      <w:r>
        <w:rPr>
          <w:rFonts w:ascii="Arial" w:hAnsi="Arial" w:cs="Arial"/>
        </w:rPr>
        <w:t xml:space="preserve">has been accrued </w:t>
      </w:r>
      <w:r w:rsidR="00CA57C6">
        <w:rPr>
          <w:rFonts w:ascii="Arial" w:hAnsi="Arial" w:cs="Arial"/>
        </w:rPr>
        <w:t>in the December 2017 balance of</w:t>
      </w:r>
      <w:r>
        <w:rPr>
          <w:rFonts w:ascii="Arial" w:hAnsi="Arial" w:cs="Arial"/>
        </w:rPr>
        <w:t xml:space="preserve"> Account 1589 per the DVA continuity schedule.</w:t>
      </w:r>
    </w:p>
    <w:p w:rsidR="002A0834" w:rsidRPr="002A0834" w:rsidRDefault="00CA57C6" w:rsidP="002A0834">
      <w:pPr>
        <w:pStyle w:val="ListParagraph"/>
        <w:numPr>
          <w:ilvl w:val="0"/>
          <w:numId w:val="3"/>
        </w:numPr>
        <w:rPr>
          <w:rFonts w:ascii="Arial" w:hAnsi="Arial" w:cs="Arial"/>
        </w:rPr>
      </w:pPr>
      <w:r>
        <w:rPr>
          <w:rFonts w:ascii="Arial" w:hAnsi="Arial" w:cs="Arial"/>
        </w:rPr>
        <w:t xml:space="preserve">For response 2f, does the $261K being referenced represent the balance that was credited to Account 1589 </w:t>
      </w:r>
      <w:r w:rsidR="00A205AE">
        <w:rPr>
          <w:rFonts w:ascii="Arial" w:hAnsi="Arial" w:cs="Arial"/>
        </w:rPr>
        <w:t>upon the initial settlement of</w:t>
      </w:r>
      <w:r>
        <w:rPr>
          <w:rFonts w:ascii="Arial" w:hAnsi="Arial" w:cs="Arial"/>
        </w:rPr>
        <w:t xml:space="preserve"> December 2017 consumption, or is this the</w:t>
      </w:r>
      <w:r w:rsidR="00A205AE">
        <w:rPr>
          <w:rFonts w:ascii="Arial" w:hAnsi="Arial" w:cs="Arial"/>
        </w:rPr>
        <w:t xml:space="preserve"> actual</w:t>
      </w:r>
      <w:r>
        <w:rPr>
          <w:rFonts w:ascii="Arial" w:hAnsi="Arial" w:cs="Arial"/>
        </w:rPr>
        <w:t xml:space="preserve"> quantification of the true-up that was done in February 2018 in respect to the December 2017 settlement. Please clarify as needed.</w:t>
      </w:r>
    </w:p>
    <w:p w:rsidR="00233822" w:rsidRDefault="00233822" w:rsidP="002A0834">
      <w:pPr>
        <w:rPr>
          <w:rFonts w:ascii="Arial" w:hAnsi="Arial" w:cs="Arial"/>
          <w:b/>
        </w:rPr>
      </w:pPr>
    </w:p>
    <w:p w:rsidR="00233822" w:rsidRDefault="008A1D63" w:rsidP="002A0834">
      <w:pPr>
        <w:rPr>
          <w:rFonts w:ascii="Arial" w:hAnsi="Arial" w:cs="Arial"/>
        </w:rPr>
      </w:pPr>
      <w:r>
        <w:rPr>
          <w:rFonts w:ascii="Arial" w:hAnsi="Arial" w:cs="Arial"/>
          <w:b/>
        </w:rPr>
        <w:t>Response:</w:t>
      </w:r>
    </w:p>
    <w:p w:rsidR="003859E6" w:rsidRDefault="003859E6" w:rsidP="003859E6">
      <w:pPr>
        <w:pStyle w:val="ListParagraph"/>
        <w:numPr>
          <w:ilvl w:val="0"/>
          <w:numId w:val="18"/>
        </w:numPr>
        <w:rPr>
          <w:rFonts w:ascii="Arial" w:hAnsi="Arial" w:cs="Arial"/>
        </w:rPr>
      </w:pPr>
      <w:r>
        <w:rPr>
          <w:rFonts w:ascii="Arial" w:hAnsi="Arial" w:cs="Arial"/>
        </w:rPr>
        <w:t>Milton Hydro confirms that settlement with the IESO is based on actual billed consumption as indicated in a) above and the settlement the following month is</w:t>
      </w:r>
      <w:r w:rsidR="00E018BE" w:rsidRPr="00E018BE">
        <w:rPr>
          <w:rFonts w:ascii="Arial" w:hAnsi="Arial" w:cs="Arial"/>
          <w:sz w:val="24"/>
          <w:szCs w:val="24"/>
        </w:rPr>
        <w:t xml:space="preserve"> </w:t>
      </w:r>
      <w:r w:rsidR="00E018BE" w:rsidRPr="00D63C44">
        <w:rPr>
          <w:rFonts w:ascii="Arial" w:hAnsi="Arial" w:cs="Arial"/>
          <w:sz w:val="24"/>
          <w:szCs w:val="24"/>
        </w:rPr>
        <w:t>the RPP Quantities billed in the previous month trued up by applying the Actual GA rate that is now available.</w:t>
      </w:r>
      <w:r>
        <w:rPr>
          <w:rFonts w:ascii="Arial" w:hAnsi="Arial" w:cs="Arial"/>
        </w:rPr>
        <w:t xml:space="preserve"> </w:t>
      </w:r>
      <w:r w:rsidR="00E018BE">
        <w:rPr>
          <w:rFonts w:ascii="Arial" w:hAnsi="Arial" w:cs="Arial"/>
        </w:rPr>
        <w:t>(</w:t>
      </w:r>
      <w:r>
        <w:rPr>
          <w:rFonts w:ascii="Arial" w:hAnsi="Arial" w:cs="Arial"/>
        </w:rPr>
        <w:t>the difference between the first GA Estimate and the actual GA rate using the previous months actual billed consumption.</w:t>
      </w:r>
      <w:r w:rsidR="00E018BE">
        <w:rPr>
          <w:rFonts w:ascii="Arial" w:hAnsi="Arial" w:cs="Arial"/>
        </w:rPr>
        <w:t xml:space="preserve">)  </w:t>
      </w:r>
    </w:p>
    <w:p w:rsidR="00E018BE" w:rsidRDefault="00E018BE" w:rsidP="00E018BE">
      <w:pPr>
        <w:pStyle w:val="ListParagraph"/>
        <w:rPr>
          <w:rFonts w:ascii="Arial" w:hAnsi="Arial" w:cs="Arial"/>
        </w:rPr>
      </w:pPr>
    </w:p>
    <w:p w:rsidR="00E018BE" w:rsidRDefault="00E018BE" w:rsidP="00E018BE">
      <w:pPr>
        <w:pStyle w:val="ListParagraph"/>
        <w:numPr>
          <w:ilvl w:val="0"/>
          <w:numId w:val="18"/>
        </w:numPr>
        <w:rPr>
          <w:rFonts w:ascii="Arial" w:hAnsi="Arial" w:cs="Arial"/>
        </w:rPr>
      </w:pPr>
      <w:r>
        <w:rPr>
          <w:rFonts w:ascii="Arial" w:hAnsi="Arial" w:cs="Arial"/>
        </w:rPr>
        <w:t xml:space="preserve">Milton Hydro is confirming that its monthly settlements with the IESO are performed using actual </w:t>
      </w:r>
      <w:r w:rsidRPr="00E018BE">
        <w:rPr>
          <w:rFonts w:ascii="Arial" w:hAnsi="Arial" w:cs="Arial"/>
          <w:b/>
          <w:u w:val="single"/>
        </w:rPr>
        <w:t>billed</w:t>
      </w:r>
      <w:r>
        <w:rPr>
          <w:rFonts w:ascii="Arial" w:hAnsi="Arial" w:cs="Arial"/>
        </w:rPr>
        <w:t xml:space="preserve"> consumption quantities for the previous month</w:t>
      </w:r>
      <w:r w:rsidR="00C167EA">
        <w:rPr>
          <w:rFonts w:ascii="Arial" w:hAnsi="Arial" w:cs="Arial"/>
        </w:rPr>
        <w:t xml:space="preserve"> using the difference between the first GA Estimate and the actual GA rate.</w:t>
      </w:r>
      <w:r>
        <w:rPr>
          <w:rFonts w:ascii="Arial" w:hAnsi="Arial" w:cs="Arial"/>
        </w:rPr>
        <w:t xml:space="preserve"> </w:t>
      </w:r>
      <w:r w:rsidR="00C167EA">
        <w:rPr>
          <w:rFonts w:ascii="Arial" w:hAnsi="Arial" w:cs="Arial"/>
        </w:rPr>
        <w:t xml:space="preserve">The actual billed </w:t>
      </w:r>
      <w:r>
        <w:rPr>
          <w:rFonts w:ascii="Arial" w:hAnsi="Arial" w:cs="Arial"/>
        </w:rPr>
        <w:t xml:space="preserve">consumption for </w:t>
      </w:r>
      <w:r w:rsidR="00C167EA">
        <w:rPr>
          <w:rFonts w:ascii="Arial" w:hAnsi="Arial" w:cs="Arial"/>
        </w:rPr>
        <w:t xml:space="preserve">previous </w:t>
      </w:r>
      <w:r>
        <w:rPr>
          <w:rFonts w:ascii="Arial" w:hAnsi="Arial" w:cs="Arial"/>
        </w:rPr>
        <w:t xml:space="preserve">month is </w:t>
      </w:r>
      <w:r w:rsidR="00C167EA">
        <w:rPr>
          <w:rFonts w:ascii="Arial" w:hAnsi="Arial" w:cs="Arial"/>
        </w:rPr>
        <w:t xml:space="preserve">available </w:t>
      </w:r>
      <w:r>
        <w:rPr>
          <w:rFonts w:ascii="Arial" w:hAnsi="Arial" w:cs="Arial"/>
        </w:rPr>
        <w:t>by the 4</w:t>
      </w:r>
      <w:r w:rsidRPr="002967B0">
        <w:rPr>
          <w:rFonts w:ascii="Arial" w:hAnsi="Arial" w:cs="Arial"/>
          <w:vertAlign w:val="superscript"/>
        </w:rPr>
        <w:t>th</w:t>
      </w:r>
      <w:r>
        <w:rPr>
          <w:rFonts w:ascii="Arial" w:hAnsi="Arial" w:cs="Arial"/>
        </w:rPr>
        <w:t xml:space="preserve"> day following the month-end.</w:t>
      </w:r>
    </w:p>
    <w:p w:rsidR="00522F86" w:rsidRDefault="00522F86" w:rsidP="00522F86">
      <w:pPr>
        <w:pStyle w:val="ListParagraph"/>
        <w:numPr>
          <w:ilvl w:val="0"/>
          <w:numId w:val="18"/>
        </w:numPr>
        <w:rPr>
          <w:rFonts w:ascii="Arial" w:hAnsi="Arial" w:cs="Arial"/>
          <w:sz w:val="24"/>
          <w:szCs w:val="24"/>
        </w:rPr>
      </w:pPr>
      <w:r>
        <w:rPr>
          <w:rFonts w:ascii="Arial" w:hAnsi="Arial" w:cs="Arial"/>
        </w:rPr>
        <w:lastRenderedPageBreak/>
        <w:t>Milton Hydro’s response to 2d should have read “</w:t>
      </w:r>
      <w:r w:rsidRPr="00D63C44">
        <w:rPr>
          <w:rFonts w:ascii="Arial" w:hAnsi="Arial" w:cs="Arial"/>
          <w:sz w:val="24"/>
          <w:szCs w:val="24"/>
        </w:rPr>
        <w:t xml:space="preserve">December 2017 is trued up in </w:t>
      </w:r>
      <w:r>
        <w:rPr>
          <w:rFonts w:ascii="Arial" w:hAnsi="Arial" w:cs="Arial"/>
          <w:sz w:val="24"/>
          <w:szCs w:val="24"/>
        </w:rPr>
        <w:t xml:space="preserve">February [not </w:t>
      </w:r>
      <w:r w:rsidRPr="00D63C44">
        <w:rPr>
          <w:rFonts w:ascii="Arial" w:hAnsi="Arial" w:cs="Arial"/>
          <w:sz w:val="24"/>
          <w:szCs w:val="24"/>
        </w:rPr>
        <w:t>January</w:t>
      </w:r>
      <w:r>
        <w:rPr>
          <w:rFonts w:ascii="Arial" w:hAnsi="Arial" w:cs="Arial"/>
          <w:sz w:val="24"/>
          <w:szCs w:val="24"/>
        </w:rPr>
        <w:t>]</w:t>
      </w:r>
      <w:r w:rsidRPr="00D63C44">
        <w:rPr>
          <w:rFonts w:ascii="Arial" w:hAnsi="Arial" w:cs="Arial"/>
          <w:sz w:val="24"/>
          <w:szCs w:val="24"/>
        </w:rPr>
        <w:t xml:space="preserve"> 2018 and a Journal Entry is done to allocate this amount into 2017.</w:t>
      </w:r>
    </w:p>
    <w:p w:rsidR="000F3B81" w:rsidRDefault="000F3B81" w:rsidP="000F3B81">
      <w:pPr>
        <w:pStyle w:val="ListParagraph"/>
        <w:rPr>
          <w:rFonts w:ascii="Arial" w:hAnsi="Arial" w:cs="Arial"/>
          <w:sz w:val="24"/>
          <w:szCs w:val="24"/>
        </w:rPr>
      </w:pPr>
    </w:p>
    <w:p w:rsidR="00E018BE" w:rsidRPr="00DA0896" w:rsidRDefault="00B52657" w:rsidP="00B52657">
      <w:pPr>
        <w:pStyle w:val="ListParagraph"/>
        <w:numPr>
          <w:ilvl w:val="0"/>
          <w:numId w:val="18"/>
        </w:numPr>
        <w:rPr>
          <w:rFonts w:ascii="Arial" w:hAnsi="Arial" w:cs="Arial"/>
        </w:rPr>
      </w:pPr>
      <w:r w:rsidRPr="00DA0896">
        <w:rPr>
          <w:rFonts w:ascii="Arial" w:hAnsi="Arial" w:cs="Arial"/>
        </w:rPr>
        <w:t xml:space="preserve">The $261K being referenced represent the balance that was credited to Account 1589 </w:t>
      </w:r>
      <w:r w:rsidR="00DA0896">
        <w:rPr>
          <w:rFonts w:ascii="Arial" w:hAnsi="Arial" w:cs="Arial"/>
        </w:rPr>
        <w:t xml:space="preserve">for </w:t>
      </w:r>
      <w:r w:rsidRPr="00DA0896">
        <w:rPr>
          <w:rFonts w:ascii="Arial" w:hAnsi="Arial" w:cs="Arial"/>
        </w:rPr>
        <w:t>the actual quantification of the true-up that was done in February 2018 in respect to the December 2017 settlement.</w:t>
      </w:r>
    </w:p>
    <w:p w:rsidR="008A1D63" w:rsidRPr="001F2FF0" w:rsidRDefault="008A1D63" w:rsidP="003859E6">
      <w:pPr>
        <w:pStyle w:val="ListParagraph"/>
        <w:rPr>
          <w:rFonts w:ascii="Arial" w:hAnsi="Arial" w:cs="Arial"/>
        </w:rPr>
      </w:pPr>
    </w:p>
    <w:p w:rsidR="00233822" w:rsidRDefault="00233822" w:rsidP="002A0834">
      <w:pPr>
        <w:rPr>
          <w:rFonts w:ascii="Arial" w:hAnsi="Arial" w:cs="Arial"/>
          <w:b/>
        </w:rPr>
      </w:pPr>
    </w:p>
    <w:p w:rsidR="00233822" w:rsidRDefault="00233822" w:rsidP="002A0834">
      <w:pPr>
        <w:rPr>
          <w:rFonts w:ascii="Arial" w:hAnsi="Arial" w:cs="Arial"/>
          <w:b/>
        </w:rPr>
      </w:pPr>
    </w:p>
    <w:p w:rsidR="00233822" w:rsidRDefault="00233822" w:rsidP="002A0834">
      <w:pPr>
        <w:rPr>
          <w:rFonts w:ascii="Arial" w:hAnsi="Arial" w:cs="Arial"/>
          <w:b/>
        </w:rPr>
      </w:pPr>
    </w:p>
    <w:p w:rsidR="00233822" w:rsidRDefault="00233822" w:rsidP="002A0834">
      <w:pPr>
        <w:rPr>
          <w:rFonts w:ascii="Arial" w:hAnsi="Arial" w:cs="Arial"/>
          <w:b/>
        </w:rPr>
      </w:pPr>
    </w:p>
    <w:p w:rsidR="00233822" w:rsidRDefault="00233822" w:rsidP="002A0834">
      <w:pPr>
        <w:rPr>
          <w:rFonts w:ascii="Arial" w:hAnsi="Arial" w:cs="Arial"/>
          <w:b/>
        </w:rPr>
      </w:pPr>
    </w:p>
    <w:p w:rsidR="001757B3" w:rsidRDefault="001757B3"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707BC4" w:rsidRDefault="00707BC4" w:rsidP="002A0834">
      <w:pPr>
        <w:rPr>
          <w:rFonts w:ascii="Arial" w:hAnsi="Arial" w:cs="Arial"/>
          <w:b/>
        </w:rPr>
      </w:pPr>
    </w:p>
    <w:p w:rsidR="002A0834" w:rsidRPr="002A0834" w:rsidRDefault="002A0834" w:rsidP="002A0834">
      <w:pPr>
        <w:rPr>
          <w:rFonts w:ascii="Arial" w:hAnsi="Arial" w:cs="Arial"/>
          <w:b/>
        </w:rPr>
      </w:pPr>
      <w:r>
        <w:rPr>
          <w:rFonts w:ascii="Arial" w:hAnsi="Arial" w:cs="Arial"/>
          <w:b/>
        </w:rPr>
        <w:lastRenderedPageBreak/>
        <w:t>OEB Staff-5</w:t>
      </w:r>
    </w:p>
    <w:p w:rsidR="002A0834" w:rsidRDefault="002A0834" w:rsidP="002A0834">
      <w:pPr>
        <w:rPr>
          <w:rFonts w:ascii="Arial" w:hAnsi="Arial" w:cs="Arial"/>
          <w:b/>
        </w:rPr>
      </w:pPr>
      <w:r w:rsidRPr="002A0834">
        <w:rPr>
          <w:rFonts w:ascii="Arial" w:hAnsi="Arial" w:cs="Arial"/>
          <w:b/>
        </w:rPr>
        <w:t>Ref: GA Analysis Workform</w:t>
      </w:r>
      <w:r w:rsidR="00596B29">
        <w:rPr>
          <w:rFonts w:ascii="Arial" w:hAnsi="Arial" w:cs="Arial"/>
          <w:b/>
        </w:rPr>
        <w:t xml:space="preserve"> for 2016 and 2017,</w:t>
      </w:r>
      <w:r w:rsidRPr="002A0834">
        <w:rPr>
          <w:rFonts w:ascii="Arial" w:hAnsi="Arial" w:cs="Arial"/>
          <w:b/>
        </w:rPr>
        <w:t xml:space="preserve"> </w:t>
      </w:r>
      <w:r>
        <w:rPr>
          <w:rFonts w:ascii="Arial" w:hAnsi="Arial" w:cs="Arial"/>
          <w:b/>
        </w:rPr>
        <w:t>Note 5.</w:t>
      </w:r>
    </w:p>
    <w:p w:rsidR="002967B0" w:rsidRPr="00A006F6" w:rsidRDefault="00596B29" w:rsidP="00A006F6">
      <w:pPr>
        <w:pStyle w:val="ListParagraph"/>
        <w:numPr>
          <w:ilvl w:val="0"/>
          <w:numId w:val="4"/>
        </w:numPr>
      </w:pPr>
      <w:r w:rsidRPr="00A006F6">
        <w:rPr>
          <w:rFonts w:ascii="Arial" w:hAnsi="Arial" w:cs="Arial"/>
        </w:rPr>
        <w:t>The Applicant has recorded an RPP true-up adjustment of $514K to Account 1589 in 2016, but none in 2017.  Please confirm the following is correct</w:t>
      </w:r>
      <w:r w:rsidR="00A006F6" w:rsidRPr="00A006F6">
        <w:rPr>
          <w:rFonts w:ascii="Arial" w:hAnsi="Arial" w:cs="Arial"/>
        </w:rPr>
        <w:t xml:space="preserve">.  The Applicant did not accrue the true-up of its </w:t>
      </w:r>
      <w:r w:rsidRPr="00A006F6">
        <w:rPr>
          <w:rFonts w:ascii="Arial" w:hAnsi="Arial" w:cs="Arial"/>
        </w:rPr>
        <w:t>December 2016</w:t>
      </w:r>
      <w:r w:rsidR="00A006F6" w:rsidRPr="00A006F6">
        <w:rPr>
          <w:rFonts w:ascii="Arial" w:hAnsi="Arial" w:cs="Arial"/>
        </w:rPr>
        <w:t xml:space="preserve"> settlement</w:t>
      </w:r>
      <w:r w:rsidRPr="00A006F6">
        <w:rPr>
          <w:rFonts w:ascii="Arial" w:hAnsi="Arial" w:cs="Arial"/>
        </w:rPr>
        <w:t xml:space="preserve"> as part of its December 2016 closing balance</w:t>
      </w:r>
      <w:r w:rsidR="00A006F6" w:rsidRPr="00A006F6">
        <w:rPr>
          <w:rFonts w:ascii="Arial" w:hAnsi="Arial" w:cs="Arial"/>
        </w:rPr>
        <w:t xml:space="preserve"> in Account 1589 (the December 2016 true-up</w:t>
      </w:r>
      <w:r w:rsidRPr="00A006F6">
        <w:rPr>
          <w:rFonts w:ascii="Arial" w:hAnsi="Arial" w:cs="Arial"/>
        </w:rPr>
        <w:t xml:space="preserve"> is actually recorded i</w:t>
      </w:r>
      <w:r w:rsidR="00A006F6" w:rsidRPr="00A006F6">
        <w:rPr>
          <w:rFonts w:ascii="Arial" w:hAnsi="Arial" w:cs="Arial"/>
        </w:rPr>
        <w:t xml:space="preserve">n the 2017 </w:t>
      </w:r>
      <w:r w:rsidR="00A205AE">
        <w:rPr>
          <w:rFonts w:ascii="Arial" w:hAnsi="Arial" w:cs="Arial"/>
        </w:rPr>
        <w:t xml:space="preserve">transactions to </w:t>
      </w:r>
      <w:r w:rsidR="00A006F6" w:rsidRPr="00A006F6">
        <w:rPr>
          <w:rFonts w:ascii="Arial" w:hAnsi="Arial" w:cs="Arial"/>
        </w:rPr>
        <w:t>account 1589)</w:t>
      </w:r>
      <w:r w:rsidRPr="00A006F6">
        <w:rPr>
          <w:rFonts w:ascii="Arial" w:hAnsi="Arial" w:cs="Arial"/>
        </w:rPr>
        <w:t>.  However, the appli</w:t>
      </w:r>
      <w:r w:rsidR="00A006F6" w:rsidRPr="00A006F6">
        <w:rPr>
          <w:rFonts w:ascii="Arial" w:hAnsi="Arial" w:cs="Arial"/>
        </w:rPr>
        <w:t xml:space="preserve">cant did accrue the true-up of </w:t>
      </w:r>
      <w:r w:rsidRPr="00A006F6">
        <w:rPr>
          <w:rFonts w:ascii="Arial" w:hAnsi="Arial" w:cs="Arial"/>
        </w:rPr>
        <w:t xml:space="preserve">its December 2017 settlement </w:t>
      </w:r>
      <w:r w:rsidR="00A205AE">
        <w:rPr>
          <w:rFonts w:ascii="Arial" w:hAnsi="Arial" w:cs="Arial"/>
        </w:rPr>
        <w:t xml:space="preserve">with the IESO </w:t>
      </w:r>
      <w:r w:rsidR="00A006F6" w:rsidRPr="00A006F6">
        <w:rPr>
          <w:rFonts w:ascii="Arial" w:hAnsi="Arial" w:cs="Arial"/>
        </w:rPr>
        <w:t>and it is picked up in the Transaction during 2017 in the DVA continuity schedule, therefore no</w:t>
      </w:r>
      <w:r w:rsidR="002615A5">
        <w:rPr>
          <w:rFonts w:ascii="Arial" w:hAnsi="Arial" w:cs="Arial"/>
        </w:rPr>
        <w:t xml:space="preserve"> RPP</w:t>
      </w:r>
      <w:r w:rsidR="00A006F6" w:rsidRPr="00A006F6">
        <w:rPr>
          <w:rFonts w:ascii="Arial" w:hAnsi="Arial" w:cs="Arial"/>
        </w:rPr>
        <w:t xml:space="preserve"> true-up adjustment is presented in Note 5 of the 2017 GA Analysis Workform (except for the reversal of the 2016 true-up)</w:t>
      </w:r>
      <w:r w:rsidR="00A006F6">
        <w:rPr>
          <w:rFonts w:ascii="Arial" w:hAnsi="Arial" w:cs="Arial"/>
        </w:rPr>
        <w:t>.</w:t>
      </w:r>
    </w:p>
    <w:p w:rsidR="00A006F6" w:rsidRPr="00A006F6" w:rsidRDefault="00A006F6" w:rsidP="00A006F6">
      <w:pPr>
        <w:pStyle w:val="ListParagraph"/>
        <w:numPr>
          <w:ilvl w:val="0"/>
          <w:numId w:val="4"/>
        </w:numPr>
      </w:pPr>
      <w:r>
        <w:rPr>
          <w:rFonts w:ascii="Arial" w:hAnsi="Arial" w:cs="Arial"/>
        </w:rPr>
        <w:t xml:space="preserve">The true-up adjustment in 2016 of debit $514K, please provide additional explanation in the context of the initial December 2016 settlement that supports direction of this true-up adjustment (i.e. </w:t>
      </w:r>
      <w:r w:rsidR="002615A5">
        <w:rPr>
          <w:rFonts w:ascii="Arial" w:hAnsi="Arial" w:cs="Arial"/>
        </w:rPr>
        <w:t xml:space="preserve">further explanation </w:t>
      </w:r>
      <w:r>
        <w:rPr>
          <w:rFonts w:ascii="Arial" w:hAnsi="Arial" w:cs="Arial"/>
        </w:rPr>
        <w:t>to support why a debit is appropriate as opposed to a credit).</w:t>
      </w:r>
    </w:p>
    <w:p w:rsidR="00233822" w:rsidRDefault="00233822" w:rsidP="00A006F6">
      <w:pPr>
        <w:rPr>
          <w:rFonts w:ascii="Arial" w:hAnsi="Arial" w:cs="Arial"/>
          <w:b/>
        </w:rPr>
      </w:pPr>
    </w:p>
    <w:p w:rsidR="00233822" w:rsidRDefault="008A1D63" w:rsidP="00A006F6">
      <w:pPr>
        <w:rPr>
          <w:rFonts w:ascii="Arial" w:hAnsi="Arial" w:cs="Arial"/>
        </w:rPr>
      </w:pPr>
      <w:r>
        <w:rPr>
          <w:rFonts w:ascii="Arial" w:hAnsi="Arial" w:cs="Arial"/>
          <w:b/>
        </w:rPr>
        <w:t>Response:</w:t>
      </w:r>
    </w:p>
    <w:p w:rsidR="0017203C" w:rsidRDefault="008A1D63" w:rsidP="00436D08">
      <w:pPr>
        <w:pStyle w:val="ListParagraph"/>
        <w:numPr>
          <w:ilvl w:val="0"/>
          <w:numId w:val="11"/>
        </w:numPr>
        <w:ind w:left="714" w:hanging="357"/>
        <w:contextualSpacing w:val="0"/>
        <w:rPr>
          <w:rFonts w:ascii="Arial" w:hAnsi="Arial" w:cs="Arial"/>
        </w:rPr>
      </w:pPr>
      <w:r w:rsidRPr="0017203C">
        <w:rPr>
          <w:rFonts w:ascii="Arial" w:hAnsi="Arial" w:cs="Arial"/>
        </w:rPr>
        <w:t>The interpretation for the adjustment of $514K is correct.</w:t>
      </w:r>
      <w:r w:rsidR="00A53CB6" w:rsidRPr="0017203C">
        <w:rPr>
          <w:rFonts w:ascii="Arial" w:hAnsi="Arial" w:cs="Arial"/>
        </w:rPr>
        <w:t xml:space="preserve"> </w:t>
      </w:r>
      <w:r w:rsidR="00E30CB5">
        <w:rPr>
          <w:rFonts w:ascii="Arial" w:hAnsi="Arial" w:cs="Arial"/>
        </w:rPr>
        <w:t xml:space="preserve">Milton Hydro </w:t>
      </w:r>
      <w:r w:rsidR="0017203C" w:rsidRPr="00A006F6">
        <w:rPr>
          <w:rFonts w:ascii="Arial" w:hAnsi="Arial" w:cs="Arial"/>
        </w:rPr>
        <w:t xml:space="preserve">did not accrue the true-up of its December 2016 settlement as part of its December 2016 closing balance in Account 1589 (the December 2016 true-up is </w:t>
      </w:r>
      <w:proofErr w:type="gramStart"/>
      <w:r w:rsidR="0017203C" w:rsidRPr="00A006F6">
        <w:rPr>
          <w:rFonts w:ascii="Arial" w:hAnsi="Arial" w:cs="Arial"/>
        </w:rPr>
        <w:t>actually recorded</w:t>
      </w:r>
      <w:proofErr w:type="gramEnd"/>
      <w:r w:rsidR="0017203C" w:rsidRPr="00A006F6">
        <w:rPr>
          <w:rFonts w:ascii="Arial" w:hAnsi="Arial" w:cs="Arial"/>
        </w:rPr>
        <w:t xml:space="preserve"> in the 2017 </w:t>
      </w:r>
      <w:r w:rsidR="0017203C">
        <w:rPr>
          <w:rFonts w:ascii="Arial" w:hAnsi="Arial" w:cs="Arial"/>
        </w:rPr>
        <w:t xml:space="preserve">transactions to </w:t>
      </w:r>
      <w:r w:rsidR="0017203C" w:rsidRPr="00A006F6">
        <w:rPr>
          <w:rFonts w:ascii="Arial" w:hAnsi="Arial" w:cs="Arial"/>
        </w:rPr>
        <w:t xml:space="preserve">account 1589).  However, the applicant did accrue the true-up of its December 2017 settlement </w:t>
      </w:r>
      <w:r w:rsidR="0017203C">
        <w:rPr>
          <w:rFonts w:ascii="Arial" w:hAnsi="Arial" w:cs="Arial"/>
        </w:rPr>
        <w:t xml:space="preserve">with the IESO </w:t>
      </w:r>
      <w:r w:rsidR="0017203C" w:rsidRPr="00A006F6">
        <w:rPr>
          <w:rFonts w:ascii="Arial" w:hAnsi="Arial" w:cs="Arial"/>
        </w:rPr>
        <w:t>and it is picked up in the Transaction during 2017 in the DVA continuity schedule, therefore no</w:t>
      </w:r>
      <w:r w:rsidR="0017203C">
        <w:rPr>
          <w:rFonts w:ascii="Arial" w:hAnsi="Arial" w:cs="Arial"/>
        </w:rPr>
        <w:t xml:space="preserve"> RPP</w:t>
      </w:r>
      <w:r w:rsidR="0017203C" w:rsidRPr="00A006F6">
        <w:rPr>
          <w:rFonts w:ascii="Arial" w:hAnsi="Arial" w:cs="Arial"/>
        </w:rPr>
        <w:t xml:space="preserve"> true-up adjustment is presented in Note 5 of the 2017 GA Analysis </w:t>
      </w:r>
      <w:proofErr w:type="spellStart"/>
      <w:r w:rsidR="0017203C" w:rsidRPr="00A006F6">
        <w:rPr>
          <w:rFonts w:ascii="Arial" w:hAnsi="Arial" w:cs="Arial"/>
        </w:rPr>
        <w:t>Workform</w:t>
      </w:r>
      <w:proofErr w:type="spellEnd"/>
      <w:r w:rsidR="0017203C" w:rsidRPr="00A006F6">
        <w:rPr>
          <w:rFonts w:ascii="Arial" w:hAnsi="Arial" w:cs="Arial"/>
        </w:rPr>
        <w:t xml:space="preserve"> (except for the reversal of the 2016 true-up)</w:t>
      </w:r>
      <w:r w:rsidR="0017203C">
        <w:rPr>
          <w:rFonts w:ascii="Arial" w:hAnsi="Arial" w:cs="Arial"/>
        </w:rPr>
        <w:t>.</w:t>
      </w:r>
    </w:p>
    <w:p w:rsidR="008A1D63" w:rsidRPr="0017203C" w:rsidRDefault="002457CC" w:rsidP="00436D08">
      <w:pPr>
        <w:pStyle w:val="ListParagraph"/>
        <w:numPr>
          <w:ilvl w:val="0"/>
          <w:numId w:val="11"/>
        </w:numPr>
        <w:ind w:left="714" w:hanging="357"/>
        <w:contextualSpacing w:val="0"/>
        <w:rPr>
          <w:rFonts w:ascii="Arial" w:hAnsi="Arial" w:cs="Arial"/>
        </w:rPr>
      </w:pPr>
      <w:r>
        <w:rPr>
          <w:rFonts w:ascii="Arial" w:hAnsi="Arial" w:cs="Arial"/>
        </w:rPr>
        <w:t xml:space="preserve">The Global Adjustment billed to customers </w:t>
      </w:r>
      <w:r w:rsidR="00F63B58">
        <w:rPr>
          <w:rFonts w:ascii="Arial" w:hAnsi="Arial" w:cs="Arial"/>
        </w:rPr>
        <w:t xml:space="preserve">was $0.10594 per kWh as the first estimate.  This was a credit to the GA account $2,890,096. </w:t>
      </w:r>
      <w:r w:rsidR="009F3D80" w:rsidRPr="0017203C">
        <w:rPr>
          <w:rFonts w:ascii="Arial" w:hAnsi="Arial" w:cs="Arial"/>
        </w:rPr>
        <w:t xml:space="preserve">The true-up </w:t>
      </w:r>
      <w:r w:rsidR="00F63B58">
        <w:rPr>
          <w:rFonts w:ascii="Arial" w:hAnsi="Arial" w:cs="Arial"/>
        </w:rPr>
        <w:t xml:space="preserve">is the actual GA rate of $.08708 per kWh or $2,375,586.  Customers were overcharge based on the first estimate in the amount of $514,510, therefore the credit charged to the GA account should be reduced accordingly by the debit of $514,510. </w:t>
      </w:r>
    </w:p>
    <w:p w:rsidR="00233822" w:rsidRDefault="00233822" w:rsidP="00A006F6">
      <w:pPr>
        <w:rPr>
          <w:rFonts w:ascii="Arial" w:hAnsi="Arial" w:cs="Arial"/>
          <w:b/>
        </w:rPr>
      </w:pPr>
    </w:p>
    <w:p w:rsidR="00233822" w:rsidRDefault="00233822" w:rsidP="00A006F6">
      <w:pPr>
        <w:rPr>
          <w:rFonts w:ascii="Arial" w:hAnsi="Arial" w:cs="Arial"/>
          <w:b/>
        </w:rPr>
      </w:pPr>
    </w:p>
    <w:p w:rsidR="00233822" w:rsidRDefault="00233822" w:rsidP="00A006F6">
      <w:pPr>
        <w:rPr>
          <w:rFonts w:ascii="Arial" w:hAnsi="Arial" w:cs="Arial"/>
          <w:b/>
        </w:rPr>
      </w:pPr>
    </w:p>
    <w:p w:rsidR="00233822" w:rsidRDefault="00233822" w:rsidP="00A006F6">
      <w:pPr>
        <w:rPr>
          <w:rFonts w:ascii="Arial" w:hAnsi="Arial" w:cs="Arial"/>
          <w:b/>
        </w:rPr>
      </w:pPr>
    </w:p>
    <w:p w:rsidR="00233822" w:rsidRDefault="00233822" w:rsidP="00A006F6">
      <w:pPr>
        <w:rPr>
          <w:rFonts w:ascii="Arial" w:hAnsi="Arial" w:cs="Arial"/>
          <w:b/>
        </w:rPr>
      </w:pPr>
    </w:p>
    <w:p w:rsidR="00A006F6" w:rsidRPr="00A006F6" w:rsidRDefault="00A006F6" w:rsidP="00A006F6">
      <w:pPr>
        <w:rPr>
          <w:rFonts w:ascii="Arial" w:hAnsi="Arial" w:cs="Arial"/>
          <w:b/>
        </w:rPr>
      </w:pPr>
      <w:r w:rsidRPr="00A006F6">
        <w:rPr>
          <w:rFonts w:ascii="Arial" w:hAnsi="Arial" w:cs="Arial"/>
          <w:b/>
        </w:rPr>
        <w:lastRenderedPageBreak/>
        <w:t>OEB Staff-</w:t>
      </w:r>
      <w:r>
        <w:rPr>
          <w:rFonts w:ascii="Arial" w:hAnsi="Arial" w:cs="Arial"/>
          <w:b/>
        </w:rPr>
        <w:t>6</w:t>
      </w:r>
    </w:p>
    <w:p w:rsidR="00A006F6" w:rsidRDefault="00A006F6" w:rsidP="00A006F6">
      <w:pPr>
        <w:rPr>
          <w:rFonts w:ascii="Arial" w:hAnsi="Arial" w:cs="Arial"/>
          <w:b/>
        </w:rPr>
      </w:pPr>
      <w:r w:rsidRPr="00A006F6">
        <w:rPr>
          <w:rFonts w:ascii="Arial" w:hAnsi="Arial" w:cs="Arial"/>
          <w:b/>
        </w:rPr>
        <w:t>Ref: GA Analysis Workform for 2016 and 2017, Note 5.</w:t>
      </w:r>
    </w:p>
    <w:p w:rsidR="00D65FE8" w:rsidRDefault="00D65FE8" w:rsidP="00D65FE8">
      <w:pPr>
        <w:pStyle w:val="ListParagraph"/>
        <w:numPr>
          <w:ilvl w:val="0"/>
          <w:numId w:val="6"/>
        </w:numPr>
        <w:rPr>
          <w:rFonts w:ascii="Arial" w:hAnsi="Arial" w:cs="Arial"/>
        </w:rPr>
      </w:pPr>
      <w:r>
        <w:rPr>
          <w:rFonts w:ascii="Arial" w:hAnsi="Arial" w:cs="Arial"/>
        </w:rPr>
        <w:t xml:space="preserve">Please explain why it is appropriate that adjustment 3b in Note 5 of the 2016 GA Analysis Workform is zero (particularly </w:t>
      </w:r>
      <w:proofErr w:type="gramStart"/>
      <w:r>
        <w:rPr>
          <w:rFonts w:ascii="Arial" w:hAnsi="Arial" w:cs="Arial"/>
        </w:rPr>
        <w:t>in light of the fact that</w:t>
      </w:r>
      <w:proofErr w:type="gramEnd"/>
      <w:r>
        <w:rPr>
          <w:rFonts w:ascii="Arial" w:hAnsi="Arial" w:cs="Arial"/>
        </w:rPr>
        <w:t xml:space="preserve"> an amount is being reversed in</w:t>
      </w:r>
      <w:r w:rsidR="002615A5">
        <w:rPr>
          <w:rFonts w:ascii="Arial" w:hAnsi="Arial" w:cs="Arial"/>
        </w:rPr>
        <w:t xml:space="preserve"> adjustment 3a of</w:t>
      </w:r>
      <w:r>
        <w:rPr>
          <w:rFonts w:ascii="Arial" w:hAnsi="Arial" w:cs="Arial"/>
        </w:rPr>
        <w:t xml:space="preserve"> Note 5</w:t>
      </w:r>
      <w:r w:rsidR="002615A5">
        <w:rPr>
          <w:rFonts w:ascii="Arial" w:hAnsi="Arial" w:cs="Arial"/>
        </w:rPr>
        <w:t xml:space="preserve"> in</w:t>
      </w:r>
      <w:r>
        <w:rPr>
          <w:rFonts w:ascii="Arial" w:hAnsi="Arial" w:cs="Arial"/>
        </w:rPr>
        <w:t xml:space="preserve"> the 2017 GA Analysis Workform).</w:t>
      </w:r>
    </w:p>
    <w:p w:rsidR="00D65FE8" w:rsidRDefault="00D65FE8" w:rsidP="00D65FE8">
      <w:pPr>
        <w:pStyle w:val="ListParagraph"/>
        <w:numPr>
          <w:ilvl w:val="0"/>
          <w:numId w:val="6"/>
        </w:numPr>
        <w:rPr>
          <w:rFonts w:ascii="Arial" w:hAnsi="Arial" w:cs="Arial"/>
        </w:rPr>
      </w:pPr>
      <w:r>
        <w:rPr>
          <w:rFonts w:ascii="Arial" w:hAnsi="Arial" w:cs="Arial"/>
        </w:rPr>
        <w:t xml:space="preserve">Please explain how the Applicant has quantified </w:t>
      </w:r>
      <w:r w:rsidR="002615A5">
        <w:rPr>
          <w:rFonts w:ascii="Arial" w:hAnsi="Arial" w:cs="Arial"/>
        </w:rPr>
        <w:t xml:space="preserve">the </w:t>
      </w:r>
      <w:r>
        <w:rPr>
          <w:rFonts w:ascii="Arial" w:hAnsi="Arial" w:cs="Arial"/>
        </w:rPr>
        <w:t>adjustment</w:t>
      </w:r>
      <w:r w:rsidR="002615A5">
        <w:rPr>
          <w:rFonts w:ascii="Arial" w:hAnsi="Arial" w:cs="Arial"/>
        </w:rPr>
        <w:t>s</w:t>
      </w:r>
      <w:r>
        <w:rPr>
          <w:rFonts w:ascii="Arial" w:hAnsi="Arial" w:cs="Arial"/>
        </w:rPr>
        <w:t xml:space="preserve"> for 3a and 3b in both the 2016 and 2017 GA Analysis </w:t>
      </w:r>
      <w:proofErr w:type="spellStart"/>
      <w:r>
        <w:rPr>
          <w:rFonts w:ascii="Arial" w:hAnsi="Arial" w:cs="Arial"/>
        </w:rPr>
        <w:t>Workforms</w:t>
      </w:r>
      <w:proofErr w:type="spellEnd"/>
      <w:r>
        <w:rPr>
          <w:rFonts w:ascii="Arial" w:hAnsi="Arial" w:cs="Arial"/>
        </w:rPr>
        <w:t>.</w:t>
      </w:r>
    </w:p>
    <w:p w:rsidR="00D65FE8" w:rsidRDefault="00D65FE8" w:rsidP="00D65FE8">
      <w:pPr>
        <w:pStyle w:val="ListParagraph"/>
        <w:numPr>
          <w:ilvl w:val="0"/>
          <w:numId w:val="6"/>
        </w:numPr>
        <w:rPr>
          <w:rFonts w:ascii="Arial" w:hAnsi="Arial" w:cs="Arial"/>
        </w:rPr>
      </w:pPr>
      <w:r>
        <w:rPr>
          <w:rFonts w:ascii="Arial" w:hAnsi="Arial" w:cs="Arial"/>
        </w:rPr>
        <w:t>Please also provide further explanation as to what adjustment 1a in the 2016 GA Analysis Workform relates to and how it was quantified, and the same for adjustment 9 in the 2017 GA Analysis Workform.</w:t>
      </w:r>
    </w:p>
    <w:p w:rsidR="004765CD" w:rsidRDefault="004765CD" w:rsidP="00D65FE8">
      <w:pPr>
        <w:pStyle w:val="ListParagraph"/>
        <w:numPr>
          <w:ilvl w:val="0"/>
          <w:numId w:val="6"/>
        </w:numPr>
        <w:rPr>
          <w:rFonts w:ascii="Arial" w:hAnsi="Arial" w:cs="Arial"/>
        </w:rPr>
      </w:pPr>
      <w:r>
        <w:rPr>
          <w:rFonts w:ascii="Arial" w:hAnsi="Arial" w:cs="Arial"/>
        </w:rPr>
        <w:t xml:space="preserve">There are no reconciling adjustments recorded in both the 2016 and 2017 GA Analysis </w:t>
      </w:r>
      <w:proofErr w:type="spellStart"/>
      <w:r>
        <w:rPr>
          <w:rFonts w:ascii="Arial" w:hAnsi="Arial" w:cs="Arial"/>
        </w:rPr>
        <w:t>Workforms</w:t>
      </w:r>
      <w:proofErr w:type="spellEnd"/>
      <w:r>
        <w:rPr>
          <w:rFonts w:ascii="Arial" w:hAnsi="Arial" w:cs="Arial"/>
        </w:rPr>
        <w:t xml:space="preserve"> related to the difference between the Applicants unbilled revenue accrual and what actually got billed subsequently. Please explain why there would be no difference to account for.</w:t>
      </w:r>
    </w:p>
    <w:p w:rsidR="006041D7" w:rsidRDefault="006041D7" w:rsidP="004765CD">
      <w:pPr>
        <w:rPr>
          <w:rFonts w:ascii="Arial" w:hAnsi="Arial" w:cs="Arial"/>
          <w:b/>
        </w:rPr>
      </w:pPr>
    </w:p>
    <w:p w:rsidR="006041D7" w:rsidRDefault="00394F82" w:rsidP="004765CD">
      <w:pPr>
        <w:rPr>
          <w:rFonts w:ascii="Arial" w:hAnsi="Arial" w:cs="Arial"/>
        </w:rPr>
      </w:pPr>
      <w:r>
        <w:rPr>
          <w:rFonts w:ascii="Arial" w:hAnsi="Arial" w:cs="Arial"/>
          <w:b/>
        </w:rPr>
        <w:t>Response:</w:t>
      </w:r>
    </w:p>
    <w:p w:rsidR="00F4596C" w:rsidRDefault="00CD76E1" w:rsidP="00436D08">
      <w:pPr>
        <w:pStyle w:val="ListParagraph"/>
        <w:numPr>
          <w:ilvl w:val="0"/>
          <w:numId w:val="14"/>
        </w:numPr>
        <w:contextualSpacing w:val="0"/>
        <w:rPr>
          <w:rFonts w:ascii="Arial" w:hAnsi="Arial" w:cs="Arial"/>
          <w:sz w:val="24"/>
          <w:szCs w:val="24"/>
        </w:rPr>
      </w:pPr>
      <w:r>
        <w:rPr>
          <w:rFonts w:ascii="Arial" w:hAnsi="Arial" w:cs="Arial"/>
          <w:sz w:val="24"/>
          <w:szCs w:val="24"/>
        </w:rPr>
        <w:t xml:space="preserve">The adjustments in the 2017 3a </w:t>
      </w:r>
      <w:r w:rsidR="00384825">
        <w:rPr>
          <w:rFonts w:ascii="Arial" w:hAnsi="Arial" w:cs="Arial"/>
          <w:sz w:val="24"/>
          <w:szCs w:val="24"/>
        </w:rPr>
        <w:t xml:space="preserve">are billings to </w:t>
      </w:r>
      <w:r w:rsidR="00717E18">
        <w:rPr>
          <w:rFonts w:ascii="Arial" w:hAnsi="Arial" w:cs="Arial"/>
          <w:sz w:val="24"/>
          <w:szCs w:val="24"/>
        </w:rPr>
        <w:t>true up t</w:t>
      </w:r>
      <w:r w:rsidR="00384825">
        <w:rPr>
          <w:rFonts w:ascii="Arial" w:hAnsi="Arial" w:cs="Arial"/>
          <w:sz w:val="24"/>
          <w:szCs w:val="24"/>
        </w:rPr>
        <w:t>he</w:t>
      </w:r>
      <w:r w:rsidR="00717E18">
        <w:rPr>
          <w:rFonts w:ascii="Arial" w:hAnsi="Arial" w:cs="Arial"/>
          <w:sz w:val="24"/>
          <w:szCs w:val="24"/>
        </w:rPr>
        <w:t xml:space="preserve"> </w:t>
      </w:r>
      <w:r w:rsidR="00384825">
        <w:rPr>
          <w:rFonts w:ascii="Arial" w:hAnsi="Arial" w:cs="Arial"/>
          <w:sz w:val="24"/>
          <w:szCs w:val="24"/>
        </w:rPr>
        <w:t xml:space="preserve">final bills to </w:t>
      </w:r>
      <w:r>
        <w:rPr>
          <w:rFonts w:ascii="Arial" w:hAnsi="Arial" w:cs="Arial"/>
          <w:sz w:val="24"/>
          <w:szCs w:val="24"/>
        </w:rPr>
        <w:t>the accruals for LTLT to the actual billed amounts for 2016</w:t>
      </w:r>
      <w:r w:rsidR="00384825">
        <w:rPr>
          <w:rFonts w:ascii="Arial" w:hAnsi="Arial" w:cs="Arial"/>
          <w:sz w:val="24"/>
          <w:szCs w:val="24"/>
        </w:rPr>
        <w:t>.</w:t>
      </w:r>
    </w:p>
    <w:p w:rsidR="00384825" w:rsidRPr="00EC7041" w:rsidRDefault="00384825" w:rsidP="00384825">
      <w:pPr>
        <w:pStyle w:val="ListParagraph"/>
        <w:contextualSpacing w:val="0"/>
        <w:rPr>
          <w:rFonts w:ascii="Arial" w:hAnsi="Arial" w:cs="Arial"/>
          <w:sz w:val="24"/>
          <w:szCs w:val="24"/>
        </w:rPr>
      </w:pPr>
      <w:r>
        <w:rPr>
          <w:rFonts w:ascii="Arial" w:hAnsi="Arial" w:cs="Arial"/>
          <w:sz w:val="24"/>
          <w:szCs w:val="24"/>
        </w:rPr>
        <w:t>The adjustment in the 2017 3b is the difference between the physical and geographic billings for LTLT included in the GL but not in the kWh reconciliation and therefore need to be adjusted from the GL.</w:t>
      </w:r>
      <w:r w:rsidR="00954602">
        <w:rPr>
          <w:rFonts w:ascii="Arial" w:hAnsi="Arial" w:cs="Arial"/>
          <w:sz w:val="24"/>
          <w:szCs w:val="24"/>
        </w:rPr>
        <w:t xml:space="preserve">  Milton Hydro has </w:t>
      </w:r>
      <w:r w:rsidR="00A40293">
        <w:rPr>
          <w:rFonts w:ascii="Arial" w:hAnsi="Arial" w:cs="Arial"/>
          <w:sz w:val="24"/>
          <w:szCs w:val="24"/>
        </w:rPr>
        <w:t>adjusted</w:t>
      </w:r>
      <w:r w:rsidR="00954602">
        <w:rPr>
          <w:rFonts w:ascii="Arial" w:hAnsi="Arial" w:cs="Arial"/>
          <w:sz w:val="24"/>
          <w:szCs w:val="24"/>
        </w:rPr>
        <w:t xml:space="preserve"> th</w:t>
      </w:r>
      <w:r w:rsidR="00A40293">
        <w:rPr>
          <w:rFonts w:ascii="Arial" w:hAnsi="Arial" w:cs="Arial"/>
          <w:sz w:val="24"/>
          <w:szCs w:val="24"/>
        </w:rPr>
        <w:t>e</w:t>
      </w:r>
      <w:r w:rsidR="00954602">
        <w:rPr>
          <w:rFonts w:ascii="Arial" w:hAnsi="Arial" w:cs="Arial"/>
          <w:sz w:val="24"/>
          <w:szCs w:val="24"/>
        </w:rPr>
        <w:t xml:space="preserve"> balance in 3b by removing $255,044 as this has not been recorded in the GL balance.</w:t>
      </w:r>
    </w:p>
    <w:p w:rsidR="00F4596C" w:rsidRPr="00436D08" w:rsidRDefault="00436D08" w:rsidP="00436D08">
      <w:pPr>
        <w:pStyle w:val="ListParagraph"/>
        <w:numPr>
          <w:ilvl w:val="0"/>
          <w:numId w:val="14"/>
        </w:numPr>
        <w:contextualSpacing w:val="0"/>
        <w:rPr>
          <w:rFonts w:ascii="Arial" w:hAnsi="Arial" w:cs="Arial"/>
          <w:sz w:val="24"/>
          <w:szCs w:val="24"/>
          <w:u w:val="single"/>
        </w:rPr>
      </w:pPr>
      <w:r w:rsidRPr="00436D08">
        <w:rPr>
          <w:rFonts w:ascii="Arial" w:hAnsi="Arial" w:cs="Arial"/>
          <w:sz w:val="24"/>
          <w:szCs w:val="24"/>
        </w:rPr>
        <w:t xml:space="preserve">In response to </w:t>
      </w:r>
      <w:r w:rsidR="006528C0">
        <w:rPr>
          <w:rFonts w:ascii="Arial" w:hAnsi="Arial" w:cs="Arial"/>
          <w:sz w:val="24"/>
          <w:szCs w:val="24"/>
        </w:rPr>
        <w:t xml:space="preserve">a similar </w:t>
      </w:r>
      <w:r w:rsidRPr="00436D08">
        <w:rPr>
          <w:rFonts w:ascii="Arial" w:hAnsi="Arial" w:cs="Arial"/>
          <w:sz w:val="24"/>
          <w:szCs w:val="24"/>
        </w:rPr>
        <w:t xml:space="preserve">question from OEB staff during their review of Milton Hydro’s GA Model from the 2018 IRM period Milton Hydro stated: </w:t>
      </w:r>
      <w:r w:rsidR="00F4596C" w:rsidRPr="00436D08">
        <w:rPr>
          <w:rFonts w:ascii="Arial" w:hAnsi="Arial" w:cs="Arial"/>
          <w:b/>
          <w:sz w:val="24"/>
          <w:szCs w:val="24"/>
        </w:rPr>
        <w:t>Response:</w:t>
      </w:r>
      <w:r w:rsidRPr="00436D08">
        <w:rPr>
          <w:rFonts w:ascii="Arial" w:hAnsi="Arial" w:cs="Arial"/>
          <w:b/>
          <w:sz w:val="24"/>
          <w:szCs w:val="24"/>
        </w:rPr>
        <w:t xml:space="preserve"> </w:t>
      </w:r>
      <w:r w:rsidR="00F4596C" w:rsidRPr="00436D08">
        <w:rPr>
          <w:rFonts w:ascii="Arial" w:hAnsi="Arial" w:cs="Arial"/>
          <w:sz w:val="24"/>
          <w:szCs w:val="24"/>
        </w:rPr>
        <w:t>LTLTs are invoiced separately not through the CIS and therefore the dollars are included in the GL but not in the kWh quantities used to calculate expected GA in the model.</w:t>
      </w:r>
    </w:p>
    <w:p w:rsidR="00436D08" w:rsidRDefault="00436D08" w:rsidP="00436D08">
      <w:pPr>
        <w:pStyle w:val="ListParagraph"/>
        <w:numPr>
          <w:ilvl w:val="0"/>
          <w:numId w:val="14"/>
        </w:numPr>
        <w:contextualSpacing w:val="0"/>
        <w:rPr>
          <w:rFonts w:ascii="Arial" w:hAnsi="Arial" w:cs="Arial"/>
          <w:sz w:val="24"/>
          <w:szCs w:val="24"/>
        </w:rPr>
      </w:pPr>
      <w:r w:rsidRPr="00436D08">
        <w:rPr>
          <w:rFonts w:ascii="Arial" w:hAnsi="Arial" w:cs="Arial"/>
          <w:sz w:val="24"/>
          <w:szCs w:val="24"/>
        </w:rPr>
        <w:t xml:space="preserve">In response to </w:t>
      </w:r>
      <w:r w:rsidR="006528C0">
        <w:rPr>
          <w:rFonts w:ascii="Arial" w:hAnsi="Arial" w:cs="Arial"/>
          <w:sz w:val="24"/>
          <w:szCs w:val="24"/>
        </w:rPr>
        <w:t xml:space="preserve">a similar </w:t>
      </w:r>
      <w:r w:rsidRPr="00436D08">
        <w:rPr>
          <w:rFonts w:ascii="Arial" w:hAnsi="Arial" w:cs="Arial"/>
          <w:sz w:val="24"/>
          <w:szCs w:val="24"/>
        </w:rPr>
        <w:t xml:space="preserve">question from OEB staff during their review of Milton Hydro’s GA Model from the 2018 IRM period Milton Hydro stated: </w:t>
      </w:r>
      <w:r w:rsidRPr="00436D08">
        <w:rPr>
          <w:rFonts w:ascii="Arial" w:hAnsi="Arial" w:cs="Arial"/>
          <w:b/>
          <w:sz w:val="24"/>
          <w:szCs w:val="24"/>
        </w:rPr>
        <w:t xml:space="preserve">Response: </w:t>
      </w:r>
      <w:r w:rsidRPr="00436D08">
        <w:rPr>
          <w:rFonts w:ascii="Arial" w:hAnsi="Arial" w:cs="Arial"/>
          <w:sz w:val="24"/>
          <w:szCs w:val="24"/>
        </w:rPr>
        <w:t>The reconciling items in 1a and 1b are IESO adjustments on the STPP for charge type 148 labelled “Adjustment of Global Adjustment” and relate to IESO reconciliations for prior years.</w:t>
      </w:r>
    </w:p>
    <w:p w:rsidR="0053571B" w:rsidRPr="0053571B" w:rsidRDefault="0053571B" w:rsidP="0053571B">
      <w:pPr>
        <w:pStyle w:val="ListParagraph"/>
        <w:numPr>
          <w:ilvl w:val="0"/>
          <w:numId w:val="14"/>
        </w:numPr>
        <w:contextualSpacing w:val="0"/>
        <w:rPr>
          <w:rFonts w:ascii="Arial" w:hAnsi="Arial" w:cs="Arial"/>
          <w:sz w:val="24"/>
          <w:szCs w:val="24"/>
        </w:rPr>
      </w:pPr>
      <w:r w:rsidRPr="0053571B">
        <w:rPr>
          <w:rFonts w:ascii="Arial" w:hAnsi="Arial" w:cs="Arial"/>
          <w:sz w:val="24"/>
          <w:szCs w:val="24"/>
        </w:rPr>
        <w:lastRenderedPageBreak/>
        <w:t xml:space="preserve">In response to </w:t>
      </w:r>
      <w:r w:rsidR="006528C0">
        <w:rPr>
          <w:rFonts w:ascii="Arial" w:hAnsi="Arial" w:cs="Arial"/>
          <w:sz w:val="24"/>
          <w:szCs w:val="24"/>
        </w:rPr>
        <w:t xml:space="preserve">a similar </w:t>
      </w:r>
      <w:r w:rsidRPr="0053571B">
        <w:rPr>
          <w:rFonts w:ascii="Arial" w:hAnsi="Arial" w:cs="Arial"/>
          <w:sz w:val="24"/>
          <w:szCs w:val="24"/>
        </w:rPr>
        <w:t xml:space="preserve">question from OEB staff during their review of Milton Hydro’s GA Model from the 2018 IRM period Milton Hydro stated: </w:t>
      </w:r>
      <w:r w:rsidRPr="0053571B">
        <w:rPr>
          <w:rFonts w:ascii="Arial" w:hAnsi="Arial" w:cs="Arial"/>
          <w:b/>
          <w:sz w:val="24"/>
          <w:szCs w:val="24"/>
        </w:rPr>
        <w:t xml:space="preserve">Response: </w:t>
      </w:r>
      <w:r w:rsidRPr="0053571B">
        <w:rPr>
          <w:rFonts w:ascii="Arial" w:hAnsi="Arial" w:cs="Arial"/>
          <w:sz w:val="24"/>
          <w:szCs w:val="24"/>
        </w:rPr>
        <w:t>Milton Hydro accrues the unbilled revenues at year end based on actual quantities billed to customers up to December 31</w:t>
      </w:r>
      <w:r w:rsidRPr="0053571B">
        <w:rPr>
          <w:rFonts w:ascii="Arial" w:hAnsi="Arial" w:cs="Arial"/>
          <w:sz w:val="24"/>
          <w:szCs w:val="24"/>
          <w:vertAlign w:val="superscript"/>
        </w:rPr>
        <w:t>st</w:t>
      </w:r>
      <w:r w:rsidRPr="0053571B">
        <w:rPr>
          <w:rFonts w:ascii="Arial" w:hAnsi="Arial" w:cs="Arial"/>
          <w:sz w:val="24"/>
          <w:szCs w:val="24"/>
        </w:rPr>
        <w:t xml:space="preserve"> of the year.</w:t>
      </w:r>
    </w:p>
    <w:p w:rsidR="00394F82" w:rsidRDefault="00394F82"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915A9" w:rsidRDefault="004915A9" w:rsidP="00436D08">
      <w:pPr>
        <w:pStyle w:val="ListParagraph"/>
        <w:contextualSpacing w:val="0"/>
        <w:rPr>
          <w:rFonts w:ascii="Arial" w:hAnsi="Arial" w:cs="Arial"/>
        </w:rPr>
      </w:pPr>
    </w:p>
    <w:p w:rsidR="004765CD" w:rsidRPr="004765CD" w:rsidRDefault="004765CD" w:rsidP="004765CD">
      <w:pPr>
        <w:rPr>
          <w:rFonts w:ascii="Arial" w:hAnsi="Arial" w:cs="Arial"/>
          <w:b/>
        </w:rPr>
      </w:pPr>
      <w:r w:rsidRPr="004765CD">
        <w:rPr>
          <w:rFonts w:ascii="Arial" w:hAnsi="Arial" w:cs="Arial"/>
          <w:b/>
        </w:rPr>
        <w:lastRenderedPageBreak/>
        <w:t>OEB Staff-</w:t>
      </w:r>
      <w:r>
        <w:rPr>
          <w:rFonts w:ascii="Arial" w:hAnsi="Arial" w:cs="Arial"/>
          <w:b/>
        </w:rPr>
        <w:t>7</w:t>
      </w:r>
    </w:p>
    <w:p w:rsidR="004765CD" w:rsidRDefault="004765CD" w:rsidP="004765CD">
      <w:pPr>
        <w:rPr>
          <w:rFonts w:ascii="Arial" w:hAnsi="Arial" w:cs="Arial"/>
          <w:b/>
        </w:rPr>
      </w:pPr>
      <w:r w:rsidRPr="004765CD">
        <w:rPr>
          <w:rFonts w:ascii="Arial" w:hAnsi="Arial" w:cs="Arial"/>
          <w:b/>
        </w:rPr>
        <w:t xml:space="preserve">Ref: </w:t>
      </w:r>
      <w:r>
        <w:rPr>
          <w:rFonts w:ascii="Arial" w:hAnsi="Arial" w:cs="Arial"/>
          <w:b/>
        </w:rPr>
        <w:t>DVA Continuity Schedule, Account 1589</w:t>
      </w:r>
    </w:p>
    <w:p w:rsidR="004765CD" w:rsidRDefault="004765CD" w:rsidP="004765CD">
      <w:pPr>
        <w:pStyle w:val="ListParagraph"/>
        <w:numPr>
          <w:ilvl w:val="0"/>
          <w:numId w:val="7"/>
        </w:numPr>
        <w:rPr>
          <w:rFonts w:ascii="Arial" w:hAnsi="Arial" w:cs="Arial"/>
        </w:rPr>
      </w:pPr>
      <w:r>
        <w:rPr>
          <w:rFonts w:ascii="Arial" w:hAnsi="Arial" w:cs="Arial"/>
        </w:rPr>
        <w:t>Please explain the nature of the “Principal Adjustments” that are presented in</w:t>
      </w:r>
      <w:r w:rsidR="002615A5">
        <w:rPr>
          <w:rFonts w:ascii="Arial" w:hAnsi="Arial" w:cs="Arial"/>
        </w:rPr>
        <w:t xml:space="preserve"> the DVA continuity schedule for</w:t>
      </w:r>
      <w:r>
        <w:rPr>
          <w:rFonts w:ascii="Arial" w:hAnsi="Arial" w:cs="Arial"/>
        </w:rPr>
        <w:t xml:space="preserve"> account 1589 in both 2016 and 2017.</w:t>
      </w:r>
    </w:p>
    <w:p w:rsidR="004765CD" w:rsidRDefault="004765CD" w:rsidP="004765CD">
      <w:pPr>
        <w:pStyle w:val="ListParagraph"/>
        <w:numPr>
          <w:ilvl w:val="0"/>
          <w:numId w:val="7"/>
        </w:numPr>
        <w:rPr>
          <w:rFonts w:ascii="Arial" w:hAnsi="Arial" w:cs="Arial"/>
        </w:rPr>
      </w:pPr>
      <w:r>
        <w:rPr>
          <w:rFonts w:ascii="Arial" w:hAnsi="Arial" w:cs="Arial"/>
        </w:rPr>
        <w:t xml:space="preserve">Why are these adjustments not being presented in the GA Analysis </w:t>
      </w:r>
      <w:proofErr w:type="spellStart"/>
      <w:r>
        <w:rPr>
          <w:rFonts w:ascii="Arial" w:hAnsi="Arial" w:cs="Arial"/>
        </w:rPr>
        <w:t>Workfrom</w:t>
      </w:r>
      <w:proofErr w:type="spellEnd"/>
      <w:r>
        <w:rPr>
          <w:rFonts w:ascii="Arial" w:hAnsi="Arial" w:cs="Arial"/>
        </w:rPr>
        <w:t xml:space="preserve"> for each respective year?</w:t>
      </w:r>
    </w:p>
    <w:p w:rsidR="0053571B" w:rsidRDefault="0053571B" w:rsidP="0053571B">
      <w:pPr>
        <w:rPr>
          <w:rFonts w:ascii="Arial" w:hAnsi="Arial" w:cs="Arial"/>
        </w:rPr>
      </w:pPr>
    </w:p>
    <w:p w:rsidR="0053571B" w:rsidRPr="0053571B" w:rsidRDefault="0053571B" w:rsidP="0053571B">
      <w:pPr>
        <w:rPr>
          <w:rFonts w:ascii="Arial" w:hAnsi="Arial" w:cs="Arial"/>
        </w:rPr>
      </w:pPr>
      <w:r w:rsidRPr="0053571B">
        <w:rPr>
          <w:rFonts w:ascii="Arial" w:hAnsi="Arial" w:cs="Arial"/>
          <w:b/>
        </w:rPr>
        <w:t>Response:</w:t>
      </w:r>
    </w:p>
    <w:p w:rsidR="0053571B" w:rsidRDefault="00366D7A" w:rsidP="00366D7A">
      <w:pPr>
        <w:pStyle w:val="ListParagraph"/>
        <w:numPr>
          <w:ilvl w:val="0"/>
          <w:numId w:val="15"/>
        </w:numPr>
        <w:ind w:left="714" w:hanging="357"/>
        <w:contextualSpacing w:val="0"/>
        <w:rPr>
          <w:rFonts w:ascii="Arial" w:hAnsi="Arial" w:cs="Arial"/>
        </w:rPr>
      </w:pPr>
      <w:r>
        <w:rPr>
          <w:rFonts w:ascii="Arial" w:hAnsi="Arial" w:cs="Arial"/>
        </w:rPr>
        <w:t xml:space="preserve">In the OEB staff review of Milton Hydro’s GA </w:t>
      </w:r>
      <w:proofErr w:type="spellStart"/>
      <w:r w:rsidR="006528C0">
        <w:rPr>
          <w:rFonts w:ascii="Arial" w:hAnsi="Arial" w:cs="Arial"/>
        </w:rPr>
        <w:t>Workform</w:t>
      </w:r>
      <w:proofErr w:type="spellEnd"/>
      <w:r>
        <w:rPr>
          <w:rFonts w:ascii="Arial" w:hAnsi="Arial" w:cs="Arial"/>
        </w:rPr>
        <w:t xml:space="preserve"> submitted with Milton Hydro’s 2018 IRM Application Milton Hydro was directed to include the true-up amounts in the </w:t>
      </w:r>
      <w:proofErr w:type="spellStart"/>
      <w:r>
        <w:rPr>
          <w:rFonts w:ascii="Arial" w:hAnsi="Arial" w:cs="Arial"/>
        </w:rPr>
        <w:t>Workform</w:t>
      </w:r>
      <w:proofErr w:type="spellEnd"/>
      <w:r>
        <w:rPr>
          <w:rFonts w:ascii="Arial" w:hAnsi="Arial" w:cs="Arial"/>
        </w:rPr>
        <w:t xml:space="preserve"> under </w:t>
      </w:r>
      <w:r w:rsidR="00FA2FC5">
        <w:rPr>
          <w:rFonts w:ascii="Arial" w:hAnsi="Arial" w:cs="Arial"/>
        </w:rPr>
        <w:t>2</w:t>
      </w:r>
      <w:r>
        <w:rPr>
          <w:rFonts w:ascii="Arial" w:hAnsi="Arial" w:cs="Arial"/>
        </w:rPr>
        <w:t>a</w:t>
      </w:r>
      <w:r w:rsidR="00FA2FC5">
        <w:rPr>
          <w:rFonts w:ascii="Arial" w:hAnsi="Arial" w:cs="Arial"/>
        </w:rPr>
        <w:t xml:space="preserve"> [-$541,024]</w:t>
      </w:r>
      <w:r>
        <w:rPr>
          <w:rFonts w:ascii="Arial" w:hAnsi="Arial" w:cs="Arial"/>
        </w:rPr>
        <w:t xml:space="preserve"> and </w:t>
      </w:r>
      <w:r w:rsidR="00FA2FC5">
        <w:rPr>
          <w:rFonts w:ascii="Arial" w:hAnsi="Arial" w:cs="Arial"/>
        </w:rPr>
        <w:t>2</w:t>
      </w:r>
      <w:r>
        <w:rPr>
          <w:rFonts w:ascii="Arial" w:hAnsi="Arial" w:cs="Arial"/>
        </w:rPr>
        <w:t>b</w:t>
      </w:r>
      <w:r w:rsidR="00FA2FC5">
        <w:rPr>
          <w:rFonts w:ascii="Arial" w:hAnsi="Arial" w:cs="Arial"/>
        </w:rPr>
        <w:t xml:space="preserve"> [$514,510]</w:t>
      </w:r>
      <w:r>
        <w:rPr>
          <w:rFonts w:ascii="Arial" w:hAnsi="Arial" w:cs="Arial"/>
        </w:rPr>
        <w:t xml:space="preserve"> and to record the difference in the amount of $26,513 in the DVA Continuity Schedule. This adjustment was done in 2016 and reversed in 2017</w:t>
      </w:r>
      <w:r w:rsidR="006528C0">
        <w:rPr>
          <w:rFonts w:ascii="Arial" w:hAnsi="Arial" w:cs="Arial"/>
        </w:rPr>
        <w:t xml:space="preserve"> on the GA </w:t>
      </w:r>
      <w:proofErr w:type="spellStart"/>
      <w:r w:rsidR="006528C0">
        <w:rPr>
          <w:rFonts w:ascii="Arial" w:hAnsi="Arial" w:cs="Arial"/>
        </w:rPr>
        <w:t>Workform</w:t>
      </w:r>
      <w:proofErr w:type="spellEnd"/>
      <w:r>
        <w:rPr>
          <w:rFonts w:ascii="Arial" w:hAnsi="Arial" w:cs="Arial"/>
        </w:rPr>
        <w:t>.</w:t>
      </w:r>
    </w:p>
    <w:p w:rsidR="00366D7A" w:rsidRPr="0053571B" w:rsidRDefault="00366D7A" w:rsidP="00366D7A">
      <w:pPr>
        <w:pStyle w:val="ListParagraph"/>
        <w:numPr>
          <w:ilvl w:val="0"/>
          <w:numId w:val="15"/>
        </w:numPr>
        <w:ind w:left="714" w:hanging="357"/>
        <w:contextualSpacing w:val="0"/>
        <w:rPr>
          <w:rFonts w:ascii="Arial" w:hAnsi="Arial" w:cs="Arial"/>
        </w:rPr>
      </w:pPr>
      <w:r>
        <w:rPr>
          <w:rFonts w:ascii="Arial" w:hAnsi="Arial" w:cs="Arial"/>
        </w:rPr>
        <w:t xml:space="preserve">The adjustments have been presented in the GA Analysis </w:t>
      </w:r>
      <w:proofErr w:type="spellStart"/>
      <w:r>
        <w:rPr>
          <w:rFonts w:ascii="Arial" w:hAnsi="Arial" w:cs="Arial"/>
        </w:rPr>
        <w:t>Workform</w:t>
      </w:r>
      <w:proofErr w:type="spellEnd"/>
      <w:r>
        <w:rPr>
          <w:rFonts w:ascii="Arial" w:hAnsi="Arial" w:cs="Arial"/>
        </w:rPr>
        <w:t xml:space="preserve"> in </w:t>
      </w:r>
      <w:r w:rsidR="00FA2FC5">
        <w:rPr>
          <w:rFonts w:ascii="Arial" w:hAnsi="Arial" w:cs="Arial"/>
        </w:rPr>
        <w:t>2</w:t>
      </w:r>
      <w:r>
        <w:rPr>
          <w:rFonts w:ascii="Arial" w:hAnsi="Arial" w:cs="Arial"/>
        </w:rPr>
        <w:t xml:space="preserve">a and </w:t>
      </w:r>
      <w:r w:rsidR="00FA2FC5">
        <w:rPr>
          <w:rFonts w:ascii="Arial" w:hAnsi="Arial" w:cs="Arial"/>
        </w:rPr>
        <w:t>2</w:t>
      </w:r>
      <w:r>
        <w:rPr>
          <w:rFonts w:ascii="Arial" w:hAnsi="Arial" w:cs="Arial"/>
        </w:rPr>
        <w:t xml:space="preserve">b for 2016 as per the OEB staff IRs on the 2016 GA </w:t>
      </w:r>
      <w:proofErr w:type="spellStart"/>
      <w:r>
        <w:rPr>
          <w:rFonts w:ascii="Arial" w:hAnsi="Arial" w:cs="Arial"/>
        </w:rPr>
        <w:t>Workform</w:t>
      </w:r>
      <w:proofErr w:type="spellEnd"/>
      <w:r>
        <w:rPr>
          <w:rFonts w:ascii="Arial" w:hAnsi="Arial" w:cs="Arial"/>
        </w:rPr>
        <w:t xml:space="preserve"> and reversed in 1a on the 2017 GA </w:t>
      </w:r>
      <w:proofErr w:type="spellStart"/>
      <w:r>
        <w:rPr>
          <w:rFonts w:ascii="Arial" w:hAnsi="Arial" w:cs="Arial"/>
        </w:rPr>
        <w:t>Workform</w:t>
      </w:r>
      <w:proofErr w:type="spellEnd"/>
      <w:r>
        <w:rPr>
          <w:rFonts w:ascii="Arial" w:hAnsi="Arial" w:cs="Arial"/>
        </w:rPr>
        <w:t xml:space="preserve">. There is no adjustment for </w:t>
      </w:r>
      <w:r w:rsidR="00FA2FC5">
        <w:rPr>
          <w:rFonts w:ascii="Arial" w:hAnsi="Arial" w:cs="Arial"/>
        </w:rPr>
        <w:t>2</w:t>
      </w:r>
      <w:r>
        <w:rPr>
          <w:rFonts w:ascii="Arial" w:hAnsi="Arial" w:cs="Arial"/>
        </w:rPr>
        <w:t xml:space="preserve">b in 2017 as the entry was made in </w:t>
      </w:r>
      <w:r w:rsidR="00FA2FC5">
        <w:rPr>
          <w:rFonts w:ascii="Arial" w:hAnsi="Arial" w:cs="Arial"/>
        </w:rPr>
        <w:t xml:space="preserve">the </w:t>
      </w:r>
      <w:r>
        <w:rPr>
          <w:rFonts w:ascii="Arial" w:hAnsi="Arial" w:cs="Arial"/>
        </w:rPr>
        <w:t>2017</w:t>
      </w:r>
      <w:r w:rsidR="00FA2FC5">
        <w:rPr>
          <w:rFonts w:ascii="Arial" w:hAnsi="Arial" w:cs="Arial"/>
        </w:rPr>
        <w:t xml:space="preserve"> GL</w:t>
      </w:r>
      <w:r>
        <w:rPr>
          <w:rFonts w:ascii="Arial" w:hAnsi="Arial" w:cs="Arial"/>
        </w:rPr>
        <w:t xml:space="preserve"> and does not become a reconciling item.</w:t>
      </w:r>
    </w:p>
    <w:p w:rsidR="00233822" w:rsidRDefault="00233822" w:rsidP="004765CD">
      <w:pPr>
        <w:rPr>
          <w:rFonts w:ascii="Arial" w:hAnsi="Arial" w:cs="Arial"/>
          <w:b/>
        </w:rPr>
      </w:pPr>
    </w:p>
    <w:p w:rsidR="00233822" w:rsidRDefault="00233822" w:rsidP="004765CD">
      <w:pPr>
        <w:rPr>
          <w:rFonts w:ascii="Arial" w:hAnsi="Arial" w:cs="Arial"/>
          <w:b/>
        </w:rPr>
      </w:pPr>
    </w:p>
    <w:p w:rsidR="00233822" w:rsidRDefault="00233822" w:rsidP="004765CD">
      <w:pPr>
        <w:rPr>
          <w:rFonts w:ascii="Arial" w:hAnsi="Arial" w:cs="Arial"/>
          <w:b/>
        </w:rPr>
      </w:pPr>
    </w:p>
    <w:p w:rsidR="00233822" w:rsidRDefault="00233822" w:rsidP="004765CD">
      <w:pPr>
        <w:rPr>
          <w:rFonts w:ascii="Arial" w:hAnsi="Arial" w:cs="Arial"/>
          <w:b/>
        </w:rPr>
      </w:pPr>
    </w:p>
    <w:p w:rsidR="00233822" w:rsidRDefault="00233822" w:rsidP="004765CD">
      <w:pPr>
        <w:rPr>
          <w:rFonts w:ascii="Arial" w:hAnsi="Arial" w:cs="Arial"/>
          <w:b/>
        </w:rPr>
      </w:pPr>
    </w:p>
    <w:p w:rsidR="00233822" w:rsidRDefault="00233822" w:rsidP="004765CD">
      <w:pPr>
        <w:rPr>
          <w:rFonts w:ascii="Arial" w:hAnsi="Arial" w:cs="Arial"/>
          <w:b/>
        </w:rPr>
      </w:pPr>
    </w:p>
    <w:p w:rsidR="00233822" w:rsidRDefault="00233822" w:rsidP="004765CD">
      <w:pPr>
        <w:rPr>
          <w:rFonts w:ascii="Arial" w:hAnsi="Arial" w:cs="Arial"/>
          <w:b/>
        </w:rPr>
      </w:pPr>
    </w:p>
    <w:p w:rsidR="00233822" w:rsidRDefault="00233822" w:rsidP="004765CD">
      <w:pPr>
        <w:rPr>
          <w:rFonts w:ascii="Arial" w:hAnsi="Arial" w:cs="Arial"/>
          <w:b/>
        </w:rPr>
      </w:pPr>
    </w:p>
    <w:p w:rsidR="00233822" w:rsidRDefault="00233822" w:rsidP="004765CD">
      <w:pPr>
        <w:rPr>
          <w:rFonts w:ascii="Arial" w:hAnsi="Arial" w:cs="Arial"/>
          <w:b/>
        </w:rPr>
      </w:pPr>
    </w:p>
    <w:p w:rsidR="00233822" w:rsidRDefault="00233822" w:rsidP="004765CD">
      <w:pPr>
        <w:rPr>
          <w:rFonts w:ascii="Arial" w:hAnsi="Arial" w:cs="Arial"/>
          <w:b/>
        </w:rPr>
      </w:pPr>
    </w:p>
    <w:p w:rsidR="00233822" w:rsidRDefault="00233822" w:rsidP="004765CD">
      <w:pPr>
        <w:rPr>
          <w:rFonts w:ascii="Arial" w:hAnsi="Arial" w:cs="Arial"/>
          <w:b/>
        </w:rPr>
      </w:pPr>
    </w:p>
    <w:p w:rsidR="00233822" w:rsidRDefault="00233822" w:rsidP="004765CD">
      <w:pPr>
        <w:rPr>
          <w:rFonts w:ascii="Arial" w:hAnsi="Arial" w:cs="Arial"/>
          <w:b/>
        </w:rPr>
      </w:pPr>
    </w:p>
    <w:p w:rsidR="004765CD" w:rsidRPr="004765CD" w:rsidRDefault="004765CD" w:rsidP="004765CD">
      <w:pPr>
        <w:rPr>
          <w:rFonts w:ascii="Arial" w:hAnsi="Arial" w:cs="Arial"/>
          <w:b/>
        </w:rPr>
      </w:pPr>
      <w:r w:rsidRPr="004765CD">
        <w:rPr>
          <w:rFonts w:ascii="Arial" w:hAnsi="Arial" w:cs="Arial"/>
          <w:b/>
        </w:rPr>
        <w:lastRenderedPageBreak/>
        <w:t>OEB Staff-</w:t>
      </w:r>
      <w:r>
        <w:rPr>
          <w:rFonts w:ascii="Arial" w:hAnsi="Arial" w:cs="Arial"/>
          <w:b/>
        </w:rPr>
        <w:t>8</w:t>
      </w:r>
    </w:p>
    <w:p w:rsidR="004765CD" w:rsidRPr="004765CD" w:rsidRDefault="004765CD" w:rsidP="004765CD">
      <w:pPr>
        <w:rPr>
          <w:rFonts w:ascii="Arial" w:hAnsi="Arial" w:cs="Arial"/>
          <w:b/>
        </w:rPr>
      </w:pPr>
      <w:r w:rsidRPr="004765CD">
        <w:rPr>
          <w:rFonts w:ascii="Arial" w:hAnsi="Arial" w:cs="Arial"/>
          <w:b/>
        </w:rPr>
        <w:t>Ref: DVA C</w:t>
      </w:r>
      <w:r>
        <w:rPr>
          <w:rFonts w:ascii="Arial" w:hAnsi="Arial" w:cs="Arial"/>
          <w:b/>
        </w:rPr>
        <w:t>ontinuity Schedule, Account 1588</w:t>
      </w:r>
    </w:p>
    <w:p w:rsidR="00A205AE" w:rsidRPr="00755329" w:rsidRDefault="00A205AE" w:rsidP="00A205AE">
      <w:pPr>
        <w:spacing w:after="160" w:line="259" w:lineRule="auto"/>
        <w:rPr>
          <w:rFonts w:ascii="Arial" w:hAnsi="Arial" w:cs="Arial"/>
          <w:sz w:val="24"/>
          <w:szCs w:val="24"/>
        </w:rPr>
      </w:pPr>
      <w:r>
        <w:rPr>
          <w:rFonts w:ascii="Arial" w:hAnsi="Arial" w:cs="Arial"/>
          <w:sz w:val="24"/>
          <w:szCs w:val="24"/>
        </w:rPr>
        <w:t>Milton Hydro</w:t>
      </w:r>
      <w:r w:rsidRPr="00755329">
        <w:rPr>
          <w:rFonts w:ascii="Arial" w:hAnsi="Arial" w:cs="Arial"/>
          <w:sz w:val="24"/>
          <w:szCs w:val="24"/>
        </w:rPr>
        <w:t xml:space="preserve"> is seeking dis</w:t>
      </w:r>
      <w:r>
        <w:rPr>
          <w:rFonts w:ascii="Arial" w:hAnsi="Arial" w:cs="Arial"/>
          <w:sz w:val="24"/>
          <w:szCs w:val="24"/>
        </w:rPr>
        <w:t>position of approximately $557K (credit) in</w:t>
      </w:r>
      <w:r w:rsidRPr="00755329">
        <w:rPr>
          <w:rFonts w:ascii="Arial" w:hAnsi="Arial" w:cs="Arial"/>
          <w:sz w:val="24"/>
          <w:szCs w:val="24"/>
        </w:rPr>
        <w:t xml:space="preserve"> account 1588.</w:t>
      </w:r>
    </w:p>
    <w:p w:rsidR="00A205AE" w:rsidRDefault="00A205AE" w:rsidP="00A205AE">
      <w:pPr>
        <w:rPr>
          <w:rFonts w:ascii="Arial" w:hAnsi="Arial" w:cs="Arial"/>
          <w:sz w:val="24"/>
          <w:szCs w:val="24"/>
        </w:rPr>
      </w:pPr>
      <w:r>
        <w:rPr>
          <w:rFonts w:ascii="Arial" w:hAnsi="Arial" w:cs="Arial"/>
          <w:sz w:val="24"/>
          <w:szCs w:val="24"/>
        </w:rPr>
        <w:t xml:space="preserve">Given that Account 1588 accumulates the </w:t>
      </w:r>
      <w:r w:rsidRPr="00755329">
        <w:rPr>
          <w:rFonts w:ascii="Arial" w:hAnsi="Arial" w:cs="Arial"/>
          <w:sz w:val="24"/>
          <w:szCs w:val="24"/>
        </w:rPr>
        <w:t xml:space="preserve">variance between </w:t>
      </w:r>
      <w:r>
        <w:rPr>
          <w:rFonts w:ascii="Arial" w:hAnsi="Arial" w:cs="Arial"/>
          <w:sz w:val="24"/>
          <w:szCs w:val="24"/>
        </w:rPr>
        <w:t xml:space="preserve">the </w:t>
      </w:r>
      <w:r w:rsidRPr="00755329">
        <w:rPr>
          <w:rFonts w:ascii="Arial" w:hAnsi="Arial" w:cs="Arial"/>
          <w:sz w:val="24"/>
          <w:szCs w:val="24"/>
        </w:rPr>
        <w:t xml:space="preserve">RPP revenue </w:t>
      </w:r>
      <w:r>
        <w:rPr>
          <w:rFonts w:ascii="Arial" w:hAnsi="Arial" w:cs="Arial"/>
          <w:sz w:val="24"/>
          <w:szCs w:val="24"/>
        </w:rPr>
        <w:t xml:space="preserve">and </w:t>
      </w:r>
      <w:r w:rsidRPr="00755329">
        <w:rPr>
          <w:rFonts w:ascii="Arial" w:hAnsi="Arial" w:cs="Arial"/>
          <w:sz w:val="24"/>
          <w:szCs w:val="24"/>
        </w:rPr>
        <w:t>the cost of energy</w:t>
      </w:r>
      <w:r>
        <w:rPr>
          <w:rFonts w:ascii="Arial" w:hAnsi="Arial" w:cs="Arial"/>
          <w:sz w:val="24"/>
          <w:szCs w:val="24"/>
        </w:rPr>
        <w:t xml:space="preserve"> and gets</w:t>
      </w:r>
      <w:r w:rsidRPr="00755329">
        <w:rPr>
          <w:rFonts w:ascii="Arial" w:hAnsi="Arial" w:cs="Arial"/>
          <w:sz w:val="24"/>
          <w:szCs w:val="24"/>
        </w:rPr>
        <w:t xml:space="preserve"> settled </w:t>
      </w:r>
      <w:r>
        <w:rPr>
          <w:rFonts w:ascii="Arial" w:hAnsi="Arial" w:cs="Arial"/>
          <w:sz w:val="24"/>
          <w:szCs w:val="24"/>
        </w:rPr>
        <w:t xml:space="preserve">directly </w:t>
      </w:r>
      <w:r w:rsidRPr="00755329">
        <w:rPr>
          <w:rFonts w:ascii="Arial" w:hAnsi="Arial" w:cs="Arial"/>
          <w:sz w:val="24"/>
          <w:szCs w:val="24"/>
        </w:rPr>
        <w:t>with the IESO on a monthly basis, the expectation is that any remaining amounts in account 1588 would be relatively small and close to zero (primarily comprised of the difference between amounts billed at the approved total loss factor versus actual system losses for the year).</w:t>
      </w:r>
    </w:p>
    <w:p w:rsidR="00A205AE" w:rsidRDefault="00A205AE" w:rsidP="00A205AE">
      <w:pPr>
        <w:spacing w:after="160" w:line="259" w:lineRule="auto"/>
        <w:rPr>
          <w:rFonts w:ascii="Arial" w:hAnsi="Arial" w:cs="Arial"/>
          <w:sz w:val="24"/>
          <w:szCs w:val="24"/>
        </w:rPr>
      </w:pPr>
      <w:r w:rsidRPr="00A205AE">
        <w:rPr>
          <w:rFonts w:ascii="Arial" w:hAnsi="Arial" w:cs="Arial"/>
          <w:sz w:val="24"/>
          <w:szCs w:val="24"/>
        </w:rPr>
        <w:t xml:space="preserve">Based on the above expectation, </w:t>
      </w:r>
      <w:r>
        <w:rPr>
          <w:rFonts w:ascii="Arial" w:hAnsi="Arial" w:cs="Arial"/>
          <w:sz w:val="24"/>
          <w:szCs w:val="24"/>
        </w:rPr>
        <w:t>Milton</w:t>
      </w:r>
      <w:r w:rsidRPr="00A205AE">
        <w:rPr>
          <w:rFonts w:ascii="Arial" w:hAnsi="Arial" w:cs="Arial"/>
          <w:sz w:val="24"/>
          <w:szCs w:val="24"/>
        </w:rPr>
        <w:t xml:space="preserve"> Hydro’s balance in account 1588 appears to be unusually large. Please explain what comprises the balance in account 1588 as at December 31, 2017</w:t>
      </w:r>
      <w:r>
        <w:rPr>
          <w:rFonts w:ascii="Arial" w:hAnsi="Arial" w:cs="Arial"/>
          <w:sz w:val="24"/>
          <w:szCs w:val="24"/>
        </w:rPr>
        <w:t xml:space="preserve"> (or confirm that it is in fact the accumulation of the loss factor differences for t</w:t>
      </w:r>
      <w:r w:rsidR="002615A5">
        <w:rPr>
          <w:rFonts w:ascii="Arial" w:hAnsi="Arial" w:cs="Arial"/>
          <w:sz w:val="24"/>
          <w:szCs w:val="24"/>
        </w:rPr>
        <w:t>he two years that remains in this</w:t>
      </w:r>
      <w:r>
        <w:rPr>
          <w:rFonts w:ascii="Arial" w:hAnsi="Arial" w:cs="Arial"/>
          <w:sz w:val="24"/>
          <w:szCs w:val="24"/>
        </w:rPr>
        <w:t xml:space="preserve"> account)</w:t>
      </w:r>
      <w:r w:rsidRPr="00A205AE">
        <w:rPr>
          <w:rFonts w:ascii="Arial" w:hAnsi="Arial" w:cs="Arial"/>
          <w:sz w:val="24"/>
          <w:szCs w:val="24"/>
        </w:rPr>
        <w:t xml:space="preserve">. </w:t>
      </w:r>
    </w:p>
    <w:p w:rsidR="00734F67" w:rsidRDefault="00734F67" w:rsidP="00A205AE">
      <w:pPr>
        <w:spacing w:after="160" w:line="259" w:lineRule="auto"/>
        <w:rPr>
          <w:rFonts w:ascii="Arial" w:hAnsi="Arial" w:cs="Arial"/>
          <w:sz w:val="24"/>
          <w:szCs w:val="24"/>
        </w:rPr>
      </w:pPr>
    </w:p>
    <w:p w:rsidR="00734F67" w:rsidRDefault="00734F67" w:rsidP="00A205AE">
      <w:pPr>
        <w:spacing w:after="160" w:line="259" w:lineRule="auto"/>
        <w:rPr>
          <w:rFonts w:ascii="Arial" w:hAnsi="Arial" w:cs="Arial"/>
          <w:sz w:val="24"/>
          <w:szCs w:val="24"/>
        </w:rPr>
      </w:pPr>
      <w:r w:rsidRPr="00734F67">
        <w:rPr>
          <w:rFonts w:ascii="Arial" w:hAnsi="Arial" w:cs="Arial"/>
          <w:b/>
          <w:sz w:val="24"/>
          <w:szCs w:val="24"/>
        </w:rPr>
        <w:t>Response:</w:t>
      </w:r>
    </w:p>
    <w:p w:rsidR="00F93857" w:rsidRPr="00F93857" w:rsidRDefault="00FD4CFB" w:rsidP="00924681">
      <w:pPr>
        <w:spacing w:after="160" w:line="259" w:lineRule="auto"/>
        <w:rPr>
          <w:rFonts w:ascii="Arial" w:hAnsi="Arial" w:cs="Arial"/>
          <w:color w:val="000000"/>
          <w:sz w:val="24"/>
          <w:szCs w:val="24"/>
        </w:rPr>
      </w:pPr>
      <w:proofErr w:type="spellStart"/>
      <w:r>
        <w:rPr>
          <w:rFonts w:ascii="Arial" w:hAnsi="Arial" w:cs="Arial"/>
          <w:sz w:val="24"/>
          <w:szCs w:val="24"/>
        </w:rPr>
        <w:t>USoA</w:t>
      </w:r>
      <w:proofErr w:type="spellEnd"/>
      <w:r>
        <w:rPr>
          <w:rFonts w:ascii="Arial" w:hAnsi="Arial" w:cs="Arial"/>
          <w:sz w:val="24"/>
          <w:szCs w:val="24"/>
        </w:rPr>
        <w:t xml:space="preserve"> </w:t>
      </w:r>
      <w:r w:rsidR="00924681">
        <w:rPr>
          <w:rFonts w:ascii="Arial" w:hAnsi="Arial" w:cs="Arial"/>
          <w:sz w:val="24"/>
          <w:szCs w:val="24"/>
        </w:rPr>
        <w:t xml:space="preserve">1588 records the net difference </w:t>
      </w:r>
      <w:r w:rsidR="00F93857" w:rsidRPr="00F93857">
        <w:rPr>
          <w:rFonts w:ascii="Arial" w:hAnsi="Arial" w:cs="Arial"/>
          <w:color w:val="000000"/>
          <w:sz w:val="24"/>
          <w:szCs w:val="24"/>
        </w:rPr>
        <w:t xml:space="preserve">between: </w:t>
      </w:r>
    </w:p>
    <w:p w:rsidR="00F93857" w:rsidRPr="00924681" w:rsidRDefault="00F93857" w:rsidP="00924681">
      <w:pPr>
        <w:pStyle w:val="ListParagraph"/>
        <w:numPr>
          <w:ilvl w:val="0"/>
          <w:numId w:val="16"/>
        </w:numPr>
        <w:autoSpaceDE w:val="0"/>
        <w:autoSpaceDN w:val="0"/>
        <w:adjustRightInd w:val="0"/>
        <w:spacing w:after="0" w:line="240" w:lineRule="auto"/>
        <w:ind w:left="714" w:hanging="357"/>
        <w:contextualSpacing w:val="0"/>
        <w:rPr>
          <w:rFonts w:ascii="Arial" w:hAnsi="Arial" w:cs="Arial"/>
          <w:color w:val="000000"/>
          <w:sz w:val="24"/>
          <w:szCs w:val="24"/>
        </w:rPr>
      </w:pPr>
      <w:r w:rsidRPr="00924681">
        <w:rPr>
          <w:rFonts w:ascii="Arial" w:hAnsi="Arial" w:cs="Arial"/>
          <w:color w:val="000000"/>
          <w:sz w:val="24"/>
          <w:szCs w:val="24"/>
        </w:rPr>
        <w:t>the energy amount billed to customers</w:t>
      </w:r>
      <w:r w:rsidR="00924681" w:rsidRPr="00924681">
        <w:rPr>
          <w:rFonts w:ascii="Arial" w:hAnsi="Arial" w:cs="Arial"/>
          <w:color w:val="000000"/>
          <w:sz w:val="24"/>
          <w:szCs w:val="24"/>
        </w:rPr>
        <w:t xml:space="preserve"> which is loss adjusted; and </w:t>
      </w:r>
    </w:p>
    <w:p w:rsidR="00924681" w:rsidRPr="00924681" w:rsidRDefault="00924681" w:rsidP="00924681">
      <w:pPr>
        <w:pStyle w:val="ListParagraph"/>
        <w:autoSpaceDE w:val="0"/>
        <w:autoSpaceDN w:val="0"/>
        <w:adjustRightInd w:val="0"/>
        <w:spacing w:after="0" w:line="240" w:lineRule="auto"/>
        <w:ind w:left="1077"/>
        <w:rPr>
          <w:rFonts w:ascii="Arial" w:hAnsi="Arial" w:cs="Arial"/>
          <w:color w:val="000000"/>
          <w:sz w:val="24"/>
          <w:szCs w:val="24"/>
        </w:rPr>
      </w:pPr>
    </w:p>
    <w:p w:rsidR="00F93857" w:rsidRPr="00924681" w:rsidRDefault="00F93857" w:rsidP="00924681">
      <w:pPr>
        <w:pStyle w:val="ListParagraph"/>
        <w:numPr>
          <w:ilvl w:val="0"/>
          <w:numId w:val="16"/>
        </w:numPr>
        <w:spacing w:after="160" w:line="259" w:lineRule="auto"/>
        <w:ind w:left="714" w:hanging="357"/>
        <w:rPr>
          <w:rFonts w:ascii="Arial" w:hAnsi="Arial" w:cs="Arial"/>
          <w:sz w:val="24"/>
          <w:szCs w:val="24"/>
        </w:rPr>
      </w:pPr>
      <w:r w:rsidRPr="00924681">
        <w:rPr>
          <w:rFonts w:ascii="Arial" w:hAnsi="Arial" w:cs="Arial"/>
          <w:color w:val="000000"/>
          <w:sz w:val="24"/>
          <w:szCs w:val="24"/>
        </w:rPr>
        <w:t>the energy charge to a distributor using the monthly settlement invoice received from the Independent Electricity System Operator</w:t>
      </w:r>
      <w:r w:rsidR="003015C9">
        <w:rPr>
          <w:rFonts w:ascii="Arial" w:hAnsi="Arial" w:cs="Arial"/>
          <w:color w:val="000000"/>
          <w:sz w:val="24"/>
          <w:szCs w:val="24"/>
        </w:rPr>
        <w:t xml:space="preserve"> and Glenorchy</w:t>
      </w:r>
      <w:r w:rsidR="00925A5C">
        <w:rPr>
          <w:rFonts w:ascii="Arial" w:hAnsi="Arial" w:cs="Arial"/>
          <w:color w:val="000000"/>
          <w:sz w:val="24"/>
          <w:szCs w:val="24"/>
        </w:rPr>
        <w:t>,</w:t>
      </w:r>
      <w:r w:rsidR="004A531C">
        <w:rPr>
          <w:rFonts w:ascii="Arial" w:hAnsi="Arial" w:cs="Arial"/>
          <w:color w:val="000000"/>
          <w:sz w:val="24"/>
          <w:szCs w:val="24"/>
        </w:rPr>
        <w:t xml:space="preserve"> which is not </w:t>
      </w:r>
      <w:r w:rsidR="00491BD1">
        <w:rPr>
          <w:rFonts w:ascii="Arial" w:hAnsi="Arial" w:cs="Arial"/>
          <w:color w:val="000000"/>
          <w:sz w:val="24"/>
          <w:szCs w:val="24"/>
        </w:rPr>
        <w:t>loss adjusted</w:t>
      </w:r>
      <w:r w:rsidRPr="00924681">
        <w:rPr>
          <w:rFonts w:ascii="Arial" w:hAnsi="Arial" w:cs="Arial"/>
          <w:color w:val="000000"/>
          <w:sz w:val="24"/>
          <w:szCs w:val="24"/>
        </w:rPr>
        <w:t>.</w:t>
      </w:r>
    </w:p>
    <w:p w:rsidR="004765CD" w:rsidRPr="004765CD" w:rsidRDefault="00924681" w:rsidP="004765CD">
      <w:pPr>
        <w:rPr>
          <w:rFonts w:ascii="Arial" w:hAnsi="Arial" w:cs="Arial"/>
        </w:rPr>
      </w:pPr>
      <w:r>
        <w:rPr>
          <w:rFonts w:ascii="Arial" w:hAnsi="Arial" w:cs="Arial"/>
        </w:rPr>
        <w:t>The difference in 1588</w:t>
      </w:r>
      <w:r w:rsidR="00491BD1">
        <w:rPr>
          <w:rFonts w:ascii="Arial" w:hAnsi="Arial" w:cs="Arial"/>
        </w:rPr>
        <w:t xml:space="preserve"> </w:t>
      </w:r>
      <w:proofErr w:type="spellStart"/>
      <w:r w:rsidR="001B657B">
        <w:rPr>
          <w:rFonts w:ascii="Arial" w:hAnsi="Arial" w:cs="Arial"/>
        </w:rPr>
        <w:t>i</w:t>
      </w:r>
      <w:proofErr w:type="spellEnd"/>
      <w:r w:rsidR="001B657B">
        <w:rPr>
          <w:rFonts w:ascii="Arial" w:hAnsi="Arial" w:cs="Arial"/>
        </w:rPr>
        <w:t xml:space="preserve">) and ii) </w:t>
      </w:r>
      <w:r w:rsidR="00410812">
        <w:rPr>
          <w:rFonts w:ascii="Arial" w:hAnsi="Arial" w:cs="Arial"/>
        </w:rPr>
        <w:t xml:space="preserve">would be attributed to the </w:t>
      </w:r>
      <w:r w:rsidR="00A04635">
        <w:rPr>
          <w:rFonts w:ascii="Arial" w:hAnsi="Arial" w:cs="Arial"/>
        </w:rPr>
        <w:t>loss adjusted energy sales in the amount of $604,920.</w:t>
      </w:r>
      <w:r w:rsidR="00491BD1">
        <w:rPr>
          <w:rFonts w:ascii="Arial" w:hAnsi="Arial" w:cs="Arial"/>
        </w:rPr>
        <w:t xml:space="preserve"> </w:t>
      </w:r>
    </w:p>
    <w:p w:rsidR="00A006F6" w:rsidRDefault="00A006F6" w:rsidP="00A006F6"/>
    <w:sectPr w:rsidR="00A006F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5DD" w:rsidRDefault="00F465DD" w:rsidP="00F465DD">
      <w:pPr>
        <w:spacing w:after="0" w:line="240" w:lineRule="auto"/>
      </w:pPr>
      <w:r>
        <w:separator/>
      </w:r>
    </w:p>
  </w:endnote>
  <w:endnote w:type="continuationSeparator" w:id="0">
    <w:p w:rsidR="00F465DD" w:rsidRDefault="00F465DD" w:rsidP="00F4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5DD" w:rsidRDefault="00F465DD" w:rsidP="00F465DD">
      <w:pPr>
        <w:spacing w:after="0" w:line="240" w:lineRule="auto"/>
      </w:pPr>
      <w:r>
        <w:separator/>
      </w:r>
    </w:p>
  </w:footnote>
  <w:footnote w:type="continuationSeparator" w:id="0">
    <w:p w:rsidR="00F465DD" w:rsidRDefault="00F465DD" w:rsidP="00F4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98381352"/>
      <w:docPartObj>
        <w:docPartGallery w:val="Page Numbers (Top of Page)"/>
        <w:docPartUnique/>
      </w:docPartObj>
    </w:sdtPr>
    <w:sdtEndPr>
      <w:rPr>
        <w:rFonts w:asciiTheme="minorHAnsi" w:hAnsiTheme="minorHAnsi" w:cstheme="minorBidi"/>
        <w:color w:val="auto"/>
        <w:sz w:val="22"/>
        <w:szCs w:val="22"/>
      </w:rPr>
    </w:sdtEndPr>
    <w:sdtContent>
      <w:p w:rsidR="00F465DD" w:rsidRPr="00F465DD" w:rsidRDefault="00F465DD" w:rsidP="00F465DD">
        <w:pPr>
          <w:pStyle w:val="Default"/>
          <w:jc w:val="right"/>
          <w:rPr>
            <w:rFonts w:ascii="Arial" w:hAnsi="Arial" w:cs="Arial"/>
            <w:sz w:val="18"/>
            <w:szCs w:val="18"/>
          </w:rPr>
        </w:pPr>
        <w:r w:rsidRPr="00F465DD">
          <w:rPr>
            <w:rFonts w:ascii="Arial" w:hAnsi="Arial" w:cs="Arial"/>
            <w:bCs/>
            <w:sz w:val="18"/>
            <w:szCs w:val="18"/>
          </w:rPr>
          <w:t xml:space="preserve">Milton Hydro Distribution Inc. </w:t>
        </w:r>
      </w:p>
      <w:p w:rsidR="00F465DD" w:rsidRPr="00F465DD" w:rsidRDefault="00F465DD" w:rsidP="00F465DD">
        <w:pPr>
          <w:pStyle w:val="Default"/>
          <w:jc w:val="right"/>
          <w:rPr>
            <w:rFonts w:ascii="Arial" w:hAnsi="Arial" w:cs="Arial"/>
            <w:sz w:val="18"/>
            <w:szCs w:val="18"/>
          </w:rPr>
        </w:pPr>
        <w:r w:rsidRPr="00F465DD">
          <w:rPr>
            <w:rFonts w:ascii="Arial" w:hAnsi="Arial" w:cs="Arial"/>
            <w:sz w:val="18"/>
            <w:szCs w:val="18"/>
          </w:rPr>
          <w:t>Reponses to OEB Staff Interrogatories</w:t>
        </w:r>
      </w:p>
      <w:p w:rsidR="00F465DD" w:rsidRPr="00F465DD" w:rsidRDefault="00F465DD" w:rsidP="00F465DD">
        <w:pPr>
          <w:pStyle w:val="Default"/>
          <w:jc w:val="right"/>
          <w:rPr>
            <w:rFonts w:ascii="Arial" w:hAnsi="Arial" w:cs="Arial"/>
            <w:sz w:val="18"/>
            <w:szCs w:val="18"/>
          </w:rPr>
        </w:pPr>
        <w:r w:rsidRPr="00F465DD">
          <w:rPr>
            <w:rFonts w:ascii="Arial" w:hAnsi="Arial" w:cs="Arial"/>
            <w:sz w:val="18"/>
            <w:szCs w:val="18"/>
          </w:rPr>
          <w:t>EB-2018-0053</w:t>
        </w:r>
      </w:p>
      <w:p w:rsidR="00F465DD" w:rsidRPr="00F465DD" w:rsidRDefault="00F465DD" w:rsidP="00F465DD">
        <w:pPr>
          <w:pStyle w:val="Default"/>
          <w:jc w:val="right"/>
          <w:rPr>
            <w:rFonts w:ascii="Arial" w:hAnsi="Arial" w:cs="Arial"/>
            <w:sz w:val="18"/>
            <w:szCs w:val="18"/>
          </w:rPr>
        </w:pPr>
        <w:r w:rsidRPr="00F465DD">
          <w:rPr>
            <w:rFonts w:ascii="Arial" w:hAnsi="Arial" w:cs="Arial"/>
            <w:sz w:val="18"/>
            <w:szCs w:val="18"/>
          </w:rPr>
          <w:t>Filed January 30, 2019</w:t>
        </w:r>
      </w:p>
      <w:p w:rsidR="00F465DD" w:rsidRDefault="00F465DD" w:rsidP="00F465DD">
        <w:pPr>
          <w:pStyle w:val="Header"/>
          <w:jc w:val="right"/>
        </w:pPr>
        <w:r w:rsidRPr="00F465DD">
          <w:rPr>
            <w:rFonts w:ascii="Arial" w:hAnsi="Arial" w:cs="Arial"/>
            <w:sz w:val="18"/>
            <w:szCs w:val="18"/>
          </w:rPr>
          <w:t xml:space="preserve">Page </w:t>
        </w:r>
        <w:r w:rsidRPr="00F465DD">
          <w:rPr>
            <w:rFonts w:ascii="Arial" w:hAnsi="Arial" w:cs="Arial"/>
            <w:b/>
            <w:bCs/>
            <w:sz w:val="18"/>
            <w:szCs w:val="18"/>
          </w:rPr>
          <w:fldChar w:fldCharType="begin"/>
        </w:r>
        <w:r w:rsidRPr="00F465DD">
          <w:rPr>
            <w:rFonts w:ascii="Arial" w:hAnsi="Arial" w:cs="Arial"/>
            <w:b/>
            <w:bCs/>
            <w:sz w:val="18"/>
            <w:szCs w:val="18"/>
          </w:rPr>
          <w:instrText xml:space="preserve"> PAGE </w:instrText>
        </w:r>
        <w:r w:rsidRPr="00F465DD">
          <w:rPr>
            <w:rFonts w:ascii="Arial" w:hAnsi="Arial" w:cs="Arial"/>
            <w:b/>
            <w:bCs/>
            <w:sz w:val="18"/>
            <w:szCs w:val="18"/>
          </w:rPr>
          <w:fldChar w:fldCharType="separate"/>
        </w:r>
        <w:r w:rsidRPr="00F465DD">
          <w:rPr>
            <w:rFonts w:ascii="Arial" w:hAnsi="Arial" w:cs="Arial"/>
            <w:b/>
            <w:bCs/>
            <w:noProof/>
            <w:sz w:val="18"/>
            <w:szCs w:val="18"/>
          </w:rPr>
          <w:t>2</w:t>
        </w:r>
        <w:r w:rsidRPr="00F465DD">
          <w:rPr>
            <w:rFonts w:ascii="Arial" w:hAnsi="Arial" w:cs="Arial"/>
            <w:b/>
            <w:bCs/>
            <w:sz w:val="18"/>
            <w:szCs w:val="18"/>
          </w:rPr>
          <w:fldChar w:fldCharType="end"/>
        </w:r>
        <w:r w:rsidRPr="00F465DD">
          <w:rPr>
            <w:rFonts w:ascii="Arial" w:hAnsi="Arial" w:cs="Arial"/>
            <w:sz w:val="18"/>
            <w:szCs w:val="18"/>
          </w:rPr>
          <w:t xml:space="preserve"> of </w:t>
        </w:r>
        <w:r w:rsidRPr="00F465DD">
          <w:rPr>
            <w:rFonts w:ascii="Arial" w:hAnsi="Arial" w:cs="Arial"/>
            <w:b/>
            <w:bCs/>
            <w:sz w:val="18"/>
            <w:szCs w:val="18"/>
          </w:rPr>
          <w:fldChar w:fldCharType="begin"/>
        </w:r>
        <w:r w:rsidRPr="00F465DD">
          <w:rPr>
            <w:rFonts w:ascii="Arial" w:hAnsi="Arial" w:cs="Arial"/>
            <w:b/>
            <w:bCs/>
            <w:sz w:val="18"/>
            <w:szCs w:val="18"/>
          </w:rPr>
          <w:instrText xml:space="preserve"> NUMPAGES  </w:instrText>
        </w:r>
        <w:r w:rsidRPr="00F465DD">
          <w:rPr>
            <w:rFonts w:ascii="Arial" w:hAnsi="Arial" w:cs="Arial"/>
            <w:b/>
            <w:bCs/>
            <w:sz w:val="18"/>
            <w:szCs w:val="18"/>
          </w:rPr>
          <w:fldChar w:fldCharType="separate"/>
        </w:r>
        <w:r w:rsidRPr="00F465DD">
          <w:rPr>
            <w:rFonts w:ascii="Arial" w:hAnsi="Arial" w:cs="Arial"/>
            <w:b/>
            <w:bCs/>
            <w:noProof/>
            <w:sz w:val="18"/>
            <w:szCs w:val="18"/>
          </w:rPr>
          <w:t>2</w:t>
        </w:r>
        <w:r w:rsidRPr="00F465DD">
          <w:rPr>
            <w:rFonts w:ascii="Arial" w:hAnsi="Arial" w:cs="Arial"/>
            <w:b/>
            <w:bCs/>
            <w:sz w:val="18"/>
            <w:szCs w:val="18"/>
          </w:rPr>
          <w:fldChar w:fldCharType="end"/>
        </w:r>
      </w:p>
    </w:sdtContent>
  </w:sdt>
  <w:p w:rsidR="00F465DD" w:rsidRDefault="00F465DD" w:rsidP="00F465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5CC"/>
    <w:multiLevelType w:val="hybridMultilevel"/>
    <w:tmpl w:val="566CE3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6F3724"/>
    <w:multiLevelType w:val="hybridMultilevel"/>
    <w:tmpl w:val="1BE0AEBC"/>
    <w:lvl w:ilvl="0" w:tplc="C614A492">
      <w:start w:val="1"/>
      <w:numFmt w:val="lowerRoman"/>
      <w:lvlText w:val="%1."/>
      <w:lvlJc w:val="left"/>
      <w:pPr>
        <w:ind w:left="1077" w:hanging="72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2" w15:restartNumberingAfterBreak="0">
    <w:nsid w:val="069F4255"/>
    <w:multiLevelType w:val="hybridMultilevel"/>
    <w:tmpl w:val="3F6EDF3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0825D7"/>
    <w:multiLevelType w:val="hybridMultilevel"/>
    <w:tmpl w:val="4B4637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A5E60"/>
    <w:multiLevelType w:val="hybridMultilevel"/>
    <w:tmpl w:val="4D04E9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944559"/>
    <w:multiLevelType w:val="hybridMultilevel"/>
    <w:tmpl w:val="337A37D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667E5B"/>
    <w:multiLevelType w:val="hybridMultilevel"/>
    <w:tmpl w:val="89248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576E8"/>
    <w:multiLevelType w:val="hybridMultilevel"/>
    <w:tmpl w:val="3ABA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C3777"/>
    <w:multiLevelType w:val="hybridMultilevel"/>
    <w:tmpl w:val="21AC3A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35D75"/>
    <w:multiLevelType w:val="hybridMultilevel"/>
    <w:tmpl w:val="4CE44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86AEF"/>
    <w:multiLevelType w:val="hybridMultilevel"/>
    <w:tmpl w:val="5ABA1E0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BC6C8A"/>
    <w:multiLevelType w:val="hybridMultilevel"/>
    <w:tmpl w:val="384895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D660A"/>
    <w:multiLevelType w:val="hybridMultilevel"/>
    <w:tmpl w:val="56B86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193B08"/>
    <w:multiLevelType w:val="hybridMultilevel"/>
    <w:tmpl w:val="03FE8F38"/>
    <w:lvl w:ilvl="0" w:tplc="0B5ABEA2">
      <w:start w:val="1"/>
      <w:numFmt w:val="low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4" w15:restartNumberingAfterBreak="0">
    <w:nsid w:val="5053550D"/>
    <w:multiLevelType w:val="hybridMultilevel"/>
    <w:tmpl w:val="3C4A5992"/>
    <w:lvl w:ilvl="0" w:tplc="FA74C4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E1A63"/>
    <w:multiLevelType w:val="hybridMultilevel"/>
    <w:tmpl w:val="5392597C"/>
    <w:lvl w:ilvl="0" w:tplc="5614B2AE">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C13FB"/>
    <w:multiLevelType w:val="hybridMultilevel"/>
    <w:tmpl w:val="384895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1C757C"/>
    <w:multiLevelType w:val="hybridMultilevel"/>
    <w:tmpl w:val="0EA4206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8"/>
  </w:num>
  <w:num w:numId="2">
    <w:abstractNumId w:val="11"/>
  </w:num>
  <w:num w:numId="3">
    <w:abstractNumId w:val="9"/>
  </w:num>
  <w:num w:numId="4">
    <w:abstractNumId w:val="15"/>
  </w:num>
  <w:num w:numId="5">
    <w:abstractNumId w:val="6"/>
  </w:num>
  <w:num w:numId="6">
    <w:abstractNumId w:val="12"/>
  </w:num>
  <w:num w:numId="7">
    <w:abstractNumId w:val="7"/>
  </w:num>
  <w:num w:numId="8">
    <w:abstractNumId w:val="14"/>
  </w:num>
  <w:num w:numId="9">
    <w:abstractNumId w:val="16"/>
  </w:num>
  <w:num w:numId="10">
    <w:abstractNumId w:val="13"/>
  </w:num>
  <w:num w:numId="11">
    <w:abstractNumId w:val="5"/>
  </w:num>
  <w:num w:numId="12">
    <w:abstractNumId w:val="2"/>
  </w:num>
  <w:num w:numId="13">
    <w:abstractNumId w:val="18"/>
  </w:num>
  <w:num w:numId="14">
    <w:abstractNumId w:val="17"/>
  </w:num>
  <w:num w:numId="15">
    <w:abstractNumId w:val="10"/>
  </w:num>
  <w:num w:numId="16">
    <w:abstractNumId w:val="1"/>
  </w:num>
  <w:num w:numId="17">
    <w:abstractNumId w:val="4"/>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2AD"/>
    <w:rsid w:val="000F3B81"/>
    <w:rsid w:val="001347D7"/>
    <w:rsid w:val="0017203C"/>
    <w:rsid w:val="001757B3"/>
    <w:rsid w:val="001B657B"/>
    <w:rsid w:val="001E30F3"/>
    <w:rsid w:val="001F2FF0"/>
    <w:rsid w:val="00233822"/>
    <w:rsid w:val="00233DD2"/>
    <w:rsid w:val="002457CC"/>
    <w:rsid w:val="002615A5"/>
    <w:rsid w:val="002967B0"/>
    <w:rsid w:val="002A0834"/>
    <w:rsid w:val="002C3330"/>
    <w:rsid w:val="003015C9"/>
    <w:rsid w:val="00305464"/>
    <w:rsid w:val="00366D7A"/>
    <w:rsid w:val="00384825"/>
    <w:rsid w:val="003859E6"/>
    <w:rsid w:val="00394F82"/>
    <w:rsid w:val="00410812"/>
    <w:rsid w:val="00436D08"/>
    <w:rsid w:val="004765CD"/>
    <w:rsid w:val="004915A9"/>
    <w:rsid w:val="00491BD1"/>
    <w:rsid w:val="004A531C"/>
    <w:rsid w:val="004B2712"/>
    <w:rsid w:val="004C31C2"/>
    <w:rsid w:val="004D3C57"/>
    <w:rsid w:val="004E0F9E"/>
    <w:rsid w:val="004E757C"/>
    <w:rsid w:val="00522F86"/>
    <w:rsid w:val="0053571B"/>
    <w:rsid w:val="005506AA"/>
    <w:rsid w:val="00596B29"/>
    <w:rsid w:val="005F04D7"/>
    <w:rsid w:val="006041D7"/>
    <w:rsid w:val="006362AD"/>
    <w:rsid w:val="00645E70"/>
    <w:rsid w:val="006528C0"/>
    <w:rsid w:val="00667ED6"/>
    <w:rsid w:val="0069770E"/>
    <w:rsid w:val="00707BC4"/>
    <w:rsid w:val="00717E18"/>
    <w:rsid w:val="00734F67"/>
    <w:rsid w:val="00753E04"/>
    <w:rsid w:val="00760BD3"/>
    <w:rsid w:val="0080188F"/>
    <w:rsid w:val="00835D93"/>
    <w:rsid w:val="008A1D63"/>
    <w:rsid w:val="008C68FB"/>
    <w:rsid w:val="00924681"/>
    <w:rsid w:val="00925A5C"/>
    <w:rsid w:val="00927C0B"/>
    <w:rsid w:val="00954602"/>
    <w:rsid w:val="00956AB2"/>
    <w:rsid w:val="009F3D80"/>
    <w:rsid w:val="00A006F6"/>
    <w:rsid w:val="00A04635"/>
    <w:rsid w:val="00A205AE"/>
    <w:rsid w:val="00A40293"/>
    <w:rsid w:val="00A45DA0"/>
    <w:rsid w:val="00A53CB6"/>
    <w:rsid w:val="00AE2398"/>
    <w:rsid w:val="00B047A0"/>
    <w:rsid w:val="00B33E8F"/>
    <w:rsid w:val="00B52657"/>
    <w:rsid w:val="00BA7E07"/>
    <w:rsid w:val="00C15811"/>
    <w:rsid w:val="00C167EA"/>
    <w:rsid w:val="00C42F5E"/>
    <w:rsid w:val="00CA57C6"/>
    <w:rsid w:val="00CD76E1"/>
    <w:rsid w:val="00CE34B4"/>
    <w:rsid w:val="00D10AA2"/>
    <w:rsid w:val="00D54032"/>
    <w:rsid w:val="00D65FE8"/>
    <w:rsid w:val="00DA0896"/>
    <w:rsid w:val="00E018BE"/>
    <w:rsid w:val="00E30CB5"/>
    <w:rsid w:val="00E80DE4"/>
    <w:rsid w:val="00EB2915"/>
    <w:rsid w:val="00EC0809"/>
    <w:rsid w:val="00EC7041"/>
    <w:rsid w:val="00F05D19"/>
    <w:rsid w:val="00F221F4"/>
    <w:rsid w:val="00F4596C"/>
    <w:rsid w:val="00F465DD"/>
    <w:rsid w:val="00F63B58"/>
    <w:rsid w:val="00F74EC4"/>
    <w:rsid w:val="00F93857"/>
    <w:rsid w:val="00FA2FC5"/>
    <w:rsid w:val="00FD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BC3C"/>
  <w15:docId w15:val="{92F0BB06-009A-454D-B66D-1BB120B7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2AD"/>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AD"/>
    <w:pPr>
      <w:ind w:left="720"/>
      <w:contextualSpacing/>
    </w:pPr>
  </w:style>
  <w:style w:type="paragraph" w:customStyle="1" w:styleId="Default">
    <w:name w:val="Default"/>
    <w:rsid w:val="006362AD"/>
    <w:pPr>
      <w:autoSpaceDE w:val="0"/>
      <w:autoSpaceDN w:val="0"/>
      <w:adjustRightInd w:val="0"/>
      <w:spacing w:after="0" w:line="240" w:lineRule="auto"/>
    </w:pPr>
    <w:rPr>
      <w:rFonts w:ascii="Calibri" w:hAnsi="Calibri" w:cs="Calibri"/>
      <w:color w:val="000000"/>
      <w:sz w:val="24"/>
      <w:szCs w:val="24"/>
      <w:lang w:val="en-CA"/>
    </w:rPr>
  </w:style>
  <w:style w:type="character" w:styleId="Hyperlink">
    <w:name w:val="Hyperlink"/>
    <w:basedOn w:val="DefaultParagraphFont"/>
    <w:uiPriority w:val="99"/>
    <w:unhideWhenUsed/>
    <w:rsid w:val="006362AD"/>
    <w:rPr>
      <w:color w:val="0563C1" w:themeColor="hyperlink"/>
      <w:u w:val="single"/>
    </w:rPr>
  </w:style>
  <w:style w:type="paragraph" w:styleId="BalloonText">
    <w:name w:val="Balloon Text"/>
    <w:basedOn w:val="Normal"/>
    <w:link w:val="BalloonTextChar"/>
    <w:uiPriority w:val="99"/>
    <w:semiHidden/>
    <w:unhideWhenUsed/>
    <w:rsid w:val="00233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DD2"/>
    <w:rPr>
      <w:rFonts w:ascii="Tahoma" w:hAnsi="Tahoma" w:cs="Tahoma"/>
      <w:sz w:val="16"/>
      <w:szCs w:val="16"/>
      <w:lang w:val="en-CA"/>
    </w:rPr>
  </w:style>
  <w:style w:type="paragraph" w:styleId="Header">
    <w:name w:val="header"/>
    <w:basedOn w:val="Normal"/>
    <w:link w:val="HeaderChar"/>
    <w:uiPriority w:val="99"/>
    <w:unhideWhenUsed/>
    <w:rsid w:val="00F4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DD"/>
    <w:rPr>
      <w:lang w:val="en-CA"/>
    </w:rPr>
  </w:style>
  <w:style w:type="paragraph" w:styleId="Footer">
    <w:name w:val="footer"/>
    <w:basedOn w:val="Normal"/>
    <w:link w:val="FooterChar"/>
    <w:uiPriority w:val="99"/>
    <w:unhideWhenUsed/>
    <w:rsid w:val="00F4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5DD"/>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11</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Benincasa</dc:creator>
  <cp:keywords/>
  <dc:description/>
  <cp:lastModifiedBy>Cameron McKenzie</cp:lastModifiedBy>
  <cp:revision>25</cp:revision>
  <dcterms:created xsi:type="dcterms:W3CDTF">2019-01-28T16:30:00Z</dcterms:created>
  <dcterms:modified xsi:type="dcterms:W3CDTF">2019-01-30T12:49:00Z</dcterms:modified>
</cp:coreProperties>
</file>