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DC1" w:rsidRDefault="006955C5" w:rsidP="00D24EA7">
      <w:pPr>
        <w:rPr>
          <w:rFonts w:ascii="Arial" w:hAnsi="Arial" w:cs="Arial"/>
          <w:sz w:val="22"/>
          <w:szCs w:val="22"/>
        </w:rPr>
      </w:pPr>
      <w:r>
        <w:rPr>
          <w:noProof/>
        </w:rPr>
        <w:drawing>
          <wp:anchor distT="0" distB="0" distL="114300" distR="114300" simplePos="0" relativeHeight="251657728" behindDoc="0" locked="0" layoutInCell="1" allowOverlap="0">
            <wp:simplePos x="0" y="0"/>
            <wp:positionH relativeFrom="column">
              <wp:posOffset>-133350</wp:posOffset>
            </wp:positionH>
            <wp:positionV relativeFrom="paragraph">
              <wp:posOffset>-45085</wp:posOffset>
            </wp:positionV>
            <wp:extent cx="866775" cy="914400"/>
            <wp:effectExtent l="19050" t="0" r="9525" b="0"/>
            <wp:wrapTight wrapText="bothSides">
              <wp:wrapPolygon edited="0">
                <wp:start x="-475" y="0"/>
                <wp:lineTo x="-475" y="21150"/>
                <wp:lineTo x="21837" y="21150"/>
                <wp:lineTo x="21837" y="0"/>
                <wp:lineTo x="-475" y="0"/>
              </wp:wrapPolygon>
            </wp:wrapTight>
            <wp:docPr id="2" name="Picture 2" descr="Milton Hyd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ton Hydro Logo"/>
                    <pic:cNvPicPr>
                      <a:picLocks noChangeAspect="1" noChangeArrowheads="1"/>
                    </pic:cNvPicPr>
                  </pic:nvPicPr>
                  <pic:blipFill>
                    <a:blip r:embed="rId5" cstate="print"/>
                    <a:srcRect/>
                    <a:stretch>
                      <a:fillRect/>
                    </a:stretch>
                  </pic:blipFill>
                  <pic:spPr bwMode="auto">
                    <a:xfrm>
                      <a:off x="0" y="0"/>
                      <a:ext cx="866775" cy="914400"/>
                    </a:xfrm>
                    <a:prstGeom prst="rect">
                      <a:avLst/>
                    </a:prstGeom>
                    <a:noFill/>
                    <a:ln w="9525">
                      <a:noFill/>
                      <a:miter lim="800000"/>
                      <a:headEnd/>
                      <a:tailEnd/>
                    </a:ln>
                  </pic:spPr>
                </pic:pic>
              </a:graphicData>
            </a:graphic>
          </wp:anchor>
        </w:drawing>
      </w:r>
    </w:p>
    <w:p w:rsidR="00D24EA7" w:rsidRDefault="00D24EA7" w:rsidP="00D24EA7">
      <w:pPr>
        <w:rPr>
          <w:rFonts w:ascii="Arial" w:hAnsi="Arial" w:cs="Arial"/>
        </w:rPr>
      </w:pPr>
      <w:r>
        <w:rPr>
          <w:rFonts w:ascii="Arial" w:hAnsi="Arial" w:cs="Arial"/>
          <w:b/>
          <w:smallCaps/>
          <w:sz w:val="36"/>
        </w:rPr>
        <w:t>Milton Hydro Distribution Inc.</w:t>
      </w:r>
      <w:r>
        <w:rPr>
          <w:rFonts w:ascii="Arial" w:hAnsi="Arial" w:cs="Arial"/>
        </w:rPr>
        <w:t xml:space="preserve">                    </w:t>
      </w:r>
    </w:p>
    <w:p w:rsidR="00D24EA7" w:rsidRPr="000200E3" w:rsidRDefault="002F257A" w:rsidP="00D24EA7">
      <w:pPr>
        <w:rPr>
          <w:rFonts w:ascii="Arial" w:hAnsi="Arial" w:cs="Arial"/>
          <w:sz w:val="22"/>
          <w:szCs w:val="22"/>
        </w:rPr>
      </w:pPr>
      <w:r>
        <w:rPr>
          <w:rFonts w:ascii="Arial" w:hAnsi="Arial" w:cs="Arial"/>
          <w:sz w:val="22"/>
          <w:szCs w:val="22"/>
        </w:rPr>
        <w:t>200 Chisholm Drive</w:t>
      </w:r>
      <w:r w:rsidR="000200E3" w:rsidRPr="000200E3">
        <w:rPr>
          <w:rFonts w:ascii="Arial" w:hAnsi="Arial" w:cs="Arial"/>
          <w:sz w:val="22"/>
          <w:szCs w:val="22"/>
        </w:rPr>
        <w:t xml:space="preserve">, Milton, Ontario, L9T </w:t>
      </w:r>
      <w:r>
        <w:rPr>
          <w:rFonts w:ascii="Arial" w:hAnsi="Arial" w:cs="Arial"/>
          <w:sz w:val="22"/>
          <w:szCs w:val="22"/>
        </w:rPr>
        <w:t>3G9</w:t>
      </w:r>
      <w:r w:rsidR="00D24EA7" w:rsidRPr="000200E3">
        <w:rPr>
          <w:rFonts w:ascii="Arial" w:hAnsi="Arial" w:cs="Arial"/>
          <w:sz w:val="22"/>
          <w:szCs w:val="22"/>
        </w:rPr>
        <w:t xml:space="preserve">            </w:t>
      </w:r>
    </w:p>
    <w:p w:rsidR="00D24EA7" w:rsidRDefault="00D24EA7" w:rsidP="00D24EA7">
      <w:pPr>
        <w:rPr>
          <w:rFonts w:ascii="Arial" w:hAnsi="Arial" w:cs="Arial"/>
        </w:rPr>
      </w:pPr>
      <w:r w:rsidRPr="000200E3">
        <w:rPr>
          <w:rFonts w:ascii="Arial" w:hAnsi="Arial" w:cs="Arial"/>
          <w:sz w:val="22"/>
          <w:szCs w:val="22"/>
        </w:rPr>
        <w:t>Telephone (905) 876-4611    ●    Fax (905) 876-2044</w:t>
      </w:r>
    </w:p>
    <w:p w:rsidR="006955C5" w:rsidRDefault="006955C5" w:rsidP="00D24EA7">
      <w:pPr>
        <w:rPr>
          <w:rFonts w:ascii="Arial" w:hAnsi="Arial" w:cs="Arial"/>
        </w:rPr>
      </w:pPr>
    </w:p>
    <w:p w:rsidR="006955C5" w:rsidRPr="00086B9E" w:rsidRDefault="006955C5" w:rsidP="00086B9E">
      <w:pPr>
        <w:jc w:val="both"/>
        <w:rPr>
          <w:rFonts w:ascii="Arial" w:hAnsi="Arial" w:cs="Arial"/>
          <w:sz w:val="22"/>
          <w:szCs w:val="22"/>
        </w:rPr>
      </w:pPr>
    </w:p>
    <w:p w:rsidR="00C91FD6" w:rsidRPr="00342A28" w:rsidRDefault="00C10F1C" w:rsidP="00FC7389">
      <w:pPr>
        <w:rPr>
          <w:rFonts w:ascii="Arial" w:hAnsi="Arial" w:cs="Arial"/>
          <w:b/>
          <w:sz w:val="22"/>
          <w:szCs w:val="22"/>
        </w:rPr>
      </w:pPr>
      <w:bookmarkStart w:id="0" w:name="_GoBack"/>
      <w:r w:rsidRPr="00342A28">
        <w:rPr>
          <w:rFonts w:ascii="Arial" w:hAnsi="Arial" w:cs="Arial"/>
          <w:b/>
          <w:sz w:val="22"/>
          <w:szCs w:val="22"/>
        </w:rPr>
        <w:t>By Email</w:t>
      </w:r>
    </w:p>
    <w:bookmarkEnd w:id="0"/>
    <w:p w:rsidR="00C91FD6" w:rsidRDefault="00C91FD6" w:rsidP="00FC7389">
      <w:pPr>
        <w:rPr>
          <w:rFonts w:ascii="Arial" w:hAnsi="Arial" w:cs="Arial"/>
          <w:sz w:val="22"/>
          <w:szCs w:val="22"/>
        </w:rPr>
      </w:pPr>
    </w:p>
    <w:p w:rsidR="00FC7389" w:rsidRPr="00FC7389" w:rsidRDefault="002137E8" w:rsidP="00FC7389">
      <w:pPr>
        <w:rPr>
          <w:rFonts w:ascii="Arial" w:hAnsi="Arial" w:cs="Arial"/>
          <w:sz w:val="22"/>
          <w:szCs w:val="22"/>
        </w:rPr>
      </w:pPr>
      <w:r>
        <w:rPr>
          <w:rFonts w:ascii="Arial" w:hAnsi="Arial" w:cs="Arial"/>
          <w:sz w:val="22"/>
          <w:szCs w:val="22"/>
        </w:rPr>
        <w:t>January 29, 2019</w:t>
      </w:r>
    </w:p>
    <w:p w:rsidR="00FC7389" w:rsidRPr="00FC7389" w:rsidRDefault="00FC7389" w:rsidP="00FC7389">
      <w:pPr>
        <w:rPr>
          <w:rFonts w:ascii="Arial" w:hAnsi="Arial" w:cs="Arial"/>
          <w:sz w:val="22"/>
          <w:szCs w:val="22"/>
        </w:rPr>
      </w:pPr>
    </w:p>
    <w:p w:rsidR="00FC7389" w:rsidRPr="00FC7389" w:rsidRDefault="00C575F2" w:rsidP="00BC3C99">
      <w:pPr>
        <w:spacing w:line="300" w:lineRule="atLeast"/>
        <w:jc w:val="both"/>
        <w:rPr>
          <w:rFonts w:ascii="Arial" w:hAnsi="Arial" w:cs="Arial"/>
          <w:sz w:val="22"/>
          <w:szCs w:val="22"/>
        </w:rPr>
      </w:pPr>
      <w:r>
        <w:rPr>
          <w:rFonts w:ascii="Arial" w:hAnsi="Arial" w:cs="Arial"/>
          <w:sz w:val="22"/>
          <w:szCs w:val="22"/>
        </w:rPr>
        <w:t xml:space="preserve">Ms. </w:t>
      </w:r>
      <w:r w:rsidR="00C75D30">
        <w:rPr>
          <w:rFonts w:ascii="Arial" w:hAnsi="Arial" w:cs="Arial"/>
          <w:sz w:val="22"/>
          <w:szCs w:val="22"/>
        </w:rPr>
        <w:t>Kelli Benincasa</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 xml:space="preserve">Ontario Energy Board </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P.O. Box 2319</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2300 Yonge Street</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27</w:t>
      </w:r>
      <w:r w:rsidRPr="00FC7389">
        <w:rPr>
          <w:rFonts w:ascii="Arial" w:hAnsi="Arial" w:cs="Arial"/>
          <w:sz w:val="22"/>
          <w:szCs w:val="22"/>
          <w:vertAlign w:val="superscript"/>
        </w:rPr>
        <w:t>th</w:t>
      </w:r>
      <w:r w:rsidRPr="00FC7389">
        <w:rPr>
          <w:rFonts w:ascii="Arial" w:hAnsi="Arial" w:cs="Arial"/>
          <w:sz w:val="22"/>
          <w:szCs w:val="22"/>
        </w:rPr>
        <w:t xml:space="preserve"> Floor</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Toronto, ON</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M4P 1E4</w:t>
      </w:r>
    </w:p>
    <w:p w:rsidR="00FC7389" w:rsidRDefault="00FC7389" w:rsidP="00BC3C99">
      <w:pPr>
        <w:spacing w:line="300" w:lineRule="atLeast"/>
        <w:jc w:val="both"/>
        <w:rPr>
          <w:rFonts w:ascii="Arial" w:hAnsi="Arial" w:cs="Arial"/>
          <w:sz w:val="22"/>
          <w:szCs w:val="22"/>
        </w:rPr>
      </w:pPr>
    </w:p>
    <w:p w:rsidR="00FC7389" w:rsidRPr="00FC7389" w:rsidRDefault="00FC7389" w:rsidP="00BC3C99">
      <w:pPr>
        <w:spacing w:line="300" w:lineRule="atLeast"/>
        <w:jc w:val="both"/>
        <w:rPr>
          <w:rFonts w:ascii="Arial" w:hAnsi="Arial" w:cs="Arial"/>
          <w:sz w:val="22"/>
          <w:szCs w:val="22"/>
        </w:rPr>
      </w:pPr>
    </w:p>
    <w:p w:rsidR="003E0B53" w:rsidRDefault="00FC7389" w:rsidP="00BC3C99">
      <w:pPr>
        <w:spacing w:line="300" w:lineRule="atLeast"/>
        <w:ind w:left="720" w:hanging="720"/>
        <w:jc w:val="both"/>
        <w:rPr>
          <w:rFonts w:ascii="Arial" w:hAnsi="Arial" w:cs="Arial"/>
          <w:b/>
          <w:sz w:val="22"/>
          <w:szCs w:val="22"/>
        </w:rPr>
      </w:pPr>
      <w:r w:rsidRPr="00FC7389">
        <w:rPr>
          <w:rFonts w:ascii="Arial" w:hAnsi="Arial" w:cs="Arial"/>
          <w:b/>
          <w:sz w:val="22"/>
          <w:szCs w:val="22"/>
        </w:rPr>
        <w:t>Re:</w:t>
      </w:r>
      <w:r w:rsidRPr="00FC7389">
        <w:rPr>
          <w:rFonts w:ascii="Arial" w:hAnsi="Arial" w:cs="Arial"/>
          <w:b/>
          <w:sz w:val="22"/>
          <w:szCs w:val="22"/>
        </w:rPr>
        <w:tab/>
      </w:r>
      <w:r w:rsidR="003E0B53" w:rsidRPr="00C575F2">
        <w:rPr>
          <w:rFonts w:ascii="Arial" w:hAnsi="Arial" w:cs="Arial"/>
          <w:b/>
          <w:sz w:val="22"/>
          <w:szCs w:val="22"/>
        </w:rPr>
        <w:t>Milton</w:t>
      </w:r>
      <w:r w:rsidR="003E0B53">
        <w:rPr>
          <w:rFonts w:ascii="Arial" w:hAnsi="Arial" w:cs="Arial"/>
          <w:b/>
          <w:sz w:val="22"/>
          <w:szCs w:val="22"/>
        </w:rPr>
        <w:t xml:space="preserve"> Hydro Distribution Inc. ED-2003-0014</w:t>
      </w:r>
    </w:p>
    <w:p w:rsidR="00BC3C99" w:rsidRDefault="002137E8" w:rsidP="002137E8">
      <w:pPr>
        <w:spacing w:line="300" w:lineRule="atLeast"/>
        <w:ind w:left="720"/>
        <w:jc w:val="both"/>
        <w:rPr>
          <w:rFonts w:ascii="Arial" w:hAnsi="Arial" w:cs="Arial"/>
          <w:b/>
          <w:sz w:val="22"/>
          <w:szCs w:val="22"/>
        </w:rPr>
      </w:pPr>
      <w:r>
        <w:rPr>
          <w:rFonts w:ascii="Arial" w:hAnsi="Arial" w:cs="Arial"/>
          <w:b/>
          <w:sz w:val="22"/>
          <w:szCs w:val="22"/>
        </w:rPr>
        <w:t xml:space="preserve">2019 IRM Rate Application, </w:t>
      </w:r>
      <w:r w:rsidR="00C575F2">
        <w:rPr>
          <w:rFonts w:ascii="Arial" w:hAnsi="Arial" w:cs="Arial"/>
          <w:b/>
          <w:sz w:val="22"/>
          <w:szCs w:val="22"/>
        </w:rPr>
        <w:t>OEB File No. EB-201</w:t>
      </w:r>
      <w:r w:rsidR="008B4FDE">
        <w:rPr>
          <w:rFonts w:ascii="Arial" w:hAnsi="Arial" w:cs="Arial"/>
          <w:b/>
          <w:sz w:val="22"/>
          <w:szCs w:val="22"/>
        </w:rPr>
        <w:t>8-0053</w:t>
      </w:r>
    </w:p>
    <w:p w:rsidR="002137E8" w:rsidRPr="00C575F2" w:rsidRDefault="002137E8" w:rsidP="002137E8">
      <w:pPr>
        <w:spacing w:line="300" w:lineRule="atLeast"/>
        <w:ind w:left="720"/>
        <w:jc w:val="both"/>
        <w:rPr>
          <w:rFonts w:ascii="Arial" w:hAnsi="Arial" w:cs="Arial"/>
          <w:b/>
          <w:sz w:val="22"/>
          <w:szCs w:val="22"/>
        </w:rPr>
      </w:pPr>
      <w:r>
        <w:rPr>
          <w:rFonts w:ascii="Arial" w:hAnsi="Arial" w:cs="Arial"/>
          <w:b/>
          <w:sz w:val="22"/>
          <w:szCs w:val="22"/>
        </w:rPr>
        <w:t>Interrogatory Responses to OEB Staff</w:t>
      </w:r>
    </w:p>
    <w:p w:rsidR="00BC3C99" w:rsidRDefault="00BC3C99" w:rsidP="0055114D">
      <w:pPr>
        <w:spacing w:after="120" w:line="360" w:lineRule="auto"/>
        <w:contextualSpacing/>
        <w:jc w:val="both"/>
        <w:rPr>
          <w:rFonts w:ascii="Arial" w:hAnsi="Arial" w:cs="Arial"/>
          <w:sz w:val="22"/>
          <w:szCs w:val="22"/>
        </w:rPr>
      </w:pPr>
    </w:p>
    <w:p w:rsidR="0055114D" w:rsidRDefault="003F3876" w:rsidP="0055114D">
      <w:pPr>
        <w:spacing w:after="60" w:line="280" w:lineRule="atLeast"/>
        <w:jc w:val="both"/>
        <w:rPr>
          <w:rFonts w:ascii="Arial" w:hAnsi="Arial" w:cs="Arial"/>
          <w:sz w:val="22"/>
          <w:szCs w:val="22"/>
        </w:rPr>
      </w:pPr>
      <w:r>
        <w:rPr>
          <w:rFonts w:ascii="Arial" w:hAnsi="Arial" w:cs="Arial"/>
          <w:sz w:val="22"/>
          <w:szCs w:val="22"/>
        </w:rPr>
        <w:t xml:space="preserve">Please find enclosed </w:t>
      </w:r>
      <w:r w:rsidR="0055114D">
        <w:rPr>
          <w:rFonts w:ascii="Arial" w:hAnsi="Arial" w:cs="Arial"/>
          <w:sz w:val="22"/>
          <w:szCs w:val="22"/>
        </w:rPr>
        <w:t xml:space="preserve">Milton Hydro’s Interrogatory Responses (“IRRs”) to OEB Staff.  In preparing these responses Milton Hydro </w:t>
      </w:r>
      <w:r w:rsidR="00535F52">
        <w:rPr>
          <w:rFonts w:ascii="Arial" w:hAnsi="Arial" w:cs="Arial"/>
          <w:sz w:val="22"/>
          <w:szCs w:val="22"/>
        </w:rPr>
        <w:t xml:space="preserve">also </w:t>
      </w:r>
      <w:r w:rsidR="0055114D">
        <w:rPr>
          <w:rFonts w:ascii="Arial" w:hAnsi="Arial" w:cs="Arial"/>
          <w:sz w:val="22"/>
          <w:szCs w:val="22"/>
        </w:rPr>
        <w:t xml:space="preserve">made changes to the Models </w:t>
      </w:r>
      <w:r w:rsidR="00535F52">
        <w:rPr>
          <w:rFonts w:ascii="Arial" w:hAnsi="Arial" w:cs="Arial"/>
          <w:sz w:val="22"/>
          <w:szCs w:val="22"/>
        </w:rPr>
        <w:t>resulting from its IRR responses.</w:t>
      </w:r>
    </w:p>
    <w:p w:rsidR="00535F52" w:rsidRDefault="00535F52" w:rsidP="0055114D">
      <w:pPr>
        <w:spacing w:after="60" w:line="280" w:lineRule="atLeast"/>
        <w:jc w:val="both"/>
        <w:rPr>
          <w:rFonts w:ascii="Arial" w:hAnsi="Arial" w:cs="Arial"/>
          <w:sz w:val="22"/>
          <w:szCs w:val="22"/>
        </w:rPr>
      </w:pPr>
    </w:p>
    <w:p w:rsidR="0055114D" w:rsidRDefault="0055114D" w:rsidP="0055114D">
      <w:pPr>
        <w:spacing w:after="60" w:line="280" w:lineRule="atLeast"/>
        <w:jc w:val="both"/>
        <w:rPr>
          <w:rFonts w:ascii="Arial" w:hAnsi="Arial" w:cs="Arial"/>
          <w:sz w:val="22"/>
          <w:szCs w:val="22"/>
        </w:rPr>
      </w:pPr>
      <w:r>
        <w:rPr>
          <w:rFonts w:ascii="Arial" w:hAnsi="Arial" w:cs="Arial"/>
          <w:sz w:val="22"/>
          <w:szCs w:val="22"/>
        </w:rPr>
        <w:t>2019 IRM Rate Generator Model – V1.1</w:t>
      </w:r>
    </w:p>
    <w:p w:rsidR="0055114D" w:rsidRDefault="0055114D" w:rsidP="0055114D">
      <w:pPr>
        <w:pStyle w:val="ListParagraph"/>
        <w:numPr>
          <w:ilvl w:val="0"/>
          <w:numId w:val="3"/>
        </w:numPr>
        <w:spacing w:after="60" w:line="280" w:lineRule="atLeast"/>
        <w:ind w:left="714" w:hanging="357"/>
        <w:contextualSpacing w:val="0"/>
        <w:jc w:val="both"/>
        <w:rPr>
          <w:rFonts w:ascii="Arial" w:hAnsi="Arial" w:cs="Arial"/>
          <w:sz w:val="22"/>
          <w:szCs w:val="22"/>
        </w:rPr>
      </w:pPr>
      <w:r>
        <w:rPr>
          <w:rFonts w:ascii="Arial" w:hAnsi="Arial" w:cs="Arial"/>
          <w:sz w:val="22"/>
          <w:szCs w:val="22"/>
        </w:rPr>
        <w:t>Tab 3. Continuity Schedule:</w:t>
      </w:r>
    </w:p>
    <w:p w:rsidR="00851DFA" w:rsidRDefault="0055114D" w:rsidP="00535F52">
      <w:pPr>
        <w:pStyle w:val="ListParagraph"/>
        <w:numPr>
          <w:ilvl w:val="2"/>
          <w:numId w:val="4"/>
        </w:numPr>
        <w:spacing w:after="60" w:line="280" w:lineRule="atLeast"/>
        <w:ind w:left="1071" w:hanging="357"/>
        <w:contextualSpacing w:val="0"/>
        <w:jc w:val="both"/>
        <w:rPr>
          <w:rFonts w:ascii="Arial" w:hAnsi="Arial" w:cs="Arial"/>
          <w:sz w:val="22"/>
          <w:szCs w:val="22"/>
        </w:rPr>
      </w:pPr>
      <w:r w:rsidRPr="00851DFA">
        <w:rPr>
          <w:rFonts w:ascii="Arial" w:hAnsi="Arial" w:cs="Arial"/>
          <w:sz w:val="22"/>
          <w:szCs w:val="22"/>
        </w:rPr>
        <w:t xml:space="preserve">1595 (2012) input should be </w:t>
      </w:r>
      <w:r w:rsidR="00851DFA" w:rsidRPr="00851DFA">
        <w:rPr>
          <w:rFonts w:ascii="Arial" w:hAnsi="Arial" w:cs="Arial"/>
          <w:sz w:val="22"/>
          <w:szCs w:val="22"/>
        </w:rPr>
        <w:t>1595 (</w:t>
      </w:r>
      <w:r w:rsidRPr="00851DFA">
        <w:rPr>
          <w:rFonts w:ascii="Arial" w:hAnsi="Arial" w:cs="Arial"/>
          <w:sz w:val="22"/>
          <w:szCs w:val="22"/>
        </w:rPr>
        <w:t>2014</w:t>
      </w:r>
      <w:r w:rsidR="00851DFA" w:rsidRPr="00851DFA">
        <w:rPr>
          <w:rFonts w:ascii="Arial" w:hAnsi="Arial" w:cs="Arial"/>
          <w:sz w:val="22"/>
          <w:szCs w:val="22"/>
        </w:rPr>
        <w:t>)</w:t>
      </w:r>
      <w:r w:rsidRPr="00851DFA">
        <w:rPr>
          <w:rFonts w:ascii="Arial" w:hAnsi="Arial" w:cs="Arial"/>
          <w:sz w:val="22"/>
          <w:szCs w:val="22"/>
        </w:rPr>
        <w:t xml:space="preserve"> </w:t>
      </w:r>
      <w:r w:rsidR="00851DFA" w:rsidRPr="00851DFA">
        <w:rPr>
          <w:rFonts w:ascii="Arial" w:hAnsi="Arial" w:cs="Arial"/>
          <w:sz w:val="22"/>
          <w:szCs w:val="22"/>
        </w:rPr>
        <w:t xml:space="preserve">for recovery of Milton Hydro’s Z-Factor Application for the December 2013 Ice Storm. The data has been corrected to the appropriate account line.  Similarly, the RRR data reported for 1595 (2012) and should be 1595 (2014).  Milton Hydro is requesting disposition of account 1595 (2014), as noted in the </w:t>
      </w:r>
      <w:r w:rsidR="00851DFA">
        <w:rPr>
          <w:rFonts w:ascii="Arial" w:hAnsi="Arial" w:cs="Arial"/>
          <w:sz w:val="22"/>
          <w:szCs w:val="22"/>
        </w:rPr>
        <w:t>V</w:t>
      </w:r>
      <w:r w:rsidR="00851DFA" w:rsidRPr="00851DFA">
        <w:rPr>
          <w:rFonts w:ascii="Arial" w:hAnsi="Arial" w:cs="Arial"/>
          <w:sz w:val="22"/>
          <w:szCs w:val="22"/>
        </w:rPr>
        <w:t>ariance</w:t>
      </w:r>
      <w:r w:rsidR="00851DFA">
        <w:rPr>
          <w:rFonts w:ascii="Arial" w:hAnsi="Arial" w:cs="Arial"/>
          <w:sz w:val="22"/>
          <w:szCs w:val="22"/>
        </w:rPr>
        <w:t xml:space="preserve"> column (BV) the data for each of these two accounts balance each other zero.  Milton Hydro will correct the RRR data in its </w:t>
      </w:r>
      <w:proofErr w:type="gramStart"/>
      <w:r w:rsidR="00851DFA">
        <w:rPr>
          <w:rFonts w:ascii="Arial" w:hAnsi="Arial" w:cs="Arial"/>
          <w:sz w:val="22"/>
          <w:szCs w:val="22"/>
        </w:rPr>
        <w:t>2018 year</w:t>
      </w:r>
      <w:proofErr w:type="gramEnd"/>
      <w:r w:rsidR="00851DFA">
        <w:rPr>
          <w:rFonts w:ascii="Arial" w:hAnsi="Arial" w:cs="Arial"/>
          <w:sz w:val="22"/>
          <w:szCs w:val="22"/>
        </w:rPr>
        <w:t xml:space="preserve"> end filing.</w:t>
      </w:r>
    </w:p>
    <w:p w:rsidR="0055114D" w:rsidRDefault="00851DFA" w:rsidP="00535F52">
      <w:pPr>
        <w:pStyle w:val="ListParagraph"/>
        <w:numPr>
          <w:ilvl w:val="2"/>
          <w:numId w:val="4"/>
        </w:numPr>
        <w:spacing w:after="60" w:line="280" w:lineRule="atLeast"/>
        <w:ind w:left="1071" w:hanging="357"/>
        <w:contextualSpacing w:val="0"/>
        <w:jc w:val="both"/>
        <w:rPr>
          <w:rFonts w:ascii="Arial" w:hAnsi="Arial" w:cs="Arial"/>
          <w:sz w:val="22"/>
          <w:szCs w:val="22"/>
        </w:rPr>
      </w:pPr>
      <w:r>
        <w:rPr>
          <w:rFonts w:ascii="Arial" w:hAnsi="Arial" w:cs="Arial"/>
          <w:sz w:val="22"/>
          <w:szCs w:val="22"/>
        </w:rPr>
        <w:t xml:space="preserve">Milton Hydro has checked the box for the disposition of 1595 (2016) as noted </w:t>
      </w:r>
      <w:r w:rsidR="00BC0B2E">
        <w:rPr>
          <w:rFonts w:ascii="Arial" w:hAnsi="Arial" w:cs="Arial"/>
          <w:sz w:val="22"/>
          <w:szCs w:val="22"/>
        </w:rPr>
        <w:t>in</w:t>
      </w:r>
      <w:r>
        <w:rPr>
          <w:rFonts w:ascii="Arial" w:hAnsi="Arial" w:cs="Arial"/>
          <w:sz w:val="22"/>
          <w:szCs w:val="22"/>
        </w:rPr>
        <w:t xml:space="preserve"> OEB Staff</w:t>
      </w:r>
      <w:r w:rsidR="00BC0B2E">
        <w:rPr>
          <w:rFonts w:ascii="Arial" w:hAnsi="Arial" w:cs="Arial"/>
          <w:sz w:val="22"/>
          <w:szCs w:val="22"/>
        </w:rPr>
        <w:t>-2.</w:t>
      </w:r>
    </w:p>
    <w:p w:rsidR="00851DFA" w:rsidRDefault="00E745E7" w:rsidP="00851DFA">
      <w:pPr>
        <w:pStyle w:val="ListParagraph"/>
        <w:numPr>
          <w:ilvl w:val="0"/>
          <w:numId w:val="4"/>
        </w:numPr>
        <w:spacing w:after="60" w:line="280" w:lineRule="atLeast"/>
        <w:ind w:left="714" w:hanging="357"/>
        <w:jc w:val="both"/>
        <w:rPr>
          <w:rFonts w:ascii="Arial" w:hAnsi="Arial" w:cs="Arial"/>
          <w:sz w:val="22"/>
          <w:szCs w:val="22"/>
        </w:rPr>
      </w:pPr>
      <w:r>
        <w:rPr>
          <w:rFonts w:ascii="Arial" w:hAnsi="Arial" w:cs="Arial"/>
          <w:sz w:val="22"/>
          <w:szCs w:val="22"/>
        </w:rPr>
        <w:t>Tab 6.1a GA Allocation has been corrected for 2016 and 2017 as per Milton Hydro’s IRR response to OEB Staff-1.</w:t>
      </w:r>
    </w:p>
    <w:p w:rsidR="00E745E7" w:rsidRDefault="00E745E7" w:rsidP="00851DFA">
      <w:pPr>
        <w:pStyle w:val="ListParagraph"/>
        <w:numPr>
          <w:ilvl w:val="0"/>
          <w:numId w:val="4"/>
        </w:numPr>
        <w:spacing w:after="60" w:line="280" w:lineRule="atLeast"/>
        <w:ind w:left="714" w:hanging="357"/>
        <w:jc w:val="both"/>
        <w:rPr>
          <w:rFonts w:ascii="Arial" w:hAnsi="Arial" w:cs="Arial"/>
          <w:sz w:val="22"/>
          <w:szCs w:val="22"/>
        </w:rPr>
      </w:pPr>
      <w:r>
        <w:rPr>
          <w:rFonts w:ascii="Arial" w:hAnsi="Arial" w:cs="Arial"/>
          <w:sz w:val="22"/>
          <w:szCs w:val="22"/>
        </w:rPr>
        <w:t>Tab 6.2a CBR B Allocation has been corrected for 2016 and 2017 as per Milton Hydro’s IRR response to OEB Staff-1.</w:t>
      </w:r>
    </w:p>
    <w:p w:rsidR="00E745E7" w:rsidRDefault="00E745E7" w:rsidP="00851DFA">
      <w:pPr>
        <w:pStyle w:val="ListParagraph"/>
        <w:numPr>
          <w:ilvl w:val="0"/>
          <w:numId w:val="4"/>
        </w:numPr>
        <w:spacing w:after="60" w:line="280" w:lineRule="atLeast"/>
        <w:ind w:left="714" w:hanging="357"/>
        <w:jc w:val="both"/>
        <w:rPr>
          <w:rFonts w:ascii="Arial" w:hAnsi="Arial" w:cs="Arial"/>
          <w:sz w:val="22"/>
          <w:szCs w:val="22"/>
        </w:rPr>
      </w:pPr>
      <w:r>
        <w:rPr>
          <w:rFonts w:ascii="Arial" w:hAnsi="Arial" w:cs="Arial"/>
          <w:sz w:val="22"/>
          <w:szCs w:val="22"/>
        </w:rPr>
        <w:t>Tab 17. Regulatory Charges has been updated to the OEB Approved Regulatory Charges for 2019.</w:t>
      </w:r>
    </w:p>
    <w:p w:rsidR="00E745E7" w:rsidRDefault="00E745E7" w:rsidP="00851DFA">
      <w:pPr>
        <w:pStyle w:val="ListParagraph"/>
        <w:numPr>
          <w:ilvl w:val="0"/>
          <w:numId w:val="4"/>
        </w:numPr>
        <w:spacing w:after="60" w:line="280" w:lineRule="atLeast"/>
        <w:ind w:left="714" w:hanging="357"/>
        <w:jc w:val="both"/>
        <w:rPr>
          <w:rFonts w:ascii="Arial" w:hAnsi="Arial" w:cs="Arial"/>
          <w:sz w:val="22"/>
          <w:szCs w:val="22"/>
        </w:rPr>
      </w:pPr>
      <w:r>
        <w:rPr>
          <w:rFonts w:ascii="Arial" w:hAnsi="Arial" w:cs="Arial"/>
          <w:sz w:val="22"/>
          <w:szCs w:val="22"/>
        </w:rPr>
        <w:t xml:space="preserve">Tab 19. Final Tariff Schedule has been updated accordingly. </w:t>
      </w:r>
      <w:r w:rsidRPr="00535F52">
        <w:rPr>
          <w:rFonts w:ascii="Arial" w:hAnsi="Arial" w:cs="Arial"/>
          <w:sz w:val="22"/>
          <w:szCs w:val="22"/>
          <w:u w:val="single"/>
        </w:rPr>
        <w:t>NOTE</w:t>
      </w:r>
      <w:r>
        <w:rPr>
          <w:rFonts w:ascii="Arial" w:hAnsi="Arial" w:cs="Arial"/>
          <w:sz w:val="22"/>
          <w:szCs w:val="22"/>
        </w:rPr>
        <w:t xml:space="preserve">: </w:t>
      </w:r>
      <w:r w:rsidR="00BC0B2E">
        <w:rPr>
          <w:rFonts w:ascii="Arial" w:hAnsi="Arial" w:cs="Arial"/>
          <w:sz w:val="22"/>
          <w:szCs w:val="22"/>
        </w:rPr>
        <w:t>The</w:t>
      </w:r>
      <w:r>
        <w:rPr>
          <w:rFonts w:ascii="Arial" w:hAnsi="Arial" w:cs="Arial"/>
          <w:sz w:val="22"/>
          <w:szCs w:val="22"/>
        </w:rPr>
        <w:t xml:space="preserve"> Tariff Schedule for the </w:t>
      </w:r>
      <w:r w:rsidR="00A9456E">
        <w:rPr>
          <w:rFonts w:ascii="Arial" w:hAnsi="Arial" w:cs="Arial"/>
          <w:sz w:val="22"/>
          <w:szCs w:val="22"/>
        </w:rPr>
        <w:t>kW demand billed customer classes has the CBR rate rider identified as a $/kWh rate rider when this should be a $/kW rate rider. Milton Hydro’s Tariff also attached has corrected this from the Model.</w:t>
      </w:r>
    </w:p>
    <w:p w:rsidR="00A9456E" w:rsidRDefault="00A9456E" w:rsidP="00851DFA">
      <w:pPr>
        <w:pStyle w:val="ListParagraph"/>
        <w:numPr>
          <w:ilvl w:val="0"/>
          <w:numId w:val="4"/>
        </w:numPr>
        <w:spacing w:after="60" w:line="280" w:lineRule="atLeast"/>
        <w:ind w:left="714" w:hanging="357"/>
        <w:jc w:val="both"/>
        <w:rPr>
          <w:rFonts w:ascii="Arial" w:hAnsi="Arial" w:cs="Arial"/>
          <w:sz w:val="22"/>
          <w:szCs w:val="22"/>
        </w:rPr>
      </w:pPr>
      <w:r>
        <w:rPr>
          <w:rFonts w:ascii="Arial" w:hAnsi="Arial" w:cs="Arial"/>
          <w:sz w:val="22"/>
          <w:szCs w:val="22"/>
        </w:rPr>
        <w:t>Tab 20. Bill Impacts has been updated accordingly.</w:t>
      </w:r>
    </w:p>
    <w:p w:rsidR="00A9456E" w:rsidRDefault="00A9456E" w:rsidP="00A9456E">
      <w:pPr>
        <w:spacing w:after="60" w:line="280" w:lineRule="atLeast"/>
        <w:jc w:val="both"/>
        <w:rPr>
          <w:rFonts w:ascii="Arial" w:hAnsi="Arial" w:cs="Arial"/>
          <w:sz w:val="22"/>
          <w:szCs w:val="22"/>
        </w:rPr>
      </w:pPr>
    </w:p>
    <w:p w:rsidR="00A9456E" w:rsidRDefault="00A9456E" w:rsidP="00A9456E">
      <w:pPr>
        <w:spacing w:after="60" w:line="280" w:lineRule="atLeast"/>
        <w:jc w:val="both"/>
        <w:rPr>
          <w:rFonts w:ascii="Arial" w:hAnsi="Arial" w:cs="Arial"/>
          <w:sz w:val="22"/>
          <w:szCs w:val="22"/>
        </w:rPr>
      </w:pPr>
      <w:r>
        <w:rPr>
          <w:rFonts w:ascii="Arial" w:hAnsi="Arial" w:cs="Arial"/>
          <w:sz w:val="22"/>
          <w:szCs w:val="22"/>
        </w:rPr>
        <w:lastRenderedPageBreak/>
        <w:t xml:space="preserve">Account 1595 Analysis </w:t>
      </w:r>
      <w:proofErr w:type="spellStart"/>
      <w:r>
        <w:rPr>
          <w:rFonts w:ascii="Arial" w:hAnsi="Arial" w:cs="Arial"/>
          <w:sz w:val="22"/>
          <w:szCs w:val="22"/>
        </w:rPr>
        <w:t>Workform</w:t>
      </w:r>
      <w:proofErr w:type="spellEnd"/>
      <w:r>
        <w:rPr>
          <w:rFonts w:ascii="Arial" w:hAnsi="Arial" w:cs="Arial"/>
          <w:sz w:val="22"/>
          <w:szCs w:val="22"/>
        </w:rPr>
        <w:t>:</w:t>
      </w:r>
    </w:p>
    <w:p w:rsidR="00A9456E" w:rsidRPr="00A9456E" w:rsidRDefault="00A9456E" w:rsidP="00A9456E">
      <w:pPr>
        <w:pStyle w:val="ListParagraph"/>
        <w:numPr>
          <w:ilvl w:val="0"/>
          <w:numId w:val="5"/>
        </w:numPr>
        <w:spacing w:after="60" w:line="280" w:lineRule="atLeast"/>
        <w:jc w:val="both"/>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Workform</w:t>
      </w:r>
      <w:proofErr w:type="spellEnd"/>
      <w:r>
        <w:rPr>
          <w:rFonts w:ascii="Arial" w:hAnsi="Arial" w:cs="Arial"/>
          <w:sz w:val="22"/>
          <w:szCs w:val="22"/>
        </w:rPr>
        <w:t xml:space="preserve"> </w:t>
      </w:r>
      <w:r w:rsidRPr="00A9456E">
        <w:rPr>
          <w:rFonts w:ascii="Arial" w:hAnsi="Arial" w:cs="Arial"/>
          <w:sz w:val="22"/>
          <w:szCs w:val="22"/>
        </w:rPr>
        <w:t xml:space="preserve">has been updated for both the 1595 (2014) and 1595 (2016) account </w:t>
      </w:r>
      <w:r>
        <w:rPr>
          <w:rFonts w:ascii="Arial" w:hAnsi="Arial" w:cs="Arial"/>
          <w:sz w:val="22"/>
          <w:szCs w:val="22"/>
        </w:rPr>
        <w:t xml:space="preserve">requested for </w:t>
      </w:r>
      <w:r w:rsidRPr="00A9456E">
        <w:rPr>
          <w:rFonts w:ascii="Arial" w:hAnsi="Arial" w:cs="Arial"/>
          <w:sz w:val="22"/>
          <w:szCs w:val="22"/>
        </w:rPr>
        <w:t xml:space="preserve">disposition. Both analyses are within the +/- 10% threshold. </w:t>
      </w:r>
    </w:p>
    <w:p w:rsidR="00851DFA" w:rsidRDefault="00851DFA" w:rsidP="00851DFA">
      <w:pPr>
        <w:spacing w:after="60" w:line="280" w:lineRule="atLeast"/>
        <w:jc w:val="both"/>
        <w:rPr>
          <w:rFonts w:ascii="Arial" w:hAnsi="Arial" w:cs="Arial"/>
          <w:sz w:val="22"/>
          <w:szCs w:val="22"/>
        </w:rPr>
      </w:pPr>
    </w:p>
    <w:p w:rsidR="00BC0B2E" w:rsidRDefault="00BC0B2E" w:rsidP="00851DFA">
      <w:pPr>
        <w:spacing w:after="60" w:line="280" w:lineRule="atLeast"/>
        <w:jc w:val="both"/>
        <w:rPr>
          <w:rFonts w:ascii="Arial" w:hAnsi="Arial" w:cs="Arial"/>
          <w:sz w:val="22"/>
          <w:szCs w:val="22"/>
        </w:rPr>
      </w:pPr>
      <w:r>
        <w:rPr>
          <w:rFonts w:ascii="Arial" w:hAnsi="Arial" w:cs="Arial"/>
          <w:sz w:val="22"/>
          <w:szCs w:val="22"/>
        </w:rPr>
        <w:t xml:space="preserve">GA Analysis </w:t>
      </w:r>
      <w:proofErr w:type="spellStart"/>
      <w:r>
        <w:rPr>
          <w:rFonts w:ascii="Arial" w:hAnsi="Arial" w:cs="Arial"/>
          <w:sz w:val="22"/>
          <w:szCs w:val="22"/>
        </w:rPr>
        <w:t>Workform</w:t>
      </w:r>
      <w:proofErr w:type="spellEnd"/>
      <w:r>
        <w:rPr>
          <w:rFonts w:ascii="Arial" w:hAnsi="Arial" w:cs="Arial"/>
          <w:sz w:val="22"/>
          <w:szCs w:val="22"/>
        </w:rPr>
        <w:t>:</w:t>
      </w:r>
    </w:p>
    <w:p w:rsidR="00BC0B2E" w:rsidRPr="00BC0B2E" w:rsidRDefault="00BC0B2E" w:rsidP="00BC0B2E">
      <w:pPr>
        <w:pStyle w:val="ListParagraph"/>
        <w:numPr>
          <w:ilvl w:val="0"/>
          <w:numId w:val="6"/>
        </w:numPr>
        <w:spacing w:after="60" w:line="280" w:lineRule="atLeast"/>
        <w:ind w:left="714" w:hanging="357"/>
        <w:jc w:val="both"/>
        <w:rPr>
          <w:rFonts w:ascii="Arial" w:hAnsi="Arial" w:cs="Arial"/>
          <w:sz w:val="22"/>
          <w:szCs w:val="22"/>
        </w:rPr>
      </w:pPr>
      <w:r>
        <w:rPr>
          <w:rFonts w:ascii="Arial" w:hAnsi="Arial" w:cs="Arial"/>
          <w:sz w:val="22"/>
          <w:szCs w:val="22"/>
        </w:rPr>
        <w:t xml:space="preserve">Tab GA 2017 has been adjusted in Note 5 Line 3b as an amount was included that is not a reconciling item per Milton Hydro’s IRR response </w:t>
      </w:r>
      <w:r w:rsidR="009E3F90">
        <w:rPr>
          <w:rFonts w:ascii="Arial" w:hAnsi="Arial" w:cs="Arial"/>
          <w:sz w:val="22"/>
          <w:szCs w:val="22"/>
        </w:rPr>
        <w:t xml:space="preserve">to </w:t>
      </w:r>
      <w:r>
        <w:rPr>
          <w:rFonts w:ascii="Arial" w:hAnsi="Arial" w:cs="Arial"/>
          <w:sz w:val="22"/>
          <w:szCs w:val="22"/>
        </w:rPr>
        <w:t>OEB Staff-6</w:t>
      </w:r>
      <w:r w:rsidR="009E3F90">
        <w:rPr>
          <w:rFonts w:ascii="Arial" w:hAnsi="Arial" w:cs="Arial"/>
          <w:sz w:val="22"/>
          <w:szCs w:val="22"/>
        </w:rPr>
        <w:t xml:space="preserve"> a).</w:t>
      </w:r>
    </w:p>
    <w:p w:rsidR="00BC0B2E" w:rsidRDefault="00BC0B2E" w:rsidP="00851DFA">
      <w:pPr>
        <w:spacing w:after="60" w:line="280" w:lineRule="atLeast"/>
        <w:jc w:val="both"/>
        <w:rPr>
          <w:rFonts w:ascii="Arial" w:hAnsi="Arial" w:cs="Arial"/>
          <w:sz w:val="22"/>
          <w:szCs w:val="22"/>
        </w:rPr>
      </w:pPr>
    </w:p>
    <w:p w:rsidR="009249B8" w:rsidRPr="00851DFA" w:rsidRDefault="00C10F1C" w:rsidP="00851DFA">
      <w:pPr>
        <w:spacing w:after="60" w:line="280" w:lineRule="atLeast"/>
        <w:jc w:val="both"/>
        <w:rPr>
          <w:rFonts w:ascii="Arial" w:hAnsi="Arial" w:cs="Arial"/>
          <w:sz w:val="22"/>
          <w:szCs w:val="22"/>
        </w:rPr>
      </w:pPr>
      <w:r>
        <w:rPr>
          <w:rFonts w:ascii="Arial" w:hAnsi="Arial" w:cs="Arial"/>
          <w:sz w:val="22"/>
          <w:szCs w:val="22"/>
        </w:rPr>
        <w:t xml:space="preserve">Included with this email response are </w:t>
      </w:r>
      <w:r w:rsidR="009249B8">
        <w:rPr>
          <w:rFonts w:ascii="Arial" w:hAnsi="Arial" w:cs="Arial"/>
          <w:sz w:val="22"/>
          <w:szCs w:val="22"/>
        </w:rPr>
        <w:t>Milton Hydro</w:t>
      </w:r>
      <w:r>
        <w:rPr>
          <w:rFonts w:ascii="Arial" w:hAnsi="Arial" w:cs="Arial"/>
          <w:sz w:val="22"/>
          <w:szCs w:val="22"/>
        </w:rPr>
        <w:t xml:space="preserve">’s </w:t>
      </w:r>
      <w:r w:rsidR="00BC0B2E">
        <w:rPr>
          <w:rFonts w:ascii="Arial" w:hAnsi="Arial" w:cs="Arial"/>
          <w:sz w:val="22"/>
          <w:szCs w:val="22"/>
        </w:rPr>
        <w:t>IRRs</w:t>
      </w:r>
      <w:r>
        <w:rPr>
          <w:rFonts w:ascii="Arial" w:hAnsi="Arial" w:cs="Arial"/>
          <w:sz w:val="22"/>
          <w:szCs w:val="22"/>
        </w:rPr>
        <w:t xml:space="preserve">; the updated Rate Generator Model; the updated 1595 Analysis </w:t>
      </w:r>
      <w:proofErr w:type="spellStart"/>
      <w:r>
        <w:rPr>
          <w:rFonts w:ascii="Arial" w:hAnsi="Arial" w:cs="Arial"/>
          <w:sz w:val="22"/>
          <w:szCs w:val="22"/>
        </w:rPr>
        <w:t>Workform</w:t>
      </w:r>
      <w:proofErr w:type="spellEnd"/>
      <w:r>
        <w:rPr>
          <w:rFonts w:ascii="Arial" w:hAnsi="Arial" w:cs="Arial"/>
          <w:sz w:val="22"/>
          <w:szCs w:val="22"/>
        </w:rPr>
        <w:t xml:space="preserve">; the updated GA Analysis </w:t>
      </w:r>
      <w:proofErr w:type="spellStart"/>
      <w:r>
        <w:rPr>
          <w:rFonts w:ascii="Arial" w:hAnsi="Arial" w:cs="Arial"/>
          <w:sz w:val="22"/>
          <w:szCs w:val="22"/>
        </w:rPr>
        <w:t>Workform</w:t>
      </w:r>
      <w:proofErr w:type="spellEnd"/>
      <w:r>
        <w:rPr>
          <w:rFonts w:ascii="Arial" w:hAnsi="Arial" w:cs="Arial"/>
          <w:sz w:val="22"/>
          <w:szCs w:val="22"/>
        </w:rPr>
        <w:t>.</w:t>
      </w:r>
      <w:r w:rsidR="00054F6B">
        <w:rPr>
          <w:rFonts w:ascii="Arial" w:hAnsi="Arial" w:cs="Arial"/>
          <w:sz w:val="22"/>
          <w:szCs w:val="22"/>
        </w:rPr>
        <w:t xml:space="preserve">  Should you </w:t>
      </w:r>
      <w:proofErr w:type="gramStart"/>
      <w:r w:rsidR="00054F6B">
        <w:rPr>
          <w:rFonts w:ascii="Arial" w:hAnsi="Arial" w:cs="Arial"/>
          <w:sz w:val="22"/>
          <w:szCs w:val="22"/>
        </w:rPr>
        <w:t>required</w:t>
      </w:r>
      <w:proofErr w:type="gramEnd"/>
      <w:r w:rsidR="00054F6B">
        <w:rPr>
          <w:rFonts w:ascii="Arial" w:hAnsi="Arial" w:cs="Arial"/>
          <w:sz w:val="22"/>
          <w:szCs w:val="22"/>
        </w:rPr>
        <w:t xml:space="preserve"> th</w:t>
      </w:r>
      <w:r w:rsidR="00A5170E">
        <w:rPr>
          <w:rFonts w:ascii="Arial" w:hAnsi="Arial" w:cs="Arial"/>
          <w:sz w:val="22"/>
          <w:szCs w:val="22"/>
        </w:rPr>
        <w:t>e updated models filed through the RESS please let me know.</w:t>
      </w:r>
    </w:p>
    <w:p w:rsidR="0055114D" w:rsidRPr="0055114D" w:rsidRDefault="0055114D" w:rsidP="0055114D">
      <w:pPr>
        <w:pStyle w:val="ListParagraph"/>
        <w:spacing w:after="60" w:line="280" w:lineRule="atLeast"/>
        <w:ind w:left="714"/>
        <w:contextualSpacing w:val="0"/>
        <w:jc w:val="both"/>
        <w:rPr>
          <w:rFonts w:ascii="Arial" w:hAnsi="Arial" w:cs="Arial"/>
          <w:sz w:val="22"/>
          <w:szCs w:val="22"/>
        </w:rPr>
      </w:pPr>
    </w:p>
    <w:p w:rsidR="00FC7389" w:rsidRPr="00FC7389" w:rsidRDefault="00FC7389" w:rsidP="0055114D">
      <w:pPr>
        <w:spacing w:after="60" w:line="280" w:lineRule="atLeast"/>
        <w:jc w:val="both"/>
        <w:rPr>
          <w:rFonts w:ascii="Arial" w:hAnsi="Arial" w:cs="Arial"/>
          <w:sz w:val="22"/>
          <w:szCs w:val="22"/>
        </w:rPr>
      </w:pPr>
      <w:r w:rsidRPr="00FC7389">
        <w:rPr>
          <w:rFonts w:ascii="Arial" w:hAnsi="Arial" w:cs="Arial"/>
          <w:sz w:val="22"/>
          <w:szCs w:val="22"/>
        </w:rPr>
        <w:t>Yours truly,</w:t>
      </w:r>
    </w:p>
    <w:p w:rsidR="003E0B53" w:rsidRDefault="003E0B53" w:rsidP="00FC7389">
      <w:pPr>
        <w:spacing w:line="360" w:lineRule="auto"/>
        <w:rPr>
          <w:rFonts w:ascii="Arial" w:hAnsi="Arial" w:cs="Arial"/>
          <w:i/>
          <w:sz w:val="22"/>
          <w:szCs w:val="22"/>
        </w:rPr>
      </w:pPr>
    </w:p>
    <w:p w:rsidR="003E0B53" w:rsidRPr="003E0B53" w:rsidRDefault="003E0B53" w:rsidP="00FC7389">
      <w:pPr>
        <w:spacing w:line="360" w:lineRule="auto"/>
        <w:rPr>
          <w:rFonts w:ascii="Arial" w:hAnsi="Arial" w:cs="Arial"/>
          <w:i/>
          <w:sz w:val="22"/>
          <w:szCs w:val="22"/>
        </w:rPr>
      </w:pPr>
      <w:r w:rsidRPr="003E0B53">
        <w:rPr>
          <w:rFonts w:ascii="Arial" w:hAnsi="Arial" w:cs="Arial"/>
          <w:i/>
          <w:sz w:val="22"/>
          <w:szCs w:val="22"/>
        </w:rPr>
        <w:t>Original Signed</w:t>
      </w:r>
    </w:p>
    <w:p w:rsidR="003E0B53" w:rsidRDefault="003E0B53" w:rsidP="00FC7389">
      <w:pPr>
        <w:spacing w:line="360" w:lineRule="auto"/>
        <w:rPr>
          <w:rFonts w:ascii="Arial" w:hAnsi="Arial" w:cs="Arial"/>
          <w:sz w:val="22"/>
          <w:szCs w:val="22"/>
        </w:rPr>
      </w:pPr>
    </w:p>
    <w:p w:rsidR="003E0B53" w:rsidRDefault="003E0B53" w:rsidP="00FC7389">
      <w:pPr>
        <w:spacing w:line="360" w:lineRule="auto"/>
        <w:rPr>
          <w:rFonts w:ascii="Arial" w:hAnsi="Arial" w:cs="Arial"/>
          <w:sz w:val="22"/>
          <w:szCs w:val="22"/>
        </w:rPr>
      </w:pPr>
    </w:p>
    <w:p w:rsidR="00FC7389" w:rsidRPr="00FC7389" w:rsidRDefault="00FC7389" w:rsidP="00FC7389">
      <w:pPr>
        <w:spacing w:line="360" w:lineRule="auto"/>
        <w:rPr>
          <w:rFonts w:ascii="Arial" w:hAnsi="Arial" w:cs="Arial"/>
          <w:sz w:val="22"/>
          <w:szCs w:val="22"/>
        </w:rPr>
      </w:pPr>
      <w:r w:rsidRPr="00FC7389">
        <w:rPr>
          <w:rFonts w:ascii="Arial" w:hAnsi="Arial" w:cs="Arial"/>
          <w:sz w:val="22"/>
          <w:szCs w:val="22"/>
        </w:rPr>
        <w:t>Cameron McKenzie</w:t>
      </w:r>
      <w:r w:rsidR="003E0B53">
        <w:rPr>
          <w:rFonts w:ascii="Arial" w:hAnsi="Arial" w:cs="Arial"/>
          <w:sz w:val="22"/>
          <w:szCs w:val="22"/>
        </w:rPr>
        <w:t xml:space="preserve"> CPA, CGA</w:t>
      </w:r>
    </w:p>
    <w:p w:rsidR="00FC7389" w:rsidRDefault="00FC7389" w:rsidP="00FC7389">
      <w:pPr>
        <w:spacing w:line="360" w:lineRule="auto"/>
        <w:rPr>
          <w:rFonts w:ascii="Arial" w:hAnsi="Arial" w:cs="Arial"/>
          <w:sz w:val="22"/>
          <w:szCs w:val="22"/>
        </w:rPr>
      </w:pPr>
      <w:r w:rsidRPr="00FC7389">
        <w:rPr>
          <w:rFonts w:ascii="Arial" w:hAnsi="Arial" w:cs="Arial"/>
          <w:sz w:val="22"/>
          <w:szCs w:val="22"/>
        </w:rPr>
        <w:t>Director, Regulatory Affairs</w:t>
      </w:r>
    </w:p>
    <w:p w:rsidR="00C91FD6" w:rsidRPr="00FC7389" w:rsidRDefault="00C91FD6" w:rsidP="00FC7389">
      <w:pPr>
        <w:spacing w:line="360" w:lineRule="auto"/>
        <w:rPr>
          <w:rFonts w:ascii="Arial" w:hAnsi="Arial" w:cs="Arial"/>
          <w:sz w:val="22"/>
          <w:szCs w:val="22"/>
        </w:rPr>
      </w:pPr>
      <w:r>
        <w:rPr>
          <w:rFonts w:ascii="Arial" w:hAnsi="Arial" w:cs="Arial"/>
          <w:sz w:val="22"/>
          <w:szCs w:val="22"/>
        </w:rPr>
        <w:t>Milton Hydro Distribution Inc.</w:t>
      </w:r>
    </w:p>
    <w:p w:rsidR="00001DCA" w:rsidRDefault="00001DCA" w:rsidP="00001DCA">
      <w:pPr>
        <w:spacing w:line="300" w:lineRule="atLeast"/>
        <w:rPr>
          <w:rFonts w:ascii="Arial" w:hAnsi="Arial" w:cs="Arial"/>
          <w:sz w:val="22"/>
          <w:szCs w:val="22"/>
        </w:rPr>
      </w:pPr>
    </w:p>
    <w:sectPr w:rsidR="00001DCA" w:rsidSect="00086B9E">
      <w:pgSz w:w="12240" w:h="15840"/>
      <w:pgMar w:top="56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525E"/>
    <w:multiLevelType w:val="hybridMultilevel"/>
    <w:tmpl w:val="438476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08437EB"/>
    <w:multiLevelType w:val="hybridMultilevel"/>
    <w:tmpl w:val="BD62E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D1A7017"/>
    <w:multiLevelType w:val="hybridMultilevel"/>
    <w:tmpl w:val="8A902CF4"/>
    <w:lvl w:ilvl="0" w:tplc="89CE3892">
      <w:start w:val="1"/>
      <w:numFmt w:val="bullet"/>
      <w:lvlText w:val=""/>
      <w:lvlJc w:val="left"/>
      <w:pPr>
        <w:ind w:left="1434" w:hanging="360"/>
      </w:pPr>
      <w:rPr>
        <w:rFonts w:ascii="Symbol" w:hAnsi="Symbol" w:hint="default"/>
      </w:rPr>
    </w:lvl>
    <w:lvl w:ilvl="1" w:tplc="10090003">
      <w:start w:val="1"/>
      <w:numFmt w:val="bullet"/>
      <w:lvlText w:val="o"/>
      <w:lvlJc w:val="left"/>
      <w:pPr>
        <w:ind w:left="2154" w:hanging="360"/>
      </w:pPr>
      <w:rPr>
        <w:rFonts w:ascii="Courier New" w:hAnsi="Courier New" w:cs="Courier New" w:hint="default"/>
      </w:rPr>
    </w:lvl>
    <w:lvl w:ilvl="2" w:tplc="E0F0127C">
      <w:start w:val="1"/>
      <w:numFmt w:val="bullet"/>
      <w:lvlText w:val="o"/>
      <w:lvlJc w:val="left"/>
      <w:pPr>
        <w:ind w:left="2874" w:hanging="360"/>
      </w:pPr>
      <w:rPr>
        <w:rFonts w:ascii="Symbol" w:hAnsi="Symbol" w:cs="Arial" w:hint="default"/>
        <w:sz w:val="20"/>
        <w:szCs w:val="20"/>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3" w15:restartNumberingAfterBreak="0">
    <w:nsid w:val="612524E2"/>
    <w:multiLevelType w:val="hybridMultilevel"/>
    <w:tmpl w:val="37F06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C5F3C54"/>
    <w:multiLevelType w:val="hybridMultilevel"/>
    <w:tmpl w:val="66D6BBC0"/>
    <w:lvl w:ilvl="0" w:tplc="89CE3892">
      <w:start w:val="1"/>
      <w:numFmt w:val="bullet"/>
      <w:lvlText w:val=""/>
      <w:lvlJc w:val="left"/>
      <w:pPr>
        <w:ind w:left="1434"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11E59F7"/>
    <w:multiLevelType w:val="hybridMultilevel"/>
    <w:tmpl w:val="5292FA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EA7"/>
    <w:rsid w:val="00001DCA"/>
    <w:rsid w:val="000200E3"/>
    <w:rsid w:val="0005385D"/>
    <w:rsid w:val="00054F6B"/>
    <w:rsid w:val="00086B9E"/>
    <w:rsid w:val="00137D41"/>
    <w:rsid w:val="002137E8"/>
    <w:rsid w:val="00221538"/>
    <w:rsid w:val="002466E7"/>
    <w:rsid w:val="002975C0"/>
    <w:rsid w:val="002C1DC1"/>
    <w:rsid w:val="002F257A"/>
    <w:rsid w:val="00342A28"/>
    <w:rsid w:val="003E0B53"/>
    <w:rsid w:val="003F3876"/>
    <w:rsid w:val="00446012"/>
    <w:rsid w:val="00535F52"/>
    <w:rsid w:val="0055114D"/>
    <w:rsid w:val="00565E92"/>
    <w:rsid w:val="005A1E36"/>
    <w:rsid w:val="006955C5"/>
    <w:rsid w:val="006958F8"/>
    <w:rsid w:val="006F50EF"/>
    <w:rsid w:val="006F75C5"/>
    <w:rsid w:val="00851DFA"/>
    <w:rsid w:val="008B4FDE"/>
    <w:rsid w:val="008F5C09"/>
    <w:rsid w:val="009249B8"/>
    <w:rsid w:val="009D6DAC"/>
    <w:rsid w:val="009E3F90"/>
    <w:rsid w:val="00A439B6"/>
    <w:rsid w:val="00A5170E"/>
    <w:rsid w:val="00A9456E"/>
    <w:rsid w:val="00AB55A1"/>
    <w:rsid w:val="00B41094"/>
    <w:rsid w:val="00B7637C"/>
    <w:rsid w:val="00BC0B2E"/>
    <w:rsid w:val="00BC3C99"/>
    <w:rsid w:val="00C10F1C"/>
    <w:rsid w:val="00C575F2"/>
    <w:rsid w:val="00C75D30"/>
    <w:rsid w:val="00C91FD6"/>
    <w:rsid w:val="00D24EA7"/>
    <w:rsid w:val="00D60E76"/>
    <w:rsid w:val="00E27CDD"/>
    <w:rsid w:val="00E611BE"/>
    <w:rsid w:val="00E745E7"/>
    <w:rsid w:val="00EE3097"/>
    <w:rsid w:val="00FC7389"/>
    <w:rsid w:val="00FE3D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F9011"/>
  <w15:docId w15:val="{F1906A8B-22AF-4456-B0D1-37BEF251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4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1DCA"/>
    <w:rPr>
      <w:color w:val="0000FF"/>
      <w:u w:val="single"/>
    </w:rPr>
  </w:style>
  <w:style w:type="character" w:styleId="FollowedHyperlink">
    <w:name w:val="FollowedHyperlink"/>
    <w:basedOn w:val="DefaultParagraphFont"/>
    <w:rsid w:val="00001DCA"/>
    <w:rPr>
      <w:color w:val="800080" w:themeColor="followedHyperlink"/>
      <w:u w:val="single"/>
    </w:rPr>
  </w:style>
  <w:style w:type="paragraph" w:styleId="ListParagraph">
    <w:name w:val="List Paragraph"/>
    <w:basedOn w:val="Normal"/>
    <w:uiPriority w:val="34"/>
    <w:qFormat/>
    <w:rsid w:val="00D60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431</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HYDRO-ELECTRIC</dc:creator>
  <cp:lastModifiedBy>Cameron McKenzie</cp:lastModifiedBy>
  <cp:revision>8</cp:revision>
  <dcterms:created xsi:type="dcterms:W3CDTF">2019-01-29T17:53:00Z</dcterms:created>
  <dcterms:modified xsi:type="dcterms:W3CDTF">2019-01-30T12:39:00Z</dcterms:modified>
</cp:coreProperties>
</file>