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468" w:rsidRDefault="009E0C7B" w:rsidP="000B7468">
      <w:pPr>
        <w:spacing w:after="0" w:line="240" w:lineRule="auto"/>
        <w:jc w:val="center"/>
        <w:rPr>
          <w:rFonts w:ascii="Arial" w:hAnsi="Arial" w:cs="Arial"/>
          <w:b/>
          <w:sz w:val="24"/>
          <w:szCs w:val="24"/>
        </w:rPr>
      </w:pPr>
      <w:r>
        <w:rPr>
          <w:rFonts w:ascii="Arial" w:hAnsi="Arial" w:cs="Arial"/>
          <w:b/>
          <w:sz w:val="24"/>
          <w:szCs w:val="24"/>
        </w:rPr>
        <w:t>Greater Sudbury Hydro Inc.</w:t>
      </w:r>
      <w:r w:rsidR="000B7468">
        <w:rPr>
          <w:rFonts w:ascii="Arial" w:hAnsi="Arial" w:cs="Arial"/>
          <w:b/>
          <w:sz w:val="24"/>
          <w:szCs w:val="24"/>
        </w:rPr>
        <w:t xml:space="preserve"> – 2019 Rates Application </w:t>
      </w:r>
      <w:r w:rsidR="000B7468" w:rsidRPr="00A774ED">
        <w:rPr>
          <w:rFonts w:ascii="Arial" w:hAnsi="Arial" w:cs="Arial"/>
          <w:b/>
          <w:sz w:val="24"/>
          <w:szCs w:val="24"/>
        </w:rPr>
        <w:t>(EB-201</w:t>
      </w:r>
      <w:r w:rsidR="000B7468">
        <w:rPr>
          <w:rFonts w:ascii="Arial" w:hAnsi="Arial" w:cs="Arial"/>
          <w:b/>
          <w:sz w:val="24"/>
          <w:szCs w:val="24"/>
        </w:rPr>
        <w:t>8</w:t>
      </w:r>
      <w:r w:rsidR="000B7468" w:rsidRPr="00A774ED">
        <w:rPr>
          <w:rFonts w:ascii="Arial" w:hAnsi="Arial" w:cs="Arial"/>
          <w:b/>
          <w:sz w:val="24"/>
          <w:szCs w:val="24"/>
        </w:rPr>
        <w:t>-0</w:t>
      </w:r>
      <w:r w:rsidR="000B7468">
        <w:rPr>
          <w:rFonts w:ascii="Arial" w:hAnsi="Arial" w:cs="Arial"/>
          <w:b/>
          <w:sz w:val="24"/>
          <w:szCs w:val="24"/>
        </w:rPr>
        <w:t>0</w:t>
      </w:r>
      <w:r>
        <w:rPr>
          <w:rFonts w:ascii="Arial" w:hAnsi="Arial" w:cs="Arial"/>
          <w:b/>
          <w:sz w:val="24"/>
          <w:szCs w:val="24"/>
        </w:rPr>
        <w:t>34</w:t>
      </w:r>
      <w:r w:rsidR="000B7468" w:rsidRPr="00A774ED">
        <w:rPr>
          <w:rFonts w:ascii="Arial" w:hAnsi="Arial" w:cs="Arial"/>
          <w:b/>
          <w:sz w:val="24"/>
          <w:szCs w:val="24"/>
        </w:rPr>
        <w:t>)</w:t>
      </w:r>
    </w:p>
    <w:p w:rsidR="000B7468" w:rsidRDefault="000B7468" w:rsidP="000B7468">
      <w:pPr>
        <w:spacing w:after="0" w:line="240" w:lineRule="auto"/>
        <w:jc w:val="center"/>
        <w:rPr>
          <w:rFonts w:ascii="Arial" w:hAnsi="Arial" w:cs="Arial"/>
          <w:b/>
          <w:sz w:val="24"/>
          <w:szCs w:val="24"/>
        </w:rPr>
      </w:pPr>
      <w:r>
        <w:rPr>
          <w:rFonts w:ascii="Arial" w:hAnsi="Arial" w:cs="Arial"/>
          <w:b/>
          <w:sz w:val="24"/>
          <w:szCs w:val="24"/>
        </w:rPr>
        <w:t xml:space="preserve">OEB Staff </w:t>
      </w:r>
      <w:r w:rsidR="00A75CA8">
        <w:rPr>
          <w:rFonts w:ascii="Arial" w:hAnsi="Arial" w:cs="Arial"/>
          <w:b/>
          <w:sz w:val="24"/>
          <w:szCs w:val="24"/>
        </w:rPr>
        <w:t xml:space="preserve">Follow Up </w:t>
      </w:r>
      <w:r w:rsidRPr="00A774ED">
        <w:rPr>
          <w:rFonts w:ascii="Arial" w:hAnsi="Arial" w:cs="Arial"/>
          <w:b/>
          <w:sz w:val="24"/>
          <w:szCs w:val="24"/>
        </w:rPr>
        <w:t>Question</w:t>
      </w:r>
    </w:p>
    <w:p w:rsidR="000B7468" w:rsidRDefault="00A75CA8" w:rsidP="000B7468">
      <w:pPr>
        <w:spacing w:after="0" w:line="240" w:lineRule="auto"/>
        <w:jc w:val="center"/>
        <w:rPr>
          <w:rFonts w:ascii="Arial" w:hAnsi="Arial" w:cs="Arial"/>
          <w:b/>
          <w:sz w:val="24"/>
          <w:szCs w:val="24"/>
        </w:rPr>
      </w:pPr>
      <w:r>
        <w:rPr>
          <w:rFonts w:ascii="Arial" w:hAnsi="Arial" w:cs="Arial"/>
          <w:b/>
          <w:sz w:val="24"/>
          <w:szCs w:val="24"/>
        </w:rPr>
        <w:t>February 14</w:t>
      </w:r>
      <w:r w:rsidR="000B7468">
        <w:rPr>
          <w:rFonts w:ascii="Arial" w:hAnsi="Arial" w:cs="Arial"/>
          <w:b/>
          <w:sz w:val="24"/>
          <w:szCs w:val="24"/>
        </w:rPr>
        <w:t>, 2019</w:t>
      </w:r>
    </w:p>
    <w:p w:rsidR="000B7468" w:rsidRDefault="000B7468" w:rsidP="000B7468">
      <w:pPr>
        <w:spacing w:line="276" w:lineRule="auto"/>
        <w:rPr>
          <w:rFonts w:ascii="Arial" w:hAnsi="Arial" w:cs="Arial"/>
          <w:b/>
          <w:sz w:val="24"/>
          <w:szCs w:val="24"/>
        </w:rPr>
      </w:pPr>
    </w:p>
    <w:p w:rsidR="000B7468" w:rsidRPr="00746A76" w:rsidRDefault="00DD07EC" w:rsidP="003804E7">
      <w:pPr>
        <w:rPr>
          <w:rFonts w:ascii="Arial" w:hAnsi="Arial" w:cs="Arial"/>
          <w:b/>
          <w:sz w:val="24"/>
          <w:szCs w:val="24"/>
        </w:rPr>
      </w:pPr>
      <w:r>
        <w:rPr>
          <w:rFonts w:ascii="Arial" w:hAnsi="Arial" w:cs="Arial"/>
          <w:b/>
          <w:sz w:val="24"/>
          <w:szCs w:val="24"/>
        </w:rPr>
        <w:t xml:space="preserve">Follow Up </w:t>
      </w:r>
      <w:r w:rsidR="006C6BBA">
        <w:rPr>
          <w:rFonts w:ascii="Arial" w:hAnsi="Arial" w:cs="Arial"/>
          <w:b/>
          <w:sz w:val="24"/>
          <w:szCs w:val="24"/>
        </w:rPr>
        <w:t>Question #</w:t>
      </w:r>
      <w:r w:rsidR="000B7468" w:rsidRPr="00746A76">
        <w:rPr>
          <w:rFonts w:ascii="Arial" w:hAnsi="Arial" w:cs="Arial"/>
          <w:b/>
          <w:sz w:val="24"/>
          <w:szCs w:val="24"/>
        </w:rPr>
        <w:t>1</w:t>
      </w:r>
    </w:p>
    <w:p w:rsidR="000B7468" w:rsidRDefault="006C4EB0" w:rsidP="00AC1361">
      <w:pPr>
        <w:rPr>
          <w:rFonts w:ascii="Arial" w:hAnsi="Arial" w:cs="Arial"/>
          <w:b/>
          <w:sz w:val="24"/>
        </w:rPr>
      </w:pPr>
      <w:r>
        <w:rPr>
          <w:rFonts w:ascii="Arial" w:hAnsi="Arial" w:cs="Arial"/>
          <w:b/>
          <w:sz w:val="24"/>
        </w:rPr>
        <w:t xml:space="preserve">Ref:  </w:t>
      </w:r>
      <w:r w:rsidR="002047BC">
        <w:rPr>
          <w:rFonts w:ascii="Arial" w:hAnsi="Arial" w:cs="Arial"/>
          <w:b/>
          <w:sz w:val="24"/>
        </w:rPr>
        <w:tab/>
      </w:r>
      <w:r w:rsidR="00A75CA8">
        <w:rPr>
          <w:rFonts w:ascii="Arial" w:hAnsi="Arial" w:cs="Arial"/>
          <w:b/>
          <w:sz w:val="24"/>
          <w:szCs w:val="24"/>
        </w:rPr>
        <w:t>Response to Question #2 filed on February 10, 2019</w:t>
      </w:r>
    </w:p>
    <w:p w:rsidR="00A75CA8" w:rsidRDefault="00A75CA8" w:rsidP="00A75CA8">
      <w:pPr>
        <w:spacing w:after="120" w:line="276" w:lineRule="auto"/>
        <w:rPr>
          <w:rFonts w:ascii="Arial" w:hAnsi="Arial" w:cs="Arial"/>
          <w:sz w:val="24"/>
          <w:szCs w:val="24"/>
        </w:rPr>
      </w:pPr>
      <w:r w:rsidRPr="00A75CA8">
        <w:rPr>
          <w:rFonts w:ascii="Arial" w:hAnsi="Arial" w:cs="Arial"/>
          <w:sz w:val="24"/>
          <w:szCs w:val="24"/>
        </w:rPr>
        <w:t xml:space="preserve">Regarding Greater Sudbury Hydro’s response to question #2, it </w:t>
      </w:r>
      <w:r>
        <w:rPr>
          <w:rFonts w:ascii="Arial" w:hAnsi="Arial" w:cs="Arial"/>
          <w:sz w:val="24"/>
          <w:szCs w:val="24"/>
        </w:rPr>
        <w:t>is not</w:t>
      </w:r>
      <w:r w:rsidRPr="00A75CA8">
        <w:rPr>
          <w:rFonts w:ascii="Arial" w:hAnsi="Arial" w:cs="Arial"/>
          <w:sz w:val="24"/>
          <w:szCs w:val="24"/>
        </w:rPr>
        <w:t xml:space="preserve"> clear why there shouldn’t be a CDM manual adjustment from the 2009 COS that can’t be applied as forecast savings in 2012 for purposes of the LRAMVA.  Based on your response, it appears that 1.46 GWh was the CDM manual adjustment and the 2.618 GWh (amount referenced in the decision) was an approved revision</w:t>
      </w:r>
      <w:r>
        <w:rPr>
          <w:rFonts w:ascii="Arial" w:hAnsi="Arial" w:cs="Arial"/>
          <w:sz w:val="24"/>
          <w:szCs w:val="24"/>
        </w:rPr>
        <w:t xml:space="preserve"> to the CDM manual adjustment. </w:t>
      </w:r>
      <w:r w:rsidRPr="00A75CA8">
        <w:rPr>
          <w:rFonts w:ascii="Arial" w:hAnsi="Arial" w:cs="Arial"/>
          <w:sz w:val="24"/>
          <w:szCs w:val="24"/>
        </w:rPr>
        <w:t>In your responses, it appears that the make-up of the 2009 CDM manual adjustment was inclusive of 2006 and 2007 forecast savings, which would have been best available information at the time of developing the 2009 load forecast.</w:t>
      </w:r>
      <w:r>
        <w:rPr>
          <w:rFonts w:ascii="Arial" w:hAnsi="Arial" w:cs="Arial"/>
          <w:sz w:val="24"/>
          <w:szCs w:val="24"/>
        </w:rPr>
        <w:t xml:space="preserve"> Please confirm if this is correct.</w:t>
      </w:r>
      <w:r w:rsidRPr="00A75CA8">
        <w:rPr>
          <w:rFonts w:ascii="Arial" w:hAnsi="Arial" w:cs="Arial"/>
          <w:sz w:val="24"/>
          <w:szCs w:val="24"/>
        </w:rPr>
        <w:t xml:space="preserve"> </w:t>
      </w:r>
    </w:p>
    <w:p w:rsidR="004409E6" w:rsidRPr="00A75CA8" w:rsidRDefault="00A75CA8" w:rsidP="00A75CA8">
      <w:pPr>
        <w:spacing w:after="120" w:line="276" w:lineRule="auto"/>
        <w:rPr>
          <w:rFonts w:ascii="Arial" w:hAnsi="Arial" w:cs="Arial"/>
          <w:sz w:val="24"/>
          <w:szCs w:val="24"/>
        </w:rPr>
      </w:pPr>
      <w:r>
        <w:rPr>
          <w:rFonts w:ascii="Arial" w:hAnsi="Arial" w:cs="Arial"/>
          <w:sz w:val="24"/>
          <w:szCs w:val="24"/>
        </w:rPr>
        <w:t>Please also</w:t>
      </w:r>
      <w:r w:rsidRPr="00A75CA8">
        <w:rPr>
          <w:rFonts w:ascii="Arial" w:hAnsi="Arial" w:cs="Arial"/>
          <w:sz w:val="24"/>
          <w:szCs w:val="24"/>
        </w:rPr>
        <w:t xml:space="preserve"> confirm whether the 2009 load forecast had in fact included an amount of 1.426 GWh for CDM that lowered the 2009 load forecast</w:t>
      </w:r>
      <w:r>
        <w:rPr>
          <w:rFonts w:ascii="Arial" w:hAnsi="Arial" w:cs="Arial"/>
          <w:sz w:val="24"/>
          <w:szCs w:val="24"/>
        </w:rPr>
        <w:t>. </w:t>
      </w:r>
      <w:r w:rsidRPr="00A75CA8">
        <w:rPr>
          <w:rFonts w:ascii="Arial" w:hAnsi="Arial" w:cs="Arial"/>
          <w:sz w:val="24"/>
          <w:szCs w:val="24"/>
        </w:rPr>
        <w:t xml:space="preserve">If this is the case, that CDM adjustment would persist until the next rebasing, in 2013.  Despite the fact that no LRAMVA threshold for 2012 was applied in the disposition of the 2010 and 2011 LRAMVA, a CDM manual adjustment should be applied in this application, as that would be consistent with the </w:t>
      </w:r>
      <w:hyperlink r:id="rId7" w:history="1">
        <w:r w:rsidRPr="00A75CA8">
          <w:rPr>
            <w:rStyle w:val="Hyperlink"/>
            <w:rFonts w:ascii="Arial" w:hAnsi="Arial" w:cs="Arial"/>
            <w:sz w:val="24"/>
            <w:szCs w:val="24"/>
          </w:rPr>
          <w:t>CDM Guidelines</w:t>
        </w:r>
      </w:hyperlink>
      <w:r w:rsidRPr="00A75CA8">
        <w:rPr>
          <w:rFonts w:ascii="Arial" w:hAnsi="Arial" w:cs="Arial"/>
          <w:sz w:val="24"/>
          <w:szCs w:val="24"/>
        </w:rPr>
        <w:t>, which state that the LRAMVA captures the difference between actual verified savings and the level of CDM included in the distributor’s load forecast. </w:t>
      </w:r>
    </w:p>
    <w:p w:rsidR="00AB7D96" w:rsidRPr="000E44A4" w:rsidRDefault="000E44A4" w:rsidP="00A75CA8">
      <w:pPr>
        <w:spacing w:after="120" w:line="276" w:lineRule="auto"/>
        <w:rPr>
          <w:rFonts w:ascii="Arial" w:hAnsi="Arial" w:cs="Arial"/>
          <w:b/>
          <w:sz w:val="24"/>
        </w:rPr>
      </w:pPr>
      <w:r w:rsidRPr="000E44A4">
        <w:rPr>
          <w:rFonts w:ascii="Arial" w:hAnsi="Arial" w:cs="Arial"/>
          <w:b/>
          <w:sz w:val="24"/>
        </w:rPr>
        <w:t>Response</w:t>
      </w:r>
    </w:p>
    <w:p w:rsidR="000E44A4" w:rsidRDefault="000E44A4" w:rsidP="00A75CA8">
      <w:pPr>
        <w:spacing w:after="120" w:line="276" w:lineRule="auto"/>
        <w:rPr>
          <w:rFonts w:ascii="Arial" w:hAnsi="Arial" w:cs="Arial"/>
          <w:sz w:val="24"/>
          <w:szCs w:val="24"/>
        </w:rPr>
      </w:pPr>
      <w:r>
        <w:rPr>
          <w:rFonts w:ascii="Arial" w:hAnsi="Arial" w:cs="Arial"/>
          <w:sz w:val="24"/>
          <w:szCs w:val="24"/>
        </w:rPr>
        <w:t xml:space="preserve">The above follow-up questions are confirmed but the </w:t>
      </w:r>
      <w:r w:rsidR="00621E20">
        <w:rPr>
          <w:rFonts w:ascii="Arial" w:hAnsi="Arial" w:cs="Arial"/>
          <w:sz w:val="24"/>
          <w:szCs w:val="24"/>
        </w:rPr>
        <w:t>“</w:t>
      </w:r>
      <w:r>
        <w:rPr>
          <w:rFonts w:ascii="Arial" w:hAnsi="Arial" w:cs="Arial"/>
          <w:sz w:val="24"/>
          <w:szCs w:val="24"/>
        </w:rPr>
        <w:t>CDM adjustment</w:t>
      </w:r>
      <w:r w:rsidR="00621E20">
        <w:rPr>
          <w:rFonts w:ascii="Arial" w:hAnsi="Arial" w:cs="Arial"/>
          <w:sz w:val="24"/>
          <w:szCs w:val="24"/>
        </w:rPr>
        <w:t>”</w:t>
      </w:r>
      <w:r>
        <w:rPr>
          <w:rFonts w:ascii="Arial" w:hAnsi="Arial" w:cs="Arial"/>
          <w:sz w:val="24"/>
          <w:szCs w:val="24"/>
        </w:rPr>
        <w:t xml:space="preserve"> made in the 2009 load forecast</w:t>
      </w:r>
      <w:r w:rsidR="00306F6D">
        <w:rPr>
          <w:rFonts w:ascii="Arial" w:hAnsi="Arial" w:cs="Arial"/>
          <w:sz w:val="24"/>
          <w:szCs w:val="24"/>
        </w:rPr>
        <w:t xml:space="preserve"> is not the same type of adjustment that is typically referred to as a “CDM adjustment” today and</w:t>
      </w:r>
      <w:r>
        <w:rPr>
          <w:rFonts w:ascii="Arial" w:hAnsi="Arial" w:cs="Arial"/>
          <w:sz w:val="24"/>
          <w:szCs w:val="24"/>
        </w:rPr>
        <w:t xml:space="preserve"> should not be characterized as an adjustment related to forecast CDM savings.</w:t>
      </w:r>
      <w:bookmarkStart w:id="0" w:name="_GoBack"/>
      <w:bookmarkEnd w:id="0"/>
    </w:p>
    <w:p w:rsidR="00880FC4" w:rsidRDefault="00880FC4" w:rsidP="00A75CA8">
      <w:pPr>
        <w:spacing w:after="120" w:line="276" w:lineRule="auto"/>
        <w:rPr>
          <w:rFonts w:ascii="Arial" w:hAnsi="Arial" w:cs="Arial"/>
          <w:sz w:val="24"/>
          <w:szCs w:val="24"/>
        </w:rPr>
      </w:pPr>
      <w:r>
        <w:rPr>
          <w:rFonts w:ascii="Arial" w:hAnsi="Arial" w:cs="Arial"/>
          <w:sz w:val="24"/>
          <w:szCs w:val="24"/>
        </w:rPr>
        <w:t xml:space="preserve">The CDM adjustment in the 2009 load forecast was made to incorporate CDM activities that were not properly reflected in Greater Sudbury’s forecast methodology. Greater Sudbury’s response to Undertaking J2.10 in EB-2008-0230 explains that the adjustment was made because CDM activities were only present </w:t>
      </w:r>
      <w:r w:rsidR="004D721D">
        <w:rPr>
          <w:rFonts w:ascii="Arial" w:hAnsi="Arial" w:cs="Arial"/>
          <w:sz w:val="24"/>
          <w:szCs w:val="24"/>
        </w:rPr>
        <w:t xml:space="preserve">in 2006 to 2008 data so a forecast based on 1998 to 2008 data would not accurately capture the impact of CDM. </w:t>
      </w:r>
    </w:p>
    <w:p w:rsidR="00742C89" w:rsidRDefault="009255A9" w:rsidP="00A75CA8">
      <w:pPr>
        <w:spacing w:after="120" w:line="276" w:lineRule="auto"/>
        <w:rPr>
          <w:rFonts w:ascii="Arial" w:hAnsi="Arial" w:cs="Arial"/>
          <w:sz w:val="24"/>
          <w:szCs w:val="24"/>
        </w:rPr>
      </w:pPr>
      <w:r>
        <w:rPr>
          <w:rFonts w:ascii="Arial" w:hAnsi="Arial" w:cs="Arial"/>
          <w:sz w:val="24"/>
          <w:szCs w:val="24"/>
        </w:rPr>
        <w:t xml:space="preserve">The reduced consumption in 2006-2008 from CDM programs would not have been explained </w:t>
      </w:r>
      <w:r w:rsidR="00762D74">
        <w:rPr>
          <w:rFonts w:ascii="Arial" w:hAnsi="Arial" w:cs="Arial"/>
          <w:sz w:val="24"/>
          <w:szCs w:val="24"/>
        </w:rPr>
        <w:t>with</w:t>
      </w:r>
      <w:r>
        <w:rPr>
          <w:rFonts w:ascii="Arial" w:hAnsi="Arial" w:cs="Arial"/>
          <w:sz w:val="24"/>
          <w:szCs w:val="24"/>
        </w:rPr>
        <w:t>in the</w:t>
      </w:r>
      <w:r w:rsidR="00F81F8C">
        <w:rPr>
          <w:rFonts w:ascii="Arial" w:hAnsi="Arial" w:cs="Arial"/>
          <w:sz w:val="24"/>
          <w:szCs w:val="24"/>
        </w:rPr>
        <w:t xml:space="preserve"> 2009</w:t>
      </w:r>
      <w:r w:rsidR="00081020">
        <w:rPr>
          <w:rFonts w:ascii="Arial" w:hAnsi="Arial" w:cs="Arial"/>
          <w:sz w:val="24"/>
          <w:szCs w:val="24"/>
        </w:rPr>
        <w:t xml:space="preserve"> load forecast</w:t>
      </w:r>
      <w:r>
        <w:rPr>
          <w:rFonts w:ascii="Arial" w:hAnsi="Arial" w:cs="Arial"/>
          <w:sz w:val="24"/>
          <w:szCs w:val="24"/>
        </w:rPr>
        <w:t xml:space="preserve"> model</w:t>
      </w:r>
      <w:r w:rsidR="00F81F8C">
        <w:rPr>
          <w:rFonts w:ascii="Arial" w:hAnsi="Arial" w:cs="Arial"/>
          <w:sz w:val="24"/>
          <w:szCs w:val="24"/>
        </w:rPr>
        <w:t>.</w:t>
      </w:r>
      <w:r w:rsidR="00D63BC6">
        <w:rPr>
          <w:rFonts w:ascii="Arial" w:hAnsi="Arial" w:cs="Arial"/>
          <w:sz w:val="24"/>
          <w:szCs w:val="24"/>
        </w:rPr>
        <w:t xml:space="preserve"> The unexplained reduction </w:t>
      </w:r>
      <w:r w:rsidR="000E44A4">
        <w:rPr>
          <w:rFonts w:ascii="Arial" w:hAnsi="Arial" w:cs="Arial"/>
          <w:sz w:val="24"/>
          <w:szCs w:val="24"/>
        </w:rPr>
        <w:t xml:space="preserve">was not </w:t>
      </w:r>
      <w:r w:rsidR="0010103E">
        <w:rPr>
          <w:rFonts w:ascii="Arial" w:hAnsi="Arial" w:cs="Arial"/>
          <w:sz w:val="24"/>
          <w:szCs w:val="24"/>
        </w:rPr>
        <w:t xml:space="preserve">reflected in the regression coefficients used to produce </w:t>
      </w:r>
      <w:r w:rsidR="00D63BC6">
        <w:rPr>
          <w:rFonts w:ascii="Arial" w:hAnsi="Arial" w:cs="Arial"/>
          <w:sz w:val="24"/>
          <w:szCs w:val="24"/>
        </w:rPr>
        <w:t xml:space="preserve">the 2009 forecast. </w:t>
      </w:r>
      <w:r w:rsidR="00F81F8C">
        <w:rPr>
          <w:rFonts w:ascii="Arial" w:hAnsi="Arial" w:cs="Arial"/>
          <w:sz w:val="24"/>
          <w:szCs w:val="24"/>
        </w:rPr>
        <w:t>As a result, consumption would be overstated</w:t>
      </w:r>
      <w:r w:rsidR="00081020">
        <w:rPr>
          <w:rFonts w:ascii="Arial" w:hAnsi="Arial" w:cs="Arial"/>
          <w:sz w:val="24"/>
          <w:szCs w:val="24"/>
        </w:rPr>
        <w:t xml:space="preserve"> without an adjustment</w:t>
      </w:r>
      <w:r w:rsidR="0010103E">
        <w:rPr>
          <w:rFonts w:ascii="Arial" w:hAnsi="Arial" w:cs="Arial"/>
          <w:sz w:val="24"/>
          <w:szCs w:val="24"/>
        </w:rPr>
        <w:t xml:space="preserve"> to maintain existing persisting </w:t>
      </w:r>
      <w:r w:rsidR="0010103E">
        <w:rPr>
          <w:rFonts w:ascii="Arial" w:hAnsi="Arial" w:cs="Arial"/>
          <w:sz w:val="24"/>
          <w:szCs w:val="24"/>
        </w:rPr>
        <w:lastRenderedPageBreak/>
        <w:t>CDM to the test year</w:t>
      </w:r>
      <w:r w:rsidR="00081020">
        <w:rPr>
          <w:rFonts w:ascii="Arial" w:hAnsi="Arial" w:cs="Arial"/>
          <w:sz w:val="24"/>
          <w:szCs w:val="24"/>
        </w:rPr>
        <w:t xml:space="preserve">. </w:t>
      </w:r>
      <w:r w:rsidR="00B4749B">
        <w:rPr>
          <w:rFonts w:ascii="Arial" w:hAnsi="Arial" w:cs="Arial"/>
          <w:sz w:val="24"/>
          <w:szCs w:val="24"/>
        </w:rPr>
        <w:t xml:space="preserve">Please see the fourth paragraph of J2.10 for more information. </w:t>
      </w:r>
      <w:r w:rsidR="00081020">
        <w:rPr>
          <w:rFonts w:ascii="Arial" w:hAnsi="Arial" w:cs="Arial"/>
          <w:sz w:val="24"/>
          <w:szCs w:val="24"/>
        </w:rPr>
        <w:t xml:space="preserve">Greater Sudbury has subsequently revised its load forecasting methodology. </w:t>
      </w:r>
    </w:p>
    <w:p w:rsidR="005E1228" w:rsidRDefault="00742C89" w:rsidP="00A75CA8">
      <w:pPr>
        <w:spacing w:after="120" w:line="276" w:lineRule="auto"/>
        <w:rPr>
          <w:rFonts w:ascii="Arial" w:hAnsi="Arial" w:cs="Arial"/>
          <w:sz w:val="24"/>
          <w:szCs w:val="24"/>
        </w:rPr>
      </w:pPr>
      <w:r>
        <w:rPr>
          <w:rFonts w:ascii="Arial" w:hAnsi="Arial" w:cs="Arial"/>
          <w:sz w:val="24"/>
          <w:szCs w:val="24"/>
        </w:rPr>
        <w:t>The 2013 load forecast</w:t>
      </w:r>
      <w:r w:rsidR="005E1228">
        <w:rPr>
          <w:rFonts w:ascii="Arial" w:hAnsi="Arial" w:cs="Arial"/>
          <w:sz w:val="24"/>
          <w:szCs w:val="24"/>
        </w:rPr>
        <w:t xml:space="preserve"> makes two</w:t>
      </w:r>
      <w:r w:rsidR="00A96E5B">
        <w:rPr>
          <w:rFonts w:ascii="Arial" w:hAnsi="Arial" w:cs="Arial"/>
          <w:sz w:val="24"/>
          <w:szCs w:val="24"/>
        </w:rPr>
        <w:t xml:space="preserve"> types of</w:t>
      </w:r>
      <w:r w:rsidR="005E1228">
        <w:rPr>
          <w:rFonts w:ascii="Arial" w:hAnsi="Arial" w:cs="Arial"/>
          <w:sz w:val="24"/>
          <w:szCs w:val="24"/>
        </w:rPr>
        <w:t xml:space="preserve"> CDM adjustments</w:t>
      </w:r>
      <w:r w:rsidR="000C3C44">
        <w:rPr>
          <w:rFonts w:ascii="Arial" w:hAnsi="Arial" w:cs="Arial"/>
          <w:sz w:val="24"/>
          <w:szCs w:val="24"/>
        </w:rPr>
        <w:t>, a methodology adjustment and a forecast CDM adjustment</w:t>
      </w:r>
      <w:r w:rsidR="005E1228">
        <w:rPr>
          <w:rFonts w:ascii="Arial" w:hAnsi="Arial" w:cs="Arial"/>
          <w:sz w:val="24"/>
          <w:szCs w:val="24"/>
        </w:rPr>
        <w:t xml:space="preserve">. First, </w:t>
      </w:r>
      <w:r>
        <w:rPr>
          <w:rFonts w:ascii="Arial" w:hAnsi="Arial" w:cs="Arial"/>
          <w:sz w:val="24"/>
          <w:szCs w:val="24"/>
        </w:rPr>
        <w:t>a forecast</w:t>
      </w:r>
      <w:r w:rsidR="005E1228">
        <w:rPr>
          <w:rFonts w:ascii="Arial" w:hAnsi="Arial" w:cs="Arial"/>
          <w:sz w:val="24"/>
          <w:szCs w:val="24"/>
        </w:rPr>
        <w:t xml:space="preserve"> is produced</w:t>
      </w:r>
      <w:r>
        <w:rPr>
          <w:rFonts w:ascii="Arial" w:hAnsi="Arial" w:cs="Arial"/>
          <w:sz w:val="24"/>
          <w:szCs w:val="24"/>
        </w:rPr>
        <w:t xml:space="preserve"> excluding the impacts of CDM activities, then</w:t>
      </w:r>
      <w:r w:rsidR="005E1228">
        <w:rPr>
          <w:rFonts w:ascii="Arial" w:hAnsi="Arial" w:cs="Arial"/>
          <w:sz w:val="24"/>
          <w:szCs w:val="24"/>
        </w:rPr>
        <w:t xml:space="preserve"> it is</w:t>
      </w:r>
      <w:r>
        <w:rPr>
          <w:rFonts w:ascii="Arial" w:hAnsi="Arial" w:cs="Arial"/>
          <w:sz w:val="24"/>
          <w:szCs w:val="24"/>
        </w:rPr>
        <w:t xml:space="preserve"> </w:t>
      </w:r>
      <w:r w:rsidR="00D63BC6">
        <w:rPr>
          <w:rFonts w:ascii="Arial" w:hAnsi="Arial" w:cs="Arial"/>
          <w:sz w:val="24"/>
          <w:szCs w:val="24"/>
        </w:rPr>
        <w:t>adjusted</w:t>
      </w:r>
      <w:r>
        <w:rPr>
          <w:rFonts w:ascii="Arial" w:hAnsi="Arial" w:cs="Arial"/>
          <w:sz w:val="24"/>
          <w:szCs w:val="24"/>
        </w:rPr>
        <w:t xml:space="preserve"> by that persisting CDM.</w:t>
      </w:r>
      <w:r w:rsidR="005E1228">
        <w:rPr>
          <w:rFonts w:ascii="Arial" w:hAnsi="Arial" w:cs="Arial"/>
          <w:sz w:val="24"/>
          <w:szCs w:val="24"/>
        </w:rPr>
        <w:t xml:space="preserve"> This methodology was recommended by VECC in their written submission in EB-2008-0230.</w:t>
      </w:r>
      <w:r>
        <w:rPr>
          <w:rFonts w:ascii="Arial" w:hAnsi="Arial" w:cs="Arial"/>
          <w:sz w:val="24"/>
          <w:szCs w:val="24"/>
        </w:rPr>
        <w:t xml:space="preserve"> The forecast is then further reduced by forecast CDM which forms the basis of the LRAMVA threshold.</w:t>
      </w:r>
      <w:r w:rsidR="005E1228">
        <w:rPr>
          <w:rFonts w:ascii="Arial" w:hAnsi="Arial" w:cs="Arial"/>
          <w:sz w:val="24"/>
          <w:szCs w:val="24"/>
        </w:rPr>
        <w:t xml:space="preserve"> The 2006/2007 CDM adjustment is more analogous to the </w:t>
      </w:r>
      <w:r w:rsidR="000C3C44">
        <w:rPr>
          <w:rFonts w:ascii="Arial" w:hAnsi="Arial" w:cs="Arial"/>
          <w:sz w:val="24"/>
          <w:szCs w:val="24"/>
        </w:rPr>
        <w:t>methodolog</w:t>
      </w:r>
      <w:r w:rsidR="00A878F7">
        <w:rPr>
          <w:rFonts w:ascii="Arial" w:hAnsi="Arial" w:cs="Arial"/>
          <w:sz w:val="24"/>
          <w:szCs w:val="24"/>
        </w:rPr>
        <w:t>ical</w:t>
      </w:r>
      <w:r w:rsidR="005E1228">
        <w:rPr>
          <w:rFonts w:ascii="Arial" w:hAnsi="Arial" w:cs="Arial"/>
          <w:sz w:val="24"/>
          <w:szCs w:val="24"/>
        </w:rPr>
        <w:t xml:space="preserve"> CDM adjustment described above because</w:t>
      </w:r>
      <w:r w:rsidR="00A878F7">
        <w:rPr>
          <w:rFonts w:ascii="Arial" w:hAnsi="Arial" w:cs="Arial"/>
          <w:sz w:val="24"/>
          <w:szCs w:val="24"/>
        </w:rPr>
        <w:t xml:space="preserve"> it is made </w:t>
      </w:r>
      <w:r w:rsidR="005E1228">
        <w:rPr>
          <w:rFonts w:ascii="Arial" w:hAnsi="Arial" w:cs="Arial"/>
          <w:sz w:val="24"/>
          <w:szCs w:val="24"/>
        </w:rPr>
        <w:t xml:space="preserve">to </w:t>
      </w:r>
      <w:r w:rsidR="00D63BC6">
        <w:rPr>
          <w:rFonts w:ascii="Arial" w:hAnsi="Arial" w:cs="Arial"/>
          <w:sz w:val="24"/>
          <w:szCs w:val="24"/>
        </w:rPr>
        <w:t>account for existing persisting savings, not forecast savings.</w:t>
      </w:r>
      <w:r w:rsidR="000E44A4">
        <w:rPr>
          <w:rFonts w:ascii="Arial" w:hAnsi="Arial" w:cs="Arial"/>
          <w:sz w:val="24"/>
          <w:szCs w:val="24"/>
        </w:rPr>
        <w:t xml:space="preserve"> There was no forecast CDM adjustment. </w:t>
      </w:r>
    </w:p>
    <w:p w:rsidR="00D63BC6" w:rsidRPr="000D1AB2" w:rsidRDefault="00D63BC6" w:rsidP="00A75CA8">
      <w:pPr>
        <w:spacing w:after="120" w:line="276" w:lineRule="auto"/>
        <w:rPr>
          <w:rFonts w:ascii="Arial" w:hAnsi="Arial" w:cs="Arial"/>
          <w:sz w:val="24"/>
          <w:szCs w:val="24"/>
        </w:rPr>
      </w:pPr>
      <w:r>
        <w:rPr>
          <w:rFonts w:ascii="Arial" w:hAnsi="Arial" w:cs="Arial"/>
          <w:sz w:val="24"/>
          <w:szCs w:val="24"/>
        </w:rPr>
        <w:t xml:space="preserve">The CDM adjustment described in the decision of EB-2008-0230 </w:t>
      </w:r>
      <w:r w:rsidR="0010103E">
        <w:rPr>
          <w:rFonts w:ascii="Arial" w:hAnsi="Arial" w:cs="Arial"/>
          <w:sz w:val="24"/>
          <w:szCs w:val="24"/>
        </w:rPr>
        <w:t>was</w:t>
      </w:r>
      <w:r>
        <w:rPr>
          <w:rFonts w:ascii="Arial" w:hAnsi="Arial" w:cs="Arial"/>
          <w:sz w:val="24"/>
          <w:szCs w:val="24"/>
        </w:rPr>
        <w:t xml:space="preserve"> a necessary adjustment within the scope of </w:t>
      </w:r>
      <w:r w:rsidR="0010103E">
        <w:rPr>
          <w:rFonts w:ascii="Arial" w:hAnsi="Arial" w:cs="Arial"/>
          <w:sz w:val="24"/>
          <w:szCs w:val="24"/>
        </w:rPr>
        <w:t xml:space="preserve">the </w:t>
      </w:r>
      <w:r>
        <w:rPr>
          <w:rFonts w:ascii="Arial" w:hAnsi="Arial" w:cs="Arial"/>
          <w:sz w:val="24"/>
          <w:szCs w:val="24"/>
        </w:rPr>
        <w:t>load forecasting</w:t>
      </w:r>
      <w:r w:rsidR="0010103E">
        <w:rPr>
          <w:rFonts w:ascii="Arial" w:hAnsi="Arial" w:cs="Arial"/>
          <w:sz w:val="24"/>
          <w:szCs w:val="24"/>
        </w:rPr>
        <w:t xml:space="preserve"> methodology used in that proceeding. It was not an adjustment made to consider CDM program impacts that had not yet occurred and should not be considered an LRAMVA threshold. </w:t>
      </w:r>
    </w:p>
    <w:sectPr w:rsidR="00D63BC6" w:rsidRPr="000D1A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62C" w:rsidRDefault="003E562C" w:rsidP="003E562C">
      <w:pPr>
        <w:spacing w:after="0" w:line="240" w:lineRule="auto"/>
      </w:pPr>
      <w:r>
        <w:separator/>
      </w:r>
    </w:p>
  </w:endnote>
  <w:endnote w:type="continuationSeparator" w:id="0">
    <w:p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DD07EC">
              <w:rPr>
                <w:bCs/>
                <w:noProof/>
              </w:rPr>
              <w:t>1</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DD07EC">
              <w:rPr>
                <w:bCs/>
                <w:noProof/>
              </w:rPr>
              <w:t>1</w:t>
            </w:r>
            <w:r w:rsidRPr="003E562C">
              <w:rPr>
                <w:bCs/>
                <w:sz w:val="24"/>
                <w:szCs w:val="24"/>
              </w:rPr>
              <w:fldChar w:fldCharType="end"/>
            </w:r>
          </w:p>
        </w:sdtContent>
      </w:sdt>
    </w:sdtContent>
  </w:sdt>
  <w:p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62C" w:rsidRDefault="003E562C" w:rsidP="003E562C">
      <w:pPr>
        <w:spacing w:after="0" w:line="240" w:lineRule="auto"/>
      </w:pPr>
      <w:r>
        <w:separator/>
      </w:r>
    </w:p>
  </w:footnote>
  <w:footnote w:type="continuationSeparator" w:id="0">
    <w:p w:rsidR="003E562C" w:rsidRDefault="003E562C" w:rsidP="003E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9"/>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68"/>
    <w:rsid w:val="00051703"/>
    <w:rsid w:val="00081020"/>
    <w:rsid w:val="000B7468"/>
    <w:rsid w:val="000C3C44"/>
    <w:rsid w:val="000D1AB2"/>
    <w:rsid w:val="000E44A4"/>
    <w:rsid w:val="0010103E"/>
    <w:rsid w:val="002047BC"/>
    <w:rsid w:val="00306F6D"/>
    <w:rsid w:val="003804E7"/>
    <w:rsid w:val="0038639C"/>
    <w:rsid w:val="003E562C"/>
    <w:rsid w:val="004409E6"/>
    <w:rsid w:val="004C3DE5"/>
    <w:rsid w:val="004D721D"/>
    <w:rsid w:val="00520305"/>
    <w:rsid w:val="00577FE6"/>
    <w:rsid w:val="005E1228"/>
    <w:rsid w:val="00621E20"/>
    <w:rsid w:val="006A62E7"/>
    <w:rsid w:val="006C4EB0"/>
    <w:rsid w:val="006C6BBA"/>
    <w:rsid w:val="00742C89"/>
    <w:rsid w:val="00762D74"/>
    <w:rsid w:val="007D3F75"/>
    <w:rsid w:val="00872E7D"/>
    <w:rsid w:val="00880FC4"/>
    <w:rsid w:val="008821ED"/>
    <w:rsid w:val="00891E0B"/>
    <w:rsid w:val="00912E58"/>
    <w:rsid w:val="009255A9"/>
    <w:rsid w:val="0095177C"/>
    <w:rsid w:val="009C1C8F"/>
    <w:rsid w:val="009E0C7B"/>
    <w:rsid w:val="00A75CA8"/>
    <w:rsid w:val="00A878F7"/>
    <w:rsid w:val="00A96E5B"/>
    <w:rsid w:val="00AB7D96"/>
    <w:rsid w:val="00AC1361"/>
    <w:rsid w:val="00B4749B"/>
    <w:rsid w:val="00C00C2F"/>
    <w:rsid w:val="00D63BC6"/>
    <w:rsid w:val="00D84CAF"/>
    <w:rsid w:val="00DD07EC"/>
    <w:rsid w:val="00DD7486"/>
    <w:rsid w:val="00F214E6"/>
    <w:rsid w:val="00F8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CBFB"/>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character" w:styleId="Hyperlink">
    <w:name w:val="Hyperlink"/>
    <w:basedOn w:val="DefaultParagraphFont"/>
    <w:uiPriority w:val="99"/>
    <w:unhideWhenUsed/>
    <w:rsid w:val="00A75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4465">
      <w:bodyDiv w:val="1"/>
      <w:marLeft w:val="0"/>
      <w:marRight w:val="0"/>
      <w:marTop w:val="0"/>
      <w:marBottom w:val="0"/>
      <w:divBdr>
        <w:top w:val="none" w:sz="0" w:space="0" w:color="auto"/>
        <w:left w:val="none" w:sz="0" w:space="0" w:color="auto"/>
        <w:bottom w:val="none" w:sz="0" w:space="0" w:color="auto"/>
        <w:right w:val="none" w:sz="0" w:space="0" w:color="auto"/>
      </w:divBdr>
    </w:div>
    <w:div w:id="8715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eb.ca/oeb/_Documents/EB-2012-0003/CDM_Guidelines_Electricity_Distribut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Andrew Blair</cp:lastModifiedBy>
  <cp:revision>6</cp:revision>
  <cp:lastPrinted>2019-01-30T21:00:00Z</cp:lastPrinted>
  <dcterms:created xsi:type="dcterms:W3CDTF">2019-02-14T21:31:00Z</dcterms:created>
  <dcterms:modified xsi:type="dcterms:W3CDTF">2019-02-14T21:48:00Z</dcterms:modified>
</cp:coreProperties>
</file>