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468" w:rsidRDefault="009E0C7B" w:rsidP="000B7468">
      <w:pPr>
        <w:spacing w:after="0" w:line="240" w:lineRule="auto"/>
        <w:jc w:val="center"/>
        <w:rPr>
          <w:rFonts w:ascii="Arial" w:hAnsi="Arial" w:cs="Arial"/>
          <w:b/>
          <w:sz w:val="24"/>
          <w:szCs w:val="24"/>
        </w:rPr>
      </w:pPr>
      <w:r>
        <w:rPr>
          <w:rFonts w:ascii="Arial" w:hAnsi="Arial" w:cs="Arial"/>
          <w:b/>
          <w:sz w:val="24"/>
          <w:szCs w:val="24"/>
        </w:rPr>
        <w:t>Greater Sudbury Hydro Inc.</w:t>
      </w:r>
      <w:r w:rsidR="000B7468">
        <w:rPr>
          <w:rFonts w:ascii="Arial" w:hAnsi="Arial" w:cs="Arial"/>
          <w:b/>
          <w:sz w:val="24"/>
          <w:szCs w:val="24"/>
        </w:rPr>
        <w:t xml:space="preserve"> – 2019 Rates Application </w:t>
      </w:r>
      <w:r w:rsidR="000B7468" w:rsidRPr="00A774ED">
        <w:rPr>
          <w:rFonts w:ascii="Arial" w:hAnsi="Arial" w:cs="Arial"/>
          <w:b/>
          <w:sz w:val="24"/>
          <w:szCs w:val="24"/>
        </w:rPr>
        <w:t>(EB-201</w:t>
      </w:r>
      <w:r w:rsidR="000B7468">
        <w:rPr>
          <w:rFonts w:ascii="Arial" w:hAnsi="Arial" w:cs="Arial"/>
          <w:b/>
          <w:sz w:val="24"/>
          <w:szCs w:val="24"/>
        </w:rPr>
        <w:t>8</w:t>
      </w:r>
      <w:r w:rsidR="000B7468" w:rsidRPr="00A774ED">
        <w:rPr>
          <w:rFonts w:ascii="Arial" w:hAnsi="Arial" w:cs="Arial"/>
          <w:b/>
          <w:sz w:val="24"/>
          <w:szCs w:val="24"/>
        </w:rPr>
        <w:t>-0</w:t>
      </w:r>
      <w:r w:rsidR="000B7468">
        <w:rPr>
          <w:rFonts w:ascii="Arial" w:hAnsi="Arial" w:cs="Arial"/>
          <w:b/>
          <w:sz w:val="24"/>
          <w:szCs w:val="24"/>
        </w:rPr>
        <w:t>0</w:t>
      </w:r>
      <w:r>
        <w:rPr>
          <w:rFonts w:ascii="Arial" w:hAnsi="Arial" w:cs="Arial"/>
          <w:b/>
          <w:sz w:val="24"/>
          <w:szCs w:val="24"/>
        </w:rPr>
        <w:t>34</w:t>
      </w:r>
      <w:r w:rsidR="000B7468" w:rsidRPr="00A774ED">
        <w:rPr>
          <w:rFonts w:ascii="Arial" w:hAnsi="Arial" w:cs="Arial"/>
          <w:b/>
          <w:sz w:val="24"/>
          <w:szCs w:val="24"/>
        </w:rPr>
        <w:t>)</w:t>
      </w:r>
    </w:p>
    <w:p w:rsidR="000B7468" w:rsidRDefault="000B7468" w:rsidP="000B7468">
      <w:pPr>
        <w:spacing w:after="0" w:line="240" w:lineRule="auto"/>
        <w:jc w:val="center"/>
        <w:rPr>
          <w:rFonts w:ascii="Arial" w:hAnsi="Arial" w:cs="Arial"/>
          <w:b/>
          <w:sz w:val="24"/>
          <w:szCs w:val="24"/>
        </w:rPr>
      </w:pPr>
      <w:r>
        <w:rPr>
          <w:rFonts w:ascii="Arial" w:hAnsi="Arial" w:cs="Arial"/>
          <w:b/>
          <w:sz w:val="24"/>
          <w:szCs w:val="24"/>
        </w:rPr>
        <w:t xml:space="preserve">OEB Staff </w:t>
      </w:r>
      <w:r w:rsidR="00783706">
        <w:rPr>
          <w:rFonts w:ascii="Arial" w:hAnsi="Arial" w:cs="Arial"/>
          <w:b/>
          <w:sz w:val="24"/>
          <w:szCs w:val="24"/>
        </w:rPr>
        <w:t xml:space="preserve">Additional </w:t>
      </w:r>
      <w:r w:rsidR="00A75CA8">
        <w:rPr>
          <w:rFonts w:ascii="Arial" w:hAnsi="Arial" w:cs="Arial"/>
          <w:b/>
          <w:sz w:val="24"/>
          <w:szCs w:val="24"/>
        </w:rPr>
        <w:t xml:space="preserve">Follow </w:t>
      </w:r>
      <w:proofErr w:type="gramStart"/>
      <w:r w:rsidR="00A75CA8">
        <w:rPr>
          <w:rFonts w:ascii="Arial" w:hAnsi="Arial" w:cs="Arial"/>
          <w:b/>
          <w:sz w:val="24"/>
          <w:szCs w:val="24"/>
        </w:rPr>
        <w:t>Up</w:t>
      </w:r>
      <w:proofErr w:type="gramEnd"/>
      <w:r w:rsidR="00A75CA8">
        <w:rPr>
          <w:rFonts w:ascii="Arial" w:hAnsi="Arial" w:cs="Arial"/>
          <w:b/>
          <w:sz w:val="24"/>
          <w:szCs w:val="24"/>
        </w:rPr>
        <w:t xml:space="preserve"> </w:t>
      </w:r>
      <w:r w:rsidRPr="00A774ED">
        <w:rPr>
          <w:rFonts w:ascii="Arial" w:hAnsi="Arial" w:cs="Arial"/>
          <w:b/>
          <w:sz w:val="24"/>
          <w:szCs w:val="24"/>
        </w:rPr>
        <w:t>Question</w:t>
      </w:r>
      <w:r w:rsidR="006E5288">
        <w:rPr>
          <w:rFonts w:ascii="Arial" w:hAnsi="Arial" w:cs="Arial"/>
          <w:b/>
          <w:sz w:val="24"/>
          <w:szCs w:val="24"/>
        </w:rPr>
        <w:t>s</w:t>
      </w:r>
    </w:p>
    <w:p w:rsidR="000B7468" w:rsidRDefault="006E5288" w:rsidP="000B7468">
      <w:pPr>
        <w:spacing w:after="0" w:line="240" w:lineRule="auto"/>
        <w:jc w:val="center"/>
        <w:rPr>
          <w:rFonts w:ascii="Arial" w:hAnsi="Arial" w:cs="Arial"/>
          <w:b/>
          <w:sz w:val="24"/>
          <w:szCs w:val="24"/>
        </w:rPr>
      </w:pPr>
      <w:r>
        <w:rPr>
          <w:rFonts w:ascii="Arial" w:hAnsi="Arial" w:cs="Arial"/>
          <w:b/>
          <w:sz w:val="24"/>
          <w:szCs w:val="24"/>
        </w:rPr>
        <w:t>March 1</w:t>
      </w:r>
      <w:r w:rsidR="000B7468">
        <w:rPr>
          <w:rFonts w:ascii="Arial" w:hAnsi="Arial" w:cs="Arial"/>
          <w:b/>
          <w:sz w:val="24"/>
          <w:szCs w:val="24"/>
        </w:rPr>
        <w:t>, 2019</w:t>
      </w:r>
    </w:p>
    <w:p w:rsidR="000B7468" w:rsidRDefault="000B7468" w:rsidP="000B7468">
      <w:pPr>
        <w:spacing w:line="276" w:lineRule="auto"/>
        <w:rPr>
          <w:rFonts w:ascii="Arial" w:hAnsi="Arial" w:cs="Arial"/>
          <w:b/>
          <w:sz w:val="24"/>
          <w:szCs w:val="24"/>
        </w:rPr>
      </w:pPr>
    </w:p>
    <w:p w:rsidR="000B7468" w:rsidRPr="00746A76" w:rsidRDefault="00DD07EC" w:rsidP="003804E7">
      <w:pPr>
        <w:rPr>
          <w:rFonts w:ascii="Arial" w:hAnsi="Arial" w:cs="Arial"/>
          <w:b/>
          <w:sz w:val="24"/>
          <w:szCs w:val="24"/>
        </w:rPr>
      </w:pPr>
      <w:r>
        <w:rPr>
          <w:rFonts w:ascii="Arial" w:hAnsi="Arial" w:cs="Arial"/>
          <w:b/>
          <w:sz w:val="24"/>
          <w:szCs w:val="24"/>
        </w:rPr>
        <w:t xml:space="preserve">Follow Up </w:t>
      </w:r>
      <w:r w:rsidR="006C6BBA">
        <w:rPr>
          <w:rFonts w:ascii="Arial" w:hAnsi="Arial" w:cs="Arial"/>
          <w:b/>
          <w:sz w:val="24"/>
          <w:szCs w:val="24"/>
        </w:rPr>
        <w:t>Question #</w:t>
      </w:r>
      <w:r w:rsidR="000B7468" w:rsidRPr="00746A76">
        <w:rPr>
          <w:rFonts w:ascii="Arial" w:hAnsi="Arial" w:cs="Arial"/>
          <w:b/>
          <w:sz w:val="24"/>
          <w:szCs w:val="24"/>
        </w:rPr>
        <w:t>1</w:t>
      </w:r>
    </w:p>
    <w:p w:rsidR="00783706" w:rsidRPr="00783706" w:rsidRDefault="00783706" w:rsidP="00783706">
      <w:pPr>
        <w:spacing w:after="120" w:line="276" w:lineRule="auto"/>
        <w:rPr>
          <w:rFonts w:ascii="Arial" w:hAnsi="Arial" w:cs="Arial"/>
          <w:b/>
          <w:sz w:val="24"/>
        </w:rPr>
      </w:pPr>
      <w:r w:rsidRPr="00783706">
        <w:rPr>
          <w:rFonts w:ascii="Arial" w:hAnsi="Arial" w:cs="Arial"/>
          <w:b/>
          <w:sz w:val="24"/>
        </w:rPr>
        <w:t>Ref. GA Methodology Description, Question 1</w:t>
      </w:r>
    </w:p>
    <w:p w:rsidR="00783706" w:rsidRDefault="00783706" w:rsidP="00783706">
      <w:pPr>
        <w:spacing w:after="120" w:line="276" w:lineRule="auto"/>
        <w:rPr>
          <w:rFonts w:ascii="Arial" w:hAnsi="Arial" w:cs="Arial"/>
          <w:sz w:val="24"/>
        </w:rPr>
      </w:pPr>
      <w:r w:rsidRPr="00783706">
        <w:rPr>
          <w:rFonts w:ascii="Arial" w:hAnsi="Arial" w:cs="Arial"/>
          <w:sz w:val="24"/>
        </w:rPr>
        <w:t>In the response to the above noted question, Greater Sudbury Hydro indicated that it uses approach B with respect to recording IESO charges CT 148 and CT 1142. Based on the responses provided to questions 5 and 6, OEB staff believes that the utility uses approach A to recording of CT 148 and CT 1142, as opposed to approach B that the utility had originally indicated in its response to Question 1 of the GA Methodology Description. Although Greater Sudbury Hydro initially records the entire CT 148 charge to account 1589, the utility subsequently allocates a portion of the CT 148 balance to account 1588, representing the portion of the total cha</w:t>
      </w:r>
      <w:r>
        <w:rPr>
          <w:rFonts w:ascii="Arial" w:hAnsi="Arial" w:cs="Arial"/>
          <w:sz w:val="24"/>
        </w:rPr>
        <w:t>nge relating to RPP customers. </w:t>
      </w:r>
      <w:r w:rsidRPr="00783706">
        <w:rPr>
          <w:rFonts w:ascii="Arial" w:hAnsi="Arial" w:cs="Arial"/>
          <w:sz w:val="24"/>
        </w:rPr>
        <w:t xml:space="preserve">Then, Greater Sudbury Hydro records the full amount of CT 1142 against the balance in Account 1588. </w:t>
      </w:r>
    </w:p>
    <w:p w:rsidR="00783706" w:rsidRPr="00783706" w:rsidRDefault="00783706" w:rsidP="00783706">
      <w:pPr>
        <w:spacing w:after="120" w:line="276" w:lineRule="auto"/>
        <w:rPr>
          <w:rFonts w:ascii="Arial" w:hAnsi="Arial" w:cs="Arial"/>
          <w:sz w:val="24"/>
        </w:rPr>
      </w:pPr>
      <w:r w:rsidRPr="00783706">
        <w:rPr>
          <w:rFonts w:ascii="Arial" w:hAnsi="Arial" w:cs="Arial"/>
          <w:sz w:val="24"/>
        </w:rPr>
        <w:t xml:space="preserve">Please confirm that OEB staff’s understanding is correct, and please also confirm that this would mean that Greater Sudbury Hydro actually applies approach </w:t>
      </w:r>
      <w:proofErr w:type="gramStart"/>
      <w:r w:rsidRPr="00783706">
        <w:rPr>
          <w:rFonts w:ascii="Arial" w:hAnsi="Arial" w:cs="Arial"/>
          <w:sz w:val="24"/>
        </w:rPr>
        <w:t>A</w:t>
      </w:r>
      <w:proofErr w:type="gramEnd"/>
      <w:r w:rsidRPr="00783706">
        <w:rPr>
          <w:rFonts w:ascii="Arial" w:hAnsi="Arial" w:cs="Arial"/>
          <w:sz w:val="24"/>
        </w:rPr>
        <w:t xml:space="preserve"> as described in Question 1 of the GA Methodology Description, not approach B.</w:t>
      </w:r>
    </w:p>
    <w:p w:rsidR="00783706" w:rsidRPr="00783706" w:rsidRDefault="00783706" w:rsidP="00783706">
      <w:pPr>
        <w:spacing w:after="120" w:line="276" w:lineRule="auto"/>
        <w:rPr>
          <w:rFonts w:ascii="Arial" w:hAnsi="Arial" w:cs="Arial"/>
          <w:b/>
          <w:sz w:val="24"/>
        </w:rPr>
      </w:pPr>
    </w:p>
    <w:p w:rsidR="00783706" w:rsidRPr="00746A76" w:rsidRDefault="00783706" w:rsidP="00783706">
      <w:pPr>
        <w:rPr>
          <w:rFonts w:ascii="Arial" w:hAnsi="Arial" w:cs="Arial"/>
          <w:b/>
          <w:sz w:val="24"/>
          <w:szCs w:val="24"/>
        </w:rPr>
      </w:pPr>
      <w:r>
        <w:rPr>
          <w:rFonts w:ascii="Arial" w:hAnsi="Arial" w:cs="Arial"/>
          <w:b/>
          <w:sz w:val="24"/>
          <w:szCs w:val="24"/>
        </w:rPr>
        <w:t>Follow Up Question #</w:t>
      </w:r>
      <w:r>
        <w:rPr>
          <w:rFonts w:ascii="Arial" w:hAnsi="Arial" w:cs="Arial"/>
          <w:b/>
          <w:sz w:val="24"/>
          <w:szCs w:val="24"/>
        </w:rPr>
        <w:t>2</w:t>
      </w:r>
    </w:p>
    <w:p w:rsidR="00783706" w:rsidRPr="00783706" w:rsidRDefault="00783706" w:rsidP="00783706">
      <w:pPr>
        <w:spacing w:after="120" w:line="276" w:lineRule="auto"/>
        <w:rPr>
          <w:rFonts w:ascii="Arial" w:hAnsi="Arial" w:cs="Arial"/>
          <w:b/>
          <w:sz w:val="24"/>
        </w:rPr>
      </w:pPr>
      <w:r w:rsidRPr="00783706">
        <w:rPr>
          <w:rFonts w:ascii="Arial" w:hAnsi="Arial" w:cs="Arial"/>
          <w:b/>
          <w:sz w:val="24"/>
        </w:rPr>
        <w:t>Ref. Response to OEB Staff Question 9c</w:t>
      </w:r>
    </w:p>
    <w:p w:rsidR="00783706" w:rsidRPr="00783706" w:rsidRDefault="00783706" w:rsidP="00783706">
      <w:pPr>
        <w:spacing w:after="120" w:line="276" w:lineRule="auto"/>
        <w:rPr>
          <w:rFonts w:ascii="Arial" w:hAnsi="Arial" w:cs="Arial"/>
          <w:sz w:val="24"/>
        </w:rPr>
      </w:pPr>
      <w:r w:rsidRPr="00783706">
        <w:rPr>
          <w:rFonts w:ascii="Arial" w:hAnsi="Arial" w:cs="Arial"/>
          <w:sz w:val="24"/>
        </w:rPr>
        <w:t xml:space="preserve">Greater Sudbury Hydro indicated that adjustment 9 that it had originally presented in Note 5 of its 2016 GA Analysis </w:t>
      </w:r>
      <w:proofErr w:type="spellStart"/>
      <w:r w:rsidRPr="00783706">
        <w:rPr>
          <w:rFonts w:ascii="Arial" w:hAnsi="Arial" w:cs="Arial"/>
          <w:sz w:val="24"/>
        </w:rPr>
        <w:t>Workform</w:t>
      </w:r>
      <w:proofErr w:type="spellEnd"/>
      <w:r w:rsidRPr="00783706">
        <w:rPr>
          <w:rFonts w:ascii="Arial" w:hAnsi="Arial" w:cs="Arial"/>
          <w:sz w:val="24"/>
        </w:rPr>
        <w:t xml:space="preserve"> was no longer necessary and has removed it from their updated version of that GA Analysis </w:t>
      </w:r>
      <w:proofErr w:type="spellStart"/>
      <w:r w:rsidRPr="00783706">
        <w:rPr>
          <w:rFonts w:ascii="Arial" w:hAnsi="Arial" w:cs="Arial"/>
          <w:sz w:val="24"/>
        </w:rPr>
        <w:t>Workfrom</w:t>
      </w:r>
      <w:proofErr w:type="spellEnd"/>
      <w:r w:rsidRPr="00783706">
        <w:rPr>
          <w:rFonts w:ascii="Arial" w:hAnsi="Arial" w:cs="Arial"/>
          <w:sz w:val="24"/>
        </w:rPr>
        <w:t>.</w:t>
      </w:r>
    </w:p>
    <w:p w:rsidR="00783706" w:rsidRPr="00783706" w:rsidRDefault="00783706" w:rsidP="00783706">
      <w:pPr>
        <w:spacing w:after="120" w:line="276" w:lineRule="auto"/>
        <w:rPr>
          <w:rFonts w:ascii="Arial" w:hAnsi="Arial" w:cs="Arial"/>
          <w:b/>
          <w:sz w:val="24"/>
        </w:rPr>
      </w:pPr>
    </w:p>
    <w:p w:rsidR="00783706" w:rsidRPr="00783706" w:rsidRDefault="00783706" w:rsidP="00783706">
      <w:pPr>
        <w:numPr>
          <w:ilvl w:val="0"/>
          <w:numId w:val="12"/>
        </w:numPr>
        <w:spacing w:after="120" w:line="276" w:lineRule="auto"/>
        <w:rPr>
          <w:rFonts w:ascii="Arial" w:hAnsi="Arial" w:cs="Arial"/>
          <w:sz w:val="24"/>
        </w:rPr>
      </w:pPr>
      <w:r w:rsidRPr="00783706">
        <w:rPr>
          <w:rFonts w:ascii="Arial" w:hAnsi="Arial" w:cs="Arial"/>
          <w:sz w:val="24"/>
        </w:rPr>
        <w:t>What period was the $440K adjustment between accounts 1588 and 1589 actually recorded in Greater Sudbury Hydro’s G/L, in 2015 or 2016?</w:t>
      </w:r>
    </w:p>
    <w:p w:rsidR="00783706" w:rsidRPr="00783706" w:rsidRDefault="00783706" w:rsidP="00783706">
      <w:pPr>
        <w:numPr>
          <w:ilvl w:val="0"/>
          <w:numId w:val="12"/>
        </w:numPr>
        <w:spacing w:after="120" w:line="276" w:lineRule="auto"/>
        <w:rPr>
          <w:rFonts w:ascii="Arial" w:hAnsi="Arial" w:cs="Arial"/>
          <w:sz w:val="24"/>
        </w:rPr>
      </w:pPr>
      <w:r w:rsidRPr="00783706">
        <w:rPr>
          <w:rFonts w:ascii="Arial" w:hAnsi="Arial" w:cs="Arial"/>
          <w:sz w:val="24"/>
        </w:rPr>
        <w:t xml:space="preserve">If the response to the above is 2016, then OEB staff believes that this adjustment would still be necessary in the 2016 GA Analysis </w:t>
      </w:r>
      <w:proofErr w:type="spellStart"/>
      <w:r w:rsidRPr="00783706">
        <w:rPr>
          <w:rFonts w:ascii="Arial" w:hAnsi="Arial" w:cs="Arial"/>
          <w:sz w:val="24"/>
        </w:rPr>
        <w:t>Wokform</w:t>
      </w:r>
      <w:proofErr w:type="spellEnd"/>
      <w:r w:rsidRPr="00783706">
        <w:rPr>
          <w:rFonts w:ascii="Arial" w:hAnsi="Arial" w:cs="Arial"/>
          <w:sz w:val="24"/>
        </w:rPr>
        <w:t xml:space="preserve"> because the adjustment would be picked up in the “Transactions during 2016” of the DVA continuity and as such would still need to be reversed since they have actually been reflected in the 2015 closing balance.</w:t>
      </w:r>
      <w:r>
        <w:rPr>
          <w:rFonts w:ascii="Arial" w:hAnsi="Arial" w:cs="Arial"/>
          <w:sz w:val="24"/>
        </w:rPr>
        <w:t xml:space="preserve"> Please confirm if this is correct.</w:t>
      </w:r>
    </w:p>
    <w:p w:rsidR="00783706" w:rsidRPr="00783706" w:rsidRDefault="00783706" w:rsidP="00783706">
      <w:pPr>
        <w:numPr>
          <w:ilvl w:val="0"/>
          <w:numId w:val="12"/>
        </w:numPr>
        <w:spacing w:after="120" w:line="276" w:lineRule="auto"/>
        <w:rPr>
          <w:rFonts w:ascii="Arial" w:hAnsi="Arial" w:cs="Arial"/>
          <w:sz w:val="24"/>
        </w:rPr>
      </w:pPr>
      <w:r w:rsidRPr="00783706">
        <w:rPr>
          <w:rFonts w:ascii="Arial" w:hAnsi="Arial" w:cs="Arial"/>
          <w:sz w:val="24"/>
        </w:rPr>
        <w:t xml:space="preserve">If this is the case, please update the 2016 GA Analysis </w:t>
      </w:r>
      <w:proofErr w:type="spellStart"/>
      <w:r w:rsidRPr="00783706">
        <w:rPr>
          <w:rFonts w:ascii="Arial" w:hAnsi="Arial" w:cs="Arial"/>
          <w:sz w:val="24"/>
        </w:rPr>
        <w:t>Workfrom</w:t>
      </w:r>
      <w:proofErr w:type="spellEnd"/>
      <w:r w:rsidRPr="00783706">
        <w:rPr>
          <w:rFonts w:ascii="Arial" w:hAnsi="Arial" w:cs="Arial"/>
          <w:sz w:val="24"/>
        </w:rPr>
        <w:t xml:space="preserve"> to include this item as a reconciling item in Note 5, and also please update the DVA continuity </w:t>
      </w:r>
      <w:r w:rsidRPr="00783706">
        <w:rPr>
          <w:rFonts w:ascii="Arial" w:hAnsi="Arial" w:cs="Arial"/>
          <w:sz w:val="24"/>
        </w:rPr>
        <w:lastRenderedPageBreak/>
        <w:t>schedule to reflect the reversal of that adjustment in the “Principal Adjustment” column of the 2016 DVA continuity schedule.</w:t>
      </w:r>
    </w:p>
    <w:p w:rsidR="00783706" w:rsidRPr="00783706" w:rsidRDefault="00783706" w:rsidP="00783706">
      <w:pPr>
        <w:spacing w:after="120" w:line="276" w:lineRule="auto"/>
        <w:rPr>
          <w:rFonts w:ascii="Arial" w:hAnsi="Arial" w:cs="Arial"/>
          <w:b/>
          <w:sz w:val="24"/>
        </w:rPr>
      </w:pPr>
    </w:p>
    <w:p w:rsidR="00783706" w:rsidRPr="00746A76" w:rsidRDefault="00783706" w:rsidP="00783706">
      <w:pPr>
        <w:rPr>
          <w:rFonts w:ascii="Arial" w:hAnsi="Arial" w:cs="Arial"/>
          <w:b/>
          <w:sz w:val="24"/>
          <w:szCs w:val="24"/>
        </w:rPr>
      </w:pPr>
      <w:r>
        <w:rPr>
          <w:rFonts w:ascii="Arial" w:hAnsi="Arial" w:cs="Arial"/>
          <w:b/>
          <w:sz w:val="24"/>
          <w:szCs w:val="24"/>
        </w:rPr>
        <w:t>Follow Up Question #</w:t>
      </w:r>
      <w:r>
        <w:rPr>
          <w:rFonts w:ascii="Arial" w:hAnsi="Arial" w:cs="Arial"/>
          <w:b/>
          <w:sz w:val="24"/>
          <w:szCs w:val="24"/>
        </w:rPr>
        <w:t>3</w:t>
      </w:r>
    </w:p>
    <w:p w:rsidR="00783706" w:rsidRPr="00783706" w:rsidRDefault="00783706" w:rsidP="00783706">
      <w:pPr>
        <w:spacing w:after="120" w:line="276" w:lineRule="auto"/>
        <w:rPr>
          <w:rFonts w:ascii="Arial" w:hAnsi="Arial" w:cs="Arial"/>
          <w:b/>
          <w:sz w:val="24"/>
        </w:rPr>
      </w:pPr>
      <w:r w:rsidRPr="00783706">
        <w:rPr>
          <w:rFonts w:ascii="Arial" w:hAnsi="Arial" w:cs="Arial"/>
          <w:b/>
          <w:sz w:val="24"/>
        </w:rPr>
        <w:t>Ref. Calculation of Loss Factor Difference</w:t>
      </w:r>
    </w:p>
    <w:p w:rsidR="00783706" w:rsidRPr="00783706" w:rsidRDefault="00783706" w:rsidP="00783706">
      <w:pPr>
        <w:spacing w:after="120" w:line="276" w:lineRule="auto"/>
        <w:rPr>
          <w:rFonts w:ascii="Arial" w:hAnsi="Arial" w:cs="Arial"/>
          <w:sz w:val="24"/>
        </w:rPr>
      </w:pPr>
      <w:r w:rsidRPr="00783706">
        <w:rPr>
          <w:rFonts w:ascii="Arial" w:hAnsi="Arial" w:cs="Arial"/>
          <w:sz w:val="24"/>
        </w:rPr>
        <w:t xml:space="preserve">Greater Sudbury Hydro provided an excel calculation in support of the loss factor difference adjustments that it has recorded in both the 2016 and 2017 GA Analysis </w:t>
      </w:r>
      <w:proofErr w:type="spellStart"/>
      <w:r w:rsidRPr="00783706">
        <w:rPr>
          <w:rFonts w:ascii="Arial" w:hAnsi="Arial" w:cs="Arial"/>
          <w:sz w:val="24"/>
        </w:rPr>
        <w:t>Workforms</w:t>
      </w:r>
      <w:proofErr w:type="spellEnd"/>
      <w:r w:rsidRPr="00783706">
        <w:rPr>
          <w:rFonts w:ascii="Arial" w:hAnsi="Arial" w:cs="Arial"/>
          <w:sz w:val="24"/>
        </w:rPr>
        <w:t>.</w:t>
      </w:r>
    </w:p>
    <w:p w:rsidR="00783706" w:rsidRPr="00783706" w:rsidRDefault="00783706" w:rsidP="00783706">
      <w:pPr>
        <w:spacing w:after="120" w:line="276" w:lineRule="auto"/>
        <w:rPr>
          <w:rFonts w:ascii="Arial" w:hAnsi="Arial" w:cs="Arial"/>
          <w:b/>
          <w:sz w:val="24"/>
        </w:rPr>
      </w:pPr>
    </w:p>
    <w:p w:rsidR="00783706" w:rsidRPr="00783706" w:rsidRDefault="00783706" w:rsidP="00783706">
      <w:pPr>
        <w:pStyle w:val="ListParagraph"/>
        <w:numPr>
          <w:ilvl w:val="0"/>
          <w:numId w:val="15"/>
        </w:numPr>
        <w:spacing w:after="120"/>
        <w:rPr>
          <w:rFonts w:ascii="Arial" w:hAnsi="Arial" w:cs="Arial"/>
          <w:sz w:val="24"/>
        </w:rPr>
      </w:pPr>
      <w:r w:rsidRPr="00783706">
        <w:rPr>
          <w:rFonts w:ascii="Arial" w:hAnsi="Arial" w:cs="Arial"/>
          <w:sz w:val="24"/>
        </w:rPr>
        <w:t xml:space="preserve">In the 2017 calculation, please explain for the month of January, cell B9 does not equal cell B14.  </w:t>
      </w:r>
    </w:p>
    <w:p w:rsidR="00783706" w:rsidRPr="00783706" w:rsidRDefault="00783706" w:rsidP="00783706">
      <w:pPr>
        <w:pStyle w:val="ListParagraph"/>
        <w:numPr>
          <w:ilvl w:val="0"/>
          <w:numId w:val="15"/>
        </w:numPr>
        <w:spacing w:after="120"/>
        <w:rPr>
          <w:rFonts w:ascii="Arial" w:hAnsi="Arial" w:cs="Arial"/>
          <w:sz w:val="24"/>
        </w:rPr>
      </w:pPr>
      <w:r w:rsidRPr="00783706">
        <w:rPr>
          <w:rFonts w:ascii="Arial" w:hAnsi="Arial" w:cs="Arial"/>
          <w:sz w:val="24"/>
        </w:rPr>
        <w:t>This same differe</w:t>
      </w:r>
      <w:bookmarkStart w:id="0" w:name="_GoBack"/>
      <w:bookmarkEnd w:id="0"/>
      <w:r w:rsidRPr="00783706">
        <w:rPr>
          <w:rFonts w:ascii="Arial" w:hAnsi="Arial" w:cs="Arial"/>
          <w:sz w:val="24"/>
        </w:rPr>
        <w:t>nce exists for all other months in the calculation as well. OEB staff believes that these cells should agree. Please explain why they do not. If they should, then please update accordingly and explain what impact it had on the overall calculation.</w:t>
      </w:r>
    </w:p>
    <w:p w:rsidR="00AB7D96" w:rsidRPr="000D1AB2" w:rsidRDefault="00AB7D96" w:rsidP="00A75CA8">
      <w:pPr>
        <w:spacing w:after="120" w:line="276" w:lineRule="auto"/>
        <w:rPr>
          <w:rFonts w:ascii="Arial" w:hAnsi="Arial" w:cs="Arial"/>
          <w:sz w:val="24"/>
          <w:szCs w:val="24"/>
        </w:rPr>
      </w:pPr>
    </w:p>
    <w:sectPr w:rsidR="00AB7D96" w:rsidRPr="000D1A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62C" w:rsidRDefault="003E562C" w:rsidP="003E562C">
      <w:pPr>
        <w:spacing w:after="0" w:line="240" w:lineRule="auto"/>
      </w:pPr>
      <w:r>
        <w:separator/>
      </w:r>
    </w:p>
  </w:endnote>
  <w:endnote w:type="continuationSeparator" w:id="0">
    <w:p w:rsidR="003E562C" w:rsidRDefault="003E562C" w:rsidP="003E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60238"/>
      <w:docPartObj>
        <w:docPartGallery w:val="Page Numbers (Bottom of Page)"/>
        <w:docPartUnique/>
      </w:docPartObj>
    </w:sdtPr>
    <w:sdtEndPr/>
    <w:sdtContent>
      <w:sdt>
        <w:sdtPr>
          <w:id w:val="-1769616900"/>
          <w:docPartObj>
            <w:docPartGallery w:val="Page Numbers (Top of Page)"/>
            <w:docPartUnique/>
          </w:docPartObj>
        </w:sdtPr>
        <w:sdtEndPr/>
        <w:sdtContent>
          <w:p w:rsidR="003E562C" w:rsidRPr="003E562C" w:rsidRDefault="003E562C">
            <w:pPr>
              <w:pStyle w:val="Footer"/>
              <w:jc w:val="right"/>
            </w:pPr>
            <w:r w:rsidRPr="003E562C">
              <w:t xml:space="preserve">Page </w:t>
            </w:r>
            <w:r w:rsidRPr="003E562C">
              <w:rPr>
                <w:bCs/>
                <w:sz w:val="24"/>
                <w:szCs w:val="24"/>
              </w:rPr>
              <w:fldChar w:fldCharType="begin"/>
            </w:r>
            <w:r w:rsidRPr="003E562C">
              <w:rPr>
                <w:bCs/>
              </w:rPr>
              <w:instrText xml:space="preserve"> PAGE </w:instrText>
            </w:r>
            <w:r w:rsidRPr="003E562C">
              <w:rPr>
                <w:bCs/>
                <w:sz w:val="24"/>
                <w:szCs w:val="24"/>
              </w:rPr>
              <w:fldChar w:fldCharType="separate"/>
            </w:r>
            <w:r w:rsidR="00783706">
              <w:rPr>
                <w:bCs/>
                <w:noProof/>
              </w:rPr>
              <w:t>2</w:t>
            </w:r>
            <w:r w:rsidRPr="003E562C">
              <w:rPr>
                <w:bCs/>
                <w:sz w:val="24"/>
                <w:szCs w:val="24"/>
              </w:rPr>
              <w:fldChar w:fldCharType="end"/>
            </w:r>
            <w:r w:rsidRPr="003E562C">
              <w:t xml:space="preserve"> of </w:t>
            </w:r>
            <w:r w:rsidRPr="003E562C">
              <w:rPr>
                <w:bCs/>
                <w:sz w:val="24"/>
                <w:szCs w:val="24"/>
              </w:rPr>
              <w:fldChar w:fldCharType="begin"/>
            </w:r>
            <w:r w:rsidRPr="003E562C">
              <w:rPr>
                <w:bCs/>
              </w:rPr>
              <w:instrText xml:space="preserve"> NUMPAGES  </w:instrText>
            </w:r>
            <w:r w:rsidRPr="003E562C">
              <w:rPr>
                <w:bCs/>
                <w:sz w:val="24"/>
                <w:szCs w:val="24"/>
              </w:rPr>
              <w:fldChar w:fldCharType="separate"/>
            </w:r>
            <w:r w:rsidR="00783706">
              <w:rPr>
                <w:bCs/>
                <w:noProof/>
              </w:rPr>
              <w:t>2</w:t>
            </w:r>
            <w:r w:rsidRPr="003E562C">
              <w:rPr>
                <w:bCs/>
                <w:sz w:val="24"/>
                <w:szCs w:val="24"/>
              </w:rPr>
              <w:fldChar w:fldCharType="end"/>
            </w:r>
          </w:p>
        </w:sdtContent>
      </w:sdt>
    </w:sdtContent>
  </w:sdt>
  <w:p w:rsidR="003E562C" w:rsidRDefault="003E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62C" w:rsidRDefault="003E562C" w:rsidP="003E562C">
      <w:pPr>
        <w:spacing w:after="0" w:line="240" w:lineRule="auto"/>
      </w:pPr>
      <w:r>
        <w:separator/>
      </w:r>
    </w:p>
  </w:footnote>
  <w:footnote w:type="continuationSeparator" w:id="0">
    <w:p w:rsidR="003E562C" w:rsidRDefault="003E562C" w:rsidP="003E5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48D7"/>
    <w:multiLevelType w:val="hybridMultilevel"/>
    <w:tmpl w:val="FF32CE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A32420"/>
    <w:multiLevelType w:val="hybridMultilevel"/>
    <w:tmpl w:val="E79E5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90521"/>
    <w:multiLevelType w:val="hybridMultilevel"/>
    <w:tmpl w:val="48C41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A7413"/>
    <w:multiLevelType w:val="hybridMultilevel"/>
    <w:tmpl w:val="23AAB8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20630"/>
    <w:multiLevelType w:val="hybridMultilevel"/>
    <w:tmpl w:val="21146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B6491"/>
    <w:multiLevelType w:val="hybridMultilevel"/>
    <w:tmpl w:val="42DE8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94503"/>
    <w:multiLevelType w:val="hybridMultilevel"/>
    <w:tmpl w:val="A5321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B081C"/>
    <w:multiLevelType w:val="hybridMultilevel"/>
    <w:tmpl w:val="706C7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0D3D2F"/>
    <w:multiLevelType w:val="hybridMultilevel"/>
    <w:tmpl w:val="DACC3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8375A"/>
    <w:multiLevelType w:val="hybridMultilevel"/>
    <w:tmpl w:val="0C207E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1125F27"/>
    <w:multiLevelType w:val="hybridMultilevel"/>
    <w:tmpl w:val="5A249F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55A18"/>
    <w:multiLevelType w:val="hybridMultilevel"/>
    <w:tmpl w:val="42DE8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F1B36"/>
    <w:multiLevelType w:val="hybridMultilevel"/>
    <w:tmpl w:val="F1AAC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70028E"/>
    <w:multiLevelType w:val="hybridMultilevel"/>
    <w:tmpl w:val="4746C4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7"/>
  </w:num>
  <w:num w:numId="3">
    <w:abstractNumId w:val="2"/>
  </w:num>
  <w:num w:numId="4">
    <w:abstractNumId w:val="3"/>
  </w:num>
  <w:num w:numId="5">
    <w:abstractNumId w:val="1"/>
  </w:num>
  <w:num w:numId="6">
    <w:abstractNumId w:val="12"/>
  </w:num>
  <w:num w:numId="7">
    <w:abstractNumId w:val="11"/>
  </w:num>
  <w:num w:numId="8">
    <w:abstractNumId w:val="5"/>
  </w:num>
  <w:num w:numId="9">
    <w:abstractNumId w:val="6"/>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68"/>
    <w:rsid w:val="00051703"/>
    <w:rsid w:val="000B7468"/>
    <w:rsid w:val="000D1AB2"/>
    <w:rsid w:val="002047BC"/>
    <w:rsid w:val="003804E7"/>
    <w:rsid w:val="0038639C"/>
    <w:rsid w:val="003E562C"/>
    <w:rsid w:val="004409E6"/>
    <w:rsid w:val="004C3DE5"/>
    <w:rsid w:val="00520305"/>
    <w:rsid w:val="00577FE6"/>
    <w:rsid w:val="006A62E7"/>
    <w:rsid w:val="006C4EB0"/>
    <w:rsid w:val="006C6BBA"/>
    <w:rsid w:val="006E5288"/>
    <w:rsid w:val="00783706"/>
    <w:rsid w:val="00872E7D"/>
    <w:rsid w:val="008821ED"/>
    <w:rsid w:val="00891E0B"/>
    <w:rsid w:val="00912E58"/>
    <w:rsid w:val="0095177C"/>
    <w:rsid w:val="009C1C8F"/>
    <w:rsid w:val="009E0C7B"/>
    <w:rsid w:val="00A75CA8"/>
    <w:rsid w:val="00AB7D96"/>
    <w:rsid w:val="00AC1361"/>
    <w:rsid w:val="00C00C2F"/>
    <w:rsid w:val="00DD07EC"/>
    <w:rsid w:val="00F21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9F89"/>
  <w15:chartTrackingRefBased/>
  <w15:docId w15:val="{8896BC7E-0B8B-4BB8-AEE1-43377FE5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46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9E6"/>
    <w:pPr>
      <w:spacing w:after="200" w:line="276" w:lineRule="auto"/>
      <w:ind w:left="720"/>
      <w:contextualSpacing/>
    </w:pPr>
    <w:rPr>
      <w:lang w:val="en-CA"/>
    </w:rPr>
  </w:style>
  <w:style w:type="paragraph" w:styleId="Header">
    <w:name w:val="header"/>
    <w:basedOn w:val="Normal"/>
    <w:link w:val="HeaderChar"/>
    <w:uiPriority w:val="99"/>
    <w:unhideWhenUsed/>
    <w:rsid w:val="003E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62C"/>
  </w:style>
  <w:style w:type="paragraph" w:styleId="Footer">
    <w:name w:val="footer"/>
    <w:basedOn w:val="Normal"/>
    <w:link w:val="FooterChar"/>
    <w:uiPriority w:val="99"/>
    <w:unhideWhenUsed/>
    <w:rsid w:val="003E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62C"/>
  </w:style>
  <w:style w:type="paragraph" w:styleId="BalloonText">
    <w:name w:val="Balloon Text"/>
    <w:basedOn w:val="Normal"/>
    <w:link w:val="BalloonTextChar"/>
    <w:uiPriority w:val="99"/>
    <w:semiHidden/>
    <w:unhideWhenUsed/>
    <w:rsid w:val="00386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39C"/>
    <w:rPr>
      <w:rFonts w:ascii="Segoe UI" w:hAnsi="Segoe UI" w:cs="Segoe UI"/>
      <w:sz w:val="18"/>
      <w:szCs w:val="18"/>
    </w:rPr>
  </w:style>
  <w:style w:type="paragraph" w:styleId="NoSpacing">
    <w:name w:val="No Spacing"/>
    <w:uiPriority w:val="1"/>
    <w:qFormat/>
    <w:rsid w:val="00577FE6"/>
    <w:pPr>
      <w:spacing w:after="0" w:line="240" w:lineRule="auto"/>
    </w:pPr>
    <w:rPr>
      <w:rFonts w:ascii="Times New Roman" w:hAnsi="Times New Roman"/>
      <w:sz w:val="24"/>
      <w:lang w:val="en-CA"/>
    </w:rPr>
  </w:style>
  <w:style w:type="character" w:styleId="Hyperlink">
    <w:name w:val="Hyperlink"/>
    <w:basedOn w:val="DefaultParagraphFont"/>
    <w:uiPriority w:val="99"/>
    <w:unhideWhenUsed/>
    <w:rsid w:val="00A75C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3365">
      <w:bodyDiv w:val="1"/>
      <w:marLeft w:val="0"/>
      <w:marRight w:val="0"/>
      <w:marTop w:val="0"/>
      <w:marBottom w:val="0"/>
      <w:divBdr>
        <w:top w:val="none" w:sz="0" w:space="0" w:color="auto"/>
        <w:left w:val="none" w:sz="0" w:space="0" w:color="auto"/>
        <w:bottom w:val="none" w:sz="0" w:space="0" w:color="auto"/>
        <w:right w:val="none" w:sz="0" w:space="0" w:color="auto"/>
      </w:divBdr>
    </w:div>
    <w:div w:id="669214465">
      <w:bodyDiv w:val="1"/>
      <w:marLeft w:val="0"/>
      <w:marRight w:val="0"/>
      <w:marTop w:val="0"/>
      <w:marBottom w:val="0"/>
      <w:divBdr>
        <w:top w:val="none" w:sz="0" w:space="0" w:color="auto"/>
        <w:left w:val="none" w:sz="0" w:space="0" w:color="auto"/>
        <w:bottom w:val="none" w:sz="0" w:space="0" w:color="auto"/>
        <w:right w:val="none" w:sz="0" w:space="0" w:color="auto"/>
      </w:divBdr>
    </w:div>
    <w:div w:id="8715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Mazzone</dc:creator>
  <cp:keywords/>
  <dc:description/>
  <cp:lastModifiedBy>Vince Mazzone</cp:lastModifiedBy>
  <cp:revision>3</cp:revision>
  <cp:lastPrinted>2019-01-30T21:00:00Z</cp:lastPrinted>
  <dcterms:created xsi:type="dcterms:W3CDTF">2019-03-01T14:05:00Z</dcterms:created>
  <dcterms:modified xsi:type="dcterms:W3CDTF">2019-03-01T14:11:00Z</dcterms:modified>
</cp:coreProperties>
</file>