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3C13F" w14:textId="77777777" w:rsidR="00AE166A" w:rsidRDefault="00AE166A" w:rsidP="003358A6">
      <w:pPr>
        <w:spacing w:after="0" w:line="240" w:lineRule="auto"/>
        <w:jc w:val="center"/>
        <w:rPr>
          <w:rFonts w:ascii="Arial" w:hAnsi="Arial" w:cs="Arial"/>
          <w:b/>
          <w:sz w:val="24"/>
          <w:szCs w:val="24"/>
        </w:rPr>
      </w:pPr>
      <w:r>
        <w:rPr>
          <w:rFonts w:ascii="Arial" w:hAnsi="Arial" w:cs="Arial"/>
          <w:b/>
          <w:sz w:val="24"/>
          <w:szCs w:val="24"/>
        </w:rPr>
        <w:t xml:space="preserve">Synergy North </w:t>
      </w:r>
      <w:r w:rsidR="001F68D9" w:rsidRPr="002D6E5A">
        <w:rPr>
          <w:rFonts w:ascii="Arial" w:hAnsi="Arial" w:cs="Arial"/>
          <w:b/>
          <w:sz w:val="24"/>
          <w:szCs w:val="24"/>
        </w:rPr>
        <w:t>Corporation</w:t>
      </w:r>
      <w:r>
        <w:rPr>
          <w:rFonts w:ascii="Arial" w:hAnsi="Arial" w:cs="Arial"/>
          <w:b/>
          <w:sz w:val="24"/>
          <w:szCs w:val="24"/>
        </w:rPr>
        <w:t xml:space="preserve"> – </w:t>
      </w:r>
      <w:r w:rsidR="004C48D7">
        <w:rPr>
          <w:rFonts w:ascii="Arial" w:hAnsi="Arial" w:cs="Arial"/>
          <w:b/>
          <w:sz w:val="24"/>
          <w:szCs w:val="24"/>
        </w:rPr>
        <w:t xml:space="preserve">Kenora </w:t>
      </w:r>
      <w:r w:rsidR="00D50F35">
        <w:rPr>
          <w:rFonts w:ascii="Arial" w:hAnsi="Arial" w:cs="Arial"/>
          <w:b/>
          <w:sz w:val="24"/>
          <w:szCs w:val="24"/>
        </w:rPr>
        <w:t>District</w:t>
      </w:r>
    </w:p>
    <w:p w14:paraId="6F397C84" w14:textId="77777777" w:rsidR="003358A6" w:rsidRPr="002D6E5A" w:rsidRDefault="003358A6" w:rsidP="003358A6">
      <w:pPr>
        <w:spacing w:after="0" w:line="240" w:lineRule="auto"/>
        <w:jc w:val="center"/>
        <w:rPr>
          <w:rFonts w:ascii="Arial" w:hAnsi="Arial" w:cs="Arial"/>
          <w:b/>
          <w:sz w:val="24"/>
          <w:szCs w:val="24"/>
        </w:rPr>
      </w:pPr>
      <w:r w:rsidRPr="002D6E5A">
        <w:rPr>
          <w:rFonts w:ascii="Arial" w:hAnsi="Arial" w:cs="Arial"/>
          <w:b/>
          <w:sz w:val="24"/>
          <w:szCs w:val="24"/>
        </w:rPr>
        <w:t>2019 IRM Application (EB-2018-00</w:t>
      </w:r>
      <w:r w:rsidR="00FB2319" w:rsidRPr="002D6E5A">
        <w:rPr>
          <w:rFonts w:ascii="Arial" w:hAnsi="Arial" w:cs="Arial"/>
          <w:b/>
          <w:sz w:val="24"/>
          <w:szCs w:val="24"/>
        </w:rPr>
        <w:t>46</w:t>
      </w:r>
      <w:r w:rsidRPr="002D6E5A">
        <w:rPr>
          <w:rFonts w:ascii="Arial" w:hAnsi="Arial" w:cs="Arial"/>
          <w:b/>
          <w:sz w:val="24"/>
          <w:szCs w:val="24"/>
        </w:rPr>
        <w:t>)</w:t>
      </w:r>
    </w:p>
    <w:p w14:paraId="0B6AC865" w14:textId="77777777" w:rsidR="003358A6" w:rsidRPr="002D6E5A" w:rsidRDefault="003358A6" w:rsidP="003358A6">
      <w:pPr>
        <w:spacing w:after="0" w:line="240" w:lineRule="auto"/>
        <w:jc w:val="center"/>
        <w:rPr>
          <w:rFonts w:ascii="Arial" w:hAnsi="Arial" w:cs="Arial"/>
          <w:b/>
          <w:sz w:val="24"/>
          <w:szCs w:val="24"/>
        </w:rPr>
      </w:pPr>
      <w:r w:rsidRPr="002D6E5A">
        <w:rPr>
          <w:rFonts w:ascii="Arial" w:hAnsi="Arial" w:cs="Arial"/>
          <w:b/>
          <w:sz w:val="24"/>
          <w:szCs w:val="24"/>
        </w:rPr>
        <w:t xml:space="preserve">OEB Staff </w:t>
      </w:r>
      <w:r w:rsidR="00FB2319" w:rsidRPr="002D6E5A">
        <w:rPr>
          <w:rFonts w:ascii="Arial" w:hAnsi="Arial" w:cs="Arial"/>
          <w:b/>
          <w:sz w:val="24"/>
          <w:szCs w:val="24"/>
        </w:rPr>
        <w:t>Questions</w:t>
      </w:r>
    </w:p>
    <w:p w14:paraId="1A9688A9" w14:textId="5E7EB2D6" w:rsidR="003358A6" w:rsidRPr="002D6E5A" w:rsidRDefault="00C05620" w:rsidP="003358A6">
      <w:pPr>
        <w:spacing w:after="0" w:line="240" w:lineRule="auto"/>
        <w:jc w:val="center"/>
        <w:rPr>
          <w:rFonts w:ascii="Arial" w:hAnsi="Arial" w:cs="Arial"/>
          <w:b/>
          <w:sz w:val="24"/>
          <w:szCs w:val="24"/>
        </w:rPr>
      </w:pPr>
      <w:r>
        <w:rPr>
          <w:rFonts w:ascii="Arial" w:hAnsi="Arial" w:cs="Arial"/>
          <w:b/>
          <w:sz w:val="24"/>
          <w:szCs w:val="24"/>
        </w:rPr>
        <w:t>February</w:t>
      </w:r>
      <w:r w:rsidR="008E00A2" w:rsidRPr="002D6E5A">
        <w:rPr>
          <w:rFonts w:ascii="Arial" w:hAnsi="Arial" w:cs="Arial"/>
          <w:b/>
          <w:sz w:val="24"/>
          <w:szCs w:val="24"/>
        </w:rPr>
        <w:t xml:space="preserve"> </w:t>
      </w:r>
      <w:r>
        <w:rPr>
          <w:rFonts w:ascii="Arial" w:hAnsi="Arial" w:cs="Arial"/>
          <w:b/>
          <w:sz w:val="24"/>
          <w:szCs w:val="24"/>
        </w:rPr>
        <w:t>15</w:t>
      </w:r>
      <w:r w:rsidR="003358A6" w:rsidRPr="002D6E5A">
        <w:rPr>
          <w:rFonts w:ascii="Arial" w:hAnsi="Arial" w:cs="Arial"/>
          <w:b/>
          <w:sz w:val="24"/>
          <w:szCs w:val="24"/>
        </w:rPr>
        <w:t>, 2018</w:t>
      </w:r>
    </w:p>
    <w:p w14:paraId="1C057731" w14:textId="77777777" w:rsidR="003358A6" w:rsidRPr="002D6E5A" w:rsidRDefault="003358A6">
      <w:pPr>
        <w:rPr>
          <w:rFonts w:ascii="Arial" w:hAnsi="Arial" w:cs="Arial"/>
          <w:b/>
          <w:sz w:val="24"/>
          <w:szCs w:val="24"/>
        </w:rPr>
      </w:pPr>
    </w:p>
    <w:p w14:paraId="18BA4455" w14:textId="77777777" w:rsidR="001264BD" w:rsidRPr="002D6E5A" w:rsidRDefault="001264BD" w:rsidP="001264BD">
      <w:pPr>
        <w:rPr>
          <w:rFonts w:ascii="Arial" w:hAnsi="Arial" w:cs="Arial"/>
          <w:b/>
          <w:sz w:val="24"/>
          <w:szCs w:val="24"/>
        </w:rPr>
      </w:pPr>
      <w:r w:rsidRPr="002D6E5A">
        <w:rPr>
          <w:rFonts w:ascii="Arial" w:hAnsi="Arial" w:cs="Arial"/>
          <w:b/>
          <w:sz w:val="24"/>
          <w:szCs w:val="24"/>
        </w:rPr>
        <w:t>Staff-1</w:t>
      </w:r>
    </w:p>
    <w:p w14:paraId="3CDC26D4" w14:textId="77777777" w:rsidR="001264BD" w:rsidRPr="002D6E5A" w:rsidRDefault="001264BD" w:rsidP="001264BD">
      <w:pPr>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Pr>
          <w:rFonts w:ascii="Arial" w:hAnsi="Arial" w:cs="Arial"/>
          <w:b/>
          <w:bCs/>
          <w:sz w:val="24"/>
          <w:szCs w:val="24"/>
        </w:rPr>
        <w:t>2019 Annual IR Index, page 4</w:t>
      </w:r>
    </w:p>
    <w:p w14:paraId="64CA6476" w14:textId="77777777" w:rsidR="001264BD" w:rsidRDefault="001264BD" w:rsidP="001264BD">
      <w:pPr>
        <w:rPr>
          <w:rFonts w:ascii="Arial" w:hAnsi="Arial" w:cs="Arial"/>
          <w:sz w:val="24"/>
          <w:szCs w:val="24"/>
        </w:rPr>
      </w:pPr>
      <w:r>
        <w:rPr>
          <w:rFonts w:ascii="Arial" w:hAnsi="Arial" w:cs="Arial"/>
          <w:sz w:val="24"/>
          <w:szCs w:val="24"/>
        </w:rPr>
        <w:t>Synergy North</w:t>
      </w:r>
      <w:r w:rsidRPr="002D6E5A">
        <w:rPr>
          <w:rFonts w:ascii="Arial" w:hAnsi="Arial" w:cs="Arial"/>
          <w:sz w:val="24"/>
          <w:szCs w:val="24"/>
        </w:rPr>
        <w:t xml:space="preserve"> indicates that </w:t>
      </w:r>
      <w:r>
        <w:rPr>
          <w:rFonts w:ascii="Arial" w:hAnsi="Arial" w:cs="Arial"/>
          <w:sz w:val="24"/>
          <w:szCs w:val="24"/>
        </w:rPr>
        <w:t>Kenora Hydro maintained financial records during 2016 consistent with IFRS</w:t>
      </w:r>
      <w:r w:rsidRPr="002D6E5A">
        <w:rPr>
          <w:rFonts w:ascii="Arial" w:hAnsi="Arial" w:cs="Arial"/>
          <w:sz w:val="24"/>
          <w:szCs w:val="24"/>
        </w:rPr>
        <w:t>.</w:t>
      </w:r>
    </w:p>
    <w:p w14:paraId="437CEDB7" w14:textId="3C822468" w:rsidR="001264BD" w:rsidRDefault="001264BD" w:rsidP="001264BD">
      <w:pPr>
        <w:ind w:left="720"/>
        <w:rPr>
          <w:rFonts w:ascii="Arial" w:hAnsi="Arial" w:cs="Arial"/>
          <w:sz w:val="24"/>
          <w:szCs w:val="24"/>
        </w:rPr>
      </w:pPr>
      <w:r>
        <w:rPr>
          <w:rFonts w:ascii="Arial" w:hAnsi="Arial" w:cs="Arial"/>
          <w:sz w:val="24"/>
          <w:szCs w:val="24"/>
        </w:rPr>
        <w:t>Please confirm that Kenora Hydro also maintained financial records during 2017 consistent with IFRS.</w:t>
      </w:r>
    </w:p>
    <w:p w14:paraId="5FA3C0F7" w14:textId="39FD7534" w:rsidR="00790DCE" w:rsidRPr="00026120" w:rsidRDefault="00790DCE" w:rsidP="00790DCE">
      <w:pPr>
        <w:rPr>
          <w:rFonts w:ascii="Arial" w:hAnsi="Arial" w:cs="Arial"/>
          <w:b/>
          <w:sz w:val="24"/>
          <w:szCs w:val="24"/>
        </w:rPr>
      </w:pPr>
    </w:p>
    <w:p w14:paraId="4B861073" w14:textId="7520D91E" w:rsidR="00790DCE" w:rsidRPr="00026120" w:rsidRDefault="00790DCE" w:rsidP="00790DCE">
      <w:pPr>
        <w:rPr>
          <w:rFonts w:ascii="Arial" w:hAnsi="Arial" w:cs="Arial"/>
          <w:b/>
          <w:sz w:val="24"/>
          <w:szCs w:val="24"/>
          <w:u w:val="thick"/>
        </w:rPr>
      </w:pPr>
      <w:r w:rsidRPr="00026120">
        <w:rPr>
          <w:rFonts w:ascii="Arial" w:hAnsi="Arial" w:cs="Arial"/>
          <w:b/>
          <w:sz w:val="24"/>
          <w:szCs w:val="24"/>
          <w:u w:val="thick"/>
        </w:rPr>
        <w:t>Kenora Response:</w:t>
      </w:r>
    </w:p>
    <w:p w14:paraId="0A0E506A" w14:textId="21B80110" w:rsidR="00790DCE" w:rsidRDefault="00790DCE" w:rsidP="00790DCE">
      <w:pPr>
        <w:rPr>
          <w:rFonts w:ascii="Arial" w:hAnsi="Arial" w:cs="Arial"/>
          <w:sz w:val="24"/>
          <w:szCs w:val="24"/>
        </w:rPr>
      </w:pPr>
      <w:r>
        <w:rPr>
          <w:rFonts w:ascii="Arial" w:hAnsi="Arial" w:cs="Arial"/>
          <w:sz w:val="24"/>
          <w:szCs w:val="24"/>
        </w:rPr>
        <w:t>Kenora Hydro maintained financial records during 2017 consistent with IFRS.</w:t>
      </w:r>
    </w:p>
    <w:p w14:paraId="31D5FEB4" w14:textId="77777777" w:rsidR="00790DCE" w:rsidRPr="002D6E5A" w:rsidRDefault="00790DCE" w:rsidP="001264BD">
      <w:pPr>
        <w:ind w:left="720"/>
        <w:rPr>
          <w:rFonts w:ascii="Arial" w:hAnsi="Arial" w:cs="Arial"/>
          <w:sz w:val="24"/>
          <w:szCs w:val="24"/>
        </w:rPr>
      </w:pPr>
    </w:p>
    <w:p w14:paraId="2AB86012" w14:textId="77777777" w:rsidR="00556DBA" w:rsidRPr="002D6E5A" w:rsidRDefault="001264BD" w:rsidP="00556DBA">
      <w:pPr>
        <w:rPr>
          <w:rFonts w:ascii="Arial" w:hAnsi="Arial" w:cs="Arial"/>
          <w:b/>
          <w:sz w:val="24"/>
          <w:szCs w:val="24"/>
        </w:rPr>
      </w:pPr>
      <w:r>
        <w:rPr>
          <w:rFonts w:ascii="Arial" w:hAnsi="Arial" w:cs="Arial"/>
          <w:b/>
          <w:sz w:val="24"/>
          <w:szCs w:val="24"/>
        </w:rPr>
        <w:t>Staff-2</w:t>
      </w:r>
    </w:p>
    <w:p w14:paraId="7E4A5D2A" w14:textId="77777777" w:rsidR="00556DBA" w:rsidRPr="002D6E5A" w:rsidRDefault="00556DBA" w:rsidP="00556DBA">
      <w:pPr>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40329E">
        <w:rPr>
          <w:rFonts w:ascii="Arial" w:hAnsi="Arial" w:cs="Arial"/>
          <w:b/>
          <w:bCs/>
          <w:sz w:val="24"/>
          <w:szCs w:val="24"/>
        </w:rPr>
        <w:t>2019 Annual IR Index</w:t>
      </w:r>
      <w:r w:rsidR="0040329E" w:rsidRPr="002D6E5A">
        <w:rPr>
          <w:rFonts w:ascii="Arial" w:hAnsi="Arial" w:cs="Arial"/>
          <w:b/>
          <w:bCs/>
          <w:sz w:val="24"/>
          <w:szCs w:val="24"/>
        </w:rPr>
        <w:t xml:space="preserve"> </w:t>
      </w:r>
      <w:r w:rsidR="0040329E">
        <w:rPr>
          <w:rFonts w:ascii="Arial" w:hAnsi="Arial" w:cs="Arial"/>
          <w:b/>
          <w:bCs/>
          <w:sz w:val="24"/>
          <w:szCs w:val="24"/>
        </w:rPr>
        <w:t xml:space="preserve">– </w:t>
      </w:r>
      <w:r w:rsidRPr="002D6E5A">
        <w:rPr>
          <w:rFonts w:ascii="Arial" w:hAnsi="Arial" w:cs="Arial"/>
          <w:b/>
          <w:bCs/>
          <w:sz w:val="24"/>
          <w:szCs w:val="24"/>
        </w:rPr>
        <w:t>Appendix A</w:t>
      </w:r>
      <w:r w:rsidR="008D6685">
        <w:rPr>
          <w:rFonts w:ascii="Arial" w:hAnsi="Arial" w:cs="Arial"/>
          <w:b/>
          <w:bCs/>
          <w:sz w:val="24"/>
          <w:szCs w:val="24"/>
        </w:rPr>
        <w:t xml:space="preserve"> GA Methodology Description</w:t>
      </w:r>
    </w:p>
    <w:p w14:paraId="05E5112B" w14:textId="77777777" w:rsidR="00556DBA" w:rsidRPr="002D6E5A" w:rsidRDefault="00AE166A" w:rsidP="00556DBA">
      <w:pPr>
        <w:rPr>
          <w:rFonts w:ascii="Arial" w:hAnsi="Arial" w:cs="Arial"/>
          <w:sz w:val="24"/>
          <w:szCs w:val="24"/>
        </w:rPr>
      </w:pPr>
      <w:r>
        <w:rPr>
          <w:rFonts w:ascii="Arial" w:hAnsi="Arial" w:cs="Arial"/>
          <w:sz w:val="24"/>
          <w:szCs w:val="24"/>
        </w:rPr>
        <w:t>Synergy North</w:t>
      </w:r>
      <w:r w:rsidR="00556DBA" w:rsidRPr="002D6E5A">
        <w:rPr>
          <w:rFonts w:ascii="Arial" w:hAnsi="Arial" w:cs="Arial"/>
          <w:sz w:val="24"/>
          <w:szCs w:val="24"/>
        </w:rPr>
        <w:t xml:space="preserve"> indicates that the current month’s </w:t>
      </w:r>
      <w:r w:rsidR="008D6685">
        <w:rPr>
          <w:rFonts w:ascii="Arial" w:hAnsi="Arial" w:cs="Arial"/>
          <w:sz w:val="24"/>
          <w:szCs w:val="24"/>
        </w:rPr>
        <w:t xml:space="preserve">RPP settlement </w:t>
      </w:r>
      <w:r w:rsidR="00556DBA" w:rsidRPr="002D6E5A">
        <w:rPr>
          <w:rFonts w:ascii="Arial" w:hAnsi="Arial" w:cs="Arial"/>
          <w:sz w:val="24"/>
          <w:szCs w:val="24"/>
        </w:rPr>
        <w:t>filing is mainly comprised of the previous month’s billing data, so the previous month’s final GA rate is used in the calculation of the claim.</w:t>
      </w:r>
    </w:p>
    <w:p w14:paraId="3FD04A4E" w14:textId="7880E370" w:rsidR="00556DBA" w:rsidRDefault="00556DBA" w:rsidP="00556DBA">
      <w:pPr>
        <w:pStyle w:val="ListParagraph"/>
        <w:numPr>
          <w:ilvl w:val="0"/>
          <w:numId w:val="1"/>
        </w:numPr>
        <w:rPr>
          <w:rFonts w:ascii="Arial" w:hAnsi="Arial" w:cs="Arial"/>
          <w:sz w:val="24"/>
          <w:szCs w:val="24"/>
        </w:rPr>
      </w:pPr>
      <w:r w:rsidRPr="002D6E5A">
        <w:rPr>
          <w:rFonts w:ascii="Arial" w:hAnsi="Arial" w:cs="Arial"/>
          <w:sz w:val="24"/>
          <w:szCs w:val="24"/>
        </w:rPr>
        <w:t>The IESO claim is also for the difference in the RPP price and HOEP. For the current month’s claim, are the current or previous month</w:t>
      </w:r>
      <w:r w:rsidR="00DB41B7">
        <w:rPr>
          <w:rFonts w:ascii="Arial" w:hAnsi="Arial" w:cs="Arial"/>
          <w:sz w:val="24"/>
          <w:szCs w:val="24"/>
        </w:rPr>
        <w:t>’</w:t>
      </w:r>
      <w:r w:rsidR="008D6685">
        <w:rPr>
          <w:rFonts w:ascii="Arial" w:hAnsi="Arial" w:cs="Arial"/>
          <w:sz w:val="24"/>
          <w:szCs w:val="24"/>
        </w:rPr>
        <w:t>s</w:t>
      </w:r>
      <w:r w:rsidRPr="002D6E5A">
        <w:rPr>
          <w:rFonts w:ascii="Arial" w:hAnsi="Arial" w:cs="Arial"/>
          <w:sz w:val="24"/>
          <w:szCs w:val="24"/>
        </w:rPr>
        <w:t xml:space="preserve"> prices used for RPP and HOEP?</w:t>
      </w:r>
    </w:p>
    <w:p w14:paraId="099A7388" w14:textId="77777777" w:rsidR="002C70F5" w:rsidRDefault="002C70F5" w:rsidP="002C70F5">
      <w:pPr>
        <w:pStyle w:val="ListParagraph"/>
        <w:rPr>
          <w:rFonts w:ascii="Arial" w:hAnsi="Arial" w:cs="Arial"/>
          <w:sz w:val="24"/>
          <w:szCs w:val="24"/>
        </w:rPr>
      </w:pPr>
    </w:p>
    <w:p w14:paraId="5788C16A" w14:textId="74B0E4D5" w:rsidR="00790DCE" w:rsidRPr="00026120" w:rsidRDefault="00790DCE" w:rsidP="00790DCE">
      <w:pPr>
        <w:rPr>
          <w:rFonts w:ascii="Arial" w:hAnsi="Arial" w:cs="Arial"/>
          <w:b/>
          <w:sz w:val="24"/>
          <w:szCs w:val="24"/>
          <w:u w:val="thick"/>
        </w:rPr>
      </w:pPr>
      <w:r w:rsidRPr="00026120">
        <w:rPr>
          <w:rFonts w:ascii="Arial" w:hAnsi="Arial" w:cs="Arial"/>
          <w:b/>
          <w:sz w:val="24"/>
          <w:szCs w:val="24"/>
          <w:u w:val="thick"/>
        </w:rPr>
        <w:t>Kenora Response:</w:t>
      </w:r>
    </w:p>
    <w:p w14:paraId="30F0F5E9" w14:textId="15BCF059" w:rsidR="008E52E8" w:rsidRDefault="00723E88" w:rsidP="00790DCE">
      <w:pPr>
        <w:rPr>
          <w:rFonts w:ascii="Arial" w:hAnsi="Arial" w:cs="Arial"/>
          <w:sz w:val="24"/>
          <w:szCs w:val="24"/>
        </w:rPr>
      </w:pPr>
      <w:r>
        <w:rPr>
          <w:rFonts w:ascii="Arial" w:hAnsi="Arial" w:cs="Arial"/>
          <w:sz w:val="24"/>
          <w:szCs w:val="24"/>
        </w:rPr>
        <w:t>I</w:t>
      </w:r>
      <w:r w:rsidR="00790DCE">
        <w:rPr>
          <w:rFonts w:ascii="Arial" w:hAnsi="Arial" w:cs="Arial"/>
          <w:sz w:val="24"/>
          <w:szCs w:val="24"/>
        </w:rPr>
        <w:t xml:space="preserve">f the claim is </w:t>
      </w:r>
      <w:r w:rsidR="008E52E8">
        <w:rPr>
          <w:rFonts w:ascii="Arial" w:hAnsi="Arial" w:cs="Arial"/>
          <w:sz w:val="24"/>
          <w:szCs w:val="24"/>
        </w:rPr>
        <w:t>made</w:t>
      </w:r>
      <w:r w:rsidR="00790DCE">
        <w:rPr>
          <w:rFonts w:ascii="Arial" w:hAnsi="Arial" w:cs="Arial"/>
          <w:sz w:val="24"/>
          <w:szCs w:val="24"/>
        </w:rPr>
        <w:t xml:space="preserve"> in the first four days of July for </w:t>
      </w:r>
      <w:r>
        <w:rPr>
          <w:rFonts w:ascii="Arial" w:hAnsi="Arial" w:cs="Arial"/>
          <w:sz w:val="24"/>
          <w:szCs w:val="24"/>
        </w:rPr>
        <w:t xml:space="preserve">the </w:t>
      </w:r>
      <w:r w:rsidR="00790DCE">
        <w:rPr>
          <w:rFonts w:ascii="Arial" w:hAnsi="Arial" w:cs="Arial"/>
          <w:sz w:val="24"/>
          <w:szCs w:val="24"/>
        </w:rPr>
        <w:t xml:space="preserve">June period, the </w:t>
      </w:r>
      <w:r>
        <w:rPr>
          <w:rFonts w:ascii="Arial" w:hAnsi="Arial" w:cs="Arial"/>
          <w:sz w:val="24"/>
          <w:szCs w:val="24"/>
        </w:rPr>
        <w:t xml:space="preserve">actual </w:t>
      </w:r>
      <w:r w:rsidR="008E52E8">
        <w:rPr>
          <w:rFonts w:ascii="Arial" w:hAnsi="Arial" w:cs="Arial"/>
          <w:sz w:val="24"/>
          <w:szCs w:val="24"/>
        </w:rPr>
        <w:t xml:space="preserve">RPP </w:t>
      </w:r>
      <w:r>
        <w:rPr>
          <w:rFonts w:ascii="Arial" w:hAnsi="Arial" w:cs="Arial"/>
          <w:sz w:val="24"/>
          <w:szCs w:val="24"/>
        </w:rPr>
        <w:t xml:space="preserve">billed in </w:t>
      </w:r>
      <w:r w:rsidR="00790DCE">
        <w:rPr>
          <w:rFonts w:ascii="Arial" w:hAnsi="Arial" w:cs="Arial"/>
          <w:sz w:val="24"/>
          <w:szCs w:val="24"/>
        </w:rPr>
        <w:t>June</w:t>
      </w:r>
      <w:r>
        <w:rPr>
          <w:rFonts w:ascii="Arial" w:hAnsi="Arial" w:cs="Arial"/>
          <w:sz w:val="24"/>
          <w:szCs w:val="24"/>
        </w:rPr>
        <w:t>,</w:t>
      </w:r>
      <w:r w:rsidR="00790DCE">
        <w:rPr>
          <w:rFonts w:ascii="Arial" w:hAnsi="Arial" w:cs="Arial"/>
          <w:sz w:val="24"/>
          <w:szCs w:val="24"/>
        </w:rPr>
        <w:t xml:space="preserve"> and </w:t>
      </w:r>
      <w:r>
        <w:rPr>
          <w:rFonts w:ascii="Arial" w:hAnsi="Arial" w:cs="Arial"/>
          <w:sz w:val="24"/>
          <w:szCs w:val="24"/>
        </w:rPr>
        <w:t xml:space="preserve">actual </w:t>
      </w:r>
      <w:r w:rsidR="00790DCE">
        <w:rPr>
          <w:rFonts w:ascii="Arial" w:hAnsi="Arial" w:cs="Arial"/>
          <w:sz w:val="24"/>
          <w:szCs w:val="24"/>
        </w:rPr>
        <w:t xml:space="preserve">HOEP </w:t>
      </w:r>
      <w:r>
        <w:rPr>
          <w:rFonts w:ascii="Arial" w:hAnsi="Arial" w:cs="Arial"/>
          <w:sz w:val="24"/>
          <w:szCs w:val="24"/>
        </w:rPr>
        <w:t xml:space="preserve">on that consumption, </w:t>
      </w:r>
      <w:r w:rsidR="00790DCE">
        <w:rPr>
          <w:rFonts w:ascii="Arial" w:hAnsi="Arial" w:cs="Arial"/>
          <w:sz w:val="24"/>
          <w:szCs w:val="24"/>
        </w:rPr>
        <w:t>would have been used in the claim.</w:t>
      </w:r>
      <w:r>
        <w:rPr>
          <w:rFonts w:ascii="Arial" w:hAnsi="Arial" w:cs="Arial"/>
          <w:sz w:val="24"/>
          <w:szCs w:val="24"/>
        </w:rPr>
        <w:t xml:space="preserve">  The consumption may have occurred in previous months.  The amounts used to calculate the claim would have been </w:t>
      </w:r>
      <w:r w:rsidR="0017775A">
        <w:rPr>
          <w:rFonts w:ascii="Arial" w:hAnsi="Arial" w:cs="Arial"/>
          <w:sz w:val="24"/>
          <w:szCs w:val="24"/>
        </w:rPr>
        <w:t xml:space="preserve">the true </w:t>
      </w:r>
      <w:r>
        <w:rPr>
          <w:rFonts w:ascii="Arial" w:hAnsi="Arial" w:cs="Arial"/>
          <w:sz w:val="24"/>
          <w:szCs w:val="24"/>
        </w:rPr>
        <w:t>billed RPP revenue</w:t>
      </w:r>
      <w:r w:rsidR="0017775A">
        <w:rPr>
          <w:rFonts w:ascii="Arial" w:hAnsi="Arial" w:cs="Arial"/>
          <w:sz w:val="24"/>
          <w:szCs w:val="24"/>
        </w:rPr>
        <w:t>,</w:t>
      </w:r>
      <w:r>
        <w:rPr>
          <w:rFonts w:ascii="Arial" w:hAnsi="Arial" w:cs="Arial"/>
          <w:sz w:val="24"/>
          <w:szCs w:val="24"/>
        </w:rPr>
        <w:t xml:space="preserve"> and the actual HOEP </w:t>
      </w:r>
      <w:r w:rsidR="0017775A">
        <w:rPr>
          <w:rFonts w:ascii="Arial" w:hAnsi="Arial" w:cs="Arial"/>
          <w:sz w:val="24"/>
          <w:szCs w:val="24"/>
        </w:rPr>
        <w:t xml:space="preserve">applied by the system </w:t>
      </w:r>
      <w:r>
        <w:rPr>
          <w:rFonts w:ascii="Arial" w:hAnsi="Arial" w:cs="Arial"/>
          <w:sz w:val="24"/>
          <w:szCs w:val="24"/>
        </w:rPr>
        <w:t xml:space="preserve">on that specific </w:t>
      </w:r>
      <w:r w:rsidR="0017775A">
        <w:rPr>
          <w:rFonts w:ascii="Arial" w:hAnsi="Arial" w:cs="Arial"/>
          <w:sz w:val="24"/>
          <w:szCs w:val="24"/>
        </w:rPr>
        <w:t>consumption</w:t>
      </w:r>
      <w:r>
        <w:rPr>
          <w:rFonts w:ascii="Arial" w:hAnsi="Arial" w:cs="Arial"/>
          <w:sz w:val="24"/>
          <w:szCs w:val="24"/>
        </w:rPr>
        <w:t xml:space="preserve">.  No estimations are done </w:t>
      </w:r>
      <w:r w:rsidR="008E52E8">
        <w:rPr>
          <w:rFonts w:ascii="Arial" w:hAnsi="Arial" w:cs="Arial"/>
          <w:sz w:val="24"/>
          <w:szCs w:val="24"/>
        </w:rPr>
        <w:t>to submit</w:t>
      </w:r>
      <w:r>
        <w:rPr>
          <w:rFonts w:ascii="Arial" w:hAnsi="Arial" w:cs="Arial"/>
          <w:sz w:val="24"/>
          <w:szCs w:val="24"/>
        </w:rPr>
        <w:t xml:space="preserve"> the </w:t>
      </w:r>
      <w:r w:rsidR="008E52E8">
        <w:rPr>
          <w:rFonts w:ascii="Arial" w:hAnsi="Arial" w:cs="Arial"/>
          <w:sz w:val="24"/>
          <w:szCs w:val="24"/>
        </w:rPr>
        <w:t xml:space="preserve">claim for the </w:t>
      </w:r>
      <w:r>
        <w:rPr>
          <w:rFonts w:ascii="Arial" w:hAnsi="Arial" w:cs="Arial"/>
          <w:sz w:val="24"/>
          <w:szCs w:val="24"/>
        </w:rPr>
        <w:t>RPP-HOEP</w:t>
      </w:r>
      <w:r w:rsidR="008E52E8">
        <w:rPr>
          <w:rFonts w:ascii="Arial" w:hAnsi="Arial" w:cs="Arial"/>
          <w:sz w:val="24"/>
          <w:szCs w:val="24"/>
        </w:rPr>
        <w:t xml:space="preserve"> on a monthly basis with the IESO.  The only months during the year where any </w:t>
      </w:r>
      <w:r w:rsidR="0017775A">
        <w:rPr>
          <w:rFonts w:ascii="Arial" w:hAnsi="Arial" w:cs="Arial"/>
          <w:sz w:val="24"/>
          <w:szCs w:val="24"/>
        </w:rPr>
        <w:t xml:space="preserve">estimation </w:t>
      </w:r>
      <w:r w:rsidR="008E52E8">
        <w:rPr>
          <w:rFonts w:ascii="Arial" w:hAnsi="Arial" w:cs="Arial"/>
          <w:sz w:val="24"/>
          <w:szCs w:val="24"/>
        </w:rPr>
        <w:t xml:space="preserve">has been used to calculate the RPP-HOEP </w:t>
      </w:r>
      <w:r w:rsidR="0017775A">
        <w:rPr>
          <w:rFonts w:ascii="Arial" w:hAnsi="Arial" w:cs="Arial"/>
          <w:sz w:val="24"/>
          <w:szCs w:val="24"/>
        </w:rPr>
        <w:t xml:space="preserve">claim </w:t>
      </w:r>
      <w:r w:rsidR="008E52E8">
        <w:rPr>
          <w:rFonts w:ascii="Arial" w:hAnsi="Arial" w:cs="Arial"/>
          <w:sz w:val="24"/>
          <w:szCs w:val="24"/>
        </w:rPr>
        <w:t xml:space="preserve">would be at year end to estimate the unbilled </w:t>
      </w:r>
      <w:r w:rsidR="0017775A">
        <w:rPr>
          <w:rFonts w:ascii="Arial" w:hAnsi="Arial" w:cs="Arial"/>
          <w:sz w:val="24"/>
          <w:szCs w:val="24"/>
        </w:rPr>
        <w:t xml:space="preserve">revenue </w:t>
      </w:r>
      <w:r w:rsidR="008E52E8">
        <w:rPr>
          <w:rFonts w:ascii="Arial" w:hAnsi="Arial" w:cs="Arial"/>
          <w:sz w:val="24"/>
          <w:szCs w:val="24"/>
        </w:rPr>
        <w:t xml:space="preserve">adjustment required to report all consumption </w:t>
      </w:r>
      <w:r w:rsidR="0017775A">
        <w:rPr>
          <w:rFonts w:ascii="Arial" w:hAnsi="Arial" w:cs="Arial"/>
          <w:sz w:val="24"/>
          <w:szCs w:val="24"/>
        </w:rPr>
        <w:t xml:space="preserve">and HOEP to make </w:t>
      </w:r>
      <w:r w:rsidR="008E52E8">
        <w:rPr>
          <w:rFonts w:ascii="Arial" w:hAnsi="Arial" w:cs="Arial"/>
          <w:sz w:val="24"/>
          <w:szCs w:val="24"/>
        </w:rPr>
        <w:t>IESO claims in the appropriate year.</w:t>
      </w:r>
    </w:p>
    <w:p w14:paraId="0C5FBAAD" w14:textId="2CFC65CB" w:rsidR="00790DCE" w:rsidRPr="00790DCE" w:rsidRDefault="00790DCE" w:rsidP="00790DCE">
      <w:pPr>
        <w:rPr>
          <w:rFonts w:ascii="Arial" w:hAnsi="Arial" w:cs="Arial"/>
          <w:sz w:val="24"/>
          <w:szCs w:val="24"/>
        </w:rPr>
      </w:pPr>
    </w:p>
    <w:p w14:paraId="7314A51C" w14:textId="64FCDD09" w:rsidR="00790DCE" w:rsidRDefault="00790DCE" w:rsidP="00790DCE">
      <w:pPr>
        <w:pStyle w:val="ListParagraph"/>
        <w:rPr>
          <w:rFonts w:ascii="Arial" w:hAnsi="Arial" w:cs="Arial"/>
          <w:sz w:val="24"/>
          <w:szCs w:val="24"/>
        </w:rPr>
      </w:pPr>
    </w:p>
    <w:p w14:paraId="53B88D6B" w14:textId="77777777" w:rsidR="00790DCE" w:rsidRPr="002D6E5A" w:rsidRDefault="00790DCE" w:rsidP="00790DCE">
      <w:pPr>
        <w:pStyle w:val="ListParagraph"/>
        <w:rPr>
          <w:rFonts w:ascii="Arial" w:hAnsi="Arial" w:cs="Arial"/>
          <w:sz w:val="24"/>
          <w:szCs w:val="24"/>
        </w:rPr>
      </w:pPr>
    </w:p>
    <w:p w14:paraId="34BF6834" w14:textId="2ED09FD6" w:rsidR="00556DBA" w:rsidRDefault="00556DBA" w:rsidP="00556DBA">
      <w:pPr>
        <w:pStyle w:val="ListParagraph"/>
        <w:numPr>
          <w:ilvl w:val="0"/>
          <w:numId w:val="1"/>
        </w:numPr>
        <w:rPr>
          <w:rFonts w:ascii="Arial" w:hAnsi="Arial" w:cs="Arial"/>
          <w:sz w:val="24"/>
          <w:szCs w:val="24"/>
        </w:rPr>
      </w:pPr>
      <w:r w:rsidRPr="002D6E5A">
        <w:rPr>
          <w:rFonts w:ascii="Arial" w:hAnsi="Arial" w:cs="Arial"/>
          <w:sz w:val="24"/>
          <w:szCs w:val="24"/>
        </w:rPr>
        <w:t>If the current month prices are used, please explain why when the majority of the consumption data relates to the previous month, similar to the GA claim.</w:t>
      </w:r>
    </w:p>
    <w:p w14:paraId="4A5FE917" w14:textId="77777777" w:rsidR="00723E88" w:rsidRDefault="00723E88" w:rsidP="00790DCE">
      <w:pPr>
        <w:rPr>
          <w:rFonts w:ascii="Arial" w:hAnsi="Arial" w:cs="Arial"/>
          <w:sz w:val="24"/>
          <w:szCs w:val="24"/>
        </w:rPr>
      </w:pPr>
    </w:p>
    <w:p w14:paraId="2BBF1E74" w14:textId="6E36FCE9" w:rsidR="00723E88" w:rsidRDefault="00723E88" w:rsidP="00723E88">
      <w:pPr>
        <w:rPr>
          <w:rFonts w:ascii="Arial" w:hAnsi="Arial" w:cs="Arial"/>
          <w:b/>
          <w:sz w:val="24"/>
          <w:szCs w:val="24"/>
          <w:u w:val="thick"/>
        </w:rPr>
      </w:pPr>
      <w:r w:rsidRPr="00026120">
        <w:rPr>
          <w:rFonts w:ascii="Arial" w:hAnsi="Arial" w:cs="Arial"/>
          <w:b/>
          <w:sz w:val="24"/>
          <w:szCs w:val="24"/>
          <w:u w:val="thick"/>
        </w:rPr>
        <w:t>Kenora Response:</w:t>
      </w:r>
    </w:p>
    <w:p w14:paraId="6A8A654C" w14:textId="7597DB71" w:rsidR="004D03C8" w:rsidRDefault="0099358A" w:rsidP="00723E88">
      <w:pPr>
        <w:rPr>
          <w:rFonts w:ascii="Arial" w:hAnsi="Arial" w:cs="Arial"/>
          <w:sz w:val="24"/>
          <w:szCs w:val="24"/>
        </w:rPr>
      </w:pPr>
      <w:r>
        <w:rPr>
          <w:rFonts w:ascii="Arial" w:hAnsi="Arial" w:cs="Arial"/>
          <w:sz w:val="24"/>
          <w:szCs w:val="24"/>
        </w:rPr>
        <w:t>See response in 2a).</w:t>
      </w:r>
    </w:p>
    <w:p w14:paraId="4A55D974" w14:textId="77777777" w:rsidR="00790DCE" w:rsidRPr="00790DCE" w:rsidRDefault="00790DCE" w:rsidP="00790DCE">
      <w:pPr>
        <w:rPr>
          <w:rFonts w:ascii="Arial" w:hAnsi="Arial" w:cs="Arial"/>
          <w:sz w:val="24"/>
          <w:szCs w:val="24"/>
        </w:rPr>
      </w:pPr>
    </w:p>
    <w:p w14:paraId="2E0D72E0" w14:textId="5A2E90A8" w:rsidR="00556DBA" w:rsidRDefault="00556DBA" w:rsidP="00556DBA">
      <w:pPr>
        <w:pStyle w:val="ListParagraph"/>
        <w:numPr>
          <w:ilvl w:val="0"/>
          <w:numId w:val="1"/>
        </w:numPr>
        <w:rPr>
          <w:rFonts w:ascii="Arial" w:hAnsi="Arial" w:cs="Arial"/>
          <w:sz w:val="24"/>
          <w:szCs w:val="24"/>
        </w:rPr>
      </w:pPr>
      <w:r w:rsidRPr="002D6E5A">
        <w:rPr>
          <w:rFonts w:ascii="Arial" w:hAnsi="Arial" w:cs="Arial"/>
          <w:sz w:val="24"/>
          <w:szCs w:val="24"/>
        </w:rPr>
        <w:t>If the previous month prices are used, please confirm that a true up of the prices is completed as well</w:t>
      </w:r>
      <w:r w:rsidR="00F31D07">
        <w:rPr>
          <w:rFonts w:ascii="Arial" w:hAnsi="Arial" w:cs="Arial"/>
          <w:sz w:val="24"/>
          <w:szCs w:val="24"/>
        </w:rPr>
        <w:t xml:space="preserve"> as the true up for GA</w:t>
      </w:r>
      <w:r w:rsidRPr="002D6E5A">
        <w:rPr>
          <w:rFonts w:ascii="Arial" w:hAnsi="Arial" w:cs="Arial"/>
          <w:sz w:val="24"/>
          <w:szCs w:val="24"/>
        </w:rPr>
        <w:t>.</w:t>
      </w:r>
    </w:p>
    <w:p w14:paraId="47706EFF" w14:textId="77777777" w:rsidR="001D10D7" w:rsidRPr="001D10D7" w:rsidRDefault="001D10D7" w:rsidP="001D10D7">
      <w:pPr>
        <w:rPr>
          <w:rFonts w:ascii="Arial" w:hAnsi="Arial" w:cs="Arial"/>
          <w:sz w:val="24"/>
          <w:szCs w:val="24"/>
        </w:rPr>
      </w:pPr>
    </w:p>
    <w:p w14:paraId="6FAA494B" w14:textId="77777777" w:rsidR="001D10D7" w:rsidRPr="001D10D7" w:rsidRDefault="001D10D7" w:rsidP="001D10D7">
      <w:pPr>
        <w:rPr>
          <w:rFonts w:ascii="Arial" w:hAnsi="Arial" w:cs="Arial"/>
          <w:b/>
          <w:sz w:val="24"/>
          <w:szCs w:val="24"/>
          <w:u w:val="thick"/>
        </w:rPr>
      </w:pPr>
      <w:r w:rsidRPr="001D10D7">
        <w:rPr>
          <w:rFonts w:ascii="Arial" w:hAnsi="Arial" w:cs="Arial"/>
          <w:b/>
          <w:sz w:val="24"/>
          <w:szCs w:val="24"/>
          <w:u w:val="thick"/>
        </w:rPr>
        <w:t>Kenora Response:</w:t>
      </w:r>
    </w:p>
    <w:p w14:paraId="435A3AAC" w14:textId="5FFBCDFD" w:rsidR="004D03C8" w:rsidRDefault="004D03C8" w:rsidP="004D03C8">
      <w:pPr>
        <w:rPr>
          <w:rFonts w:ascii="Arial" w:hAnsi="Arial" w:cs="Arial"/>
          <w:sz w:val="24"/>
          <w:szCs w:val="24"/>
        </w:rPr>
      </w:pPr>
    </w:p>
    <w:p w14:paraId="5A1A5A7F" w14:textId="5968AEF7" w:rsidR="004D03C8" w:rsidRDefault="001D10D7" w:rsidP="004D03C8">
      <w:pPr>
        <w:rPr>
          <w:rFonts w:ascii="Arial" w:hAnsi="Arial" w:cs="Arial"/>
          <w:sz w:val="24"/>
          <w:szCs w:val="24"/>
        </w:rPr>
      </w:pPr>
      <w:r>
        <w:rPr>
          <w:rFonts w:ascii="Arial" w:hAnsi="Arial" w:cs="Arial"/>
          <w:sz w:val="24"/>
          <w:szCs w:val="24"/>
        </w:rPr>
        <w:t>Yes, a true up of the RPP kWh, RPP Revenue, and RPP HOEP, as well as a final reconciliation of all of the GA kWh and GA claims for the year are all done at year end to ensure that all GA, RPP Revenue and HOEP cost is recorded in the correct year.</w:t>
      </w:r>
    </w:p>
    <w:p w14:paraId="34432BDC" w14:textId="77777777" w:rsidR="00EF0CD2" w:rsidRPr="00EF0CD2" w:rsidRDefault="00EF0CD2" w:rsidP="00EF0CD2">
      <w:pPr>
        <w:rPr>
          <w:rFonts w:ascii="Arial" w:hAnsi="Arial" w:cs="Arial"/>
          <w:sz w:val="24"/>
          <w:szCs w:val="24"/>
        </w:rPr>
      </w:pPr>
    </w:p>
    <w:p w14:paraId="54FCC900" w14:textId="29B0E2A0" w:rsidR="00556DBA" w:rsidRDefault="00556DBA" w:rsidP="00556DBA">
      <w:pPr>
        <w:pStyle w:val="ListParagraph"/>
        <w:numPr>
          <w:ilvl w:val="0"/>
          <w:numId w:val="1"/>
        </w:numPr>
        <w:rPr>
          <w:rFonts w:ascii="Arial" w:hAnsi="Arial" w:cs="Arial"/>
          <w:sz w:val="24"/>
          <w:szCs w:val="24"/>
        </w:rPr>
      </w:pPr>
      <w:r w:rsidRPr="002D6E5A">
        <w:rPr>
          <w:rFonts w:ascii="Arial" w:hAnsi="Arial" w:cs="Arial"/>
          <w:sz w:val="24"/>
          <w:szCs w:val="24"/>
        </w:rPr>
        <w:t>In the December 2017 IESO filing, consumption would mainly be November consumption and the November rates would have been used. Please confirm that the annual true up would true up consumption and rates to December consumption and rates.</w:t>
      </w:r>
    </w:p>
    <w:p w14:paraId="01F2DC96" w14:textId="77777777" w:rsidR="002C70F5" w:rsidRDefault="002C70F5" w:rsidP="002C70F5">
      <w:pPr>
        <w:pStyle w:val="ListParagraph"/>
        <w:rPr>
          <w:rFonts w:ascii="Arial" w:hAnsi="Arial" w:cs="Arial"/>
          <w:sz w:val="24"/>
          <w:szCs w:val="24"/>
        </w:rPr>
      </w:pPr>
    </w:p>
    <w:p w14:paraId="67DF956D" w14:textId="1BAFA4EA" w:rsidR="002C70F5" w:rsidRPr="00026120" w:rsidRDefault="002C70F5" w:rsidP="002C70F5">
      <w:pPr>
        <w:rPr>
          <w:rFonts w:ascii="Arial" w:hAnsi="Arial" w:cs="Arial"/>
          <w:b/>
          <w:sz w:val="24"/>
          <w:szCs w:val="24"/>
          <w:u w:val="thick"/>
        </w:rPr>
      </w:pPr>
      <w:r w:rsidRPr="00026120">
        <w:rPr>
          <w:rFonts w:ascii="Arial" w:hAnsi="Arial" w:cs="Arial"/>
          <w:b/>
          <w:sz w:val="24"/>
          <w:szCs w:val="24"/>
          <w:u w:val="thick"/>
        </w:rPr>
        <w:t>Kenora Response:</w:t>
      </w:r>
    </w:p>
    <w:p w14:paraId="3C5677F4" w14:textId="6F856CC2" w:rsidR="002C70F5" w:rsidRDefault="002C70F5" w:rsidP="002C70F5">
      <w:pPr>
        <w:rPr>
          <w:rFonts w:ascii="Arial" w:hAnsi="Arial" w:cs="Arial"/>
          <w:sz w:val="24"/>
          <w:szCs w:val="24"/>
        </w:rPr>
      </w:pPr>
      <w:r>
        <w:rPr>
          <w:rFonts w:ascii="Arial" w:hAnsi="Arial" w:cs="Arial"/>
          <w:sz w:val="24"/>
          <w:szCs w:val="24"/>
        </w:rPr>
        <w:t xml:space="preserve">The final annual true-up done in February each year, will take the billing system </w:t>
      </w:r>
      <w:r w:rsidR="00FE37BA">
        <w:rPr>
          <w:rFonts w:ascii="Arial" w:hAnsi="Arial" w:cs="Arial"/>
          <w:sz w:val="24"/>
          <w:szCs w:val="24"/>
        </w:rPr>
        <w:t>reports and will</w:t>
      </w:r>
      <w:r>
        <w:rPr>
          <w:rFonts w:ascii="Arial" w:hAnsi="Arial" w:cs="Arial"/>
          <w:sz w:val="24"/>
          <w:szCs w:val="24"/>
        </w:rPr>
        <w:t xml:space="preserve"> prorate the </w:t>
      </w:r>
      <w:r w:rsidR="00FE37BA">
        <w:rPr>
          <w:rFonts w:ascii="Arial" w:hAnsi="Arial" w:cs="Arial"/>
          <w:sz w:val="24"/>
          <w:szCs w:val="24"/>
        </w:rPr>
        <w:t xml:space="preserve">RPP </w:t>
      </w:r>
      <w:r>
        <w:rPr>
          <w:rFonts w:ascii="Arial" w:hAnsi="Arial" w:cs="Arial"/>
          <w:sz w:val="24"/>
          <w:szCs w:val="24"/>
        </w:rPr>
        <w:t xml:space="preserve">consumption into month of use (which captures </w:t>
      </w:r>
      <w:r w:rsidRPr="004E4E3A">
        <w:rPr>
          <w:rFonts w:ascii="Arial" w:hAnsi="Arial" w:cs="Arial"/>
          <w:sz w:val="24"/>
          <w:szCs w:val="24"/>
        </w:rPr>
        <w:t xml:space="preserve">unbilled kWh </w:t>
      </w:r>
      <w:r w:rsidR="004E4E3A" w:rsidRPr="004E4E3A">
        <w:rPr>
          <w:rFonts w:ascii="Arial" w:hAnsi="Arial" w:cs="Arial"/>
          <w:sz w:val="24"/>
          <w:szCs w:val="24"/>
        </w:rPr>
        <w:t xml:space="preserve">and unbilled revenue </w:t>
      </w:r>
      <w:r w:rsidR="00FE37BA" w:rsidRPr="004E4E3A">
        <w:rPr>
          <w:rFonts w:ascii="Arial" w:hAnsi="Arial" w:cs="Arial"/>
          <w:sz w:val="24"/>
          <w:szCs w:val="24"/>
        </w:rPr>
        <w:t>in</w:t>
      </w:r>
      <w:r w:rsidRPr="004E4E3A">
        <w:rPr>
          <w:rFonts w:ascii="Arial" w:hAnsi="Arial" w:cs="Arial"/>
          <w:sz w:val="24"/>
          <w:szCs w:val="24"/>
        </w:rPr>
        <w:t xml:space="preserve">to </w:t>
      </w:r>
      <w:r w:rsidR="004E4E3A" w:rsidRPr="004E4E3A">
        <w:rPr>
          <w:rFonts w:ascii="Arial" w:hAnsi="Arial" w:cs="Arial"/>
          <w:sz w:val="24"/>
          <w:szCs w:val="24"/>
        </w:rPr>
        <w:t>December)</w:t>
      </w:r>
      <w:r w:rsidRPr="004E4E3A">
        <w:rPr>
          <w:rFonts w:ascii="Arial" w:hAnsi="Arial" w:cs="Arial"/>
          <w:sz w:val="24"/>
          <w:szCs w:val="24"/>
        </w:rPr>
        <w:t>,</w:t>
      </w:r>
      <w:r>
        <w:rPr>
          <w:rFonts w:ascii="Arial" w:hAnsi="Arial" w:cs="Arial"/>
          <w:sz w:val="24"/>
          <w:szCs w:val="24"/>
        </w:rPr>
        <w:t xml:space="preserve"> and will take the </w:t>
      </w:r>
      <w:r w:rsidR="00FE37BA">
        <w:rPr>
          <w:rFonts w:ascii="Arial" w:hAnsi="Arial" w:cs="Arial"/>
          <w:sz w:val="24"/>
          <w:szCs w:val="24"/>
        </w:rPr>
        <w:t>RPP</w:t>
      </w:r>
      <w:r>
        <w:rPr>
          <w:rFonts w:ascii="Arial" w:hAnsi="Arial" w:cs="Arial"/>
          <w:sz w:val="24"/>
          <w:szCs w:val="24"/>
        </w:rPr>
        <w:t xml:space="preserve"> </w:t>
      </w:r>
      <w:r w:rsidR="0099358A">
        <w:rPr>
          <w:rFonts w:ascii="Arial" w:hAnsi="Arial" w:cs="Arial"/>
          <w:sz w:val="24"/>
          <w:szCs w:val="24"/>
        </w:rPr>
        <w:t xml:space="preserve">revenue and associated HOEP </w:t>
      </w:r>
      <w:r>
        <w:rPr>
          <w:rFonts w:ascii="Arial" w:hAnsi="Arial" w:cs="Arial"/>
          <w:sz w:val="24"/>
          <w:szCs w:val="24"/>
        </w:rPr>
        <w:t xml:space="preserve">for December </w:t>
      </w:r>
      <w:r w:rsidR="0099358A">
        <w:rPr>
          <w:rFonts w:ascii="Arial" w:hAnsi="Arial" w:cs="Arial"/>
          <w:sz w:val="24"/>
          <w:szCs w:val="24"/>
        </w:rPr>
        <w:t xml:space="preserve">is used </w:t>
      </w:r>
      <w:r>
        <w:rPr>
          <w:rFonts w:ascii="Arial" w:hAnsi="Arial" w:cs="Arial"/>
          <w:sz w:val="24"/>
          <w:szCs w:val="24"/>
        </w:rPr>
        <w:t>to calculate any true-up required.</w:t>
      </w:r>
    </w:p>
    <w:p w14:paraId="712504CC" w14:textId="11D5A6AA" w:rsidR="00EF0CD2" w:rsidRDefault="00EF0CD2" w:rsidP="00EF0CD2">
      <w:pPr>
        <w:rPr>
          <w:rFonts w:ascii="Arial" w:hAnsi="Arial" w:cs="Arial"/>
          <w:sz w:val="24"/>
          <w:szCs w:val="24"/>
        </w:rPr>
      </w:pPr>
    </w:p>
    <w:p w14:paraId="4C6778E9" w14:textId="0A4BC8A8" w:rsidR="004E4E3A" w:rsidRDefault="004E4E3A" w:rsidP="00EF0CD2">
      <w:pPr>
        <w:rPr>
          <w:rFonts w:ascii="Arial" w:hAnsi="Arial" w:cs="Arial"/>
          <w:sz w:val="24"/>
          <w:szCs w:val="24"/>
        </w:rPr>
      </w:pPr>
    </w:p>
    <w:p w14:paraId="185D9480" w14:textId="41D1744E" w:rsidR="004E4E3A" w:rsidRDefault="004E4E3A" w:rsidP="00EF0CD2">
      <w:pPr>
        <w:rPr>
          <w:rFonts w:ascii="Arial" w:hAnsi="Arial" w:cs="Arial"/>
          <w:sz w:val="24"/>
          <w:szCs w:val="24"/>
        </w:rPr>
      </w:pPr>
    </w:p>
    <w:p w14:paraId="1B67AA95" w14:textId="77777777" w:rsidR="004E4E3A" w:rsidRDefault="004E4E3A" w:rsidP="00EF0CD2">
      <w:pPr>
        <w:rPr>
          <w:rFonts w:ascii="Arial" w:hAnsi="Arial" w:cs="Arial"/>
          <w:sz w:val="24"/>
          <w:szCs w:val="24"/>
        </w:rPr>
      </w:pPr>
    </w:p>
    <w:p w14:paraId="66DD4B87" w14:textId="77777777" w:rsidR="00EF0CD2" w:rsidRPr="00EF0CD2" w:rsidRDefault="00EF0CD2" w:rsidP="00EF0CD2">
      <w:pPr>
        <w:rPr>
          <w:rFonts w:ascii="Arial" w:hAnsi="Arial" w:cs="Arial"/>
          <w:sz w:val="24"/>
          <w:szCs w:val="24"/>
        </w:rPr>
      </w:pPr>
    </w:p>
    <w:p w14:paraId="00B7E5BD" w14:textId="77777777" w:rsidR="00556DBA" w:rsidRPr="002D6E5A" w:rsidRDefault="001264BD" w:rsidP="00556DBA">
      <w:pPr>
        <w:rPr>
          <w:rFonts w:ascii="Arial" w:hAnsi="Arial" w:cs="Arial"/>
          <w:b/>
          <w:sz w:val="24"/>
          <w:szCs w:val="24"/>
        </w:rPr>
      </w:pPr>
      <w:r>
        <w:rPr>
          <w:rFonts w:ascii="Arial" w:hAnsi="Arial" w:cs="Arial"/>
          <w:b/>
          <w:sz w:val="24"/>
          <w:szCs w:val="24"/>
        </w:rPr>
        <w:lastRenderedPageBreak/>
        <w:t>Staff-3</w:t>
      </w:r>
    </w:p>
    <w:p w14:paraId="29F523E2" w14:textId="77777777" w:rsidR="008D6685" w:rsidRPr="002D6E5A" w:rsidRDefault="00556DBA" w:rsidP="008D6685">
      <w:pPr>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40329E">
        <w:rPr>
          <w:rFonts w:ascii="Arial" w:hAnsi="Arial" w:cs="Arial"/>
          <w:b/>
          <w:bCs/>
          <w:sz w:val="24"/>
          <w:szCs w:val="24"/>
        </w:rPr>
        <w:t>2019 Annual IR Index</w:t>
      </w:r>
      <w:r w:rsidR="0040329E" w:rsidRPr="002D6E5A">
        <w:rPr>
          <w:rFonts w:ascii="Arial" w:hAnsi="Arial" w:cs="Arial"/>
          <w:b/>
          <w:bCs/>
          <w:sz w:val="24"/>
          <w:szCs w:val="24"/>
        </w:rPr>
        <w:t xml:space="preserve"> </w:t>
      </w:r>
      <w:r w:rsidR="0040329E">
        <w:rPr>
          <w:rFonts w:ascii="Arial" w:hAnsi="Arial" w:cs="Arial"/>
          <w:b/>
          <w:bCs/>
          <w:sz w:val="24"/>
          <w:szCs w:val="24"/>
        </w:rPr>
        <w:t xml:space="preserve">– </w:t>
      </w:r>
      <w:r w:rsidR="0040329E" w:rsidRPr="002D6E5A">
        <w:rPr>
          <w:rFonts w:ascii="Arial" w:hAnsi="Arial" w:cs="Arial"/>
          <w:b/>
          <w:bCs/>
          <w:sz w:val="24"/>
          <w:szCs w:val="24"/>
        </w:rPr>
        <w:t>Appendix A</w:t>
      </w:r>
      <w:r w:rsidR="008D6685">
        <w:rPr>
          <w:rFonts w:ascii="Arial" w:hAnsi="Arial" w:cs="Arial"/>
          <w:b/>
          <w:bCs/>
          <w:sz w:val="24"/>
          <w:szCs w:val="24"/>
        </w:rPr>
        <w:t xml:space="preserve"> GA Methodology Description</w:t>
      </w:r>
    </w:p>
    <w:p w14:paraId="6E7E6BF4" w14:textId="77777777" w:rsidR="00556DBA" w:rsidRPr="002D6E5A" w:rsidRDefault="00556DBA" w:rsidP="00556DBA">
      <w:pPr>
        <w:rPr>
          <w:rFonts w:ascii="Arial" w:hAnsi="Arial" w:cs="Arial"/>
          <w:sz w:val="24"/>
          <w:szCs w:val="24"/>
        </w:rPr>
      </w:pPr>
      <w:r w:rsidRPr="002D6E5A">
        <w:rPr>
          <w:rFonts w:ascii="Arial" w:hAnsi="Arial" w:cs="Arial"/>
          <w:sz w:val="24"/>
          <w:szCs w:val="24"/>
        </w:rPr>
        <w:t xml:space="preserve">The GA claim recalculation uses the actual final GA rate charged to </w:t>
      </w:r>
      <w:r w:rsidR="00AE166A">
        <w:rPr>
          <w:rFonts w:ascii="Arial" w:hAnsi="Arial" w:cs="Arial"/>
          <w:sz w:val="24"/>
          <w:szCs w:val="24"/>
        </w:rPr>
        <w:t>Synergy North</w:t>
      </w:r>
      <w:r w:rsidRPr="002D6E5A">
        <w:rPr>
          <w:rFonts w:ascii="Arial" w:hAnsi="Arial" w:cs="Arial"/>
          <w:sz w:val="24"/>
          <w:szCs w:val="24"/>
        </w:rPr>
        <w:t>.</w:t>
      </w:r>
    </w:p>
    <w:p w14:paraId="03005F4A" w14:textId="067DF546" w:rsidR="00556DBA" w:rsidRDefault="00556DBA" w:rsidP="00556DBA">
      <w:pPr>
        <w:pStyle w:val="Default"/>
        <w:spacing w:after="240"/>
        <w:ind w:left="720"/>
        <w:contextualSpacing/>
      </w:pPr>
      <w:r w:rsidRPr="002D6E5A">
        <w:t>Please explain where the actual final GA rate is obtained.</w:t>
      </w:r>
    </w:p>
    <w:p w14:paraId="5E18879D" w14:textId="1C34E808" w:rsidR="00790DCE" w:rsidRDefault="00790DCE" w:rsidP="00790DCE">
      <w:pPr>
        <w:pStyle w:val="Default"/>
        <w:spacing w:after="240"/>
        <w:contextualSpacing/>
      </w:pPr>
    </w:p>
    <w:p w14:paraId="34B643F6" w14:textId="2CE06651" w:rsidR="00790DCE" w:rsidRPr="00026120" w:rsidRDefault="00790DCE" w:rsidP="00790DCE">
      <w:pPr>
        <w:pStyle w:val="Default"/>
        <w:spacing w:after="240"/>
        <w:contextualSpacing/>
        <w:rPr>
          <w:b/>
          <w:u w:val="thick"/>
        </w:rPr>
      </w:pPr>
      <w:r w:rsidRPr="00026120">
        <w:rPr>
          <w:b/>
          <w:u w:val="thick"/>
        </w:rPr>
        <w:t>Kenora Response:</w:t>
      </w:r>
    </w:p>
    <w:p w14:paraId="37C1EA39" w14:textId="62087965" w:rsidR="00790DCE" w:rsidRDefault="00790DCE" w:rsidP="00790DCE">
      <w:pPr>
        <w:pStyle w:val="Default"/>
        <w:spacing w:after="240"/>
        <w:contextualSpacing/>
      </w:pPr>
    </w:p>
    <w:p w14:paraId="7A260BE7" w14:textId="1F415490" w:rsidR="00790DCE" w:rsidRDefault="00790DCE" w:rsidP="00790DCE">
      <w:pPr>
        <w:pStyle w:val="Default"/>
        <w:spacing w:after="240"/>
        <w:contextualSpacing/>
      </w:pPr>
      <w:r>
        <w:t xml:space="preserve">The actual final GA rate </w:t>
      </w:r>
      <w:r w:rsidR="0099358A">
        <w:t xml:space="preserve">used </w:t>
      </w:r>
      <w:r>
        <w:t xml:space="preserve">is </w:t>
      </w:r>
      <w:r w:rsidR="00EF0CD2">
        <w:t xml:space="preserve">the actual GA </w:t>
      </w:r>
      <w:r w:rsidR="0099358A">
        <w:t xml:space="preserve">rate </w:t>
      </w:r>
      <w:r w:rsidR="00C411C4">
        <w:t xml:space="preserve">is obtained by talking the full GA amount </w:t>
      </w:r>
      <w:r w:rsidR="00C411C4">
        <w:t xml:space="preserve">charged on Kenora’s </w:t>
      </w:r>
      <w:r w:rsidR="00C411C4">
        <w:t xml:space="preserve">monthly </w:t>
      </w:r>
      <w:r w:rsidR="00C411C4">
        <w:t>IESO invoice</w:t>
      </w:r>
      <w:r w:rsidR="00C411C4">
        <w:t xml:space="preserve">, </w:t>
      </w:r>
      <w:r w:rsidR="00C411C4">
        <w:t xml:space="preserve">divided by the actual kWh purchased from the IESO report from their portal for that month.  The $ /kWh of GA charged to Kenora is then compared to the actual final posted rate for that month to ensure there is no variance between the two amounts. </w:t>
      </w:r>
    </w:p>
    <w:p w14:paraId="2855DFF2" w14:textId="0B6C4F38" w:rsidR="00C411C4" w:rsidRDefault="00C411C4" w:rsidP="00790DCE">
      <w:pPr>
        <w:pStyle w:val="Default"/>
        <w:spacing w:after="240"/>
        <w:contextualSpacing/>
      </w:pPr>
    </w:p>
    <w:p w14:paraId="5527D190" w14:textId="15473BA6" w:rsidR="00C411C4" w:rsidRDefault="00C411C4" w:rsidP="00790DCE">
      <w:pPr>
        <w:pStyle w:val="Default"/>
        <w:spacing w:after="240"/>
        <w:contextualSpacing/>
      </w:pPr>
      <w:r>
        <w:t>This method ensures that the actual GA rate we paid on each month’s IESO invoice is used in the GA true-up.</w:t>
      </w:r>
    </w:p>
    <w:p w14:paraId="7F8F5C4C" w14:textId="77777777" w:rsidR="00790DCE" w:rsidRPr="002D6E5A" w:rsidRDefault="00790DCE" w:rsidP="00790DCE">
      <w:pPr>
        <w:pStyle w:val="Default"/>
        <w:spacing w:after="240"/>
        <w:contextualSpacing/>
      </w:pPr>
    </w:p>
    <w:p w14:paraId="40543FDF" w14:textId="77777777" w:rsidR="009101DA" w:rsidRPr="002D6E5A" w:rsidRDefault="001264BD" w:rsidP="0040329E">
      <w:pPr>
        <w:keepNext/>
        <w:rPr>
          <w:rFonts w:ascii="Arial" w:hAnsi="Arial" w:cs="Arial"/>
          <w:b/>
          <w:sz w:val="24"/>
          <w:szCs w:val="24"/>
        </w:rPr>
      </w:pPr>
      <w:r>
        <w:rPr>
          <w:rFonts w:ascii="Arial" w:hAnsi="Arial" w:cs="Arial"/>
          <w:b/>
          <w:sz w:val="24"/>
          <w:szCs w:val="24"/>
        </w:rPr>
        <w:t>Staff-4</w:t>
      </w:r>
    </w:p>
    <w:p w14:paraId="7B232B5F" w14:textId="6D904B97" w:rsidR="009101DA" w:rsidRPr="002D6E5A" w:rsidRDefault="009101DA" w:rsidP="0015214C">
      <w:pPr>
        <w:keepNext/>
        <w:ind w:left="720" w:hanging="720"/>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40329E">
        <w:rPr>
          <w:rFonts w:ascii="Arial" w:hAnsi="Arial" w:cs="Arial"/>
          <w:b/>
          <w:bCs/>
          <w:sz w:val="24"/>
          <w:szCs w:val="24"/>
        </w:rPr>
        <w:t>2019 Annual IR Index</w:t>
      </w:r>
      <w:r w:rsidR="0040329E" w:rsidRPr="002D6E5A">
        <w:rPr>
          <w:rFonts w:ascii="Arial" w:hAnsi="Arial" w:cs="Arial"/>
          <w:b/>
          <w:bCs/>
          <w:sz w:val="24"/>
          <w:szCs w:val="24"/>
        </w:rPr>
        <w:t xml:space="preserve"> </w:t>
      </w:r>
      <w:r w:rsidR="0040329E">
        <w:rPr>
          <w:rFonts w:ascii="Arial" w:hAnsi="Arial" w:cs="Arial"/>
          <w:b/>
          <w:bCs/>
          <w:sz w:val="24"/>
          <w:szCs w:val="24"/>
        </w:rPr>
        <w:t>–</w:t>
      </w:r>
      <w:r w:rsidR="0015214C" w:rsidRPr="0015214C">
        <w:rPr>
          <w:rFonts w:ascii="Arial" w:hAnsi="Arial" w:cs="Arial"/>
          <w:b/>
          <w:bCs/>
          <w:sz w:val="24"/>
          <w:szCs w:val="24"/>
        </w:rPr>
        <w:t>GA Methodology Description</w:t>
      </w:r>
      <w:r w:rsidR="0015214C">
        <w:rPr>
          <w:rFonts w:ascii="Arial" w:hAnsi="Arial" w:cs="Arial"/>
          <w:b/>
          <w:bCs/>
          <w:sz w:val="24"/>
          <w:szCs w:val="24"/>
        </w:rPr>
        <w:t xml:space="preserve"> </w:t>
      </w:r>
      <w:r w:rsidR="0015214C" w:rsidRPr="0015214C">
        <w:rPr>
          <w:rFonts w:ascii="Arial" w:hAnsi="Arial" w:cs="Arial"/>
          <w:b/>
          <w:bCs/>
          <w:sz w:val="24"/>
          <w:szCs w:val="24"/>
        </w:rPr>
        <w:t xml:space="preserve">OEB </w:t>
      </w:r>
      <w:r w:rsidRPr="002D6E5A">
        <w:rPr>
          <w:rFonts w:ascii="Arial" w:hAnsi="Arial" w:cs="Arial"/>
          <w:b/>
          <w:bCs/>
          <w:sz w:val="24"/>
          <w:szCs w:val="24"/>
        </w:rPr>
        <w:t>Questions on Accounts 1588 and 1589, Response 2</w:t>
      </w:r>
      <w:r w:rsidR="00A46826">
        <w:rPr>
          <w:rFonts w:ascii="Arial" w:hAnsi="Arial" w:cs="Arial"/>
          <w:b/>
          <w:bCs/>
          <w:sz w:val="24"/>
          <w:szCs w:val="24"/>
        </w:rPr>
        <w:t>a, 3b, and 3g</w:t>
      </w:r>
    </w:p>
    <w:p w14:paraId="0F43D8CC" w14:textId="77777777" w:rsidR="009101DA" w:rsidRPr="002D6E5A" w:rsidRDefault="00A46826" w:rsidP="0040329E">
      <w:pPr>
        <w:keepNext/>
        <w:rPr>
          <w:rFonts w:ascii="Arial" w:hAnsi="Arial" w:cs="Arial"/>
          <w:sz w:val="24"/>
          <w:szCs w:val="24"/>
        </w:rPr>
      </w:pPr>
      <w:r>
        <w:rPr>
          <w:rFonts w:ascii="Arial" w:hAnsi="Arial" w:cs="Arial"/>
          <w:sz w:val="24"/>
          <w:szCs w:val="24"/>
        </w:rPr>
        <w:t xml:space="preserve">In response 2a, </w:t>
      </w:r>
      <w:r w:rsidR="00AE166A">
        <w:rPr>
          <w:rFonts w:ascii="Arial" w:hAnsi="Arial" w:cs="Arial"/>
          <w:sz w:val="24"/>
          <w:szCs w:val="24"/>
        </w:rPr>
        <w:t>Synergy North</w:t>
      </w:r>
      <w:r w:rsidR="009101DA" w:rsidRPr="002D6E5A">
        <w:rPr>
          <w:rFonts w:ascii="Arial" w:hAnsi="Arial" w:cs="Arial"/>
          <w:sz w:val="24"/>
          <w:szCs w:val="24"/>
        </w:rPr>
        <w:t xml:space="preserve"> states consumption and rate differences are trued up quarterly. Under response 3b, a description of the annual true up is provided. Under response 3g, it states that the majority of the true up is a result of Q4 and there are minor adjustments to Q2 and Q3.</w:t>
      </w:r>
    </w:p>
    <w:p w14:paraId="38E0B232" w14:textId="5A2C6FB6" w:rsidR="009101DA" w:rsidRDefault="009101DA" w:rsidP="0040329E">
      <w:pPr>
        <w:pStyle w:val="ListParagraph"/>
        <w:keepNext/>
        <w:numPr>
          <w:ilvl w:val="0"/>
          <w:numId w:val="15"/>
        </w:numPr>
        <w:rPr>
          <w:rFonts w:ascii="Arial" w:hAnsi="Arial" w:cs="Arial"/>
          <w:sz w:val="24"/>
          <w:szCs w:val="24"/>
        </w:rPr>
      </w:pPr>
      <w:r w:rsidRPr="002D6E5A">
        <w:rPr>
          <w:rFonts w:ascii="Arial" w:hAnsi="Arial" w:cs="Arial"/>
          <w:sz w:val="24"/>
          <w:szCs w:val="24"/>
        </w:rPr>
        <w:t xml:space="preserve">Please clarify whether true ups are done on a quarterly basis or only on an annual basis. </w:t>
      </w:r>
    </w:p>
    <w:p w14:paraId="75C677C0" w14:textId="77777777" w:rsidR="007E4A0D" w:rsidRDefault="007E4A0D" w:rsidP="007E4A0D">
      <w:pPr>
        <w:pStyle w:val="ListParagraph"/>
        <w:keepNext/>
        <w:rPr>
          <w:rFonts w:ascii="Arial" w:hAnsi="Arial" w:cs="Arial"/>
          <w:sz w:val="24"/>
          <w:szCs w:val="24"/>
        </w:rPr>
      </w:pPr>
    </w:p>
    <w:p w14:paraId="4019B204" w14:textId="47D0964A" w:rsidR="00790DCE" w:rsidRPr="00026120" w:rsidRDefault="00790DCE" w:rsidP="00790DCE">
      <w:pPr>
        <w:keepNext/>
        <w:rPr>
          <w:rFonts w:ascii="Arial" w:hAnsi="Arial" w:cs="Arial"/>
          <w:b/>
          <w:sz w:val="24"/>
          <w:szCs w:val="24"/>
        </w:rPr>
      </w:pPr>
      <w:r w:rsidRPr="00026120">
        <w:rPr>
          <w:rFonts w:ascii="Arial" w:hAnsi="Arial" w:cs="Arial"/>
          <w:b/>
          <w:sz w:val="24"/>
          <w:szCs w:val="24"/>
          <w:u w:val="thick"/>
        </w:rPr>
        <w:t>Kenora Response</w:t>
      </w:r>
      <w:r w:rsidRPr="00026120">
        <w:rPr>
          <w:rFonts w:ascii="Arial" w:hAnsi="Arial" w:cs="Arial"/>
          <w:b/>
          <w:sz w:val="24"/>
          <w:szCs w:val="24"/>
        </w:rPr>
        <w:t>:</w:t>
      </w:r>
    </w:p>
    <w:p w14:paraId="282261D6" w14:textId="44E9F8CA" w:rsidR="00790DCE" w:rsidRDefault="00790DCE" w:rsidP="00790DCE">
      <w:pPr>
        <w:keepNext/>
        <w:rPr>
          <w:rFonts w:ascii="Arial" w:hAnsi="Arial" w:cs="Arial"/>
          <w:sz w:val="24"/>
          <w:szCs w:val="24"/>
        </w:rPr>
      </w:pPr>
      <w:r>
        <w:rPr>
          <w:rFonts w:ascii="Arial" w:hAnsi="Arial" w:cs="Arial"/>
          <w:sz w:val="24"/>
          <w:szCs w:val="24"/>
        </w:rPr>
        <w:t xml:space="preserve">GA true-ups are done on a quarterly basis, taking into account any required adjustments for the quarters that have </w:t>
      </w:r>
      <w:r w:rsidR="00963C2B">
        <w:rPr>
          <w:rFonts w:ascii="Arial" w:hAnsi="Arial" w:cs="Arial"/>
          <w:sz w:val="24"/>
          <w:szCs w:val="24"/>
        </w:rPr>
        <w:t xml:space="preserve">been </w:t>
      </w:r>
      <w:r>
        <w:rPr>
          <w:rFonts w:ascii="Arial" w:hAnsi="Arial" w:cs="Arial"/>
          <w:sz w:val="24"/>
          <w:szCs w:val="24"/>
        </w:rPr>
        <w:t>previously been filed.  This is done each quarter.</w:t>
      </w:r>
      <w:r w:rsidR="00963C2B">
        <w:rPr>
          <w:rFonts w:ascii="Arial" w:hAnsi="Arial" w:cs="Arial"/>
          <w:sz w:val="24"/>
          <w:szCs w:val="24"/>
        </w:rPr>
        <w:t xml:space="preserve">  At year end, the entire year is reviewed for any errors or required adjustments to ensure accuracy and completeness.</w:t>
      </w:r>
      <w:r>
        <w:rPr>
          <w:rFonts w:ascii="Arial" w:hAnsi="Arial" w:cs="Arial"/>
          <w:sz w:val="24"/>
          <w:szCs w:val="24"/>
        </w:rPr>
        <w:t xml:space="preserve">  </w:t>
      </w:r>
      <w:r w:rsidR="004E4E3A">
        <w:rPr>
          <w:rFonts w:ascii="Arial" w:hAnsi="Arial" w:cs="Arial"/>
          <w:sz w:val="24"/>
          <w:szCs w:val="24"/>
        </w:rPr>
        <w:t>There may be some non-material adjustments required at year end relating to data from previously filed quarters.</w:t>
      </w:r>
    </w:p>
    <w:p w14:paraId="50A31CB4" w14:textId="2B33D351" w:rsidR="00790DCE" w:rsidRDefault="00790DCE" w:rsidP="00790DCE">
      <w:pPr>
        <w:keepNext/>
        <w:rPr>
          <w:rFonts w:ascii="Arial" w:hAnsi="Arial" w:cs="Arial"/>
          <w:sz w:val="24"/>
          <w:szCs w:val="24"/>
        </w:rPr>
      </w:pPr>
    </w:p>
    <w:p w14:paraId="7E3E8218" w14:textId="60E2E88C" w:rsidR="0041030F" w:rsidRDefault="0041030F">
      <w:pPr>
        <w:rPr>
          <w:rFonts w:ascii="Arial" w:hAnsi="Arial" w:cs="Arial"/>
          <w:sz w:val="24"/>
          <w:szCs w:val="24"/>
        </w:rPr>
      </w:pPr>
      <w:r>
        <w:rPr>
          <w:rFonts w:ascii="Arial" w:hAnsi="Arial" w:cs="Arial"/>
          <w:sz w:val="24"/>
          <w:szCs w:val="24"/>
        </w:rPr>
        <w:br w:type="page"/>
      </w:r>
    </w:p>
    <w:p w14:paraId="7C002DDB" w14:textId="77777777" w:rsidR="0041030F" w:rsidRDefault="0041030F" w:rsidP="00790DCE">
      <w:pPr>
        <w:keepNext/>
        <w:rPr>
          <w:rFonts w:ascii="Arial" w:hAnsi="Arial" w:cs="Arial"/>
          <w:sz w:val="24"/>
          <w:szCs w:val="24"/>
        </w:rPr>
      </w:pPr>
    </w:p>
    <w:p w14:paraId="1F2108D3" w14:textId="471910D6" w:rsidR="009101DA" w:rsidRPr="0041030F" w:rsidRDefault="009101DA" w:rsidP="0041030F">
      <w:pPr>
        <w:pStyle w:val="ListParagraph"/>
        <w:numPr>
          <w:ilvl w:val="0"/>
          <w:numId w:val="15"/>
        </w:numPr>
        <w:rPr>
          <w:rFonts w:ascii="Arial" w:hAnsi="Arial" w:cs="Arial"/>
          <w:sz w:val="24"/>
          <w:szCs w:val="24"/>
        </w:rPr>
      </w:pPr>
      <w:r w:rsidRPr="0041030F">
        <w:rPr>
          <w:rFonts w:ascii="Arial" w:hAnsi="Arial" w:cs="Arial"/>
          <w:sz w:val="24"/>
          <w:szCs w:val="24"/>
        </w:rPr>
        <w:t>If true ups are done on a quarterly basis, please describe any differences between the quarterly true up and the annual true up.</w:t>
      </w:r>
    </w:p>
    <w:p w14:paraId="6D59B733" w14:textId="77777777" w:rsidR="000E781F" w:rsidRDefault="000E781F" w:rsidP="00963C2B">
      <w:pPr>
        <w:rPr>
          <w:rFonts w:ascii="Arial" w:hAnsi="Arial" w:cs="Arial"/>
          <w:b/>
          <w:sz w:val="24"/>
          <w:szCs w:val="24"/>
          <w:u w:val="thick"/>
        </w:rPr>
      </w:pPr>
    </w:p>
    <w:p w14:paraId="1CD1C6E5" w14:textId="0FCAACF4" w:rsidR="00963C2B" w:rsidRPr="00026120" w:rsidRDefault="00963C2B" w:rsidP="00963C2B">
      <w:pPr>
        <w:rPr>
          <w:rFonts w:ascii="Arial" w:hAnsi="Arial" w:cs="Arial"/>
          <w:b/>
          <w:sz w:val="24"/>
          <w:szCs w:val="24"/>
          <w:u w:val="thick"/>
        </w:rPr>
      </w:pPr>
      <w:r w:rsidRPr="00026120">
        <w:rPr>
          <w:rFonts w:ascii="Arial" w:hAnsi="Arial" w:cs="Arial"/>
          <w:b/>
          <w:sz w:val="24"/>
          <w:szCs w:val="24"/>
          <w:u w:val="thick"/>
        </w:rPr>
        <w:t>Kenora Response:</w:t>
      </w:r>
    </w:p>
    <w:p w14:paraId="296BF247" w14:textId="0AF0B80B" w:rsidR="00963C2B" w:rsidRDefault="00963C2B" w:rsidP="00963C2B">
      <w:pPr>
        <w:rPr>
          <w:rFonts w:ascii="Arial" w:hAnsi="Arial" w:cs="Arial"/>
          <w:sz w:val="24"/>
          <w:szCs w:val="24"/>
        </w:rPr>
      </w:pPr>
      <w:r>
        <w:rPr>
          <w:rFonts w:ascii="Arial" w:hAnsi="Arial" w:cs="Arial"/>
          <w:sz w:val="24"/>
          <w:szCs w:val="24"/>
        </w:rPr>
        <w:t xml:space="preserve">There would be no difference in the review procedures done </w:t>
      </w:r>
      <w:r w:rsidR="007B2DCA">
        <w:rPr>
          <w:rFonts w:ascii="Arial" w:hAnsi="Arial" w:cs="Arial"/>
          <w:sz w:val="24"/>
          <w:szCs w:val="24"/>
        </w:rPr>
        <w:t xml:space="preserve">on a </w:t>
      </w:r>
      <w:r>
        <w:rPr>
          <w:rFonts w:ascii="Arial" w:hAnsi="Arial" w:cs="Arial"/>
          <w:sz w:val="24"/>
          <w:szCs w:val="24"/>
        </w:rPr>
        <w:t>quarterly or annual</w:t>
      </w:r>
      <w:r w:rsidR="007B2DCA">
        <w:rPr>
          <w:rFonts w:ascii="Arial" w:hAnsi="Arial" w:cs="Arial"/>
          <w:sz w:val="24"/>
          <w:szCs w:val="24"/>
        </w:rPr>
        <w:t xml:space="preserve"> basis</w:t>
      </w:r>
      <w:r>
        <w:rPr>
          <w:rFonts w:ascii="Arial" w:hAnsi="Arial" w:cs="Arial"/>
          <w:sz w:val="24"/>
          <w:szCs w:val="24"/>
        </w:rPr>
        <w:t xml:space="preserve">.  </w:t>
      </w:r>
    </w:p>
    <w:p w14:paraId="5D21D7C5" w14:textId="77777777" w:rsidR="00963C2B" w:rsidRPr="00963C2B" w:rsidRDefault="00963C2B" w:rsidP="00963C2B">
      <w:pPr>
        <w:rPr>
          <w:rFonts w:ascii="Arial" w:hAnsi="Arial" w:cs="Arial"/>
          <w:sz w:val="24"/>
          <w:szCs w:val="24"/>
        </w:rPr>
      </w:pPr>
    </w:p>
    <w:p w14:paraId="515C4644" w14:textId="77777777" w:rsidR="009101DA" w:rsidRPr="002D6E5A" w:rsidRDefault="001264BD" w:rsidP="002D6E5A">
      <w:pPr>
        <w:keepNext/>
        <w:rPr>
          <w:rFonts w:ascii="Arial" w:hAnsi="Arial" w:cs="Arial"/>
          <w:b/>
          <w:sz w:val="24"/>
          <w:szCs w:val="24"/>
        </w:rPr>
      </w:pPr>
      <w:r>
        <w:rPr>
          <w:rFonts w:ascii="Arial" w:hAnsi="Arial" w:cs="Arial"/>
          <w:b/>
          <w:sz w:val="24"/>
          <w:szCs w:val="24"/>
        </w:rPr>
        <w:t>Staff-5</w:t>
      </w:r>
    </w:p>
    <w:p w14:paraId="5C0080B5" w14:textId="77777777" w:rsidR="009101DA" w:rsidRPr="002D6E5A" w:rsidRDefault="009101DA" w:rsidP="0040329E">
      <w:pPr>
        <w:keepNext/>
        <w:ind w:left="720" w:hanging="720"/>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40329E">
        <w:rPr>
          <w:rFonts w:ascii="Arial" w:hAnsi="Arial" w:cs="Arial"/>
          <w:b/>
          <w:bCs/>
          <w:sz w:val="24"/>
          <w:szCs w:val="24"/>
        </w:rPr>
        <w:t>2019 Annual IR Index</w:t>
      </w:r>
      <w:r w:rsidR="0040329E" w:rsidRPr="002D6E5A">
        <w:rPr>
          <w:rFonts w:ascii="Arial" w:hAnsi="Arial" w:cs="Arial"/>
          <w:b/>
          <w:bCs/>
          <w:sz w:val="24"/>
          <w:szCs w:val="24"/>
        </w:rPr>
        <w:t xml:space="preserve"> </w:t>
      </w:r>
      <w:r w:rsidR="0040329E">
        <w:rPr>
          <w:rFonts w:ascii="Arial" w:hAnsi="Arial" w:cs="Arial"/>
          <w:b/>
          <w:bCs/>
          <w:sz w:val="24"/>
          <w:szCs w:val="24"/>
        </w:rPr>
        <w:t xml:space="preserve">– </w:t>
      </w:r>
      <w:r w:rsidR="00D41DCE" w:rsidRPr="0015214C">
        <w:rPr>
          <w:rFonts w:ascii="Arial" w:hAnsi="Arial" w:cs="Arial"/>
          <w:b/>
          <w:bCs/>
          <w:sz w:val="24"/>
          <w:szCs w:val="24"/>
        </w:rPr>
        <w:t>GA Methodology Description</w:t>
      </w:r>
      <w:r w:rsidR="00D41DCE">
        <w:rPr>
          <w:rFonts w:ascii="Arial" w:hAnsi="Arial" w:cs="Arial"/>
          <w:b/>
          <w:bCs/>
          <w:sz w:val="24"/>
          <w:szCs w:val="24"/>
        </w:rPr>
        <w:t xml:space="preserve"> </w:t>
      </w:r>
      <w:r w:rsidRPr="002D6E5A">
        <w:rPr>
          <w:rFonts w:ascii="Arial" w:hAnsi="Arial" w:cs="Arial"/>
          <w:b/>
          <w:bCs/>
          <w:sz w:val="24"/>
          <w:szCs w:val="24"/>
        </w:rPr>
        <w:t>OEB Questions on Accounts 1588 and 1589, Response 3b</w:t>
      </w:r>
    </w:p>
    <w:p w14:paraId="1A569013" w14:textId="77777777" w:rsidR="009101DA" w:rsidRPr="002D6E5A" w:rsidRDefault="00AE166A" w:rsidP="002D6E5A">
      <w:pPr>
        <w:keepNext/>
        <w:rPr>
          <w:rFonts w:ascii="Arial" w:hAnsi="Arial" w:cs="Arial"/>
          <w:sz w:val="24"/>
          <w:szCs w:val="24"/>
        </w:rPr>
      </w:pPr>
      <w:r>
        <w:rPr>
          <w:rFonts w:ascii="Arial" w:hAnsi="Arial" w:cs="Arial"/>
          <w:sz w:val="24"/>
          <w:szCs w:val="24"/>
        </w:rPr>
        <w:t>Synergy North</w:t>
      </w:r>
      <w:r w:rsidR="009101DA" w:rsidRPr="002D6E5A">
        <w:rPr>
          <w:rFonts w:ascii="Arial" w:hAnsi="Arial" w:cs="Arial"/>
          <w:sz w:val="24"/>
          <w:szCs w:val="24"/>
        </w:rPr>
        <w:t xml:space="preserve"> indicates that a billing system query is run to determine the Non-RPP volume supplied to customers and also the unbilled adjusted kWh consumed.</w:t>
      </w:r>
    </w:p>
    <w:p w14:paraId="05E1E719" w14:textId="49114D16" w:rsidR="009101DA" w:rsidRDefault="009101DA" w:rsidP="002D6E5A">
      <w:pPr>
        <w:pStyle w:val="ListParagraph"/>
        <w:keepNext/>
        <w:numPr>
          <w:ilvl w:val="0"/>
          <w:numId w:val="20"/>
        </w:numPr>
        <w:rPr>
          <w:rFonts w:ascii="Arial" w:hAnsi="Arial" w:cs="Arial"/>
          <w:sz w:val="24"/>
          <w:szCs w:val="24"/>
        </w:rPr>
      </w:pPr>
      <w:r w:rsidRPr="002D6E5A">
        <w:rPr>
          <w:rFonts w:ascii="Arial" w:hAnsi="Arial" w:cs="Arial"/>
          <w:sz w:val="24"/>
          <w:szCs w:val="24"/>
        </w:rPr>
        <w:t xml:space="preserve">Please confirm that this means billed non-RPP volume plus unbilled non-RPP volume. </w:t>
      </w:r>
    </w:p>
    <w:p w14:paraId="37C71E28" w14:textId="77777777" w:rsidR="007E4A0D" w:rsidRDefault="007E4A0D" w:rsidP="007E4A0D">
      <w:pPr>
        <w:pStyle w:val="ListParagraph"/>
        <w:keepNext/>
        <w:rPr>
          <w:rFonts w:ascii="Arial" w:hAnsi="Arial" w:cs="Arial"/>
          <w:sz w:val="24"/>
          <w:szCs w:val="24"/>
        </w:rPr>
      </w:pPr>
    </w:p>
    <w:p w14:paraId="036E2F6E" w14:textId="276D9A35" w:rsidR="00963C2B" w:rsidRPr="00026120" w:rsidRDefault="00963C2B" w:rsidP="00963C2B">
      <w:pPr>
        <w:keepNext/>
        <w:rPr>
          <w:rFonts w:ascii="Arial" w:hAnsi="Arial" w:cs="Arial"/>
          <w:b/>
          <w:sz w:val="24"/>
          <w:szCs w:val="24"/>
          <w:u w:val="thick"/>
        </w:rPr>
      </w:pPr>
      <w:r w:rsidRPr="00026120">
        <w:rPr>
          <w:rFonts w:ascii="Arial" w:hAnsi="Arial" w:cs="Arial"/>
          <w:b/>
          <w:sz w:val="24"/>
          <w:szCs w:val="24"/>
          <w:u w:val="thick"/>
        </w:rPr>
        <w:t>Kenora Response:</w:t>
      </w:r>
    </w:p>
    <w:p w14:paraId="7343A05C" w14:textId="5E2DA814" w:rsidR="00963C2B" w:rsidRDefault="00DD36BD" w:rsidP="00963C2B">
      <w:pPr>
        <w:keepNext/>
        <w:rPr>
          <w:rFonts w:ascii="Arial" w:hAnsi="Arial" w:cs="Arial"/>
          <w:sz w:val="24"/>
          <w:szCs w:val="24"/>
        </w:rPr>
      </w:pPr>
      <w:r>
        <w:rPr>
          <w:rFonts w:ascii="Arial" w:hAnsi="Arial" w:cs="Arial"/>
          <w:sz w:val="24"/>
          <w:szCs w:val="24"/>
        </w:rPr>
        <w:t xml:space="preserve">Yes.  </w:t>
      </w:r>
      <w:r w:rsidR="00963C2B">
        <w:rPr>
          <w:rFonts w:ascii="Arial" w:hAnsi="Arial" w:cs="Arial"/>
          <w:sz w:val="24"/>
          <w:szCs w:val="24"/>
        </w:rPr>
        <w:t xml:space="preserve">The billing query pro-rates and allocates the consumption into each month of use.  Any unbilled kWh (billed in subsequent months) are drawn back into the month of use by the system, giving consumption for each month.  Each month will be a portion of any billed kWh used in that given month plus an accrual for kWh used in that month but not billed until subsequent month(s). </w:t>
      </w:r>
    </w:p>
    <w:p w14:paraId="652FD7B6" w14:textId="77777777" w:rsidR="00963C2B" w:rsidRPr="00963C2B" w:rsidRDefault="00963C2B" w:rsidP="00963C2B">
      <w:pPr>
        <w:keepNext/>
        <w:rPr>
          <w:rFonts w:ascii="Arial" w:hAnsi="Arial" w:cs="Arial"/>
          <w:sz w:val="24"/>
          <w:szCs w:val="24"/>
        </w:rPr>
      </w:pPr>
    </w:p>
    <w:p w14:paraId="466B546B" w14:textId="61A35581" w:rsidR="009101DA" w:rsidRDefault="009101DA" w:rsidP="009101DA">
      <w:pPr>
        <w:pStyle w:val="ListParagraph"/>
        <w:numPr>
          <w:ilvl w:val="0"/>
          <w:numId w:val="20"/>
        </w:numPr>
        <w:rPr>
          <w:rFonts w:ascii="Arial" w:hAnsi="Arial" w:cs="Arial"/>
          <w:sz w:val="24"/>
          <w:szCs w:val="24"/>
        </w:rPr>
      </w:pPr>
      <w:r w:rsidRPr="002D6E5A">
        <w:rPr>
          <w:rFonts w:ascii="Arial" w:hAnsi="Arial" w:cs="Arial"/>
          <w:sz w:val="24"/>
          <w:szCs w:val="24"/>
        </w:rPr>
        <w:t>If not, please clarify what the adjustment to unbilled is.</w:t>
      </w:r>
    </w:p>
    <w:p w14:paraId="52142654" w14:textId="6DA84ED5" w:rsidR="007E4A0D" w:rsidRDefault="007E4A0D" w:rsidP="007E4A0D">
      <w:pPr>
        <w:pStyle w:val="ListParagraph"/>
        <w:rPr>
          <w:rFonts w:ascii="Arial" w:hAnsi="Arial" w:cs="Arial"/>
          <w:sz w:val="24"/>
          <w:szCs w:val="24"/>
        </w:rPr>
      </w:pPr>
    </w:p>
    <w:p w14:paraId="31BFBBC4" w14:textId="053AA649" w:rsidR="00963C2B" w:rsidRPr="00026120" w:rsidRDefault="00963C2B" w:rsidP="00963C2B">
      <w:pPr>
        <w:rPr>
          <w:rFonts w:ascii="Arial" w:hAnsi="Arial" w:cs="Arial"/>
          <w:b/>
          <w:sz w:val="24"/>
          <w:szCs w:val="24"/>
          <w:u w:val="thick"/>
        </w:rPr>
      </w:pPr>
      <w:r w:rsidRPr="00026120">
        <w:rPr>
          <w:rFonts w:ascii="Arial" w:hAnsi="Arial" w:cs="Arial"/>
          <w:b/>
          <w:sz w:val="24"/>
          <w:szCs w:val="24"/>
          <w:u w:val="thick"/>
        </w:rPr>
        <w:t>Kenora Response:</w:t>
      </w:r>
    </w:p>
    <w:p w14:paraId="360A01A8" w14:textId="40759CFA" w:rsidR="00963C2B" w:rsidRDefault="00963C2B" w:rsidP="00963C2B">
      <w:pPr>
        <w:rPr>
          <w:rFonts w:ascii="Arial" w:hAnsi="Arial" w:cs="Arial"/>
          <w:sz w:val="24"/>
          <w:szCs w:val="24"/>
        </w:rPr>
      </w:pPr>
      <w:r>
        <w:rPr>
          <w:rFonts w:ascii="Arial" w:hAnsi="Arial" w:cs="Arial"/>
          <w:sz w:val="24"/>
          <w:szCs w:val="24"/>
        </w:rPr>
        <w:t>N/A.</w:t>
      </w:r>
    </w:p>
    <w:p w14:paraId="665630F0" w14:textId="77777777" w:rsidR="00963C2B" w:rsidRPr="00963C2B" w:rsidRDefault="00963C2B" w:rsidP="00963C2B">
      <w:pPr>
        <w:rPr>
          <w:rFonts w:ascii="Arial" w:hAnsi="Arial" w:cs="Arial"/>
          <w:sz w:val="24"/>
          <w:szCs w:val="24"/>
        </w:rPr>
      </w:pPr>
    </w:p>
    <w:p w14:paraId="059289FA" w14:textId="77777777" w:rsidR="0041030F" w:rsidRDefault="0041030F">
      <w:pPr>
        <w:rPr>
          <w:rFonts w:ascii="Arial" w:hAnsi="Arial" w:cs="Arial"/>
          <w:b/>
          <w:sz w:val="24"/>
          <w:szCs w:val="24"/>
        </w:rPr>
      </w:pPr>
      <w:r>
        <w:rPr>
          <w:rFonts w:ascii="Arial" w:hAnsi="Arial" w:cs="Arial"/>
          <w:b/>
          <w:sz w:val="24"/>
          <w:szCs w:val="24"/>
        </w:rPr>
        <w:br w:type="page"/>
      </w:r>
    </w:p>
    <w:p w14:paraId="1E925867" w14:textId="5D28E97F" w:rsidR="00556DBA" w:rsidRPr="002D6E5A" w:rsidRDefault="001264BD" w:rsidP="00556DBA">
      <w:pPr>
        <w:rPr>
          <w:rFonts w:ascii="Arial" w:hAnsi="Arial" w:cs="Arial"/>
          <w:b/>
          <w:sz w:val="24"/>
          <w:szCs w:val="24"/>
        </w:rPr>
      </w:pPr>
      <w:r>
        <w:rPr>
          <w:rFonts w:ascii="Arial" w:hAnsi="Arial" w:cs="Arial"/>
          <w:b/>
          <w:sz w:val="24"/>
          <w:szCs w:val="24"/>
        </w:rPr>
        <w:lastRenderedPageBreak/>
        <w:t>Staff-6</w:t>
      </w:r>
    </w:p>
    <w:p w14:paraId="6F561E7D" w14:textId="77777777" w:rsidR="00556DBA" w:rsidRPr="002D6E5A" w:rsidRDefault="00556DBA" w:rsidP="0040329E">
      <w:pPr>
        <w:ind w:left="720" w:hanging="720"/>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40329E">
        <w:rPr>
          <w:rFonts w:ascii="Arial" w:hAnsi="Arial" w:cs="Arial"/>
          <w:b/>
          <w:bCs/>
          <w:sz w:val="24"/>
          <w:szCs w:val="24"/>
        </w:rPr>
        <w:t>2019 Annual IR Index</w:t>
      </w:r>
      <w:r w:rsidR="0040329E" w:rsidRPr="002D6E5A">
        <w:rPr>
          <w:rFonts w:ascii="Arial" w:hAnsi="Arial" w:cs="Arial"/>
          <w:b/>
          <w:bCs/>
          <w:sz w:val="24"/>
          <w:szCs w:val="24"/>
        </w:rPr>
        <w:t xml:space="preserve"> </w:t>
      </w:r>
      <w:r w:rsidR="0040329E">
        <w:rPr>
          <w:rFonts w:ascii="Arial" w:hAnsi="Arial" w:cs="Arial"/>
          <w:b/>
          <w:bCs/>
          <w:sz w:val="24"/>
          <w:szCs w:val="24"/>
        </w:rPr>
        <w:t xml:space="preserve">– </w:t>
      </w:r>
      <w:r w:rsidR="00D41DCE" w:rsidRPr="0015214C">
        <w:rPr>
          <w:rFonts w:ascii="Arial" w:hAnsi="Arial" w:cs="Arial"/>
          <w:b/>
          <w:bCs/>
          <w:sz w:val="24"/>
          <w:szCs w:val="24"/>
        </w:rPr>
        <w:t>GA Methodology Description</w:t>
      </w:r>
      <w:r w:rsidR="00D41DCE">
        <w:rPr>
          <w:rFonts w:ascii="Arial" w:hAnsi="Arial" w:cs="Arial"/>
          <w:b/>
          <w:bCs/>
          <w:sz w:val="24"/>
          <w:szCs w:val="24"/>
        </w:rPr>
        <w:t xml:space="preserve"> </w:t>
      </w:r>
      <w:r w:rsidRPr="002D6E5A">
        <w:rPr>
          <w:rFonts w:ascii="Arial" w:hAnsi="Arial" w:cs="Arial"/>
          <w:b/>
          <w:bCs/>
          <w:sz w:val="24"/>
          <w:szCs w:val="24"/>
        </w:rPr>
        <w:t>OEB Questions on Accounts 1588 and 1589, Responses 2f and 3g</w:t>
      </w:r>
    </w:p>
    <w:p w14:paraId="55DC8EA8" w14:textId="77777777" w:rsidR="00556DBA" w:rsidRPr="002D6E5A" w:rsidRDefault="00556DBA" w:rsidP="00556DBA">
      <w:pPr>
        <w:rPr>
          <w:rFonts w:ascii="Arial" w:hAnsi="Arial" w:cs="Arial"/>
          <w:sz w:val="24"/>
          <w:szCs w:val="24"/>
        </w:rPr>
      </w:pPr>
      <w:r w:rsidRPr="002D6E5A">
        <w:rPr>
          <w:rFonts w:ascii="Arial" w:hAnsi="Arial" w:cs="Arial"/>
          <w:sz w:val="24"/>
          <w:szCs w:val="24"/>
        </w:rPr>
        <w:t xml:space="preserve">Under response 2f, </w:t>
      </w:r>
      <w:r w:rsidR="00AE166A">
        <w:rPr>
          <w:rFonts w:ascii="Arial" w:hAnsi="Arial" w:cs="Arial"/>
          <w:sz w:val="24"/>
          <w:szCs w:val="24"/>
        </w:rPr>
        <w:t>Synergy North</w:t>
      </w:r>
      <w:r w:rsidRPr="002D6E5A">
        <w:rPr>
          <w:rFonts w:ascii="Arial" w:hAnsi="Arial" w:cs="Arial"/>
          <w:sz w:val="24"/>
          <w:szCs w:val="24"/>
        </w:rPr>
        <w:t xml:space="preserve"> states that the true up for Account 1589 is a credit $304,795. In response 3g, the annual true up for Account 1589 is a debit of the same amount.</w:t>
      </w:r>
    </w:p>
    <w:p w14:paraId="09599694" w14:textId="7D08565D" w:rsidR="00556DBA" w:rsidRDefault="00556DBA" w:rsidP="00556DBA">
      <w:pPr>
        <w:pStyle w:val="ListParagraph"/>
        <w:numPr>
          <w:ilvl w:val="0"/>
          <w:numId w:val="16"/>
        </w:numPr>
        <w:rPr>
          <w:rFonts w:ascii="Arial" w:hAnsi="Arial" w:cs="Arial"/>
          <w:sz w:val="24"/>
          <w:szCs w:val="24"/>
        </w:rPr>
      </w:pPr>
      <w:r w:rsidRPr="002D6E5A">
        <w:rPr>
          <w:rFonts w:ascii="Arial" w:hAnsi="Arial" w:cs="Arial"/>
          <w:sz w:val="24"/>
          <w:szCs w:val="24"/>
        </w:rPr>
        <w:t>Please clarify if the true up is a debit or credit.</w:t>
      </w:r>
    </w:p>
    <w:p w14:paraId="65C6E5CB" w14:textId="77777777" w:rsidR="007D5BB2" w:rsidRPr="000E781F" w:rsidRDefault="007D5BB2" w:rsidP="005C0554">
      <w:pPr>
        <w:rPr>
          <w:rFonts w:ascii="Arial" w:hAnsi="Arial" w:cs="Arial"/>
          <w:b/>
          <w:sz w:val="24"/>
          <w:szCs w:val="24"/>
          <w:u w:val="thick"/>
        </w:rPr>
      </w:pPr>
    </w:p>
    <w:p w14:paraId="078A1B50" w14:textId="3C495ECE" w:rsidR="005C0554" w:rsidRPr="000E781F" w:rsidRDefault="005C0554" w:rsidP="005C0554">
      <w:pPr>
        <w:rPr>
          <w:rFonts w:ascii="Arial" w:hAnsi="Arial" w:cs="Arial"/>
          <w:b/>
          <w:sz w:val="24"/>
          <w:szCs w:val="24"/>
          <w:u w:val="thick"/>
        </w:rPr>
      </w:pPr>
      <w:r w:rsidRPr="000E781F">
        <w:rPr>
          <w:rFonts w:ascii="Arial" w:hAnsi="Arial" w:cs="Arial"/>
          <w:b/>
          <w:sz w:val="24"/>
          <w:szCs w:val="24"/>
          <w:u w:val="thick"/>
        </w:rPr>
        <w:t>Kenora Response:</w:t>
      </w:r>
    </w:p>
    <w:p w14:paraId="0F8BD242" w14:textId="36ACE852" w:rsidR="005C0554" w:rsidRDefault="005C0554" w:rsidP="005C0554">
      <w:pPr>
        <w:rPr>
          <w:rFonts w:ascii="Arial" w:hAnsi="Arial" w:cs="Arial"/>
          <w:sz w:val="24"/>
          <w:szCs w:val="24"/>
        </w:rPr>
      </w:pPr>
      <w:r>
        <w:rPr>
          <w:rFonts w:ascii="Arial" w:hAnsi="Arial" w:cs="Arial"/>
          <w:sz w:val="24"/>
          <w:szCs w:val="24"/>
        </w:rPr>
        <w:t>The Q4 True-up calculation resulte</w:t>
      </w:r>
      <w:r w:rsidR="00AE2313">
        <w:rPr>
          <w:rFonts w:ascii="Arial" w:hAnsi="Arial" w:cs="Arial"/>
          <w:sz w:val="24"/>
          <w:szCs w:val="24"/>
        </w:rPr>
        <w:t>d in a receiv</w:t>
      </w:r>
      <w:r>
        <w:rPr>
          <w:rFonts w:ascii="Arial" w:hAnsi="Arial" w:cs="Arial"/>
          <w:sz w:val="24"/>
          <w:szCs w:val="24"/>
        </w:rPr>
        <w:t>able to Kenora Hydro from the IESO of $304,795.79.  This amount was recorded as a credit to the GA Expense account.  This would have the result of being a credit to the RSVA account at year end.</w:t>
      </w:r>
      <w:r w:rsidR="009C3BAE">
        <w:rPr>
          <w:rFonts w:ascii="Arial" w:hAnsi="Arial" w:cs="Arial"/>
          <w:sz w:val="24"/>
          <w:szCs w:val="24"/>
        </w:rPr>
        <w:t xml:space="preserve">   The response under 2f) of the original filing should have been that this impacted the 1589 with a Credit.</w:t>
      </w:r>
    </w:p>
    <w:p w14:paraId="6C3074C8" w14:textId="77777777" w:rsidR="00DB41B7" w:rsidRPr="00DB41B7" w:rsidRDefault="00DB41B7" w:rsidP="00DB41B7">
      <w:pPr>
        <w:rPr>
          <w:rFonts w:ascii="Arial" w:hAnsi="Arial" w:cs="Arial"/>
          <w:sz w:val="24"/>
          <w:szCs w:val="24"/>
        </w:rPr>
      </w:pPr>
    </w:p>
    <w:p w14:paraId="4CF2738C" w14:textId="0E5DDB86" w:rsidR="00556DBA" w:rsidRDefault="00556DBA" w:rsidP="00556DBA">
      <w:pPr>
        <w:pStyle w:val="ListParagraph"/>
        <w:numPr>
          <w:ilvl w:val="0"/>
          <w:numId w:val="16"/>
        </w:numPr>
        <w:rPr>
          <w:rFonts w:ascii="Arial" w:hAnsi="Arial" w:cs="Arial"/>
          <w:sz w:val="24"/>
          <w:szCs w:val="24"/>
        </w:rPr>
      </w:pPr>
      <w:r w:rsidRPr="002D6E5A">
        <w:rPr>
          <w:rFonts w:ascii="Arial" w:hAnsi="Arial" w:cs="Arial"/>
          <w:sz w:val="24"/>
          <w:szCs w:val="24"/>
        </w:rPr>
        <w:t>Please confirm the correct amount has been included in the credit $42,790 of transactions for the year in the GL.</w:t>
      </w:r>
    </w:p>
    <w:p w14:paraId="353A0D07" w14:textId="77777777" w:rsidR="007D5BB2" w:rsidRDefault="007D5BB2" w:rsidP="002C70F5">
      <w:pPr>
        <w:rPr>
          <w:rFonts w:ascii="Arial" w:hAnsi="Arial" w:cs="Arial"/>
          <w:b/>
          <w:sz w:val="24"/>
          <w:szCs w:val="24"/>
          <w:u w:val="thick"/>
        </w:rPr>
      </w:pPr>
    </w:p>
    <w:p w14:paraId="41BB53EF" w14:textId="50B7C62A" w:rsidR="002C70F5" w:rsidRPr="00026120" w:rsidRDefault="00D16CB1" w:rsidP="002C70F5">
      <w:pPr>
        <w:rPr>
          <w:rFonts w:ascii="Arial" w:hAnsi="Arial" w:cs="Arial"/>
          <w:b/>
          <w:sz w:val="24"/>
          <w:szCs w:val="24"/>
          <w:u w:val="thick"/>
        </w:rPr>
      </w:pPr>
      <w:r w:rsidRPr="00026120">
        <w:rPr>
          <w:rFonts w:ascii="Arial" w:hAnsi="Arial" w:cs="Arial"/>
          <w:b/>
          <w:sz w:val="24"/>
          <w:szCs w:val="24"/>
          <w:u w:val="thick"/>
        </w:rPr>
        <w:t>Kenora Response:</w:t>
      </w:r>
    </w:p>
    <w:p w14:paraId="74CCA2A5" w14:textId="00B5360D" w:rsidR="00D16CB1" w:rsidRDefault="00D16CB1" w:rsidP="002C70F5">
      <w:pPr>
        <w:rPr>
          <w:rFonts w:ascii="Arial" w:hAnsi="Arial" w:cs="Arial"/>
          <w:sz w:val="24"/>
          <w:szCs w:val="24"/>
        </w:rPr>
      </w:pPr>
      <w:r>
        <w:rPr>
          <w:rFonts w:ascii="Arial" w:hAnsi="Arial" w:cs="Arial"/>
          <w:sz w:val="24"/>
          <w:szCs w:val="24"/>
        </w:rPr>
        <w:t>Kenora confirms that the CR to the expense is included in the $(42,790) total.</w:t>
      </w:r>
    </w:p>
    <w:p w14:paraId="6133A6E1" w14:textId="0A1FCFC9" w:rsidR="00F63FA5" w:rsidRDefault="00F63FA5" w:rsidP="00F63FA5">
      <w:pPr>
        <w:pStyle w:val="NoSpacing"/>
      </w:pPr>
      <w:r>
        <w:t>GA Expenses for year</w:t>
      </w:r>
      <w:r>
        <w:tab/>
        <w:t>$ 4,110,925</w:t>
      </w:r>
    </w:p>
    <w:p w14:paraId="5A5386DF" w14:textId="74D1B06C" w:rsidR="00F63FA5" w:rsidRDefault="00F63FA5" w:rsidP="00F63FA5">
      <w:pPr>
        <w:pStyle w:val="NoSpacing"/>
      </w:pPr>
      <w:r>
        <w:t xml:space="preserve">GA true-up </w:t>
      </w:r>
      <w:r>
        <w:tab/>
      </w:r>
      <w:r>
        <w:tab/>
      </w:r>
      <w:r w:rsidRPr="00F63FA5">
        <w:rPr>
          <w:u w:val="thick"/>
        </w:rPr>
        <w:t>$  (304,795)</w:t>
      </w:r>
      <w:r w:rsidR="004E11FF">
        <w:rPr>
          <w:u w:val="thick"/>
        </w:rPr>
        <w:t xml:space="preserve">  Credit to Expense =&gt; Ultimate Credit to 1598</w:t>
      </w:r>
    </w:p>
    <w:p w14:paraId="2F3B4088" w14:textId="45CA4495" w:rsidR="00F63FA5" w:rsidRDefault="00D16CB1" w:rsidP="00F63FA5">
      <w:pPr>
        <w:pStyle w:val="NoSpacing"/>
        <w:rPr>
          <w:u w:val="double"/>
        </w:rPr>
      </w:pPr>
      <w:r>
        <w:t>Total GA Expense</w:t>
      </w:r>
      <w:r w:rsidR="00F63FA5">
        <w:tab/>
      </w:r>
      <w:r w:rsidR="00F63FA5" w:rsidRPr="00F63FA5">
        <w:rPr>
          <w:u w:val="double"/>
        </w:rPr>
        <w:t>$ 3,806,130</w:t>
      </w:r>
    </w:p>
    <w:p w14:paraId="4BE07D52" w14:textId="77777777" w:rsidR="00D16CB1" w:rsidRDefault="00D16CB1" w:rsidP="00F63FA5">
      <w:pPr>
        <w:pStyle w:val="NoSpacing"/>
      </w:pPr>
    </w:p>
    <w:p w14:paraId="44B96491" w14:textId="56A49608" w:rsidR="00F63FA5" w:rsidRDefault="00F63FA5" w:rsidP="00F63FA5">
      <w:pPr>
        <w:pStyle w:val="NoSpacing"/>
      </w:pPr>
      <w:r>
        <w:t>GA Revenue for year</w:t>
      </w:r>
      <w:r>
        <w:tab/>
      </w:r>
      <w:r w:rsidRPr="00F63FA5">
        <w:rPr>
          <w:u w:val="double"/>
        </w:rPr>
        <w:t>$</w:t>
      </w:r>
      <w:r>
        <w:rPr>
          <w:u w:val="double"/>
        </w:rPr>
        <w:t xml:space="preserve"> </w:t>
      </w:r>
      <w:r w:rsidRPr="00F63FA5">
        <w:rPr>
          <w:u w:val="double"/>
        </w:rPr>
        <w:t>3,814,243</w:t>
      </w:r>
    </w:p>
    <w:p w14:paraId="276AA8D8" w14:textId="07F58A3A" w:rsidR="00F63FA5" w:rsidRDefault="00F63FA5" w:rsidP="00F63FA5">
      <w:pPr>
        <w:pStyle w:val="NoSpacing"/>
      </w:pPr>
    </w:p>
    <w:p w14:paraId="71C4772F" w14:textId="3D882E9B" w:rsidR="00F63FA5" w:rsidRDefault="00F63FA5" w:rsidP="00F63FA5">
      <w:pPr>
        <w:pStyle w:val="NoSpacing"/>
      </w:pPr>
      <w:r>
        <w:t>Variance</w:t>
      </w:r>
      <w:r w:rsidR="00D16CB1">
        <w:t xml:space="preserve"> [Rev – Exp]</w:t>
      </w:r>
      <w:r>
        <w:tab/>
        <w:t>$     (8,11</w:t>
      </w:r>
      <w:r w:rsidR="00D16CB1">
        <w:t>4</w:t>
      </w:r>
      <w:r>
        <w:t>)</w:t>
      </w:r>
    </w:p>
    <w:p w14:paraId="311C37CC" w14:textId="694949D2" w:rsidR="00F63FA5" w:rsidRPr="00F63FA5" w:rsidRDefault="00D16CB1" w:rsidP="00F63FA5">
      <w:pPr>
        <w:pStyle w:val="NoSpacing"/>
        <w:rPr>
          <w:u w:val="thick"/>
        </w:rPr>
      </w:pPr>
      <w:r>
        <w:t xml:space="preserve">+ </w:t>
      </w:r>
      <w:r w:rsidR="00F63FA5">
        <w:t>Error Correction</w:t>
      </w:r>
      <w:r w:rsidR="00F63FA5">
        <w:tab/>
      </w:r>
      <w:r w:rsidR="00F63FA5" w:rsidRPr="00F63FA5">
        <w:rPr>
          <w:u w:val="thick"/>
        </w:rPr>
        <w:t>$</w:t>
      </w:r>
      <w:r w:rsidR="00F63FA5">
        <w:rPr>
          <w:u w:val="thick"/>
        </w:rPr>
        <w:t xml:space="preserve">  </w:t>
      </w:r>
      <w:r w:rsidR="00F63FA5" w:rsidRPr="00F63FA5">
        <w:rPr>
          <w:u w:val="thick"/>
        </w:rPr>
        <w:t xml:space="preserve"> (34,676)</w:t>
      </w:r>
    </w:p>
    <w:p w14:paraId="7501F331" w14:textId="4F08F442" w:rsidR="00F63FA5" w:rsidRDefault="00F63FA5" w:rsidP="00F63FA5">
      <w:pPr>
        <w:pStyle w:val="NoSpacing"/>
        <w:rPr>
          <w:u w:val="double"/>
        </w:rPr>
      </w:pPr>
      <w:r>
        <w:t>Total Change in RSVA</w:t>
      </w:r>
      <w:r>
        <w:tab/>
      </w:r>
      <w:r w:rsidRPr="00F63FA5">
        <w:rPr>
          <w:u w:val="double"/>
        </w:rPr>
        <w:t xml:space="preserve">$ </w:t>
      </w:r>
      <w:r>
        <w:rPr>
          <w:u w:val="double"/>
        </w:rPr>
        <w:t xml:space="preserve">  </w:t>
      </w:r>
      <w:r w:rsidR="00D16CB1">
        <w:rPr>
          <w:u w:val="double"/>
        </w:rPr>
        <w:t>(42,790</w:t>
      </w:r>
      <w:r w:rsidRPr="00F63FA5">
        <w:rPr>
          <w:u w:val="double"/>
        </w:rPr>
        <w:t>)</w:t>
      </w:r>
    </w:p>
    <w:p w14:paraId="258F6603" w14:textId="77777777" w:rsidR="007A66F1" w:rsidRDefault="007A66F1" w:rsidP="00F63FA5">
      <w:pPr>
        <w:pStyle w:val="NoSpacing"/>
      </w:pPr>
    </w:p>
    <w:p w14:paraId="1A62D286" w14:textId="77777777" w:rsidR="0041030F" w:rsidRDefault="0041030F" w:rsidP="0040329E">
      <w:pPr>
        <w:keepNext/>
        <w:rPr>
          <w:rFonts w:ascii="Arial" w:hAnsi="Arial" w:cs="Arial"/>
          <w:b/>
          <w:sz w:val="24"/>
          <w:szCs w:val="24"/>
        </w:rPr>
      </w:pPr>
    </w:p>
    <w:p w14:paraId="0C479C27" w14:textId="1396C727" w:rsidR="00556DBA" w:rsidRPr="002D6E5A" w:rsidRDefault="001264BD" w:rsidP="0040329E">
      <w:pPr>
        <w:keepNext/>
        <w:rPr>
          <w:rFonts w:ascii="Arial" w:hAnsi="Arial" w:cs="Arial"/>
          <w:b/>
          <w:sz w:val="24"/>
          <w:szCs w:val="24"/>
        </w:rPr>
      </w:pPr>
      <w:r>
        <w:rPr>
          <w:rFonts w:ascii="Arial" w:hAnsi="Arial" w:cs="Arial"/>
          <w:b/>
          <w:sz w:val="24"/>
          <w:szCs w:val="24"/>
        </w:rPr>
        <w:t>Staff-7</w:t>
      </w:r>
    </w:p>
    <w:p w14:paraId="323E32ED" w14:textId="77777777" w:rsidR="00556DBA" w:rsidRPr="002D6E5A" w:rsidRDefault="00556DBA" w:rsidP="0040329E">
      <w:pPr>
        <w:keepNext/>
        <w:ind w:left="720" w:hanging="720"/>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40329E">
        <w:rPr>
          <w:rFonts w:ascii="Arial" w:hAnsi="Arial" w:cs="Arial"/>
          <w:b/>
          <w:bCs/>
          <w:sz w:val="24"/>
          <w:szCs w:val="24"/>
        </w:rPr>
        <w:t>2019 Annual IR Index</w:t>
      </w:r>
      <w:r w:rsidR="0040329E" w:rsidRPr="002D6E5A">
        <w:rPr>
          <w:rFonts w:ascii="Arial" w:hAnsi="Arial" w:cs="Arial"/>
          <w:b/>
          <w:bCs/>
          <w:sz w:val="24"/>
          <w:szCs w:val="24"/>
        </w:rPr>
        <w:t xml:space="preserve"> </w:t>
      </w:r>
      <w:r w:rsidR="0040329E">
        <w:rPr>
          <w:rFonts w:ascii="Arial" w:hAnsi="Arial" w:cs="Arial"/>
          <w:b/>
          <w:bCs/>
          <w:sz w:val="24"/>
          <w:szCs w:val="24"/>
        </w:rPr>
        <w:t xml:space="preserve">– </w:t>
      </w:r>
      <w:r w:rsidR="00D41DCE" w:rsidRPr="0015214C">
        <w:rPr>
          <w:rFonts w:ascii="Arial" w:hAnsi="Arial" w:cs="Arial"/>
          <w:b/>
          <w:bCs/>
          <w:sz w:val="24"/>
          <w:szCs w:val="24"/>
        </w:rPr>
        <w:t>GA Methodology Description</w:t>
      </w:r>
      <w:r w:rsidR="00D41DCE">
        <w:rPr>
          <w:rFonts w:ascii="Arial" w:hAnsi="Arial" w:cs="Arial"/>
          <w:b/>
          <w:bCs/>
          <w:sz w:val="24"/>
          <w:szCs w:val="24"/>
        </w:rPr>
        <w:t xml:space="preserve"> </w:t>
      </w:r>
      <w:r w:rsidR="009101DA" w:rsidRPr="002D6E5A">
        <w:rPr>
          <w:rFonts w:ascii="Arial" w:hAnsi="Arial" w:cs="Arial"/>
          <w:b/>
          <w:bCs/>
          <w:sz w:val="24"/>
          <w:szCs w:val="24"/>
        </w:rPr>
        <w:t>OEB Questions on Accounts 1588 and 1589, Response 2f</w:t>
      </w:r>
    </w:p>
    <w:p w14:paraId="17346EC3" w14:textId="3559B0CB" w:rsidR="00556DBA" w:rsidRPr="002D6E5A" w:rsidRDefault="00AE166A" w:rsidP="0040329E">
      <w:pPr>
        <w:keepNext/>
        <w:rPr>
          <w:rFonts w:ascii="Arial" w:hAnsi="Arial" w:cs="Arial"/>
          <w:sz w:val="24"/>
          <w:szCs w:val="24"/>
        </w:rPr>
      </w:pPr>
      <w:r>
        <w:rPr>
          <w:rFonts w:ascii="Arial" w:hAnsi="Arial" w:cs="Arial"/>
          <w:sz w:val="24"/>
          <w:szCs w:val="24"/>
        </w:rPr>
        <w:t>Synergy North</w:t>
      </w:r>
      <w:r w:rsidR="00556DBA" w:rsidRPr="002D6E5A">
        <w:rPr>
          <w:rFonts w:ascii="Arial" w:hAnsi="Arial" w:cs="Arial"/>
          <w:sz w:val="24"/>
          <w:szCs w:val="24"/>
        </w:rPr>
        <w:t xml:space="preserve"> indicates that</w:t>
      </w:r>
      <w:r w:rsidR="009101DA" w:rsidRPr="002D6E5A">
        <w:rPr>
          <w:rFonts w:ascii="Arial" w:hAnsi="Arial" w:cs="Arial"/>
          <w:sz w:val="24"/>
          <w:szCs w:val="24"/>
        </w:rPr>
        <w:t xml:space="preserve"> the true up for Account 1588 is a debit of $95</w:t>
      </w:r>
      <w:r w:rsidR="00D41DCE">
        <w:rPr>
          <w:rFonts w:ascii="Arial" w:hAnsi="Arial" w:cs="Arial"/>
          <w:sz w:val="24"/>
          <w:szCs w:val="24"/>
        </w:rPr>
        <w:t>,</w:t>
      </w:r>
      <w:r w:rsidR="009101DA" w:rsidRPr="002D6E5A">
        <w:rPr>
          <w:rFonts w:ascii="Arial" w:hAnsi="Arial" w:cs="Arial"/>
          <w:sz w:val="24"/>
          <w:szCs w:val="24"/>
        </w:rPr>
        <w:t>710. Total transactions in 2017 including the true up is $103,016 ($137,692-$34,676). Therefore, transactions before the true up would have been $7,306. Typically, the true up is expected to decrease the balance in the Account 1588, however, the true up has increased the balance</w:t>
      </w:r>
      <w:r w:rsidR="00861C52">
        <w:rPr>
          <w:rFonts w:ascii="Arial" w:hAnsi="Arial" w:cs="Arial"/>
          <w:sz w:val="24"/>
          <w:szCs w:val="24"/>
        </w:rPr>
        <w:t xml:space="preserve"> up</w:t>
      </w:r>
      <w:r w:rsidR="009101DA" w:rsidRPr="002D6E5A">
        <w:rPr>
          <w:rFonts w:ascii="Arial" w:hAnsi="Arial" w:cs="Arial"/>
          <w:sz w:val="24"/>
          <w:szCs w:val="24"/>
        </w:rPr>
        <w:t xml:space="preserve"> in the account in </w:t>
      </w:r>
      <w:r>
        <w:rPr>
          <w:rFonts w:ascii="Arial" w:hAnsi="Arial" w:cs="Arial"/>
          <w:sz w:val="24"/>
          <w:szCs w:val="24"/>
        </w:rPr>
        <w:t>Synergy North</w:t>
      </w:r>
      <w:r w:rsidR="009101DA" w:rsidRPr="002D6E5A">
        <w:rPr>
          <w:rFonts w:ascii="Arial" w:hAnsi="Arial" w:cs="Arial"/>
          <w:sz w:val="24"/>
          <w:szCs w:val="24"/>
        </w:rPr>
        <w:t>’s case.</w:t>
      </w:r>
    </w:p>
    <w:p w14:paraId="5189FF50" w14:textId="21015113" w:rsidR="00556DBA" w:rsidRDefault="009101DA" w:rsidP="009101DA">
      <w:pPr>
        <w:pStyle w:val="ListParagraph"/>
        <w:rPr>
          <w:rFonts w:ascii="Arial" w:hAnsi="Arial" w:cs="Arial"/>
          <w:sz w:val="24"/>
          <w:szCs w:val="24"/>
        </w:rPr>
      </w:pPr>
      <w:r w:rsidRPr="002D6E5A">
        <w:rPr>
          <w:rFonts w:ascii="Arial" w:hAnsi="Arial" w:cs="Arial"/>
          <w:sz w:val="24"/>
          <w:szCs w:val="24"/>
        </w:rPr>
        <w:t>Please explain why.</w:t>
      </w:r>
    </w:p>
    <w:p w14:paraId="2A4B63E1" w14:textId="60E043DF" w:rsidR="00DF07B1" w:rsidRDefault="00DF07B1" w:rsidP="001F6256">
      <w:pPr>
        <w:rPr>
          <w:rFonts w:ascii="Arial" w:hAnsi="Arial" w:cs="Arial"/>
          <w:sz w:val="24"/>
          <w:szCs w:val="24"/>
        </w:rPr>
      </w:pPr>
    </w:p>
    <w:p w14:paraId="7A4D3C71" w14:textId="77777777" w:rsidR="00DF07B1" w:rsidRPr="00026120" w:rsidRDefault="00DF07B1" w:rsidP="00DF07B1">
      <w:pPr>
        <w:rPr>
          <w:rFonts w:ascii="Arial" w:hAnsi="Arial" w:cs="Arial"/>
          <w:b/>
          <w:sz w:val="24"/>
          <w:szCs w:val="24"/>
          <w:u w:val="thick"/>
        </w:rPr>
      </w:pPr>
      <w:r w:rsidRPr="00026120">
        <w:rPr>
          <w:rFonts w:ascii="Arial" w:hAnsi="Arial" w:cs="Arial"/>
          <w:b/>
          <w:sz w:val="24"/>
          <w:szCs w:val="24"/>
          <w:u w:val="thick"/>
        </w:rPr>
        <w:t>Kenora Response:</w:t>
      </w:r>
    </w:p>
    <w:p w14:paraId="56E4C129" w14:textId="294A6C70" w:rsidR="00DF07B1" w:rsidRDefault="00DF07B1" w:rsidP="001F6256">
      <w:pPr>
        <w:rPr>
          <w:rFonts w:ascii="Arial" w:hAnsi="Arial" w:cs="Arial"/>
          <w:sz w:val="24"/>
          <w:szCs w:val="24"/>
        </w:rPr>
      </w:pPr>
    </w:p>
    <w:p w14:paraId="49499148" w14:textId="1B1E6AE5" w:rsidR="001F6256" w:rsidRDefault="00DF07B1" w:rsidP="001F6256">
      <w:pPr>
        <w:rPr>
          <w:noProof/>
          <w:lang w:val="en-CA" w:eastAsia="en-CA"/>
        </w:rPr>
      </w:pPr>
      <w:r w:rsidRPr="00DF07B1">
        <w:rPr>
          <w:noProof/>
          <w:lang w:val="en-CA" w:eastAsia="en-CA"/>
        </w:rPr>
        <w:drawing>
          <wp:inline distT="0" distB="0" distL="0" distR="0" wp14:anchorId="23A24A36" wp14:editId="2D7435CA">
            <wp:extent cx="5943600" cy="26169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16958"/>
                    </a:xfrm>
                    <a:prstGeom prst="rect">
                      <a:avLst/>
                    </a:prstGeom>
                    <a:noFill/>
                    <a:ln>
                      <a:noFill/>
                    </a:ln>
                  </pic:spPr>
                </pic:pic>
              </a:graphicData>
            </a:graphic>
          </wp:inline>
        </w:drawing>
      </w:r>
    </w:p>
    <w:p w14:paraId="284087B9" w14:textId="262C6BE7" w:rsidR="00DB41B7" w:rsidRDefault="00DB41B7" w:rsidP="00DB41B7">
      <w:pPr>
        <w:rPr>
          <w:rFonts w:ascii="Arial" w:hAnsi="Arial" w:cs="Arial"/>
          <w:sz w:val="24"/>
          <w:szCs w:val="24"/>
        </w:rPr>
      </w:pPr>
    </w:p>
    <w:p w14:paraId="0FBC7975" w14:textId="6E2471CD" w:rsidR="008712CB" w:rsidRDefault="008712CB" w:rsidP="00DB41B7">
      <w:pPr>
        <w:rPr>
          <w:rFonts w:ascii="Arial" w:hAnsi="Arial" w:cs="Arial"/>
          <w:sz w:val="24"/>
          <w:szCs w:val="24"/>
        </w:rPr>
      </w:pPr>
      <w:r>
        <w:rPr>
          <w:rFonts w:ascii="Arial" w:hAnsi="Arial" w:cs="Arial"/>
          <w:sz w:val="24"/>
          <w:szCs w:val="24"/>
        </w:rPr>
        <w:t>The unbilled revenue reversed from year end 2016 is a debit to revenue of $884,399.</w:t>
      </w:r>
    </w:p>
    <w:p w14:paraId="11344693" w14:textId="35DD33AB" w:rsidR="00DB41B7" w:rsidRDefault="00C04BF0" w:rsidP="00DB41B7">
      <w:pPr>
        <w:rPr>
          <w:rFonts w:ascii="Arial" w:hAnsi="Arial" w:cs="Arial"/>
          <w:sz w:val="24"/>
          <w:szCs w:val="24"/>
        </w:rPr>
      </w:pPr>
      <w:r>
        <w:rPr>
          <w:rFonts w:ascii="Arial" w:hAnsi="Arial" w:cs="Arial"/>
          <w:sz w:val="24"/>
          <w:szCs w:val="24"/>
        </w:rPr>
        <w:t>The unbilled revenue recorded at year end 2017 of $(679,671) includes all revenue billed subsequent to year end, including all gross RPP revenue.</w:t>
      </w:r>
    </w:p>
    <w:p w14:paraId="22151801" w14:textId="4534FD37" w:rsidR="00C04BF0" w:rsidRDefault="00C04BF0" w:rsidP="00DB41B7">
      <w:pPr>
        <w:rPr>
          <w:rFonts w:ascii="Arial" w:hAnsi="Arial" w:cs="Arial"/>
          <w:sz w:val="24"/>
          <w:szCs w:val="24"/>
        </w:rPr>
      </w:pPr>
      <w:r>
        <w:rPr>
          <w:rFonts w:ascii="Arial" w:hAnsi="Arial" w:cs="Arial"/>
          <w:sz w:val="24"/>
          <w:szCs w:val="24"/>
        </w:rPr>
        <w:t>The DR to expense of $95,710</w:t>
      </w:r>
      <w:r w:rsidR="008712CB">
        <w:rPr>
          <w:rFonts w:ascii="Arial" w:hAnsi="Arial" w:cs="Arial"/>
          <w:sz w:val="24"/>
          <w:szCs w:val="24"/>
        </w:rPr>
        <w:t xml:space="preserve">  ( =&gt; DR to 1588) is the true-up from the RPP settlements for the year, additional power expense was recorded at year end.</w:t>
      </w:r>
    </w:p>
    <w:p w14:paraId="12D02829" w14:textId="1589341C" w:rsidR="00DF07B1" w:rsidRDefault="008712CB" w:rsidP="00DB41B7">
      <w:pPr>
        <w:rPr>
          <w:rFonts w:ascii="Arial" w:hAnsi="Arial" w:cs="Arial"/>
          <w:sz w:val="24"/>
          <w:szCs w:val="24"/>
        </w:rPr>
      </w:pPr>
      <w:r>
        <w:rPr>
          <w:rFonts w:ascii="Arial" w:hAnsi="Arial" w:cs="Arial"/>
          <w:sz w:val="24"/>
          <w:szCs w:val="24"/>
        </w:rPr>
        <w:t>The final entry</w:t>
      </w:r>
      <w:r w:rsidR="00DF07B1">
        <w:rPr>
          <w:rFonts w:ascii="Arial" w:hAnsi="Arial" w:cs="Arial"/>
          <w:sz w:val="24"/>
          <w:szCs w:val="24"/>
        </w:rPr>
        <w:t xml:space="preserve"> </w:t>
      </w:r>
      <w:r>
        <w:rPr>
          <w:rFonts w:ascii="Arial" w:hAnsi="Arial" w:cs="Arial"/>
          <w:sz w:val="24"/>
          <w:szCs w:val="24"/>
        </w:rPr>
        <w:t xml:space="preserve">of </w:t>
      </w:r>
      <w:r w:rsidR="002E63FF">
        <w:rPr>
          <w:rFonts w:ascii="Arial" w:hAnsi="Arial" w:cs="Arial"/>
          <w:sz w:val="24"/>
          <w:szCs w:val="24"/>
        </w:rPr>
        <w:t xml:space="preserve">CR to power expense of </w:t>
      </w:r>
      <w:r>
        <w:rPr>
          <w:rFonts w:ascii="Arial" w:hAnsi="Arial" w:cs="Arial"/>
          <w:sz w:val="24"/>
          <w:szCs w:val="24"/>
        </w:rPr>
        <w:t xml:space="preserve">$(103,014) </w:t>
      </w:r>
      <w:r w:rsidR="00DF07B1">
        <w:rPr>
          <w:rFonts w:ascii="Arial" w:hAnsi="Arial" w:cs="Arial"/>
          <w:sz w:val="24"/>
          <w:szCs w:val="24"/>
        </w:rPr>
        <w:t>record</w:t>
      </w:r>
      <w:r>
        <w:rPr>
          <w:rFonts w:ascii="Arial" w:hAnsi="Arial" w:cs="Arial"/>
          <w:sz w:val="24"/>
          <w:szCs w:val="24"/>
        </w:rPr>
        <w:t>ed</w:t>
      </w:r>
      <w:r w:rsidR="00DF07B1">
        <w:rPr>
          <w:rFonts w:ascii="Arial" w:hAnsi="Arial" w:cs="Arial"/>
          <w:sz w:val="24"/>
          <w:szCs w:val="24"/>
        </w:rPr>
        <w:t xml:space="preserve"> the difference between total annual revenue and total annual expense</w:t>
      </w:r>
      <w:r w:rsidR="002E63FF">
        <w:rPr>
          <w:rFonts w:ascii="Arial" w:hAnsi="Arial" w:cs="Arial"/>
          <w:sz w:val="24"/>
          <w:szCs w:val="24"/>
        </w:rPr>
        <w:t>,</w:t>
      </w:r>
      <w:r w:rsidR="00DF07B1">
        <w:rPr>
          <w:rFonts w:ascii="Arial" w:hAnsi="Arial" w:cs="Arial"/>
          <w:sz w:val="24"/>
          <w:szCs w:val="24"/>
        </w:rPr>
        <w:t xml:space="preserve"> </w:t>
      </w:r>
      <w:r w:rsidR="002E63FF">
        <w:rPr>
          <w:rFonts w:ascii="Arial" w:hAnsi="Arial" w:cs="Arial"/>
          <w:sz w:val="24"/>
          <w:szCs w:val="24"/>
        </w:rPr>
        <w:t xml:space="preserve">after unbilled impacts.  This would have been the final </w:t>
      </w:r>
      <w:r w:rsidR="00DF07B1">
        <w:rPr>
          <w:rFonts w:ascii="Arial" w:hAnsi="Arial" w:cs="Arial"/>
          <w:sz w:val="24"/>
          <w:szCs w:val="24"/>
        </w:rPr>
        <w:t xml:space="preserve">credit to </w:t>
      </w:r>
      <w:r>
        <w:rPr>
          <w:rFonts w:ascii="Arial" w:hAnsi="Arial" w:cs="Arial"/>
          <w:sz w:val="24"/>
          <w:szCs w:val="24"/>
        </w:rPr>
        <w:t>1588.</w:t>
      </w:r>
      <w:r w:rsidR="00DF07B1">
        <w:rPr>
          <w:rFonts w:ascii="Arial" w:hAnsi="Arial" w:cs="Arial"/>
          <w:sz w:val="24"/>
          <w:szCs w:val="24"/>
        </w:rPr>
        <w:t xml:space="preserve"> </w:t>
      </w:r>
    </w:p>
    <w:p w14:paraId="4BD07F68" w14:textId="77777777" w:rsidR="00DB41B7" w:rsidRPr="00DB41B7" w:rsidRDefault="00DB41B7" w:rsidP="00DB41B7">
      <w:pPr>
        <w:rPr>
          <w:rFonts w:ascii="Arial" w:hAnsi="Arial" w:cs="Arial"/>
          <w:sz w:val="24"/>
          <w:szCs w:val="24"/>
        </w:rPr>
      </w:pPr>
    </w:p>
    <w:p w14:paraId="36147D0D" w14:textId="77777777" w:rsidR="00556DBA" w:rsidRPr="002D6E5A" w:rsidRDefault="001264BD" w:rsidP="00556DBA">
      <w:pPr>
        <w:rPr>
          <w:rFonts w:ascii="Arial" w:hAnsi="Arial" w:cs="Arial"/>
          <w:b/>
          <w:sz w:val="24"/>
          <w:szCs w:val="24"/>
        </w:rPr>
      </w:pPr>
      <w:r>
        <w:rPr>
          <w:rFonts w:ascii="Arial" w:hAnsi="Arial" w:cs="Arial"/>
          <w:b/>
          <w:sz w:val="24"/>
          <w:szCs w:val="24"/>
        </w:rPr>
        <w:t>Staff-8</w:t>
      </w:r>
    </w:p>
    <w:p w14:paraId="4B0E1F28" w14:textId="77777777" w:rsidR="00556DBA" w:rsidRPr="0040329E" w:rsidRDefault="00556DBA" w:rsidP="00556DBA">
      <w:pPr>
        <w:rPr>
          <w:rFonts w:ascii="Arial" w:hAnsi="Arial" w:cs="Arial"/>
          <w:b/>
          <w:sz w:val="24"/>
          <w:szCs w:val="24"/>
        </w:rPr>
      </w:pPr>
      <w:r w:rsidRPr="002D6E5A">
        <w:rPr>
          <w:rFonts w:ascii="Arial" w:hAnsi="Arial" w:cs="Arial"/>
          <w:b/>
          <w:sz w:val="24"/>
          <w:szCs w:val="24"/>
        </w:rPr>
        <w:t>Ref:</w:t>
      </w:r>
      <w:r w:rsidRPr="002D6E5A">
        <w:rPr>
          <w:rFonts w:ascii="Arial" w:hAnsi="Arial" w:cs="Arial"/>
          <w:b/>
          <w:sz w:val="24"/>
          <w:szCs w:val="24"/>
        </w:rPr>
        <w:tab/>
      </w:r>
      <w:r w:rsidR="009101DA" w:rsidRPr="0040329E">
        <w:rPr>
          <w:rFonts w:ascii="Arial" w:hAnsi="Arial" w:cs="Arial"/>
          <w:b/>
          <w:sz w:val="24"/>
          <w:szCs w:val="24"/>
        </w:rPr>
        <w:t>GA Analysis Workform</w:t>
      </w:r>
      <w:r w:rsidR="0040329E" w:rsidRPr="0040329E">
        <w:rPr>
          <w:rFonts w:ascii="Arial" w:hAnsi="Arial" w:cs="Arial"/>
          <w:b/>
          <w:sz w:val="24"/>
          <w:szCs w:val="24"/>
        </w:rPr>
        <w:t xml:space="preserve"> – </w:t>
      </w:r>
      <w:r w:rsidR="0040329E">
        <w:rPr>
          <w:rFonts w:ascii="Arial" w:hAnsi="Arial" w:cs="Arial"/>
          <w:b/>
          <w:sz w:val="24"/>
          <w:szCs w:val="24"/>
        </w:rPr>
        <w:t>N</w:t>
      </w:r>
      <w:r w:rsidR="009101DA" w:rsidRPr="0040329E">
        <w:rPr>
          <w:rFonts w:ascii="Arial" w:hAnsi="Arial" w:cs="Arial"/>
          <w:b/>
          <w:sz w:val="24"/>
          <w:szCs w:val="24"/>
        </w:rPr>
        <w:t xml:space="preserve">otes and </w:t>
      </w:r>
      <w:r w:rsidR="0040329E">
        <w:rPr>
          <w:rFonts w:ascii="Arial" w:hAnsi="Arial" w:cs="Arial"/>
          <w:b/>
          <w:sz w:val="24"/>
          <w:szCs w:val="24"/>
        </w:rPr>
        <w:t>C</w:t>
      </w:r>
      <w:r w:rsidR="009101DA" w:rsidRPr="0040329E">
        <w:rPr>
          <w:rFonts w:ascii="Arial" w:hAnsi="Arial" w:cs="Arial"/>
          <w:b/>
          <w:sz w:val="24"/>
          <w:szCs w:val="24"/>
        </w:rPr>
        <w:t>omments</w:t>
      </w:r>
    </w:p>
    <w:p w14:paraId="77CE2DA6" w14:textId="77777777" w:rsidR="00556DBA" w:rsidRPr="002D6E5A" w:rsidRDefault="00AE166A" w:rsidP="00556DBA">
      <w:pPr>
        <w:rPr>
          <w:rFonts w:ascii="Arial" w:hAnsi="Arial" w:cs="Arial"/>
          <w:sz w:val="24"/>
          <w:szCs w:val="24"/>
        </w:rPr>
      </w:pPr>
      <w:r>
        <w:rPr>
          <w:rFonts w:ascii="Arial" w:hAnsi="Arial" w:cs="Arial"/>
          <w:sz w:val="24"/>
          <w:szCs w:val="24"/>
        </w:rPr>
        <w:t>Synergy North</w:t>
      </w:r>
      <w:r w:rsidR="00556DBA" w:rsidRPr="002D6E5A">
        <w:rPr>
          <w:rFonts w:ascii="Arial" w:hAnsi="Arial" w:cs="Arial"/>
          <w:sz w:val="24"/>
          <w:szCs w:val="24"/>
        </w:rPr>
        <w:t xml:space="preserve"> </w:t>
      </w:r>
      <w:r w:rsidR="009101DA" w:rsidRPr="002D6E5A">
        <w:rPr>
          <w:rFonts w:ascii="Arial" w:hAnsi="Arial" w:cs="Arial"/>
          <w:sz w:val="24"/>
          <w:szCs w:val="24"/>
        </w:rPr>
        <w:t>states that the billing report prorates the bills by day each month and provides only the final number for kWh as adjusted for unbilled for that month.</w:t>
      </w:r>
    </w:p>
    <w:p w14:paraId="3BBA3DA1" w14:textId="55881C2B" w:rsidR="009101DA" w:rsidRDefault="009101DA" w:rsidP="009101DA">
      <w:pPr>
        <w:pStyle w:val="ListParagraph"/>
        <w:numPr>
          <w:ilvl w:val="0"/>
          <w:numId w:val="18"/>
        </w:numPr>
        <w:rPr>
          <w:rFonts w:ascii="Arial" w:hAnsi="Arial" w:cs="Arial"/>
          <w:sz w:val="24"/>
          <w:szCs w:val="24"/>
        </w:rPr>
      </w:pPr>
      <w:r w:rsidRPr="002D6E5A">
        <w:rPr>
          <w:rFonts w:ascii="Arial" w:hAnsi="Arial" w:cs="Arial"/>
          <w:sz w:val="24"/>
          <w:szCs w:val="24"/>
        </w:rPr>
        <w:t>Please explain how the proration of the consumption is calculated and for which month the consumption relates to.</w:t>
      </w:r>
    </w:p>
    <w:p w14:paraId="61AD80F9" w14:textId="3F57B728" w:rsidR="00DB41B7" w:rsidRDefault="00DB41B7" w:rsidP="00DB41B7">
      <w:pPr>
        <w:rPr>
          <w:rFonts w:ascii="Arial" w:hAnsi="Arial" w:cs="Arial"/>
          <w:sz w:val="24"/>
          <w:szCs w:val="24"/>
        </w:rPr>
      </w:pPr>
    </w:p>
    <w:p w14:paraId="797520D8" w14:textId="77777777" w:rsidR="004F7AA6" w:rsidRPr="00026120" w:rsidRDefault="004F7AA6" w:rsidP="004F7AA6">
      <w:pPr>
        <w:rPr>
          <w:rFonts w:ascii="Arial" w:hAnsi="Arial" w:cs="Arial"/>
          <w:b/>
          <w:sz w:val="24"/>
          <w:szCs w:val="24"/>
          <w:u w:val="thick"/>
        </w:rPr>
      </w:pPr>
      <w:r w:rsidRPr="00026120">
        <w:rPr>
          <w:rFonts w:ascii="Arial" w:hAnsi="Arial" w:cs="Arial"/>
          <w:b/>
          <w:sz w:val="24"/>
          <w:szCs w:val="24"/>
          <w:u w:val="thick"/>
        </w:rPr>
        <w:t>Kenora Response:</w:t>
      </w:r>
    </w:p>
    <w:p w14:paraId="7B91C6FF" w14:textId="77777777" w:rsidR="004F7AA6" w:rsidRDefault="004F7AA6" w:rsidP="00DB41B7">
      <w:pPr>
        <w:rPr>
          <w:rFonts w:ascii="Arial" w:hAnsi="Arial" w:cs="Arial"/>
          <w:sz w:val="24"/>
          <w:szCs w:val="24"/>
        </w:rPr>
      </w:pPr>
    </w:p>
    <w:p w14:paraId="1F36FC13" w14:textId="0A8A6D5A" w:rsidR="00DB41B7" w:rsidRDefault="00DB41B7" w:rsidP="00DB41B7">
      <w:pPr>
        <w:rPr>
          <w:rFonts w:ascii="Arial" w:hAnsi="Arial" w:cs="Arial"/>
          <w:sz w:val="24"/>
          <w:szCs w:val="24"/>
        </w:rPr>
      </w:pPr>
      <w:r>
        <w:rPr>
          <w:rFonts w:ascii="Arial" w:hAnsi="Arial" w:cs="Arial"/>
          <w:sz w:val="24"/>
          <w:szCs w:val="24"/>
        </w:rPr>
        <w:t xml:space="preserve">The billing system produces a report on demand, which lists </w:t>
      </w:r>
      <w:r w:rsidR="004F7AA6">
        <w:rPr>
          <w:rFonts w:ascii="Arial" w:hAnsi="Arial" w:cs="Arial"/>
          <w:sz w:val="24"/>
          <w:szCs w:val="24"/>
        </w:rPr>
        <w:t xml:space="preserve">by </w:t>
      </w:r>
      <w:r>
        <w:rPr>
          <w:rFonts w:ascii="Arial" w:hAnsi="Arial" w:cs="Arial"/>
          <w:sz w:val="24"/>
          <w:szCs w:val="24"/>
        </w:rPr>
        <w:t xml:space="preserve">customer account </w:t>
      </w:r>
      <w:r w:rsidR="004F7AA6">
        <w:rPr>
          <w:rFonts w:ascii="Arial" w:hAnsi="Arial" w:cs="Arial"/>
          <w:sz w:val="24"/>
          <w:szCs w:val="24"/>
        </w:rPr>
        <w:t>the</w:t>
      </w:r>
      <w:r>
        <w:rPr>
          <w:rFonts w:ascii="Arial" w:hAnsi="Arial" w:cs="Arial"/>
          <w:sz w:val="24"/>
          <w:szCs w:val="24"/>
        </w:rPr>
        <w:t xml:space="preserve"> kWh in columns by month.  For this report, the billing system has done an analysis</w:t>
      </w:r>
      <w:r w:rsidR="004F7AA6">
        <w:rPr>
          <w:rFonts w:ascii="Arial" w:hAnsi="Arial" w:cs="Arial"/>
          <w:sz w:val="24"/>
          <w:szCs w:val="24"/>
        </w:rPr>
        <w:t xml:space="preserve"> on each </w:t>
      </w:r>
      <w:r>
        <w:rPr>
          <w:rFonts w:ascii="Arial" w:hAnsi="Arial" w:cs="Arial"/>
          <w:sz w:val="24"/>
          <w:szCs w:val="24"/>
        </w:rPr>
        <w:t>account</w:t>
      </w:r>
      <w:r w:rsidR="004F7AA6">
        <w:rPr>
          <w:rFonts w:ascii="Arial" w:hAnsi="Arial" w:cs="Arial"/>
          <w:sz w:val="24"/>
          <w:szCs w:val="24"/>
        </w:rPr>
        <w:t xml:space="preserve"> and it has</w:t>
      </w:r>
      <w:r>
        <w:rPr>
          <w:rFonts w:ascii="Arial" w:hAnsi="Arial" w:cs="Arial"/>
          <w:sz w:val="24"/>
          <w:szCs w:val="24"/>
        </w:rPr>
        <w:t xml:space="preserve"> </w:t>
      </w:r>
      <w:r w:rsidR="004F7AA6">
        <w:rPr>
          <w:rFonts w:ascii="Arial" w:hAnsi="Arial" w:cs="Arial"/>
          <w:sz w:val="24"/>
          <w:szCs w:val="24"/>
        </w:rPr>
        <w:t xml:space="preserve">reported kWh each month by prorating, based on the on </w:t>
      </w:r>
      <w:r>
        <w:rPr>
          <w:rFonts w:ascii="Arial" w:hAnsi="Arial" w:cs="Arial"/>
          <w:sz w:val="24"/>
          <w:szCs w:val="24"/>
        </w:rPr>
        <w:t>the billing dates</w:t>
      </w:r>
      <w:r w:rsidR="004F7AA6">
        <w:rPr>
          <w:rFonts w:ascii="Arial" w:hAnsi="Arial" w:cs="Arial"/>
          <w:sz w:val="24"/>
          <w:szCs w:val="24"/>
        </w:rPr>
        <w:t xml:space="preserve">, the </w:t>
      </w:r>
      <w:r>
        <w:rPr>
          <w:rFonts w:ascii="Arial" w:hAnsi="Arial" w:cs="Arial"/>
          <w:sz w:val="24"/>
          <w:szCs w:val="24"/>
        </w:rPr>
        <w:t xml:space="preserve">consumption between the start and end date of the meter reads on each bill.  As an example, if there are 30 days in a billing for a customer who is billed in July, </w:t>
      </w:r>
      <w:r w:rsidR="004F7AA6">
        <w:rPr>
          <w:rFonts w:ascii="Arial" w:hAnsi="Arial" w:cs="Arial"/>
          <w:sz w:val="24"/>
          <w:szCs w:val="24"/>
        </w:rPr>
        <w:t xml:space="preserve">and based on the meter read dates, </w:t>
      </w:r>
      <w:r>
        <w:rPr>
          <w:rFonts w:ascii="Arial" w:hAnsi="Arial" w:cs="Arial"/>
          <w:sz w:val="24"/>
          <w:szCs w:val="24"/>
        </w:rPr>
        <w:t xml:space="preserve">15 days are for June and 15 days are </w:t>
      </w:r>
      <w:r w:rsidR="004F7AA6">
        <w:rPr>
          <w:rFonts w:ascii="Arial" w:hAnsi="Arial" w:cs="Arial"/>
          <w:sz w:val="24"/>
          <w:szCs w:val="24"/>
        </w:rPr>
        <w:t>for</w:t>
      </w:r>
      <w:r>
        <w:rPr>
          <w:rFonts w:ascii="Arial" w:hAnsi="Arial" w:cs="Arial"/>
          <w:sz w:val="24"/>
          <w:szCs w:val="24"/>
        </w:rPr>
        <w:t xml:space="preserve"> July, the consumption </w:t>
      </w:r>
      <w:r w:rsidR="00861C52">
        <w:rPr>
          <w:rFonts w:ascii="Arial" w:hAnsi="Arial" w:cs="Arial"/>
          <w:sz w:val="24"/>
          <w:szCs w:val="24"/>
        </w:rPr>
        <w:t>b</w:t>
      </w:r>
      <w:r>
        <w:rPr>
          <w:rFonts w:ascii="Arial" w:hAnsi="Arial" w:cs="Arial"/>
          <w:sz w:val="24"/>
          <w:szCs w:val="24"/>
        </w:rPr>
        <w:t>illed in July will be equally prorated between those two months.  Half of the billed consumption in July will show in the June column and half will be reported in the July column.</w:t>
      </w:r>
      <w:r w:rsidR="004F7AA6">
        <w:rPr>
          <w:rFonts w:ascii="Arial" w:hAnsi="Arial" w:cs="Arial"/>
          <w:sz w:val="24"/>
          <w:szCs w:val="24"/>
        </w:rPr>
        <w:t xml:space="preserve">  This is the process for every month, including any billed subsequent to year end.  The report is generated once all bill runs with any December use have been billed, thereby ensuring all kWh reported belong to the appropriate year.</w:t>
      </w:r>
    </w:p>
    <w:p w14:paraId="7FC7458E" w14:textId="77777777" w:rsidR="00DB41B7" w:rsidRPr="00DB41B7" w:rsidRDefault="00DB41B7" w:rsidP="00DB41B7">
      <w:pPr>
        <w:rPr>
          <w:rFonts w:ascii="Arial" w:hAnsi="Arial" w:cs="Arial"/>
          <w:sz w:val="24"/>
          <w:szCs w:val="24"/>
        </w:rPr>
      </w:pPr>
    </w:p>
    <w:p w14:paraId="72DB1AEF" w14:textId="77777777" w:rsidR="009101DA" w:rsidRPr="002D6E5A" w:rsidRDefault="009101DA" w:rsidP="009101DA">
      <w:pPr>
        <w:pStyle w:val="ListParagraph"/>
        <w:numPr>
          <w:ilvl w:val="0"/>
          <w:numId w:val="18"/>
        </w:numPr>
        <w:rPr>
          <w:rFonts w:ascii="Arial" w:hAnsi="Arial" w:cs="Arial"/>
          <w:sz w:val="24"/>
          <w:szCs w:val="24"/>
        </w:rPr>
      </w:pPr>
      <w:r w:rsidRPr="002D6E5A">
        <w:rPr>
          <w:rFonts w:ascii="Arial" w:hAnsi="Arial" w:cs="Arial"/>
          <w:sz w:val="24"/>
          <w:szCs w:val="24"/>
        </w:rPr>
        <w:t>Please explain how the final number for kWh as adjusted for unbilled is calculated based on the prorated consumption per day.</w:t>
      </w:r>
    </w:p>
    <w:p w14:paraId="5AA52DAC" w14:textId="400AF36E" w:rsidR="00556DBA" w:rsidRDefault="009101DA" w:rsidP="009101DA">
      <w:pPr>
        <w:pStyle w:val="ListParagraph"/>
        <w:numPr>
          <w:ilvl w:val="1"/>
          <w:numId w:val="18"/>
        </w:numPr>
        <w:rPr>
          <w:rFonts w:ascii="Arial" w:hAnsi="Arial" w:cs="Arial"/>
          <w:sz w:val="24"/>
          <w:szCs w:val="24"/>
        </w:rPr>
      </w:pPr>
      <w:r w:rsidRPr="002D6E5A">
        <w:rPr>
          <w:rFonts w:ascii="Arial" w:hAnsi="Arial" w:cs="Arial"/>
          <w:sz w:val="24"/>
          <w:szCs w:val="24"/>
        </w:rPr>
        <w:t>Please explain how this calculation will approximate the actual consumption in the month</w:t>
      </w:r>
      <w:r w:rsidR="00556DBA" w:rsidRPr="002D6E5A">
        <w:rPr>
          <w:rFonts w:ascii="Arial" w:hAnsi="Arial" w:cs="Arial"/>
          <w:sz w:val="24"/>
          <w:szCs w:val="24"/>
        </w:rPr>
        <w:t>.</w:t>
      </w:r>
    </w:p>
    <w:p w14:paraId="7F298BB6" w14:textId="296B0933" w:rsidR="00495D7D" w:rsidRPr="00495D7D" w:rsidRDefault="00495D7D" w:rsidP="00495D7D">
      <w:pPr>
        <w:rPr>
          <w:rFonts w:ascii="Arial" w:hAnsi="Arial" w:cs="Arial"/>
          <w:sz w:val="24"/>
          <w:szCs w:val="24"/>
          <w:u w:val="thick"/>
        </w:rPr>
      </w:pPr>
    </w:p>
    <w:p w14:paraId="0A4CB1B0" w14:textId="76F0739C" w:rsidR="00495D7D" w:rsidRPr="00026120" w:rsidRDefault="00495D7D" w:rsidP="00495D7D">
      <w:pPr>
        <w:rPr>
          <w:rFonts w:ascii="Arial" w:hAnsi="Arial" w:cs="Arial"/>
          <w:b/>
          <w:sz w:val="24"/>
          <w:szCs w:val="24"/>
          <w:u w:val="thick"/>
        </w:rPr>
      </w:pPr>
      <w:r w:rsidRPr="00026120">
        <w:rPr>
          <w:rFonts w:ascii="Arial" w:hAnsi="Arial" w:cs="Arial"/>
          <w:b/>
          <w:sz w:val="24"/>
          <w:szCs w:val="24"/>
          <w:u w:val="thick"/>
        </w:rPr>
        <w:t>Kenora Response:</w:t>
      </w:r>
    </w:p>
    <w:p w14:paraId="01903225" w14:textId="47718C54" w:rsidR="00495D7D" w:rsidRDefault="00495D7D" w:rsidP="00495D7D">
      <w:pPr>
        <w:rPr>
          <w:rFonts w:ascii="Arial" w:hAnsi="Arial" w:cs="Arial"/>
          <w:sz w:val="24"/>
          <w:szCs w:val="24"/>
        </w:rPr>
      </w:pPr>
    </w:p>
    <w:p w14:paraId="11F1005D" w14:textId="5C6E32F5" w:rsidR="00495D7D" w:rsidRDefault="00495D7D" w:rsidP="00495D7D">
      <w:pPr>
        <w:rPr>
          <w:rFonts w:ascii="Arial" w:hAnsi="Arial" w:cs="Arial"/>
          <w:sz w:val="24"/>
          <w:szCs w:val="24"/>
        </w:rPr>
      </w:pPr>
      <w:r>
        <w:rPr>
          <w:rFonts w:ascii="Arial" w:hAnsi="Arial" w:cs="Arial"/>
          <w:sz w:val="24"/>
          <w:szCs w:val="24"/>
        </w:rPr>
        <w:t>As explain in 8a), this billing system report prorates based on number of days in each bill, and based on the dates will prorate the consumpt</w:t>
      </w:r>
      <w:r w:rsidR="004F7AA6">
        <w:rPr>
          <w:rFonts w:ascii="Arial" w:hAnsi="Arial" w:cs="Arial"/>
          <w:sz w:val="24"/>
          <w:szCs w:val="24"/>
        </w:rPr>
        <w:t>ion to the correct month of use, including the last month of the year which includes unbilled kWh pulled back into December.</w:t>
      </w:r>
    </w:p>
    <w:p w14:paraId="193221CF" w14:textId="77777777" w:rsidR="00495D7D" w:rsidRPr="00495D7D" w:rsidRDefault="00495D7D" w:rsidP="00495D7D">
      <w:pPr>
        <w:rPr>
          <w:rFonts w:ascii="Arial" w:hAnsi="Arial" w:cs="Arial"/>
          <w:sz w:val="24"/>
          <w:szCs w:val="24"/>
        </w:rPr>
      </w:pPr>
    </w:p>
    <w:p w14:paraId="0DD5FA3A" w14:textId="77777777" w:rsidR="00556DBA" w:rsidRPr="002D6E5A" w:rsidRDefault="001264BD" w:rsidP="002D6E5A">
      <w:pPr>
        <w:keepNext/>
        <w:rPr>
          <w:rFonts w:ascii="Arial" w:hAnsi="Arial" w:cs="Arial"/>
          <w:b/>
          <w:sz w:val="24"/>
          <w:szCs w:val="24"/>
        </w:rPr>
      </w:pPr>
      <w:r>
        <w:rPr>
          <w:rFonts w:ascii="Arial" w:hAnsi="Arial" w:cs="Arial"/>
          <w:b/>
          <w:sz w:val="24"/>
          <w:szCs w:val="24"/>
        </w:rPr>
        <w:lastRenderedPageBreak/>
        <w:t>Staff-9</w:t>
      </w:r>
    </w:p>
    <w:p w14:paraId="64ED3545" w14:textId="77777777" w:rsidR="00556DBA" w:rsidRPr="002D6E5A" w:rsidRDefault="00556DBA" w:rsidP="002D6E5A">
      <w:pPr>
        <w:keepNext/>
        <w:rPr>
          <w:rFonts w:ascii="Arial" w:hAnsi="Arial" w:cs="Arial"/>
          <w:sz w:val="24"/>
          <w:szCs w:val="24"/>
        </w:rPr>
      </w:pPr>
      <w:r w:rsidRPr="002D6E5A">
        <w:rPr>
          <w:rFonts w:ascii="Arial" w:hAnsi="Arial" w:cs="Arial"/>
          <w:b/>
          <w:sz w:val="24"/>
          <w:szCs w:val="24"/>
        </w:rPr>
        <w:t>Ref:</w:t>
      </w:r>
      <w:r w:rsidRPr="002D6E5A">
        <w:rPr>
          <w:rFonts w:ascii="Arial" w:hAnsi="Arial" w:cs="Arial"/>
          <w:b/>
          <w:sz w:val="24"/>
          <w:szCs w:val="24"/>
        </w:rPr>
        <w:tab/>
      </w:r>
      <w:r w:rsidR="000239CD" w:rsidRPr="002D6E5A">
        <w:rPr>
          <w:rFonts w:ascii="Arial" w:hAnsi="Arial" w:cs="Arial"/>
          <w:b/>
          <w:bCs/>
          <w:sz w:val="24"/>
          <w:szCs w:val="24"/>
        </w:rPr>
        <w:t>2019 Rate Generator Model – Tab 3 Continuity Schedule</w:t>
      </w:r>
    </w:p>
    <w:p w14:paraId="7B218CBA" w14:textId="77777777" w:rsidR="00556DBA" w:rsidRPr="002D6E5A" w:rsidRDefault="000239CD" w:rsidP="002D6E5A">
      <w:pPr>
        <w:keepNext/>
        <w:rPr>
          <w:rFonts w:ascii="Arial" w:hAnsi="Arial" w:cs="Arial"/>
          <w:sz w:val="24"/>
          <w:szCs w:val="24"/>
        </w:rPr>
      </w:pPr>
      <w:r w:rsidRPr="002D6E5A">
        <w:rPr>
          <w:rFonts w:ascii="Arial" w:hAnsi="Arial" w:cs="Arial"/>
          <w:sz w:val="24"/>
          <w:szCs w:val="24"/>
        </w:rPr>
        <w:t>There is a reallocation of $34,676 between Accounts 1588 and 1589 for a posting error.</w:t>
      </w:r>
    </w:p>
    <w:p w14:paraId="5120B4A7" w14:textId="45E87A29" w:rsidR="00556DBA" w:rsidRDefault="000239CD" w:rsidP="006D098A">
      <w:pPr>
        <w:pStyle w:val="ListParagraph"/>
        <w:numPr>
          <w:ilvl w:val="0"/>
          <w:numId w:val="19"/>
        </w:numPr>
        <w:rPr>
          <w:rFonts w:ascii="Arial" w:hAnsi="Arial" w:cs="Arial"/>
          <w:sz w:val="24"/>
          <w:szCs w:val="24"/>
        </w:rPr>
      </w:pPr>
      <w:r w:rsidRPr="002D6E5A">
        <w:rPr>
          <w:rFonts w:ascii="Arial" w:hAnsi="Arial" w:cs="Arial"/>
          <w:sz w:val="24"/>
          <w:szCs w:val="24"/>
        </w:rPr>
        <w:t>Please provide further details on what the posting error was and how it was identified</w:t>
      </w:r>
      <w:r w:rsidR="00556DBA" w:rsidRPr="002D6E5A">
        <w:rPr>
          <w:rFonts w:ascii="Arial" w:hAnsi="Arial" w:cs="Arial"/>
          <w:sz w:val="24"/>
          <w:szCs w:val="24"/>
        </w:rPr>
        <w:t>.</w:t>
      </w:r>
    </w:p>
    <w:p w14:paraId="02A3542F" w14:textId="63E55606" w:rsidR="002C70F5" w:rsidRDefault="002C70F5" w:rsidP="002C70F5">
      <w:pPr>
        <w:rPr>
          <w:rFonts w:ascii="Arial" w:hAnsi="Arial" w:cs="Arial"/>
          <w:b/>
          <w:sz w:val="24"/>
          <w:szCs w:val="24"/>
        </w:rPr>
      </w:pPr>
    </w:p>
    <w:p w14:paraId="2403C4FD" w14:textId="734A2D52" w:rsidR="002C70F5" w:rsidRPr="00026120" w:rsidRDefault="002C70F5" w:rsidP="002C70F5">
      <w:pPr>
        <w:rPr>
          <w:rFonts w:ascii="Arial" w:hAnsi="Arial" w:cs="Arial"/>
          <w:b/>
          <w:sz w:val="24"/>
          <w:szCs w:val="24"/>
          <w:u w:val="thick"/>
        </w:rPr>
      </w:pPr>
      <w:r w:rsidRPr="00026120">
        <w:rPr>
          <w:rFonts w:ascii="Arial" w:hAnsi="Arial" w:cs="Arial"/>
          <w:b/>
          <w:sz w:val="24"/>
          <w:szCs w:val="24"/>
          <w:u w:val="thick"/>
        </w:rPr>
        <w:t>Kenora Res</w:t>
      </w:r>
      <w:r w:rsidR="00D221C6">
        <w:rPr>
          <w:rFonts w:ascii="Arial" w:hAnsi="Arial" w:cs="Arial"/>
          <w:b/>
          <w:sz w:val="24"/>
          <w:szCs w:val="24"/>
          <w:u w:val="thick"/>
        </w:rPr>
        <w:t>p</w:t>
      </w:r>
      <w:r w:rsidRPr="00026120">
        <w:rPr>
          <w:rFonts w:ascii="Arial" w:hAnsi="Arial" w:cs="Arial"/>
          <w:b/>
          <w:sz w:val="24"/>
          <w:szCs w:val="24"/>
          <w:u w:val="thick"/>
        </w:rPr>
        <w:t>onse:</w:t>
      </w:r>
    </w:p>
    <w:p w14:paraId="787B8A3C" w14:textId="25D9F8A5" w:rsidR="002C70F5" w:rsidRDefault="002C70F5" w:rsidP="002C70F5">
      <w:pPr>
        <w:rPr>
          <w:rFonts w:ascii="Arial" w:hAnsi="Arial" w:cs="Arial"/>
          <w:sz w:val="24"/>
          <w:szCs w:val="24"/>
        </w:rPr>
      </w:pPr>
      <w:r>
        <w:rPr>
          <w:rFonts w:ascii="Arial" w:hAnsi="Arial" w:cs="Arial"/>
          <w:sz w:val="24"/>
          <w:szCs w:val="24"/>
        </w:rPr>
        <w:t xml:space="preserve">The error was noted when completing the GA </w:t>
      </w:r>
      <w:r w:rsidR="00D10657">
        <w:rPr>
          <w:rFonts w:ascii="Arial" w:hAnsi="Arial" w:cs="Arial"/>
          <w:sz w:val="24"/>
          <w:szCs w:val="24"/>
        </w:rPr>
        <w:t xml:space="preserve">Analysis </w:t>
      </w:r>
      <w:r>
        <w:rPr>
          <w:rFonts w:ascii="Arial" w:hAnsi="Arial" w:cs="Arial"/>
          <w:sz w:val="24"/>
          <w:szCs w:val="24"/>
        </w:rPr>
        <w:t>Workform.  There was an unexplained difference in the working paper, and on review of the detailed GL activity, the error was noted.</w:t>
      </w:r>
    </w:p>
    <w:p w14:paraId="52FCA6D6" w14:textId="3652345B" w:rsidR="00730616" w:rsidRDefault="002C70F5" w:rsidP="002C70F5">
      <w:pPr>
        <w:rPr>
          <w:rFonts w:ascii="Arial" w:hAnsi="Arial" w:cs="Arial"/>
          <w:sz w:val="24"/>
          <w:szCs w:val="24"/>
        </w:rPr>
      </w:pPr>
      <w:r>
        <w:rPr>
          <w:rFonts w:ascii="Arial" w:hAnsi="Arial" w:cs="Arial"/>
          <w:sz w:val="24"/>
          <w:szCs w:val="24"/>
        </w:rPr>
        <w:t xml:space="preserve">The original error was made when </w:t>
      </w:r>
      <w:r w:rsidR="006000FC">
        <w:rPr>
          <w:rFonts w:ascii="Arial" w:hAnsi="Arial" w:cs="Arial"/>
          <w:sz w:val="24"/>
          <w:szCs w:val="24"/>
        </w:rPr>
        <w:t xml:space="preserve">accumulating </w:t>
      </w:r>
      <w:r>
        <w:rPr>
          <w:rFonts w:ascii="Arial" w:hAnsi="Arial" w:cs="Arial"/>
          <w:sz w:val="24"/>
          <w:szCs w:val="24"/>
        </w:rPr>
        <w:t xml:space="preserve">the monthly revenues </w:t>
      </w:r>
      <w:r w:rsidR="006000FC">
        <w:rPr>
          <w:rFonts w:ascii="Arial" w:hAnsi="Arial" w:cs="Arial"/>
          <w:sz w:val="24"/>
          <w:szCs w:val="24"/>
        </w:rPr>
        <w:t xml:space="preserve">from the GL </w:t>
      </w:r>
      <w:r>
        <w:rPr>
          <w:rFonts w:ascii="Arial" w:hAnsi="Arial" w:cs="Arial"/>
          <w:sz w:val="24"/>
          <w:szCs w:val="24"/>
        </w:rPr>
        <w:t xml:space="preserve">for use in the monthly variance account </w:t>
      </w:r>
      <w:r w:rsidR="000E781F">
        <w:rPr>
          <w:rFonts w:ascii="Arial" w:hAnsi="Arial" w:cs="Arial"/>
          <w:sz w:val="24"/>
          <w:szCs w:val="24"/>
        </w:rPr>
        <w:t xml:space="preserve">GL </w:t>
      </w:r>
      <w:r>
        <w:rPr>
          <w:rFonts w:ascii="Arial" w:hAnsi="Arial" w:cs="Arial"/>
          <w:sz w:val="24"/>
          <w:szCs w:val="24"/>
        </w:rPr>
        <w:t>posting.  One of the revenue l</w:t>
      </w:r>
      <w:r w:rsidR="006000FC">
        <w:rPr>
          <w:rFonts w:ascii="Arial" w:hAnsi="Arial" w:cs="Arial"/>
          <w:sz w:val="24"/>
          <w:szCs w:val="24"/>
        </w:rPr>
        <w:t>ines for GA was accidentally included</w:t>
      </w:r>
      <w:r>
        <w:rPr>
          <w:rFonts w:ascii="Arial" w:hAnsi="Arial" w:cs="Arial"/>
          <w:sz w:val="24"/>
          <w:szCs w:val="24"/>
        </w:rPr>
        <w:t xml:space="preserve"> as a</w:t>
      </w:r>
      <w:r w:rsidR="006000FC">
        <w:rPr>
          <w:rFonts w:ascii="Arial" w:hAnsi="Arial" w:cs="Arial"/>
          <w:sz w:val="24"/>
          <w:szCs w:val="24"/>
        </w:rPr>
        <w:t xml:space="preserve">n amount </w:t>
      </w:r>
      <w:r>
        <w:rPr>
          <w:rFonts w:ascii="Arial" w:hAnsi="Arial" w:cs="Arial"/>
          <w:sz w:val="24"/>
          <w:szCs w:val="24"/>
        </w:rPr>
        <w:t xml:space="preserve">for Power revenue instead of GA revenue.  This meant that the GA and Power RSVA accounts were both incorrect at </w:t>
      </w:r>
      <w:r w:rsidR="00D10657">
        <w:rPr>
          <w:rFonts w:ascii="Arial" w:hAnsi="Arial" w:cs="Arial"/>
          <w:sz w:val="24"/>
          <w:szCs w:val="24"/>
        </w:rPr>
        <w:t xml:space="preserve">that </w:t>
      </w:r>
      <w:r>
        <w:rPr>
          <w:rFonts w:ascii="Arial" w:hAnsi="Arial" w:cs="Arial"/>
          <w:sz w:val="24"/>
          <w:szCs w:val="24"/>
        </w:rPr>
        <w:t>month end</w:t>
      </w:r>
      <w:r w:rsidR="006000FC">
        <w:rPr>
          <w:rFonts w:ascii="Arial" w:hAnsi="Arial" w:cs="Arial"/>
          <w:sz w:val="24"/>
          <w:szCs w:val="24"/>
        </w:rPr>
        <w:t xml:space="preserve"> by that amount</w:t>
      </w:r>
      <w:r>
        <w:rPr>
          <w:rFonts w:ascii="Arial" w:hAnsi="Arial" w:cs="Arial"/>
          <w:sz w:val="24"/>
          <w:szCs w:val="24"/>
        </w:rPr>
        <w:t xml:space="preserve">.  </w:t>
      </w:r>
      <w:r w:rsidR="006000FC">
        <w:rPr>
          <w:rFonts w:ascii="Arial" w:hAnsi="Arial" w:cs="Arial"/>
          <w:sz w:val="24"/>
          <w:szCs w:val="24"/>
        </w:rPr>
        <w:t xml:space="preserve">Originally, at year end audit, </w:t>
      </w:r>
      <w:r w:rsidR="006322DE">
        <w:rPr>
          <w:rFonts w:ascii="Arial" w:hAnsi="Arial" w:cs="Arial"/>
          <w:sz w:val="24"/>
          <w:szCs w:val="24"/>
        </w:rPr>
        <w:t>this error in posting was noted by the auditors</w:t>
      </w:r>
      <w:r w:rsidR="006000FC">
        <w:rPr>
          <w:rFonts w:ascii="Arial" w:hAnsi="Arial" w:cs="Arial"/>
          <w:sz w:val="24"/>
          <w:szCs w:val="24"/>
        </w:rPr>
        <w:t xml:space="preserve"> </w:t>
      </w:r>
      <w:r>
        <w:rPr>
          <w:rFonts w:ascii="Arial" w:hAnsi="Arial" w:cs="Arial"/>
          <w:sz w:val="24"/>
          <w:szCs w:val="24"/>
        </w:rPr>
        <w:t xml:space="preserve">and </w:t>
      </w:r>
      <w:r w:rsidR="006000FC">
        <w:rPr>
          <w:rFonts w:ascii="Arial" w:hAnsi="Arial" w:cs="Arial"/>
          <w:sz w:val="24"/>
          <w:szCs w:val="24"/>
        </w:rPr>
        <w:t xml:space="preserve">I </w:t>
      </w:r>
      <w:r>
        <w:rPr>
          <w:rFonts w:ascii="Arial" w:hAnsi="Arial" w:cs="Arial"/>
          <w:sz w:val="24"/>
          <w:szCs w:val="24"/>
        </w:rPr>
        <w:t>corrected in the RSVA accounts</w:t>
      </w:r>
      <w:r w:rsidR="00D10657">
        <w:rPr>
          <w:rFonts w:ascii="Arial" w:hAnsi="Arial" w:cs="Arial"/>
          <w:sz w:val="24"/>
          <w:szCs w:val="24"/>
        </w:rPr>
        <w:t xml:space="preserve"> at that time</w:t>
      </w:r>
      <w:r>
        <w:rPr>
          <w:rFonts w:ascii="Arial" w:hAnsi="Arial" w:cs="Arial"/>
          <w:sz w:val="24"/>
          <w:szCs w:val="24"/>
        </w:rPr>
        <w:t xml:space="preserve">.  </w:t>
      </w:r>
      <w:r w:rsidR="006322DE">
        <w:rPr>
          <w:rFonts w:ascii="Arial" w:hAnsi="Arial" w:cs="Arial"/>
          <w:sz w:val="24"/>
          <w:szCs w:val="24"/>
        </w:rPr>
        <w:t>When completing</w:t>
      </w:r>
      <w:r w:rsidR="006000FC">
        <w:rPr>
          <w:rFonts w:ascii="Arial" w:hAnsi="Arial" w:cs="Arial"/>
          <w:sz w:val="24"/>
          <w:szCs w:val="24"/>
        </w:rPr>
        <w:t xml:space="preserve"> this Rate application</w:t>
      </w:r>
      <w:r w:rsidR="006322DE">
        <w:rPr>
          <w:rFonts w:ascii="Arial" w:hAnsi="Arial" w:cs="Arial"/>
          <w:sz w:val="24"/>
          <w:szCs w:val="24"/>
        </w:rPr>
        <w:t xml:space="preserve"> </w:t>
      </w:r>
      <w:r w:rsidR="006000FC">
        <w:rPr>
          <w:rFonts w:ascii="Arial" w:hAnsi="Arial" w:cs="Arial"/>
          <w:sz w:val="24"/>
          <w:szCs w:val="24"/>
        </w:rPr>
        <w:t xml:space="preserve">GA working papers, I looked for </w:t>
      </w:r>
      <w:r w:rsidR="006322DE">
        <w:rPr>
          <w:rFonts w:ascii="Arial" w:hAnsi="Arial" w:cs="Arial"/>
          <w:sz w:val="24"/>
          <w:szCs w:val="24"/>
        </w:rPr>
        <w:t xml:space="preserve">an </w:t>
      </w:r>
      <w:r w:rsidR="006000FC">
        <w:rPr>
          <w:rFonts w:ascii="Arial" w:hAnsi="Arial" w:cs="Arial"/>
          <w:sz w:val="24"/>
          <w:szCs w:val="24"/>
        </w:rPr>
        <w:t>unexplained variance in the working paper</w:t>
      </w:r>
      <w:r w:rsidR="006322DE">
        <w:rPr>
          <w:rFonts w:ascii="Arial" w:hAnsi="Arial" w:cs="Arial"/>
          <w:sz w:val="24"/>
          <w:szCs w:val="24"/>
        </w:rPr>
        <w:t xml:space="preserve"> for 2017</w:t>
      </w:r>
      <w:r w:rsidR="006000FC">
        <w:rPr>
          <w:rFonts w:ascii="Arial" w:hAnsi="Arial" w:cs="Arial"/>
          <w:sz w:val="24"/>
          <w:szCs w:val="24"/>
        </w:rPr>
        <w:t xml:space="preserve">.  </w:t>
      </w:r>
      <w:r>
        <w:rPr>
          <w:rFonts w:ascii="Arial" w:hAnsi="Arial" w:cs="Arial"/>
          <w:sz w:val="24"/>
          <w:szCs w:val="24"/>
        </w:rPr>
        <w:t xml:space="preserve"> I </w:t>
      </w:r>
      <w:r w:rsidR="006322DE">
        <w:rPr>
          <w:rFonts w:ascii="Arial" w:hAnsi="Arial" w:cs="Arial"/>
          <w:sz w:val="24"/>
          <w:szCs w:val="24"/>
        </w:rPr>
        <w:t xml:space="preserve">noted that the reversal I had made was impacting the final GA balance expected in the Model.  I then </w:t>
      </w:r>
      <w:r w:rsidR="000E781F">
        <w:rPr>
          <w:rFonts w:ascii="Arial" w:hAnsi="Arial" w:cs="Arial"/>
          <w:sz w:val="24"/>
          <w:szCs w:val="24"/>
        </w:rPr>
        <w:t>realized</w:t>
      </w:r>
      <w:r w:rsidR="006322DE">
        <w:rPr>
          <w:rFonts w:ascii="Arial" w:hAnsi="Arial" w:cs="Arial"/>
          <w:sz w:val="24"/>
          <w:szCs w:val="24"/>
        </w:rPr>
        <w:t xml:space="preserve"> </w:t>
      </w:r>
      <w:r>
        <w:rPr>
          <w:rFonts w:ascii="Arial" w:hAnsi="Arial" w:cs="Arial"/>
          <w:sz w:val="24"/>
          <w:szCs w:val="24"/>
        </w:rPr>
        <w:t xml:space="preserve">that because the mechanism to calculate the </w:t>
      </w:r>
      <w:r w:rsidR="000E781F">
        <w:rPr>
          <w:rFonts w:ascii="Arial" w:hAnsi="Arial" w:cs="Arial"/>
          <w:sz w:val="24"/>
          <w:szCs w:val="24"/>
        </w:rPr>
        <w:t xml:space="preserve">required </w:t>
      </w:r>
      <w:r>
        <w:rPr>
          <w:rFonts w:ascii="Arial" w:hAnsi="Arial" w:cs="Arial"/>
          <w:sz w:val="24"/>
          <w:szCs w:val="24"/>
        </w:rPr>
        <w:t xml:space="preserve">RSVA </w:t>
      </w:r>
      <w:r w:rsidR="000E781F">
        <w:rPr>
          <w:rFonts w:ascii="Arial" w:hAnsi="Arial" w:cs="Arial"/>
          <w:sz w:val="24"/>
          <w:szCs w:val="24"/>
        </w:rPr>
        <w:t xml:space="preserve">monthly GL adjustment </w:t>
      </w:r>
      <w:r>
        <w:rPr>
          <w:rFonts w:ascii="Arial" w:hAnsi="Arial" w:cs="Arial"/>
          <w:sz w:val="24"/>
          <w:szCs w:val="24"/>
        </w:rPr>
        <w:t xml:space="preserve">reverses all prior month and takes the cumulative revenues </w:t>
      </w:r>
      <w:r w:rsidR="000E781F">
        <w:rPr>
          <w:rFonts w:ascii="Arial" w:hAnsi="Arial" w:cs="Arial"/>
          <w:sz w:val="24"/>
          <w:szCs w:val="24"/>
        </w:rPr>
        <w:t xml:space="preserve">and expenses </w:t>
      </w:r>
      <w:r w:rsidR="00D10657">
        <w:rPr>
          <w:rFonts w:ascii="Arial" w:hAnsi="Arial" w:cs="Arial"/>
          <w:sz w:val="24"/>
          <w:szCs w:val="24"/>
        </w:rPr>
        <w:t xml:space="preserve">‘fresh’ </w:t>
      </w:r>
      <w:r w:rsidR="00730616">
        <w:rPr>
          <w:rFonts w:ascii="Arial" w:hAnsi="Arial" w:cs="Arial"/>
          <w:sz w:val="24"/>
          <w:szCs w:val="24"/>
        </w:rPr>
        <w:t xml:space="preserve">each month, this noted ”error” </w:t>
      </w:r>
      <w:r w:rsidR="006322DE">
        <w:rPr>
          <w:rFonts w:ascii="Arial" w:hAnsi="Arial" w:cs="Arial"/>
          <w:sz w:val="24"/>
          <w:szCs w:val="24"/>
        </w:rPr>
        <w:t xml:space="preserve">by the auditor </w:t>
      </w:r>
      <w:r w:rsidR="00730616">
        <w:rPr>
          <w:rFonts w:ascii="Arial" w:hAnsi="Arial" w:cs="Arial"/>
          <w:sz w:val="24"/>
          <w:szCs w:val="24"/>
        </w:rPr>
        <w:t xml:space="preserve">should not have been corrected </w:t>
      </w:r>
      <w:r w:rsidR="006322DE">
        <w:rPr>
          <w:rFonts w:ascii="Arial" w:hAnsi="Arial" w:cs="Arial"/>
          <w:sz w:val="24"/>
          <w:szCs w:val="24"/>
        </w:rPr>
        <w:t xml:space="preserve">in the GL </w:t>
      </w:r>
      <w:r w:rsidR="006000FC">
        <w:rPr>
          <w:rFonts w:ascii="Arial" w:hAnsi="Arial" w:cs="Arial"/>
          <w:sz w:val="24"/>
          <w:szCs w:val="24"/>
        </w:rPr>
        <w:t>in 2017. T</w:t>
      </w:r>
      <w:r w:rsidR="00730616">
        <w:rPr>
          <w:rFonts w:ascii="Arial" w:hAnsi="Arial" w:cs="Arial"/>
          <w:sz w:val="24"/>
          <w:szCs w:val="24"/>
        </w:rPr>
        <w:t xml:space="preserve">he </w:t>
      </w:r>
      <w:r w:rsidR="006000FC">
        <w:rPr>
          <w:rFonts w:ascii="Arial" w:hAnsi="Arial" w:cs="Arial"/>
          <w:sz w:val="24"/>
          <w:szCs w:val="24"/>
        </w:rPr>
        <w:t xml:space="preserve">routine </w:t>
      </w:r>
      <w:r w:rsidR="00730616">
        <w:rPr>
          <w:rFonts w:ascii="Arial" w:hAnsi="Arial" w:cs="Arial"/>
          <w:sz w:val="24"/>
          <w:szCs w:val="24"/>
        </w:rPr>
        <w:t xml:space="preserve">process </w:t>
      </w:r>
      <w:r w:rsidR="006000FC">
        <w:rPr>
          <w:rFonts w:ascii="Arial" w:hAnsi="Arial" w:cs="Arial"/>
          <w:sz w:val="24"/>
          <w:szCs w:val="24"/>
        </w:rPr>
        <w:t xml:space="preserve">of posting cumulative differences between revenue and expenses each month would mean that this error would have already </w:t>
      </w:r>
      <w:r w:rsidR="00730616">
        <w:rPr>
          <w:rFonts w:ascii="Arial" w:hAnsi="Arial" w:cs="Arial"/>
          <w:sz w:val="24"/>
          <w:szCs w:val="24"/>
        </w:rPr>
        <w:t xml:space="preserve">corrected itself with </w:t>
      </w:r>
      <w:r w:rsidR="006322DE">
        <w:rPr>
          <w:rFonts w:ascii="Arial" w:hAnsi="Arial" w:cs="Arial"/>
          <w:sz w:val="24"/>
          <w:szCs w:val="24"/>
        </w:rPr>
        <w:t>calculating and p</w:t>
      </w:r>
      <w:r w:rsidR="00730616">
        <w:rPr>
          <w:rFonts w:ascii="Arial" w:hAnsi="Arial" w:cs="Arial"/>
          <w:sz w:val="24"/>
          <w:szCs w:val="24"/>
        </w:rPr>
        <w:t>os</w:t>
      </w:r>
      <w:r w:rsidR="006322DE">
        <w:rPr>
          <w:rFonts w:ascii="Arial" w:hAnsi="Arial" w:cs="Arial"/>
          <w:sz w:val="24"/>
          <w:szCs w:val="24"/>
        </w:rPr>
        <w:t>t</w:t>
      </w:r>
      <w:r w:rsidR="00730616">
        <w:rPr>
          <w:rFonts w:ascii="Arial" w:hAnsi="Arial" w:cs="Arial"/>
          <w:sz w:val="24"/>
          <w:szCs w:val="24"/>
        </w:rPr>
        <w:t xml:space="preserve">ing </w:t>
      </w:r>
      <w:r w:rsidR="006322DE">
        <w:rPr>
          <w:rFonts w:ascii="Arial" w:hAnsi="Arial" w:cs="Arial"/>
          <w:sz w:val="24"/>
          <w:szCs w:val="24"/>
        </w:rPr>
        <w:t xml:space="preserve">the RSVA accounts </w:t>
      </w:r>
      <w:r w:rsidR="00730616">
        <w:rPr>
          <w:rFonts w:ascii="Arial" w:hAnsi="Arial" w:cs="Arial"/>
          <w:sz w:val="24"/>
          <w:szCs w:val="24"/>
        </w:rPr>
        <w:t>in the next month</w:t>
      </w:r>
      <w:r w:rsidR="006000FC">
        <w:rPr>
          <w:rFonts w:ascii="Arial" w:hAnsi="Arial" w:cs="Arial"/>
          <w:sz w:val="24"/>
          <w:szCs w:val="24"/>
        </w:rPr>
        <w:t>. T</w:t>
      </w:r>
      <w:r w:rsidR="00730616">
        <w:rPr>
          <w:rFonts w:ascii="Arial" w:hAnsi="Arial" w:cs="Arial"/>
          <w:sz w:val="24"/>
          <w:szCs w:val="24"/>
        </w:rPr>
        <w:t xml:space="preserve">he </w:t>
      </w:r>
      <w:r w:rsidR="006000FC">
        <w:rPr>
          <w:rFonts w:ascii="Arial" w:hAnsi="Arial" w:cs="Arial"/>
          <w:sz w:val="24"/>
          <w:szCs w:val="24"/>
        </w:rPr>
        <w:t>cumulative GA revenue and cumulative Power revenue</w:t>
      </w:r>
      <w:r w:rsidR="00730616">
        <w:rPr>
          <w:rFonts w:ascii="Arial" w:hAnsi="Arial" w:cs="Arial"/>
          <w:sz w:val="24"/>
          <w:szCs w:val="24"/>
        </w:rPr>
        <w:t xml:space="preserve"> </w:t>
      </w:r>
      <w:r w:rsidR="006000FC">
        <w:rPr>
          <w:rFonts w:ascii="Arial" w:hAnsi="Arial" w:cs="Arial"/>
          <w:sz w:val="24"/>
          <w:szCs w:val="24"/>
        </w:rPr>
        <w:t>were both c</w:t>
      </w:r>
      <w:r w:rsidR="00730616">
        <w:rPr>
          <w:rFonts w:ascii="Arial" w:hAnsi="Arial" w:cs="Arial"/>
          <w:sz w:val="24"/>
          <w:szCs w:val="24"/>
        </w:rPr>
        <w:t xml:space="preserve">orrectly </w:t>
      </w:r>
      <w:r w:rsidR="006000FC">
        <w:rPr>
          <w:rFonts w:ascii="Arial" w:hAnsi="Arial" w:cs="Arial"/>
          <w:sz w:val="24"/>
          <w:szCs w:val="24"/>
        </w:rPr>
        <w:t xml:space="preserve">picked up and </w:t>
      </w:r>
      <w:r w:rsidR="00730616">
        <w:rPr>
          <w:rFonts w:ascii="Arial" w:hAnsi="Arial" w:cs="Arial"/>
          <w:sz w:val="24"/>
          <w:szCs w:val="24"/>
        </w:rPr>
        <w:t xml:space="preserve">included </w:t>
      </w:r>
      <w:r w:rsidR="006000FC">
        <w:rPr>
          <w:rFonts w:ascii="Arial" w:hAnsi="Arial" w:cs="Arial"/>
          <w:sz w:val="24"/>
          <w:szCs w:val="24"/>
        </w:rPr>
        <w:t>in the corresponding variance calculations</w:t>
      </w:r>
      <w:r w:rsidR="00D10657">
        <w:rPr>
          <w:rFonts w:ascii="Arial" w:hAnsi="Arial" w:cs="Arial"/>
          <w:sz w:val="24"/>
          <w:szCs w:val="24"/>
        </w:rPr>
        <w:t xml:space="preserve"> in the next</w:t>
      </w:r>
      <w:r w:rsidR="00730616">
        <w:rPr>
          <w:rFonts w:ascii="Arial" w:hAnsi="Arial" w:cs="Arial"/>
          <w:sz w:val="24"/>
          <w:szCs w:val="24"/>
        </w:rPr>
        <w:t xml:space="preserve"> month.</w:t>
      </w:r>
      <w:r w:rsidR="006322DE">
        <w:rPr>
          <w:rFonts w:ascii="Arial" w:hAnsi="Arial" w:cs="Arial"/>
          <w:sz w:val="24"/>
          <w:szCs w:val="24"/>
        </w:rPr>
        <w:t xml:space="preserve">  </w:t>
      </w:r>
    </w:p>
    <w:p w14:paraId="2F3684B4" w14:textId="771E63CB" w:rsidR="0041030F" w:rsidRDefault="0041030F">
      <w:pPr>
        <w:rPr>
          <w:rFonts w:ascii="Arial" w:hAnsi="Arial" w:cs="Arial"/>
          <w:sz w:val="24"/>
          <w:szCs w:val="24"/>
        </w:rPr>
      </w:pPr>
      <w:r>
        <w:rPr>
          <w:rFonts w:ascii="Arial" w:hAnsi="Arial" w:cs="Arial"/>
          <w:sz w:val="24"/>
          <w:szCs w:val="24"/>
        </w:rPr>
        <w:br w:type="page"/>
      </w:r>
    </w:p>
    <w:p w14:paraId="6EBF58E3" w14:textId="77777777" w:rsidR="002A121A" w:rsidRPr="002D6E5A" w:rsidRDefault="001264BD">
      <w:pPr>
        <w:rPr>
          <w:rFonts w:ascii="Arial" w:hAnsi="Arial" w:cs="Arial"/>
          <w:b/>
          <w:sz w:val="24"/>
          <w:szCs w:val="24"/>
        </w:rPr>
      </w:pPr>
      <w:r>
        <w:rPr>
          <w:rFonts w:ascii="Arial" w:hAnsi="Arial" w:cs="Arial"/>
          <w:b/>
          <w:sz w:val="24"/>
          <w:szCs w:val="24"/>
        </w:rPr>
        <w:lastRenderedPageBreak/>
        <w:t>Staff-10</w:t>
      </w:r>
    </w:p>
    <w:p w14:paraId="3DC1DDB9" w14:textId="77777777" w:rsidR="002A121A" w:rsidRPr="002D6E5A" w:rsidRDefault="002A121A" w:rsidP="00CC151A">
      <w:pPr>
        <w:spacing w:after="0"/>
        <w:rPr>
          <w:rFonts w:ascii="Arial" w:hAnsi="Arial" w:cs="Arial"/>
          <w:b/>
          <w:bCs/>
          <w:sz w:val="24"/>
          <w:szCs w:val="24"/>
        </w:rPr>
      </w:pPr>
      <w:r w:rsidRPr="002D6E5A">
        <w:rPr>
          <w:rFonts w:ascii="Arial" w:hAnsi="Arial" w:cs="Arial"/>
          <w:b/>
          <w:sz w:val="24"/>
          <w:szCs w:val="24"/>
        </w:rPr>
        <w:t>Ref:</w:t>
      </w:r>
      <w:r w:rsidR="00C5607D" w:rsidRPr="002D6E5A">
        <w:rPr>
          <w:rFonts w:ascii="Arial" w:hAnsi="Arial" w:cs="Arial"/>
          <w:b/>
          <w:sz w:val="24"/>
          <w:szCs w:val="24"/>
        </w:rPr>
        <w:tab/>
      </w:r>
      <w:r w:rsidR="00C5607D" w:rsidRPr="002D6E5A">
        <w:rPr>
          <w:rFonts w:ascii="Arial" w:hAnsi="Arial" w:cs="Arial"/>
          <w:b/>
          <w:bCs/>
          <w:sz w:val="24"/>
          <w:szCs w:val="24"/>
        </w:rPr>
        <w:t>2019 Rate Generator Model – Tab 3 Continuity Schedule</w:t>
      </w:r>
    </w:p>
    <w:p w14:paraId="5163D35B" w14:textId="77777777" w:rsidR="00C5607D" w:rsidRPr="002D6E5A" w:rsidRDefault="00C5607D">
      <w:pPr>
        <w:rPr>
          <w:rFonts w:ascii="Arial" w:hAnsi="Arial" w:cs="Arial"/>
          <w:sz w:val="24"/>
          <w:szCs w:val="24"/>
        </w:rPr>
      </w:pPr>
      <w:r w:rsidRPr="002D6E5A">
        <w:rPr>
          <w:rFonts w:ascii="Arial" w:hAnsi="Arial" w:cs="Arial"/>
          <w:b/>
          <w:bCs/>
          <w:sz w:val="24"/>
          <w:szCs w:val="24"/>
        </w:rPr>
        <w:tab/>
        <w:t>2018 Rate Generator Model – Tab 3 Continuity Schedule</w:t>
      </w:r>
    </w:p>
    <w:p w14:paraId="7DB01908" w14:textId="77777777" w:rsidR="004040C1" w:rsidRPr="002D6E5A" w:rsidRDefault="00C5607D" w:rsidP="00C5607D">
      <w:pPr>
        <w:rPr>
          <w:rFonts w:ascii="Arial" w:hAnsi="Arial" w:cs="Arial"/>
          <w:sz w:val="24"/>
          <w:szCs w:val="24"/>
        </w:rPr>
      </w:pPr>
      <w:r w:rsidRPr="002D6E5A">
        <w:rPr>
          <w:rFonts w:ascii="Arial" w:hAnsi="Arial" w:cs="Arial"/>
          <w:sz w:val="24"/>
          <w:szCs w:val="24"/>
        </w:rPr>
        <w:t xml:space="preserve">An amount of </w:t>
      </w:r>
      <w:r w:rsidR="00A322E6" w:rsidRPr="002D6E5A">
        <w:rPr>
          <w:rFonts w:ascii="Arial" w:hAnsi="Arial" w:cs="Arial"/>
          <w:sz w:val="24"/>
          <w:szCs w:val="24"/>
        </w:rPr>
        <w:t>-</w:t>
      </w:r>
      <w:r w:rsidRPr="002D6E5A">
        <w:rPr>
          <w:rFonts w:ascii="Arial" w:hAnsi="Arial" w:cs="Arial"/>
          <w:sz w:val="24"/>
          <w:szCs w:val="24"/>
        </w:rPr>
        <w:t>$11,399 was recorded as a principal adjustment during 2015 to account 1580 – Variance WMS – Sub-account CBR Class B. This resulted in a 2016 opening balance of the same amount. In the 2018 Rate Generator Model, this transaction does not exist, and the 2016 opening balance was zero.</w:t>
      </w:r>
      <w:r w:rsidR="00A322E6" w:rsidRPr="002D6E5A">
        <w:rPr>
          <w:rFonts w:ascii="Arial" w:hAnsi="Arial" w:cs="Arial"/>
          <w:sz w:val="24"/>
          <w:szCs w:val="24"/>
        </w:rPr>
        <w:t xml:space="preserve"> The 2018 model includes principal transactions for 2016 which were approved for disposition in 2018.</w:t>
      </w:r>
    </w:p>
    <w:p w14:paraId="67BD32FA" w14:textId="77777777" w:rsidR="00A322E6" w:rsidRPr="002D6E5A" w:rsidRDefault="00A322E6" w:rsidP="00A322E6">
      <w:pPr>
        <w:suppressAutoHyphens/>
        <w:rPr>
          <w:rFonts w:ascii="Arial" w:hAnsi="Arial" w:cs="Arial"/>
          <w:sz w:val="24"/>
          <w:szCs w:val="24"/>
        </w:rPr>
      </w:pPr>
      <w:r w:rsidRPr="002D6E5A">
        <w:rPr>
          <w:rFonts w:ascii="Arial" w:hAnsi="Arial" w:cs="Arial"/>
          <w:sz w:val="24"/>
          <w:szCs w:val="24"/>
        </w:rPr>
        <w:t xml:space="preserve">A variance of $11,399 exists between the calculated value for 1580 – Variance WMS – Sub-account CBR Class B on this worksheet and the RRR. In addition, a variance of </w:t>
      </w:r>
      <w:r w:rsidR="00CC151A" w:rsidRPr="002D6E5A">
        <w:rPr>
          <w:rFonts w:ascii="Arial" w:hAnsi="Arial" w:cs="Arial"/>
          <w:sz w:val="24"/>
          <w:szCs w:val="24"/>
        </w:rPr>
        <w:noBreakHyphen/>
      </w:r>
      <w:r w:rsidRPr="002D6E5A">
        <w:rPr>
          <w:rFonts w:ascii="Arial" w:hAnsi="Arial" w:cs="Arial"/>
          <w:sz w:val="24"/>
          <w:szCs w:val="24"/>
        </w:rPr>
        <w:t>$11,399 exists between the calculated value for 1580 – RSVA – Wholesale Market Service Charge on this worksheet and the RRR.</w:t>
      </w:r>
    </w:p>
    <w:p w14:paraId="60599063" w14:textId="0F7209E5" w:rsidR="004040C1" w:rsidRDefault="00A1793F" w:rsidP="00556DBA">
      <w:pPr>
        <w:pStyle w:val="ListParagraph"/>
        <w:numPr>
          <w:ilvl w:val="0"/>
          <w:numId w:val="14"/>
        </w:numPr>
        <w:rPr>
          <w:rFonts w:ascii="Arial" w:hAnsi="Arial" w:cs="Arial"/>
          <w:sz w:val="24"/>
          <w:szCs w:val="24"/>
        </w:rPr>
      </w:pPr>
      <w:r w:rsidRPr="002D6E5A">
        <w:rPr>
          <w:rFonts w:ascii="Arial" w:hAnsi="Arial" w:cs="Arial"/>
          <w:sz w:val="24"/>
          <w:szCs w:val="24"/>
        </w:rPr>
        <w:t xml:space="preserve">Please </w:t>
      </w:r>
      <w:r w:rsidR="00C5607D" w:rsidRPr="002D6E5A">
        <w:rPr>
          <w:rFonts w:ascii="Arial" w:hAnsi="Arial" w:cs="Arial"/>
          <w:sz w:val="24"/>
          <w:szCs w:val="24"/>
        </w:rPr>
        <w:t>explain the cause of the 2015 principal adjustment, and why this was not disposed in 2018.</w:t>
      </w:r>
    </w:p>
    <w:p w14:paraId="49A417D8" w14:textId="5DF1DB00" w:rsidR="003A55FC" w:rsidRPr="003A55FC" w:rsidRDefault="003A55FC" w:rsidP="003A55FC">
      <w:pPr>
        <w:rPr>
          <w:rFonts w:ascii="Arial" w:hAnsi="Arial" w:cs="Arial"/>
          <w:b/>
          <w:sz w:val="24"/>
          <w:szCs w:val="24"/>
          <w:u w:val="thick"/>
        </w:rPr>
      </w:pPr>
      <w:r w:rsidRPr="003A55FC">
        <w:rPr>
          <w:rFonts w:ascii="Arial" w:hAnsi="Arial" w:cs="Arial"/>
          <w:b/>
          <w:sz w:val="24"/>
          <w:szCs w:val="24"/>
          <w:u w:val="thick"/>
        </w:rPr>
        <w:t>Kenora Response:</w:t>
      </w:r>
    </w:p>
    <w:p w14:paraId="5865670C" w14:textId="0969EBE0" w:rsidR="00DF3B87" w:rsidRDefault="00DF3B87" w:rsidP="000473FE">
      <w:pPr>
        <w:rPr>
          <w:rFonts w:ascii="Arial" w:hAnsi="Arial" w:cs="Arial"/>
          <w:sz w:val="24"/>
          <w:szCs w:val="24"/>
        </w:rPr>
      </w:pPr>
      <w:r>
        <w:rPr>
          <w:rFonts w:ascii="Arial" w:hAnsi="Arial" w:cs="Arial"/>
          <w:sz w:val="24"/>
          <w:szCs w:val="24"/>
        </w:rPr>
        <w:t>This was an input error</w:t>
      </w:r>
      <w:r w:rsidR="003A55FC">
        <w:rPr>
          <w:rFonts w:ascii="Arial" w:hAnsi="Arial" w:cs="Arial"/>
          <w:sz w:val="24"/>
          <w:szCs w:val="24"/>
        </w:rPr>
        <w:t xml:space="preserve"> into the model</w:t>
      </w:r>
      <w:r>
        <w:rPr>
          <w:rFonts w:ascii="Arial" w:hAnsi="Arial" w:cs="Arial"/>
          <w:sz w:val="24"/>
          <w:szCs w:val="24"/>
        </w:rPr>
        <w:t xml:space="preserve">.  The balances are as follows and have been updated in the IRM model.  </w:t>
      </w:r>
    </w:p>
    <w:p w14:paraId="773BAF70" w14:textId="62066C17" w:rsidR="00DF3B87" w:rsidRDefault="00DF3B87" w:rsidP="000473FE">
      <w:pPr>
        <w:rPr>
          <w:rFonts w:ascii="Arial" w:hAnsi="Arial" w:cs="Arial"/>
          <w:sz w:val="24"/>
          <w:szCs w:val="24"/>
        </w:rPr>
      </w:pPr>
      <w:r>
        <w:rPr>
          <w:rFonts w:ascii="Arial" w:hAnsi="Arial" w:cs="Arial"/>
          <w:sz w:val="24"/>
          <w:szCs w:val="24"/>
        </w:rPr>
        <w:t xml:space="preserve">The Dec 2017 RRR </w:t>
      </w:r>
      <w:r w:rsidR="00270CE6">
        <w:rPr>
          <w:rFonts w:ascii="Arial" w:hAnsi="Arial" w:cs="Arial"/>
          <w:sz w:val="24"/>
          <w:szCs w:val="24"/>
        </w:rPr>
        <w:t xml:space="preserve">filing </w:t>
      </w:r>
      <w:r>
        <w:rPr>
          <w:rFonts w:ascii="Arial" w:hAnsi="Arial" w:cs="Arial"/>
          <w:sz w:val="24"/>
          <w:szCs w:val="24"/>
        </w:rPr>
        <w:t>did not allow breakout of the WMS Class B balance.  The total for both WMS + WMS Class B is $(604,475)</w:t>
      </w:r>
      <w:r w:rsidR="00270CE6">
        <w:rPr>
          <w:rFonts w:ascii="Arial" w:hAnsi="Arial" w:cs="Arial"/>
          <w:sz w:val="24"/>
          <w:szCs w:val="24"/>
        </w:rPr>
        <w:t>, as was filed in 2017</w:t>
      </w:r>
      <w:r>
        <w:rPr>
          <w:rFonts w:ascii="Arial" w:hAnsi="Arial" w:cs="Arial"/>
          <w:sz w:val="24"/>
          <w:szCs w:val="24"/>
        </w:rPr>
        <w:t xml:space="preserve">.  This model </w:t>
      </w:r>
      <w:r w:rsidR="00270CE6">
        <w:rPr>
          <w:rFonts w:ascii="Arial" w:hAnsi="Arial" w:cs="Arial"/>
          <w:sz w:val="24"/>
          <w:szCs w:val="24"/>
        </w:rPr>
        <w:t xml:space="preserve">came pre-populated with the total WMS + Class B of $(604,475) plus </w:t>
      </w:r>
      <w:r>
        <w:rPr>
          <w:rFonts w:ascii="Arial" w:hAnsi="Arial" w:cs="Arial"/>
          <w:sz w:val="24"/>
          <w:szCs w:val="24"/>
        </w:rPr>
        <w:t xml:space="preserve">has also included a balance in the </w:t>
      </w:r>
      <w:r w:rsidRPr="00270CE6">
        <w:rPr>
          <w:rFonts w:ascii="Arial" w:hAnsi="Arial" w:cs="Arial"/>
          <w:sz w:val="24"/>
          <w:szCs w:val="24"/>
          <w:highlight w:val="yellow"/>
        </w:rPr>
        <w:t xml:space="preserve">WMS Class B of </w:t>
      </w:r>
      <w:r w:rsidR="00270CE6" w:rsidRPr="00270CE6">
        <w:rPr>
          <w:rFonts w:ascii="Arial" w:hAnsi="Arial" w:cs="Arial"/>
          <w:sz w:val="24"/>
          <w:szCs w:val="24"/>
          <w:highlight w:val="yellow"/>
        </w:rPr>
        <w:t>$</w:t>
      </w:r>
      <w:r w:rsidRPr="00270CE6">
        <w:rPr>
          <w:rFonts w:ascii="Arial" w:hAnsi="Arial" w:cs="Arial"/>
          <w:sz w:val="24"/>
          <w:szCs w:val="24"/>
          <w:highlight w:val="yellow"/>
        </w:rPr>
        <w:t>(11,399)</w:t>
      </w:r>
      <w:r w:rsidR="0074242A">
        <w:rPr>
          <w:rFonts w:ascii="Arial" w:hAnsi="Arial" w:cs="Arial"/>
          <w:sz w:val="24"/>
          <w:szCs w:val="24"/>
        </w:rPr>
        <w:t xml:space="preserve"> at Cell BU25</w:t>
      </w:r>
      <w:r>
        <w:rPr>
          <w:rFonts w:ascii="Arial" w:hAnsi="Arial" w:cs="Arial"/>
          <w:sz w:val="24"/>
          <w:szCs w:val="24"/>
        </w:rPr>
        <w:t xml:space="preserve">.  </w:t>
      </w:r>
      <w:r w:rsidR="00270CE6">
        <w:rPr>
          <w:rFonts w:ascii="Arial" w:hAnsi="Arial" w:cs="Arial"/>
          <w:sz w:val="24"/>
          <w:szCs w:val="24"/>
        </w:rPr>
        <w:t xml:space="preserve">This </w:t>
      </w:r>
      <w:r w:rsidR="0074242A">
        <w:rPr>
          <w:rFonts w:ascii="Arial" w:hAnsi="Arial" w:cs="Arial"/>
          <w:sz w:val="24"/>
          <w:szCs w:val="24"/>
        </w:rPr>
        <w:t xml:space="preserve">Prepopulated number from the OEB </w:t>
      </w:r>
      <w:r w:rsidR="00270CE6">
        <w:rPr>
          <w:rFonts w:ascii="Arial" w:hAnsi="Arial" w:cs="Arial"/>
          <w:sz w:val="24"/>
          <w:szCs w:val="24"/>
        </w:rPr>
        <w:t>is incorrect, as the total WMS</w:t>
      </w:r>
      <w:r w:rsidR="000B56B1">
        <w:rPr>
          <w:rFonts w:ascii="Arial" w:hAnsi="Arial" w:cs="Arial"/>
          <w:sz w:val="24"/>
          <w:szCs w:val="24"/>
        </w:rPr>
        <w:t xml:space="preserve"> as reported in the 2017 RRR </w:t>
      </w:r>
      <w:r w:rsidR="00270CE6">
        <w:rPr>
          <w:rFonts w:ascii="Arial" w:hAnsi="Arial" w:cs="Arial"/>
          <w:sz w:val="24"/>
          <w:szCs w:val="24"/>
        </w:rPr>
        <w:t xml:space="preserve">is $(604,475) which includes the Class B.  </w:t>
      </w:r>
      <w:r>
        <w:rPr>
          <w:rFonts w:ascii="Arial" w:hAnsi="Arial" w:cs="Arial"/>
          <w:sz w:val="24"/>
          <w:szCs w:val="24"/>
        </w:rPr>
        <w:t xml:space="preserve">In an effort to balance column BV, I </w:t>
      </w:r>
      <w:r w:rsidR="0074242A">
        <w:rPr>
          <w:rFonts w:ascii="Arial" w:hAnsi="Arial" w:cs="Arial"/>
          <w:sz w:val="24"/>
          <w:szCs w:val="24"/>
        </w:rPr>
        <w:t xml:space="preserve">was </w:t>
      </w:r>
      <w:r>
        <w:rPr>
          <w:rFonts w:ascii="Arial" w:hAnsi="Arial" w:cs="Arial"/>
          <w:sz w:val="24"/>
          <w:szCs w:val="24"/>
        </w:rPr>
        <w:t>attempt</w:t>
      </w:r>
      <w:r w:rsidR="0074242A">
        <w:rPr>
          <w:rFonts w:ascii="Arial" w:hAnsi="Arial" w:cs="Arial"/>
          <w:sz w:val="24"/>
          <w:szCs w:val="24"/>
        </w:rPr>
        <w:t>ing</w:t>
      </w:r>
      <w:r>
        <w:rPr>
          <w:rFonts w:ascii="Arial" w:hAnsi="Arial" w:cs="Arial"/>
          <w:sz w:val="24"/>
          <w:szCs w:val="24"/>
        </w:rPr>
        <w:t xml:space="preserve"> to break out the balance in the Class B by </w:t>
      </w:r>
      <w:r w:rsidR="00270CE6">
        <w:rPr>
          <w:rFonts w:ascii="Arial" w:hAnsi="Arial" w:cs="Arial"/>
          <w:sz w:val="24"/>
          <w:szCs w:val="24"/>
        </w:rPr>
        <w:t>al</w:t>
      </w:r>
      <w:r w:rsidR="0074242A">
        <w:rPr>
          <w:rFonts w:ascii="Arial" w:hAnsi="Arial" w:cs="Arial"/>
          <w:sz w:val="24"/>
          <w:szCs w:val="24"/>
        </w:rPr>
        <w:t>tering the opening 2015 amount, before I realized the prepopulated error in BU.</w:t>
      </w:r>
      <w:r w:rsidR="00270CE6">
        <w:rPr>
          <w:rFonts w:ascii="Arial" w:hAnsi="Arial" w:cs="Arial"/>
          <w:sz w:val="24"/>
          <w:szCs w:val="24"/>
        </w:rPr>
        <w:t xml:space="preserve"> </w:t>
      </w:r>
      <w:r w:rsidR="0074242A">
        <w:rPr>
          <w:rFonts w:ascii="Arial" w:hAnsi="Arial" w:cs="Arial"/>
          <w:sz w:val="24"/>
          <w:szCs w:val="24"/>
        </w:rPr>
        <w:t xml:space="preserve"> There was no pre-20161 balance, t</w:t>
      </w:r>
      <w:r w:rsidR="00270CE6">
        <w:rPr>
          <w:rFonts w:ascii="Arial" w:hAnsi="Arial" w:cs="Arial"/>
          <w:sz w:val="24"/>
          <w:szCs w:val="24"/>
        </w:rPr>
        <w:t xml:space="preserve">here is no adjustment </w:t>
      </w:r>
      <w:r w:rsidR="003A55FC">
        <w:rPr>
          <w:rFonts w:ascii="Arial" w:hAnsi="Arial" w:cs="Arial"/>
          <w:sz w:val="24"/>
          <w:szCs w:val="24"/>
        </w:rPr>
        <w:t xml:space="preserve">to principal </w:t>
      </w:r>
      <w:r w:rsidR="00270CE6">
        <w:rPr>
          <w:rFonts w:ascii="Arial" w:hAnsi="Arial" w:cs="Arial"/>
          <w:sz w:val="24"/>
          <w:szCs w:val="24"/>
        </w:rPr>
        <w:t>and no additional amounts</w:t>
      </w:r>
      <w:r w:rsidR="003A55FC">
        <w:rPr>
          <w:rFonts w:ascii="Arial" w:hAnsi="Arial" w:cs="Arial"/>
          <w:sz w:val="24"/>
          <w:szCs w:val="24"/>
        </w:rPr>
        <w:t xml:space="preserve"> were or have </w:t>
      </w:r>
      <w:r w:rsidR="0074242A">
        <w:rPr>
          <w:rFonts w:ascii="Arial" w:hAnsi="Arial" w:cs="Arial"/>
          <w:sz w:val="24"/>
          <w:szCs w:val="24"/>
        </w:rPr>
        <w:t>to be recovered for this 1580 account.</w:t>
      </w:r>
    </w:p>
    <w:p w14:paraId="6838B355" w14:textId="4AF1454D" w:rsidR="00270CE6" w:rsidRDefault="00270CE6" w:rsidP="000473FE">
      <w:pPr>
        <w:rPr>
          <w:rFonts w:ascii="Arial" w:hAnsi="Arial" w:cs="Arial"/>
          <w:sz w:val="24"/>
          <w:szCs w:val="24"/>
        </w:rPr>
      </w:pPr>
      <w:r>
        <w:rPr>
          <w:noProof/>
          <w:lang w:val="en-CA" w:eastAsia="en-CA"/>
        </w:rPr>
        <w:drawing>
          <wp:inline distT="0" distB="0" distL="0" distR="0" wp14:anchorId="24FC799C" wp14:editId="29367C65">
            <wp:extent cx="2209800" cy="2175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0988" cy="2196345"/>
                    </a:xfrm>
                    <a:prstGeom prst="rect">
                      <a:avLst/>
                    </a:prstGeom>
                  </pic:spPr>
                </pic:pic>
              </a:graphicData>
            </a:graphic>
          </wp:inline>
        </w:drawing>
      </w:r>
      <w:bookmarkStart w:id="0" w:name="_GoBack"/>
      <w:bookmarkEnd w:id="0"/>
    </w:p>
    <w:p w14:paraId="45F62633" w14:textId="58DE0A76" w:rsidR="00270CE6" w:rsidRDefault="00270CE6" w:rsidP="000473FE">
      <w:pPr>
        <w:rPr>
          <w:rFonts w:ascii="Arial" w:hAnsi="Arial" w:cs="Arial"/>
          <w:sz w:val="24"/>
          <w:szCs w:val="24"/>
        </w:rPr>
      </w:pPr>
    </w:p>
    <w:p w14:paraId="5D00876E" w14:textId="5051A374" w:rsidR="00270CE6" w:rsidRDefault="000D737B" w:rsidP="000473FE">
      <w:pPr>
        <w:rPr>
          <w:rFonts w:ascii="Arial" w:hAnsi="Arial" w:cs="Arial"/>
          <w:sz w:val="24"/>
          <w:szCs w:val="24"/>
        </w:rPr>
      </w:pPr>
      <w:r>
        <w:rPr>
          <w:rFonts w:ascii="Arial" w:hAnsi="Arial" w:cs="Arial"/>
          <w:sz w:val="24"/>
          <w:szCs w:val="24"/>
        </w:rPr>
        <w:t xml:space="preserve">The ‘variance’ here is only the result of the OEB pre-populating the WMS of $(604,475) which included Class B of $(11,399), plus the pre-populating Class B total of $(11,399).  The </w:t>
      </w:r>
      <w:r w:rsidR="00A62050">
        <w:rPr>
          <w:rFonts w:ascii="Arial" w:hAnsi="Arial" w:cs="Arial"/>
          <w:sz w:val="24"/>
          <w:szCs w:val="24"/>
        </w:rPr>
        <w:t xml:space="preserve">pre-populated </w:t>
      </w:r>
      <w:r>
        <w:rPr>
          <w:rFonts w:ascii="Arial" w:hAnsi="Arial" w:cs="Arial"/>
          <w:sz w:val="24"/>
          <w:szCs w:val="24"/>
        </w:rPr>
        <w:t>WMS should be reduced by the $</w:t>
      </w:r>
      <w:r w:rsidR="00A62050">
        <w:rPr>
          <w:rFonts w:ascii="Arial" w:hAnsi="Arial" w:cs="Arial"/>
          <w:sz w:val="24"/>
          <w:szCs w:val="24"/>
        </w:rPr>
        <w:t>(</w:t>
      </w:r>
      <w:r>
        <w:rPr>
          <w:rFonts w:ascii="Arial" w:hAnsi="Arial" w:cs="Arial"/>
          <w:sz w:val="24"/>
          <w:szCs w:val="24"/>
        </w:rPr>
        <w:t>11,399), otherwise it is double counted in th</w:t>
      </w:r>
      <w:r w:rsidR="003A55FC">
        <w:rPr>
          <w:rFonts w:ascii="Arial" w:hAnsi="Arial" w:cs="Arial"/>
          <w:sz w:val="24"/>
          <w:szCs w:val="24"/>
        </w:rPr>
        <w:t>os</w:t>
      </w:r>
      <w:r>
        <w:rPr>
          <w:rFonts w:ascii="Arial" w:hAnsi="Arial" w:cs="Arial"/>
          <w:sz w:val="24"/>
          <w:szCs w:val="24"/>
        </w:rPr>
        <w:t>e pre-populated figures.</w:t>
      </w:r>
    </w:p>
    <w:p w14:paraId="58175A30" w14:textId="77777777" w:rsidR="00270CE6" w:rsidRDefault="00270CE6" w:rsidP="000473FE">
      <w:pPr>
        <w:rPr>
          <w:rFonts w:ascii="Arial" w:hAnsi="Arial" w:cs="Arial"/>
          <w:sz w:val="24"/>
          <w:szCs w:val="24"/>
        </w:rPr>
      </w:pPr>
    </w:p>
    <w:p w14:paraId="1F508A52" w14:textId="23C99772" w:rsidR="00F31D07" w:rsidRDefault="00A322E6" w:rsidP="007B2AFD">
      <w:pPr>
        <w:pStyle w:val="ListParagraph"/>
        <w:numPr>
          <w:ilvl w:val="0"/>
          <w:numId w:val="14"/>
        </w:numPr>
        <w:rPr>
          <w:rFonts w:ascii="Arial" w:hAnsi="Arial" w:cs="Arial"/>
          <w:sz w:val="24"/>
          <w:szCs w:val="24"/>
        </w:rPr>
      </w:pPr>
      <w:r w:rsidRPr="00666CE1">
        <w:rPr>
          <w:rFonts w:ascii="Arial" w:hAnsi="Arial" w:cs="Arial"/>
          <w:sz w:val="24"/>
          <w:szCs w:val="24"/>
        </w:rPr>
        <w:t>Please explain the cause of the variances between the values computed in the 2019 Rate Generator Model and the RRR</w:t>
      </w:r>
      <w:r w:rsidR="00F31D07" w:rsidRPr="00666CE1">
        <w:rPr>
          <w:rFonts w:ascii="Arial" w:hAnsi="Arial" w:cs="Arial"/>
          <w:sz w:val="24"/>
          <w:szCs w:val="24"/>
        </w:rPr>
        <w:t xml:space="preserve"> for the CBR sub-account</w:t>
      </w:r>
      <w:r w:rsidRPr="00666CE1">
        <w:rPr>
          <w:rFonts w:ascii="Arial" w:hAnsi="Arial" w:cs="Arial"/>
          <w:sz w:val="24"/>
          <w:szCs w:val="24"/>
        </w:rPr>
        <w:t>.</w:t>
      </w:r>
    </w:p>
    <w:p w14:paraId="07C3B7F9" w14:textId="2C081C4B" w:rsidR="00A62050" w:rsidRDefault="00A62050" w:rsidP="00A62050">
      <w:pPr>
        <w:rPr>
          <w:rFonts w:ascii="Arial" w:hAnsi="Arial" w:cs="Arial"/>
          <w:sz w:val="24"/>
          <w:szCs w:val="24"/>
        </w:rPr>
      </w:pPr>
    </w:p>
    <w:p w14:paraId="1A45F582" w14:textId="77777777" w:rsidR="003A55FC" w:rsidRPr="003A55FC" w:rsidRDefault="003A55FC" w:rsidP="003A55FC">
      <w:pPr>
        <w:rPr>
          <w:rFonts w:ascii="Arial" w:hAnsi="Arial" w:cs="Arial"/>
          <w:b/>
          <w:sz w:val="24"/>
          <w:szCs w:val="24"/>
          <w:u w:val="thick"/>
        </w:rPr>
      </w:pPr>
      <w:r w:rsidRPr="003A55FC">
        <w:rPr>
          <w:rFonts w:ascii="Arial" w:hAnsi="Arial" w:cs="Arial"/>
          <w:b/>
          <w:sz w:val="24"/>
          <w:szCs w:val="24"/>
          <w:u w:val="thick"/>
        </w:rPr>
        <w:t>Kenora Response:</w:t>
      </w:r>
    </w:p>
    <w:p w14:paraId="4523F23F" w14:textId="6438EB59" w:rsidR="00A62050" w:rsidRPr="00A62050" w:rsidRDefault="00A62050" w:rsidP="00A62050">
      <w:pPr>
        <w:rPr>
          <w:rFonts w:ascii="Arial" w:hAnsi="Arial" w:cs="Arial"/>
          <w:sz w:val="24"/>
          <w:szCs w:val="24"/>
        </w:rPr>
      </w:pPr>
      <w:r>
        <w:rPr>
          <w:rFonts w:ascii="Arial" w:hAnsi="Arial" w:cs="Arial"/>
          <w:sz w:val="24"/>
          <w:szCs w:val="24"/>
        </w:rPr>
        <w:t>See explanation and corrections above.</w:t>
      </w:r>
    </w:p>
    <w:sectPr w:rsidR="00A62050" w:rsidRPr="00A62050" w:rsidSect="003358A6">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7D8EF" w16cid:durableId="20034123"/>
  <w16cid:commentId w16cid:paraId="5C8EBE51" w16cid:durableId="20034124"/>
  <w16cid:commentId w16cid:paraId="6B280656" w16cid:durableId="20034125"/>
  <w16cid:commentId w16cid:paraId="7987F412" w16cid:durableId="20034126"/>
  <w16cid:commentId w16cid:paraId="1D6248E0" w16cid:durableId="200347D7"/>
  <w16cid:commentId w16cid:paraId="6FAB46DB" w16cid:durableId="20034127"/>
  <w16cid:commentId w16cid:paraId="18CA2431" w16cid:durableId="200341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B35D" w14:textId="77777777" w:rsidR="009A6E6A" w:rsidRDefault="009A6E6A" w:rsidP="003358A6">
      <w:pPr>
        <w:spacing w:after="0" w:line="240" w:lineRule="auto"/>
      </w:pPr>
      <w:r>
        <w:separator/>
      </w:r>
    </w:p>
  </w:endnote>
  <w:endnote w:type="continuationSeparator" w:id="0">
    <w:p w14:paraId="0D2622AC" w14:textId="77777777" w:rsidR="009A6E6A" w:rsidRDefault="009A6E6A" w:rsidP="003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72131"/>
      <w:docPartObj>
        <w:docPartGallery w:val="Page Numbers (Bottom of Page)"/>
        <w:docPartUnique/>
      </w:docPartObj>
    </w:sdtPr>
    <w:sdtEndPr>
      <w:rPr>
        <w:noProof/>
      </w:rPr>
    </w:sdtEndPr>
    <w:sdtContent>
      <w:p w14:paraId="1BAD2DDD" w14:textId="361FA308" w:rsidR="003358A6" w:rsidRDefault="003358A6">
        <w:pPr>
          <w:pStyle w:val="Footer"/>
          <w:jc w:val="center"/>
        </w:pPr>
        <w:r>
          <w:t xml:space="preserve">- </w:t>
        </w:r>
        <w:r>
          <w:fldChar w:fldCharType="begin"/>
        </w:r>
        <w:r>
          <w:instrText xml:space="preserve"> PAGE   \* MERGEFORMAT </w:instrText>
        </w:r>
        <w:r>
          <w:fldChar w:fldCharType="separate"/>
        </w:r>
        <w:r w:rsidR="00C016FB">
          <w:rPr>
            <w:noProof/>
          </w:rPr>
          <w:t>10</w:t>
        </w:r>
        <w:r>
          <w:rPr>
            <w:noProof/>
          </w:rPr>
          <w:fldChar w:fldCharType="end"/>
        </w:r>
        <w:r>
          <w:rPr>
            <w:noProof/>
          </w:rPr>
          <w:t xml:space="preserve"> -</w:t>
        </w:r>
      </w:p>
    </w:sdtContent>
  </w:sdt>
  <w:p w14:paraId="5DC5394C" w14:textId="77777777" w:rsidR="003358A6" w:rsidRDefault="0033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55C4" w14:textId="1F7D632E" w:rsidR="003358A6" w:rsidRDefault="003358A6">
    <w:pPr>
      <w:pStyle w:val="Footer"/>
      <w:jc w:val="center"/>
    </w:pPr>
    <w:r>
      <w:t xml:space="preserve">- </w:t>
    </w:r>
    <w:sdt>
      <w:sdtPr>
        <w:id w:val="1833167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030F">
          <w:rPr>
            <w:noProof/>
          </w:rPr>
          <w:t>1</w:t>
        </w:r>
        <w:r>
          <w:rPr>
            <w:noProof/>
          </w:rPr>
          <w:fldChar w:fldCharType="end"/>
        </w:r>
        <w:r>
          <w:rPr>
            <w:noProof/>
          </w:rPr>
          <w:t xml:space="preserve"> -</w:t>
        </w:r>
      </w:sdtContent>
    </w:sdt>
  </w:p>
  <w:p w14:paraId="16FD30D3" w14:textId="77777777" w:rsidR="003358A6" w:rsidRDefault="0033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347A" w14:textId="77777777" w:rsidR="009A6E6A" w:rsidRDefault="009A6E6A" w:rsidP="003358A6">
      <w:pPr>
        <w:spacing w:after="0" w:line="240" w:lineRule="auto"/>
      </w:pPr>
      <w:r>
        <w:separator/>
      </w:r>
    </w:p>
  </w:footnote>
  <w:footnote w:type="continuationSeparator" w:id="0">
    <w:p w14:paraId="37DB4292" w14:textId="77777777" w:rsidR="009A6E6A" w:rsidRDefault="009A6E6A" w:rsidP="0033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30A8" w14:textId="77777777" w:rsidR="003358A6" w:rsidRPr="00652164" w:rsidRDefault="003358A6" w:rsidP="003358A6">
    <w:pPr>
      <w:tabs>
        <w:tab w:val="center" w:pos="4680"/>
        <w:tab w:val="right" w:pos="9360"/>
      </w:tabs>
      <w:spacing w:after="0" w:line="240" w:lineRule="auto"/>
      <w:jc w:val="right"/>
      <w:rPr>
        <w:rFonts w:ascii="Arial" w:eastAsia="Calibri" w:hAnsi="Arial" w:cs="Arial"/>
        <w:b/>
        <w:sz w:val="16"/>
        <w:szCs w:val="16"/>
        <w:lang w:val="en-CA"/>
      </w:rPr>
    </w:pPr>
    <w:r w:rsidRPr="00652164">
      <w:rPr>
        <w:rFonts w:ascii="Arial" w:eastAsia="Calibri" w:hAnsi="Arial" w:cs="Arial"/>
        <w:b/>
        <w:sz w:val="16"/>
        <w:szCs w:val="16"/>
        <w:lang w:val="en-CA"/>
      </w:rPr>
      <w:t xml:space="preserve">OEB Staff </w:t>
    </w:r>
    <w:r>
      <w:rPr>
        <w:rFonts w:ascii="Arial" w:eastAsia="Calibri" w:hAnsi="Arial" w:cs="Arial"/>
        <w:b/>
        <w:sz w:val="16"/>
        <w:szCs w:val="16"/>
        <w:lang w:val="en-CA"/>
      </w:rPr>
      <w:t>Interrogatories</w:t>
    </w:r>
  </w:p>
  <w:p w14:paraId="708540EB" w14:textId="51B13138" w:rsidR="003358A6" w:rsidRPr="00652164" w:rsidRDefault="001A7CBA" w:rsidP="003358A6">
    <w:pPr>
      <w:tabs>
        <w:tab w:val="center" w:pos="4680"/>
        <w:tab w:val="right" w:pos="9360"/>
      </w:tabs>
      <w:spacing w:after="0" w:line="240" w:lineRule="auto"/>
      <w:jc w:val="right"/>
      <w:rPr>
        <w:rFonts w:ascii="Arial" w:eastAsia="Calibri" w:hAnsi="Arial" w:cs="Arial"/>
        <w:b/>
        <w:sz w:val="16"/>
        <w:szCs w:val="16"/>
        <w:lang w:val="en-CA"/>
      </w:rPr>
    </w:pPr>
    <w:r>
      <w:rPr>
        <w:rFonts w:ascii="Arial" w:eastAsia="Calibri" w:hAnsi="Arial" w:cs="Arial"/>
        <w:b/>
        <w:sz w:val="16"/>
        <w:szCs w:val="16"/>
        <w:lang w:val="en-CA"/>
      </w:rPr>
      <w:t>Synergy North (Kenora Hydro Electric Corporation Ltd.)</w:t>
    </w:r>
  </w:p>
  <w:p w14:paraId="431877CC" w14:textId="77777777" w:rsidR="003358A6" w:rsidRPr="00652164" w:rsidRDefault="003358A6" w:rsidP="003358A6">
    <w:pPr>
      <w:tabs>
        <w:tab w:val="center" w:pos="4680"/>
        <w:tab w:val="right" w:pos="9360"/>
      </w:tabs>
      <w:spacing w:after="0" w:line="240" w:lineRule="auto"/>
      <w:jc w:val="right"/>
      <w:rPr>
        <w:rFonts w:ascii="Arial" w:eastAsia="Calibri" w:hAnsi="Arial" w:cs="Arial"/>
        <w:b/>
        <w:sz w:val="16"/>
        <w:szCs w:val="16"/>
        <w:lang w:val="en-CA"/>
      </w:rPr>
    </w:pPr>
    <w:r w:rsidRPr="00652164">
      <w:rPr>
        <w:rFonts w:ascii="Arial" w:eastAsia="Calibri" w:hAnsi="Arial" w:cs="Arial"/>
        <w:b/>
        <w:sz w:val="16"/>
        <w:szCs w:val="16"/>
        <w:lang w:val="en-CA"/>
      </w:rPr>
      <w:t>2019 IRM Application</w:t>
    </w:r>
  </w:p>
  <w:p w14:paraId="1CB8B3D7" w14:textId="78B34183" w:rsidR="003358A6" w:rsidRDefault="001A7CBA" w:rsidP="003358A6">
    <w:pPr>
      <w:jc w:val="right"/>
    </w:pPr>
    <w:r>
      <w:rPr>
        <w:rFonts w:ascii="Arial" w:eastAsia="Calibri" w:hAnsi="Arial" w:cs="Arial"/>
        <w:b/>
        <w:sz w:val="16"/>
        <w:szCs w:val="16"/>
        <w:lang w:val="en-CA"/>
      </w:rPr>
      <w:t>EB-2018-0046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C1E"/>
    <w:multiLevelType w:val="hybridMultilevel"/>
    <w:tmpl w:val="A314D89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67EF"/>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2CAE"/>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23DE"/>
    <w:multiLevelType w:val="hybridMultilevel"/>
    <w:tmpl w:val="8DD0F618"/>
    <w:lvl w:ilvl="0" w:tplc="F5742B0C">
      <w:start w:val="1"/>
      <w:numFmt w:val="lowerLetter"/>
      <w:lvlText w:val="%1)"/>
      <w:lvlJc w:val="left"/>
      <w:pPr>
        <w:ind w:left="1095" w:hanging="375"/>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164B1"/>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15A44"/>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A6660"/>
    <w:multiLevelType w:val="hybridMultilevel"/>
    <w:tmpl w:val="9B8E3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79650D"/>
    <w:multiLevelType w:val="hybridMultilevel"/>
    <w:tmpl w:val="F1D870A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6227"/>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534B1"/>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608"/>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84A6C"/>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01EBE"/>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D5A78"/>
    <w:multiLevelType w:val="hybridMultilevel"/>
    <w:tmpl w:val="EAC8976E"/>
    <w:lvl w:ilvl="0" w:tplc="F5742B0C">
      <w:start w:val="1"/>
      <w:numFmt w:val="low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24E5A"/>
    <w:multiLevelType w:val="hybridMultilevel"/>
    <w:tmpl w:val="3D369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A6ADF"/>
    <w:multiLevelType w:val="hybridMultilevel"/>
    <w:tmpl w:val="230271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77D1F"/>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11352"/>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765AB"/>
    <w:multiLevelType w:val="hybridMultilevel"/>
    <w:tmpl w:val="F1D870A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F7898"/>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16"/>
  </w:num>
  <w:num w:numId="5">
    <w:abstractNumId w:val="18"/>
  </w:num>
  <w:num w:numId="6">
    <w:abstractNumId w:val="13"/>
  </w:num>
  <w:num w:numId="7">
    <w:abstractNumId w:val="3"/>
  </w:num>
  <w:num w:numId="8">
    <w:abstractNumId w:val="17"/>
  </w:num>
  <w:num w:numId="9">
    <w:abstractNumId w:val="9"/>
  </w:num>
  <w:num w:numId="10">
    <w:abstractNumId w:val="7"/>
  </w:num>
  <w:num w:numId="11">
    <w:abstractNumId w:val="6"/>
  </w:num>
  <w:num w:numId="12">
    <w:abstractNumId w:val="10"/>
  </w:num>
  <w:num w:numId="13">
    <w:abstractNumId w:val="5"/>
  </w:num>
  <w:num w:numId="14">
    <w:abstractNumId w:val="19"/>
  </w:num>
  <w:num w:numId="15">
    <w:abstractNumId w:val="12"/>
  </w:num>
  <w:num w:numId="16">
    <w:abstractNumId w:val="8"/>
  </w:num>
  <w:num w:numId="17">
    <w:abstractNumId w:val="1"/>
  </w:num>
  <w:num w:numId="18">
    <w:abstractNumId w:val="0"/>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6F"/>
    <w:rsid w:val="000239CD"/>
    <w:rsid w:val="00026120"/>
    <w:rsid w:val="000473FE"/>
    <w:rsid w:val="000B56B1"/>
    <w:rsid w:val="000D737B"/>
    <w:rsid w:val="000E2E9A"/>
    <w:rsid w:val="000E781F"/>
    <w:rsid w:val="001264BD"/>
    <w:rsid w:val="001336DF"/>
    <w:rsid w:val="0015214C"/>
    <w:rsid w:val="0017775A"/>
    <w:rsid w:val="001A7CBA"/>
    <w:rsid w:val="001D10D7"/>
    <w:rsid w:val="001E24DA"/>
    <w:rsid w:val="001F6256"/>
    <w:rsid w:val="001F68D9"/>
    <w:rsid w:val="002064C8"/>
    <w:rsid w:val="00212053"/>
    <w:rsid w:val="00235693"/>
    <w:rsid w:val="002357E8"/>
    <w:rsid w:val="00244BA5"/>
    <w:rsid w:val="002678DC"/>
    <w:rsid w:val="00270CE6"/>
    <w:rsid w:val="002A121A"/>
    <w:rsid w:val="002C70F5"/>
    <w:rsid w:val="002D6E5A"/>
    <w:rsid w:val="002E63FF"/>
    <w:rsid w:val="002E6F0A"/>
    <w:rsid w:val="003358A6"/>
    <w:rsid w:val="00353E9B"/>
    <w:rsid w:val="003A55FC"/>
    <w:rsid w:val="0040329E"/>
    <w:rsid w:val="004040C1"/>
    <w:rsid w:val="0041030F"/>
    <w:rsid w:val="00495D7D"/>
    <w:rsid w:val="004C48D7"/>
    <w:rsid w:val="004D03C8"/>
    <w:rsid w:val="004E11FF"/>
    <w:rsid w:val="004E4E3A"/>
    <w:rsid w:val="004F7AA6"/>
    <w:rsid w:val="005217E1"/>
    <w:rsid w:val="00556DBA"/>
    <w:rsid w:val="005C0554"/>
    <w:rsid w:val="005E5EC0"/>
    <w:rsid w:val="005E65EE"/>
    <w:rsid w:val="006000FC"/>
    <w:rsid w:val="00600E05"/>
    <w:rsid w:val="006322DE"/>
    <w:rsid w:val="00650232"/>
    <w:rsid w:val="00666CE1"/>
    <w:rsid w:val="006D098A"/>
    <w:rsid w:val="006E764B"/>
    <w:rsid w:val="0070315E"/>
    <w:rsid w:val="00723E88"/>
    <w:rsid w:val="00730616"/>
    <w:rsid w:val="00731DD2"/>
    <w:rsid w:val="0074242A"/>
    <w:rsid w:val="00790145"/>
    <w:rsid w:val="00790DCE"/>
    <w:rsid w:val="00791FA3"/>
    <w:rsid w:val="007964B0"/>
    <w:rsid w:val="007A66F1"/>
    <w:rsid w:val="007B2DCA"/>
    <w:rsid w:val="007D5BB2"/>
    <w:rsid w:val="007E4A0D"/>
    <w:rsid w:val="00861C52"/>
    <w:rsid w:val="008712CB"/>
    <w:rsid w:val="00887E0E"/>
    <w:rsid w:val="008C3B28"/>
    <w:rsid w:val="008D5A20"/>
    <w:rsid w:val="008D6685"/>
    <w:rsid w:val="008E00A2"/>
    <w:rsid w:val="008E52E8"/>
    <w:rsid w:val="008E750E"/>
    <w:rsid w:val="009101DA"/>
    <w:rsid w:val="00915F8D"/>
    <w:rsid w:val="009632A1"/>
    <w:rsid w:val="00963C2B"/>
    <w:rsid w:val="009663A1"/>
    <w:rsid w:val="0099358A"/>
    <w:rsid w:val="009A5571"/>
    <w:rsid w:val="009A6E6A"/>
    <w:rsid w:val="009A7A41"/>
    <w:rsid w:val="009C3BAE"/>
    <w:rsid w:val="00A1793F"/>
    <w:rsid w:val="00A322E6"/>
    <w:rsid w:val="00A46826"/>
    <w:rsid w:val="00A62050"/>
    <w:rsid w:val="00A742B3"/>
    <w:rsid w:val="00A76C02"/>
    <w:rsid w:val="00AE166A"/>
    <w:rsid w:val="00AE2313"/>
    <w:rsid w:val="00B073B9"/>
    <w:rsid w:val="00B7536F"/>
    <w:rsid w:val="00BB4CC1"/>
    <w:rsid w:val="00BC7649"/>
    <w:rsid w:val="00BD566E"/>
    <w:rsid w:val="00BE0246"/>
    <w:rsid w:val="00BE25EF"/>
    <w:rsid w:val="00C016FB"/>
    <w:rsid w:val="00C04BF0"/>
    <w:rsid w:val="00C05620"/>
    <w:rsid w:val="00C3724A"/>
    <w:rsid w:val="00C4044F"/>
    <w:rsid w:val="00C411C4"/>
    <w:rsid w:val="00C5607D"/>
    <w:rsid w:val="00C75547"/>
    <w:rsid w:val="00CC151A"/>
    <w:rsid w:val="00D10657"/>
    <w:rsid w:val="00D16CB1"/>
    <w:rsid w:val="00D221C6"/>
    <w:rsid w:val="00D40393"/>
    <w:rsid w:val="00D41DCE"/>
    <w:rsid w:val="00D454B9"/>
    <w:rsid w:val="00D50F35"/>
    <w:rsid w:val="00D522DA"/>
    <w:rsid w:val="00D80D9C"/>
    <w:rsid w:val="00DB41B7"/>
    <w:rsid w:val="00DD36BD"/>
    <w:rsid w:val="00DF07B1"/>
    <w:rsid w:val="00DF2F9E"/>
    <w:rsid w:val="00DF3B87"/>
    <w:rsid w:val="00E05A73"/>
    <w:rsid w:val="00E71A03"/>
    <w:rsid w:val="00EF0CD2"/>
    <w:rsid w:val="00F005EB"/>
    <w:rsid w:val="00F22FB5"/>
    <w:rsid w:val="00F31D07"/>
    <w:rsid w:val="00F63FA5"/>
    <w:rsid w:val="00FB2319"/>
    <w:rsid w:val="00FE37BA"/>
    <w:rsid w:val="00FF48F9"/>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50BEDA"/>
  <w15:chartTrackingRefBased/>
  <w15:docId w15:val="{25A2AB79-9EE4-4295-A184-075AC72A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A"/>
    <w:pPr>
      <w:ind w:left="720"/>
      <w:contextualSpacing/>
    </w:pPr>
  </w:style>
  <w:style w:type="paragraph" w:customStyle="1" w:styleId="gmail-msolistparagraph">
    <w:name w:val="gmail-msolistparagraph"/>
    <w:basedOn w:val="Normal"/>
    <w:rsid w:val="00244BA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005EB"/>
    <w:rPr>
      <w:sz w:val="16"/>
      <w:szCs w:val="16"/>
    </w:rPr>
  </w:style>
  <w:style w:type="paragraph" w:styleId="CommentText">
    <w:name w:val="annotation text"/>
    <w:basedOn w:val="Normal"/>
    <w:link w:val="CommentTextChar"/>
    <w:uiPriority w:val="99"/>
    <w:semiHidden/>
    <w:unhideWhenUsed/>
    <w:rsid w:val="00F005EB"/>
    <w:pPr>
      <w:spacing w:line="240" w:lineRule="auto"/>
    </w:pPr>
    <w:rPr>
      <w:sz w:val="20"/>
      <w:szCs w:val="20"/>
    </w:rPr>
  </w:style>
  <w:style w:type="character" w:customStyle="1" w:styleId="CommentTextChar">
    <w:name w:val="Comment Text Char"/>
    <w:basedOn w:val="DefaultParagraphFont"/>
    <w:link w:val="CommentText"/>
    <w:uiPriority w:val="99"/>
    <w:semiHidden/>
    <w:rsid w:val="00F005EB"/>
    <w:rPr>
      <w:sz w:val="20"/>
      <w:szCs w:val="20"/>
    </w:rPr>
  </w:style>
  <w:style w:type="paragraph" w:styleId="CommentSubject">
    <w:name w:val="annotation subject"/>
    <w:basedOn w:val="CommentText"/>
    <w:next w:val="CommentText"/>
    <w:link w:val="CommentSubjectChar"/>
    <w:uiPriority w:val="99"/>
    <w:semiHidden/>
    <w:unhideWhenUsed/>
    <w:rsid w:val="00F005EB"/>
    <w:rPr>
      <w:b/>
      <w:bCs/>
    </w:rPr>
  </w:style>
  <w:style w:type="character" w:customStyle="1" w:styleId="CommentSubjectChar">
    <w:name w:val="Comment Subject Char"/>
    <w:basedOn w:val="CommentTextChar"/>
    <w:link w:val="CommentSubject"/>
    <w:uiPriority w:val="99"/>
    <w:semiHidden/>
    <w:rsid w:val="00F005EB"/>
    <w:rPr>
      <w:b/>
      <w:bCs/>
      <w:sz w:val="20"/>
      <w:szCs w:val="20"/>
    </w:rPr>
  </w:style>
  <w:style w:type="paragraph" w:styleId="BalloonText">
    <w:name w:val="Balloon Text"/>
    <w:basedOn w:val="Normal"/>
    <w:link w:val="BalloonTextChar"/>
    <w:uiPriority w:val="99"/>
    <w:semiHidden/>
    <w:unhideWhenUsed/>
    <w:rsid w:val="00F0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EB"/>
    <w:rPr>
      <w:rFonts w:ascii="Segoe UI" w:hAnsi="Segoe UI" w:cs="Segoe UI"/>
      <w:sz w:val="18"/>
      <w:szCs w:val="18"/>
    </w:rPr>
  </w:style>
  <w:style w:type="paragraph" w:styleId="Header">
    <w:name w:val="header"/>
    <w:basedOn w:val="Normal"/>
    <w:link w:val="HeaderChar"/>
    <w:uiPriority w:val="99"/>
    <w:unhideWhenUsed/>
    <w:rsid w:val="0033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8A6"/>
  </w:style>
  <w:style w:type="paragraph" w:styleId="Footer">
    <w:name w:val="footer"/>
    <w:basedOn w:val="Normal"/>
    <w:link w:val="FooterChar"/>
    <w:uiPriority w:val="99"/>
    <w:unhideWhenUsed/>
    <w:rsid w:val="0033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8A6"/>
  </w:style>
  <w:style w:type="table" w:styleId="TableGrid">
    <w:name w:val="Table Grid"/>
    <w:basedOn w:val="TableNormal"/>
    <w:uiPriority w:val="39"/>
    <w:rsid w:val="001F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6DB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63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4195">
      <w:bodyDiv w:val="1"/>
      <w:marLeft w:val="0"/>
      <w:marRight w:val="0"/>
      <w:marTop w:val="0"/>
      <w:marBottom w:val="0"/>
      <w:divBdr>
        <w:top w:val="none" w:sz="0" w:space="0" w:color="auto"/>
        <w:left w:val="none" w:sz="0" w:space="0" w:color="auto"/>
        <w:bottom w:val="none" w:sz="0" w:space="0" w:color="auto"/>
        <w:right w:val="none" w:sz="0" w:space="0" w:color="auto"/>
      </w:divBdr>
    </w:div>
    <w:div w:id="1201472669">
      <w:bodyDiv w:val="1"/>
      <w:marLeft w:val="0"/>
      <w:marRight w:val="0"/>
      <w:marTop w:val="0"/>
      <w:marBottom w:val="0"/>
      <w:divBdr>
        <w:top w:val="none" w:sz="0" w:space="0" w:color="auto"/>
        <w:left w:val="none" w:sz="0" w:space="0" w:color="auto"/>
        <w:bottom w:val="none" w:sz="0" w:space="0" w:color="auto"/>
        <w:right w:val="none" w:sz="0" w:space="0" w:color="auto"/>
      </w:divBdr>
    </w:div>
    <w:div w:id="2025939683">
      <w:bodyDiv w:val="1"/>
      <w:marLeft w:val="0"/>
      <w:marRight w:val="0"/>
      <w:marTop w:val="0"/>
      <w:marBottom w:val="0"/>
      <w:divBdr>
        <w:top w:val="none" w:sz="0" w:space="0" w:color="auto"/>
        <w:left w:val="none" w:sz="0" w:space="0" w:color="auto"/>
        <w:bottom w:val="none" w:sz="0" w:space="0" w:color="auto"/>
        <w:right w:val="none" w:sz="0" w:space="0" w:color="auto"/>
      </w:divBdr>
    </w:div>
    <w:div w:id="21087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Share</dc:creator>
  <cp:keywords/>
  <dc:description/>
  <cp:lastModifiedBy>Janice Robertson</cp:lastModifiedBy>
  <cp:revision>2</cp:revision>
  <cp:lastPrinted>2019-02-21T17:43:00Z</cp:lastPrinted>
  <dcterms:created xsi:type="dcterms:W3CDTF">2019-03-06T18:45:00Z</dcterms:created>
  <dcterms:modified xsi:type="dcterms:W3CDTF">2019-03-06T18:45:00Z</dcterms:modified>
</cp:coreProperties>
</file>