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77" w:rsidRPr="007678FB" w:rsidRDefault="00A07077" w:rsidP="00A07077">
      <w:pPr>
        <w:pStyle w:val="Default"/>
        <w:rPr>
          <w:rFonts w:ascii="Arial" w:hAnsi="Arial" w:cs="Arial"/>
          <w:sz w:val="22"/>
          <w:szCs w:val="22"/>
        </w:rPr>
      </w:pPr>
      <w:bookmarkStart w:id="0" w:name="_GoBack"/>
      <w:bookmarkEnd w:id="0"/>
    </w:p>
    <w:p w:rsidR="00A07077" w:rsidRPr="009344F8" w:rsidRDefault="00FE1FB2" w:rsidP="00A07077">
      <w:pPr>
        <w:pStyle w:val="Default"/>
        <w:jc w:val="center"/>
        <w:rPr>
          <w:rFonts w:ascii="Arial" w:hAnsi="Arial" w:cs="Arial"/>
          <w:sz w:val="32"/>
          <w:szCs w:val="28"/>
        </w:rPr>
      </w:pPr>
      <w:r>
        <w:rPr>
          <w:rFonts w:ascii="Arial" w:hAnsi="Arial" w:cs="Arial"/>
          <w:b/>
          <w:bCs/>
          <w:sz w:val="32"/>
          <w:szCs w:val="28"/>
        </w:rPr>
        <w:t>ERTH Power Corporation (ERTH Power</w:t>
      </w:r>
      <w:r w:rsidR="007678FB" w:rsidRPr="009344F8">
        <w:rPr>
          <w:rFonts w:ascii="Arial" w:hAnsi="Arial" w:cs="Arial"/>
          <w:b/>
          <w:bCs/>
          <w:sz w:val="32"/>
          <w:szCs w:val="28"/>
        </w:rPr>
        <w:t>)</w:t>
      </w:r>
    </w:p>
    <w:p w:rsidR="00A07077" w:rsidRPr="009344F8" w:rsidRDefault="00090160" w:rsidP="007A3D45">
      <w:pPr>
        <w:pStyle w:val="Default"/>
        <w:jc w:val="center"/>
        <w:rPr>
          <w:rFonts w:ascii="Arial" w:hAnsi="Arial" w:cs="Arial"/>
          <w:b/>
          <w:bCs/>
          <w:sz w:val="32"/>
          <w:szCs w:val="28"/>
        </w:rPr>
      </w:pPr>
      <w:r w:rsidRPr="009344F8">
        <w:rPr>
          <w:rFonts w:ascii="Arial" w:hAnsi="Arial" w:cs="Arial"/>
          <w:b/>
          <w:bCs/>
          <w:sz w:val="32"/>
          <w:szCs w:val="28"/>
        </w:rPr>
        <w:t>EB-201</w:t>
      </w:r>
      <w:r w:rsidR="002C2BF2" w:rsidRPr="009344F8">
        <w:rPr>
          <w:rFonts w:ascii="Arial" w:hAnsi="Arial" w:cs="Arial"/>
          <w:b/>
          <w:bCs/>
          <w:sz w:val="32"/>
          <w:szCs w:val="28"/>
        </w:rPr>
        <w:t>8</w:t>
      </w:r>
      <w:r w:rsidR="00B069AA" w:rsidRPr="009344F8">
        <w:rPr>
          <w:rFonts w:ascii="Arial" w:hAnsi="Arial" w:cs="Arial"/>
          <w:b/>
          <w:bCs/>
          <w:sz w:val="32"/>
          <w:szCs w:val="28"/>
        </w:rPr>
        <w:t>-0</w:t>
      </w:r>
      <w:r w:rsidR="00FE1FB2">
        <w:rPr>
          <w:rFonts w:ascii="Arial" w:hAnsi="Arial" w:cs="Arial"/>
          <w:b/>
          <w:bCs/>
          <w:sz w:val="32"/>
          <w:szCs w:val="28"/>
        </w:rPr>
        <w:t>030</w:t>
      </w:r>
    </w:p>
    <w:p w:rsidR="009344F8" w:rsidRPr="00BF603A" w:rsidRDefault="00FE1FB2" w:rsidP="007A3D45">
      <w:pPr>
        <w:pStyle w:val="Default"/>
        <w:jc w:val="center"/>
        <w:rPr>
          <w:rFonts w:ascii="Arial" w:hAnsi="Arial" w:cs="Arial"/>
          <w:b/>
          <w:bCs/>
          <w:szCs w:val="28"/>
        </w:rPr>
      </w:pPr>
      <w:r>
        <w:rPr>
          <w:rFonts w:ascii="Arial" w:hAnsi="Arial" w:cs="Arial"/>
          <w:b/>
          <w:bCs/>
          <w:szCs w:val="28"/>
        </w:rPr>
        <w:t>February 21</w:t>
      </w:r>
      <w:r w:rsidR="009344F8" w:rsidRPr="00BF603A">
        <w:rPr>
          <w:rFonts w:ascii="Arial" w:hAnsi="Arial" w:cs="Arial"/>
          <w:b/>
          <w:bCs/>
          <w:szCs w:val="28"/>
        </w:rPr>
        <w:t>, 2019</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BF603A" w:rsidRDefault="00BF603A" w:rsidP="00E34CF3">
      <w:pPr>
        <w:autoSpaceDE w:val="0"/>
        <w:autoSpaceDN w:val="0"/>
        <w:adjustRightInd w:val="0"/>
        <w:spacing w:after="0"/>
        <w:rPr>
          <w:rFonts w:ascii="Arial" w:hAnsi="Arial" w:cs="Arial"/>
          <w:b/>
          <w:bCs/>
          <w:color w:val="000000"/>
          <w:sz w:val="24"/>
          <w:szCs w:val="24"/>
        </w:rPr>
      </w:pPr>
    </w:p>
    <w:p w:rsidR="00B83B96" w:rsidRDefault="00B83B96" w:rsidP="00B83B96">
      <w:pPr>
        <w:spacing w:after="0"/>
        <w:rPr>
          <w:rFonts w:ascii="Arial" w:hAnsi="Arial" w:cs="Arial"/>
          <w:b/>
          <w:sz w:val="24"/>
          <w:szCs w:val="24"/>
        </w:rPr>
      </w:pPr>
      <w:r>
        <w:rPr>
          <w:rFonts w:ascii="Arial" w:hAnsi="Arial" w:cs="Arial"/>
          <w:b/>
          <w:sz w:val="24"/>
          <w:szCs w:val="24"/>
        </w:rPr>
        <w:t>Staff Question-1</w:t>
      </w:r>
    </w:p>
    <w:p w:rsidR="00B83B96" w:rsidRDefault="00B83B96" w:rsidP="00B83B96">
      <w:pPr>
        <w:spacing w:after="0"/>
        <w:rPr>
          <w:rFonts w:ascii="Arial" w:hAnsi="Arial" w:cs="Arial"/>
          <w:b/>
          <w:sz w:val="24"/>
          <w:szCs w:val="24"/>
        </w:rPr>
      </w:pPr>
      <w:r>
        <w:rPr>
          <w:rFonts w:ascii="Arial" w:hAnsi="Arial" w:cs="Arial"/>
          <w:b/>
          <w:sz w:val="24"/>
          <w:szCs w:val="24"/>
        </w:rPr>
        <w:t>Ref: Rate Generator Model, Tab 3 Continuity Schedule</w:t>
      </w:r>
    </w:p>
    <w:p w:rsidR="00B83B96" w:rsidRDefault="00B83B96" w:rsidP="00327645">
      <w:pPr>
        <w:spacing w:after="0"/>
        <w:rPr>
          <w:rFonts w:ascii="Arial" w:hAnsi="Arial" w:cs="Arial"/>
          <w:b/>
          <w:sz w:val="24"/>
          <w:szCs w:val="24"/>
        </w:rPr>
      </w:pPr>
    </w:p>
    <w:p w:rsidR="00B83B96" w:rsidRDefault="00B83B96" w:rsidP="00327645">
      <w:pPr>
        <w:spacing w:after="0"/>
        <w:rPr>
          <w:rFonts w:ascii="Arial" w:hAnsi="Arial" w:cs="Arial"/>
          <w:sz w:val="24"/>
          <w:szCs w:val="24"/>
        </w:rPr>
      </w:pPr>
      <w:r>
        <w:rPr>
          <w:rFonts w:ascii="Arial" w:hAnsi="Arial" w:cs="Arial"/>
          <w:sz w:val="24"/>
          <w:szCs w:val="24"/>
        </w:rPr>
        <w:t>ERTH Power entered Transaction amounts in Account 1595 (2014) and Account 1595 (2015) in 2017 (column BD &amp; BI). It’s noted that the 2014 DVA (and GA) and 2015 DVA (and GA) rate riders were both expired on April 30, 2016. Please explain why there would be transactions (in both principal and interest) in these two accounts after the rate riders were expired. Please make necessary adjustments to the continuity schedule if needed.</w:t>
      </w:r>
    </w:p>
    <w:p w:rsidR="00A553FA" w:rsidRDefault="00A553FA" w:rsidP="00327645">
      <w:pPr>
        <w:spacing w:after="0"/>
        <w:rPr>
          <w:rFonts w:ascii="Arial" w:hAnsi="Arial" w:cs="Arial"/>
          <w:sz w:val="24"/>
          <w:szCs w:val="24"/>
        </w:rPr>
      </w:pPr>
    </w:p>
    <w:p w:rsidR="00A553FA" w:rsidRDefault="00A553FA" w:rsidP="00327645">
      <w:pPr>
        <w:spacing w:after="0"/>
        <w:rPr>
          <w:rFonts w:ascii="Arial" w:hAnsi="Arial" w:cs="Arial"/>
          <w:b/>
          <w:color w:val="FF0000"/>
          <w:sz w:val="24"/>
          <w:szCs w:val="24"/>
        </w:rPr>
      </w:pPr>
      <w:r w:rsidRPr="00CC1F83">
        <w:rPr>
          <w:rFonts w:ascii="Arial" w:hAnsi="Arial" w:cs="Arial"/>
          <w:b/>
          <w:color w:val="FF0000"/>
          <w:sz w:val="24"/>
          <w:szCs w:val="24"/>
        </w:rPr>
        <w:t xml:space="preserve">ERTH Power found an error in the setup of a meter which resulted in the overbilling of a customer.  The account was </w:t>
      </w:r>
      <w:r w:rsidR="00DA28C6" w:rsidRPr="00CC1F83">
        <w:rPr>
          <w:rFonts w:ascii="Arial" w:hAnsi="Arial" w:cs="Arial"/>
          <w:b/>
          <w:color w:val="FF0000"/>
          <w:sz w:val="24"/>
          <w:szCs w:val="24"/>
        </w:rPr>
        <w:t>credited and rebilled back to 2014 which resulted in the transactions that occurred in 2017 for the 2014 and 2015 DVA rate riders.</w:t>
      </w:r>
    </w:p>
    <w:p w:rsidR="005F2A5F" w:rsidRDefault="005F2A5F" w:rsidP="00327645">
      <w:pPr>
        <w:spacing w:after="0"/>
        <w:rPr>
          <w:rFonts w:ascii="Arial" w:hAnsi="Arial" w:cs="Arial"/>
          <w:b/>
          <w:color w:val="FF0000"/>
          <w:sz w:val="24"/>
          <w:szCs w:val="24"/>
        </w:rPr>
      </w:pPr>
    </w:p>
    <w:p w:rsidR="005F2A5F" w:rsidRPr="00CC1F83" w:rsidRDefault="005F2A5F" w:rsidP="00327645">
      <w:pPr>
        <w:spacing w:after="0"/>
        <w:rPr>
          <w:rFonts w:ascii="Arial" w:hAnsi="Arial" w:cs="Arial"/>
          <w:b/>
          <w:color w:val="FF0000"/>
          <w:sz w:val="24"/>
          <w:szCs w:val="24"/>
        </w:rPr>
      </w:pPr>
      <w:r>
        <w:rPr>
          <w:rFonts w:ascii="Arial" w:hAnsi="Arial" w:cs="Arial"/>
          <w:b/>
          <w:color w:val="FF0000"/>
          <w:sz w:val="24"/>
          <w:szCs w:val="24"/>
        </w:rPr>
        <w:t>ERTH Power realized when reviewing the application that the Account 1595 (2016) was not completed collecting on at Dec 31, 2017 but rather on April 30, 2018 and therefore should not have been checked for disposal.  The continuity schedule has been updated to not include Account 1595 (2016) for disposal.</w:t>
      </w:r>
    </w:p>
    <w:p w:rsidR="00B83B96" w:rsidRPr="00B83B96" w:rsidRDefault="00B83B96" w:rsidP="00327645">
      <w:pPr>
        <w:spacing w:after="0"/>
        <w:rPr>
          <w:rFonts w:ascii="Arial" w:hAnsi="Arial" w:cs="Arial"/>
          <w:sz w:val="24"/>
          <w:szCs w:val="24"/>
        </w:rPr>
      </w:pPr>
    </w:p>
    <w:p w:rsidR="00327645" w:rsidRDefault="00B83B96" w:rsidP="00327645">
      <w:pPr>
        <w:spacing w:after="0"/>
        <w:rPr>
          <w:rFonts w:ascii="Arial" w:hAnsi="Arial" w:cs="Arial"/>
          <w:b/>
          <w:sz w:val="24"/>
          <w:szCs w:val="24"/>
        </w:rPr>
      </w:pPr>
      <w:r>
        <w:rPr>
          <w:rFonts w:ascii="Arial" w:hAnsi="Arial" w:cs="Arial"/>
          <w:b/>
          <w:sz w:val="24"/>
          <w:szCs w:val="24"/>
        </w:rPr>
        <w:t>Staff Question-2</w:t>
      </w:r>
    </w:p>
    <w:p w:rsidR="00327645" w:rsidRDefault="00E40DB5" w:rsidP="00327645">
      <w:pPr>
        <w:spacing w:after="0"/>
        <w:rPr>
          <w:rFonts w:ascii="Arial" w:hAnsi="Arial" w:cs="Arial"/>
          <w:b/>
          <w:sz w:val="24"/>
          <w:szCs w:val="24"/>
        </w:rPr>
      </w:pPr>
      <w:r>
        <w:rPr>
          <w:rFonts w:ascii="Arial" w:hAnsi="Arial" w:cs="Arial"/>
          <w:b/>
          <w:sz w:val="24"/>
          <w:szCs w:val="24"/>
        </w:rPr>
        <w:t>Ref: Rate Generator Model, Tab 3 Continuity Schedule</w:t>
      </w:r>
    </w:p>
    <w:p w:rsidR="00E40DB5" w:rsidRDefault="00E40DB5" w:rsidP="00327645">
      <w:pPr>
        <w:spacing w:after="0"/>
        <w:rPr>
          <w:rFonts w:ascii="Arial" w:hAnsi="Arial" w:cs="Arial"/>
          <w:b/>
          <w:sz w:val="24"/>
          <w:szCs w:val="24"/>
        </w:rPr>
      </w:pPr>
    </w:p>
    <w:p w:rsidR="00E40DB5" w:rsidRDefault="00E40DB5" w:rsidP="00327645">
      <w:pPr>
        <w:spacing w:after="0"/>
        <w:rPr>
          <w:rFonts w:ascii="Arial" w:hAnsi="Arial" w:cs="Arial"/>
          <w:sz w:val="24"/>
          <w:szCs w:val="24"/>
        </w:rPr>
      </w:pPr>
      <w:r>
        <w:rPr>
          <w:rFonts w:ascii="Arial" w:hAnsi="Arial" w:cs="Arial"/>
          <w:sz w:val="24"/>
          <w:szCs w:val="24"/>
        </w:rPr>
        <w:t>ERTH Power entered the projected interest amounts for January 1, 2018 to December 31, 2018 on the 2017 year-end Group 1 balances adjusted for disposition in column BQ of the continuity schedule. Based on the Prescribed Interest Rates</w:t>
      </w:r>
      <w:r>
        <w:rPr>
          <w:rStyle w:val="FootnoteReference"/>
          <w:rFonts w:ascii="Arial" w:hAnsi="Arial" w:cs="Arial"/>
          <w:sz w:val="24"/>
          <w:szCs w:val="24"/>
        </w:rPr>
        <w:footnoteReference w:id="1"/>
      </w:r>
      <w:r>
        <w:rPr>
          <w:rFonts w:ascii="Arial" w:hAnsi="Arial" w:cs="Arial"/>
          <w:sz w:val="24"/>
          <w:szCs w:val="24"/>
        </w:rPr>
        <w:t xml:space="preserve"> posted on the OEB’s website, OEB staff cannot verify the interest amounts ERTH Power entered in column BQ.</w:t>
      </w:r>
    </w:p>
    <w:p w:rsidR="00C72F31" w:rsidRDefault="00C72F31" w:rsidP="00327645">
      <w:pPr>
        <w:spacing w:after="0"/>
        <w:rPr>
          <w:rFonts w:ascii="Arial" w:hAnsi="Arial" w:cs="Arial"/>
          <w:sz w:val="24"/>
          <w:szCs w:val="24"/>
        </w:rPr>
      </w:pPr>
    </w:p>
    <w:p w:rsidR="00E503C8" w:rsidRDefault="00744165" w:rsidP="00E503C8">
      <w:pPr>
        <w:pStyle w:val="ListParagraph"/>
        <w:numPr>
          <w:ilvl w:val="0"/>
          <w:numId w:val="43"/>
        </w:numPr>
        <w:spacing w:after="0"/>
        <w:rPr>
          <w:rFonts w:ascii="Arial" w:hAnsi="Arial" w:cs="Arial"/>
          <w:sz w:val="24"/>
          <w:szCs w:val="24"/>
        </w:rPr>
      </w:pPr>
      <w:r>
        <w:rPr>
          <w:rFonts w:ascii="Arial" w:hAnsi="Arial" w:cs="Arial"/>
          <w:sz w:val="24"/>
          <w:szCs w:val="24"/>
        </w:rPr>
        <w:t xml:space="preserve">Please </w:t>
      </w:r>
      <w:r w:rsidR="00C72F31">
        <w:rPr>
          <w:rFonts w:ascii="Arial" w:hAnsi="Arial" w:cs="Arial"/>
          <w:sz w:val="24"/>
          <w:szCs w:val="24"/>
        </w:rPr>
        <w:t>provide the</w:t>
      </w:r>
      <w:r w:rsidR="00E40DB5">
        <w:rPr>
          <w:rFonts w:ascii="Arial" w:hAnsi="Arial" w:cs="Arial"/>
          <w:sz w:val="24"/>
          <w:szCs w:val="24"/>
        </w:rPr>
        <w:t xml:space="preserve"> calculations for the projected interest for 2018 for Group 1 balances. Please update the interest values in column BQ if needed.</w:t>
      </w:r>
    </w:p>
    <w:p w:rsidR="009F4885" w:rsidRPr="009F4885" w:rsidRDefault="009F4885" w:rsidP="009F4885">
      <w:pPr>
        <w:pStyle w:val="ListParagraph"/>
        <w:spacing w:after="0"/>
        <w:ind w:left="360"/>
        <w:rPr>
          <w:rFonts w:ascii="Arial" w:hAnsi="Arial" w:cs="Arial"/>
          <w:sz w:val="24"/>
          <w:szCs w:val="24"/>
        </w:rPr>
      </w:pPr>
    </w:p>
    <w:p w:rsidR="00327645" w:rsidRDefault="00E40DB5" w:rsidP="00251C0D">
      <w:pPr>
        <w:pStyle w:val="ListParagraph"/>
        <w:numPr>
          <w:ilvl w:val="0"/>
          <w:numId w:val="43"/>
        </w:numPr>
        <w:spacing w:after="0"/>
        <w:rPr>
          <w:rFonts w:ascii="Arial" w:hAnsi="Arial" w:cs="Arial"/>
          <w:sz w:val="24"/>
          <w:szCs w:val="24"/>
        </w:rPr>
      </w:pPr>
      <w:r>
        <w:rPr>
          <w:rFonts w:ascii="Arial" w:hAnsi="Arial" w:cs="Arial"/>
          <w:sz w:val="24"/>
          <w:szCs w:val="24"/>
        </w:rPr>
        <w:lastRenderedPageBreak/>
        <w:t>Please provide the calculation for the projected interest for January 1, 2019 to April 30, 2019 for Account 1588 (cell BR28). Please update this value in the continuity schedule if needed.</w:t>
      </w:r>
    </w:p>
    <w:p w:rsidR="00327645" w:rsidRDefault="00327645" w:rsidP="00E34CF3">
      <w:pPr>
        <w:spacing w:after="0"/>
        <w:rPr>
          <w:rFonts w:ascii="Arial" w:hAnsi="Arial" w:cs="Arial"/>
          <w:b/>
          <w:sz w:val="24"/>
          <w:szCs w:val="24"/>
        </w:rPr>
      </w:pPr>
    </w:p>
    <w:p w:rsidR="00ED4FAF" w:rsidRDefault="00C86662" w:rsidP="00E34CF3">
      <w:pPr>
        <w:spacing w:after="0"/>
        <w:rPr>
          <w:rFonts w:ascii="Arial" w:hAnsi="Arial" w:cs="Arial"/>
          <w:b/>
          <w:color w:val="FF0000"/>
          <w:sz w:val="24"/>
          <w:szCs w:val="24"/>
        </w:rPr>
      </w:pPr>
      <w:r>
        <w:rPr>
          <w:rFonts w:ascii="Arial" w:hAnsi="Arial" w:cs="Arial"/>
          <w:b/>
          <w:color w:val="FF0000"/>
          <w:sz w:val="24"/>
          <w:szCs w:val="24"/>
        </w:rPr>
        <w:t>ERTH Power has updated its calculation of interest to include the principal adjustment during 2017 to correctly calculate interest.</w:t>
      </w:r>
    </w:p>
    <w:p w:rsidR="00C86662" w:rsidRDefault="00C86662" w:rsidP="00E34CF3">
      <w:pPr>
        <w:spacing w:after="0"/>
        <w:rPr>
          <w:rFonts w:ascii="Arial" w:hAnsi="Arial" w:cs="Arial"/>
          <w:b/>
          <w:sz w:val="24"/>
          <w:szCs w:val="24"/>
        </w:rPr>
      </w:pPr>
    </w:p>
    <w:p w:rsidR="00FD029D" w:rsidRDefault="002C5302" w:rsidP="00E34CF3">
      <w:pPr>
        <w:spacing w:after="0"/>
        <w:rPr>
          <w:rFonts w:ascii="Arial" w:hAnsi="Arial" w:cs="Arial"/>
          <w:b/>
          <w:sz w:val="24"/>
          <w:szCs w:val="24"/>
        </w:rPr>
      </w:pPr>
      <w:r>
        <w:rPr>
          <w:rFonts w:ascii="Arial" w:hAnsi="Arial" w:cs="Arial"/>
          <w:b/>
          <w:sz w:val="24"/>
          <w:szCs w:val="24"/>
        </w:rPr>
        <w:t>Staff Question-3</w:t>
      </w:r>
    </w:p>
    <w:p w:rsidR="00E34CF3" w:rsidRDefault="002C5302" w:rsidP="00E34CF3">
      <w:pPr>
        <w:spacing w:after="0"/>
        <w:rPr>
          <w:rFonts w:ascii="Arial" w:hAnsi="Arial" w:cs="Arial"/>
          <w:b/>
          <w:sz w:val="24"/>
          <w:szCs w:val="24"/>
        </w:rPr>
      </w:pPr>
      <w:r>
        <w:rPr>
          <w:rFonts w:ascii="Arial" w:hAnsi="Arial" w:cs="Arial"/>
          <w:b/>
          <w:sz w:val="24"/>
          <w:szCs w:val="24"/>
        </w:rPr>
        <w:t>Ref: Rate Generator Model, Tab 6.1a GA Allocation</w:t>
      </w:r>
    </w:p>
    <w:p w:rsidR="00FD029D" w:rsidRDefault="00FD029D" w:rsidP="00E34CF3">
      <w:pPr>
        <w:spacing w:after="0"/>
        <w:rPr>
          <w:rFonts w:ascii="Arial" w:hAnsi="Arial" w:cs="Arial"/>
          <w:b/>
          <w:sz w:val="24"/>
          <w:szCs w:val="24"/>
        </w:rPr>
      </w:pPr>
    </w:p>
    <w:p w:rsidR="002C5302" w:rsidRDefault="002C5302" w:rsidP="00E34CF3">
      <w:pPr>
        <w:spacing w:after="0"/>
        <w:rPr>
          <w:rFonts w:ascii="Arial" w:hAnsi="Arial" w:cs="Arial"/>
          <w:sz w:val="24"/>
          <w:szCs w:val="24"/>
        </w:rPr>
      </w:pPr>
      <w:r>
        <w:rPr>
          <w:rFonts w:ascii="Arial" w:hAnsi="Arial" w:cs="Arial"/>
          <w:sz w:val="24"/>
          <w:szCs w:val="24"/>
        </w:rPr>
        <w:t>In cell D20 of Tab 6.1a, E</w:t>
      </w:r>
      <w:r w:rsidR="00733154">
        <w:rPr>
          <w:rFonts w:ascii="Arial" w:hAnsi="Arial" w:cs="Arial"/>
          <w:sz w:val="24"/>
          <w:szCs w:val="24"/>
        </w:rPr>
        <w:t>RTH Power entered 199,066,668 kW</w:t>
      </w:r>
      <w:r>
        <w:rPr>
          <w:rFonts w:ascii="Arial" w:hAnsi="Arial" w:cs="Arial"/>
          <w:sz w:val="24"/>
          <w:szCs w:val="24"/>
        </w:rPr>
        <w:t>h as the total Non-RPP Class B consumption in 2017. Based on the total Non-RPP consumption in tab 4, the transition customers’ Class A consumption and full-year Class A customer’s consumption that ERTH Power entered in tab 6, OEB staff cannot verify the total Non-RPP Cass B consumption of 199,066,668 kWh. Please provide the calculation of this amount. If needed, please update this value in the model.</w:t>
      </w:r>
    </w:p>
    <w:p w:rsidR="00FD029D" w:rsidRDefault="00FD029D" w:rsidP="00E34CF3">
      <w:pPr>
        <w:spacing w:after="0"/>
        <w:rPr>
          <w:rFonts w:ascii="Arial" w:hAnsi="Arial" w:cs="Arial"/>
          <w:b/>
          <w:sz w:val="24"/>
          <w:szCs w:val="24"/>
        </w:rPr>
      </w:pPr>
    </w:p>
    <w:p w:rsidR="00601A67" w:rsidRDefault="000A3927" w:rsidP="00E34CF3">
      <w:pPr>
        <w:spacing w:after="0"/>
        <w:rPr>
          <w:rFonts w:ascii="Arial" w:hAnsi="Arial" w:cs="Arial"/>
          <w:b/>
          <w:color w:val="FF0000"/>
          <w:sz w:val="24"/>
          <w:szCs w:val="24"/>
        </w:rPr>
      </w:pPr>
      <w:r>
        <w:rPr>
          <w:rFonts w:ascii="Arial" w:hAnsi="Arial" w:cs="Arial"/>
          <w:b/>
          <w:color w:val="FF0000"/>
          <w:sz w:val="24"/>
          <w:szCs w:val="24"/>
        </w:rPr>
        <w:t>ERTH Power has updated the model specifically cell D20 of Tab 6.1a for the total Non-RPP  Class B consumption in 2017 to be 177,272,748 kWh.</w:t>
      </w:r>
      <w:r w:rsidR="006210E0">
        <w:rPr>
          <w:rFonts w:ascii="Arial" w:hAnsi="Arial" w:cs="Arial"/>
          <w:b/>
          <w:color w:val="FF0000"/>
          <w:sz w:val="24"/>
          <w:szCs w:val="24"/>
        </w:rPr>
        <w:t xml:space="preserve">  ERTH Power also found an error in the entry of the Transition customers non-loss adjusted consumption in cell F42 in Tab 6 which has been corrected to adjust the total Transition Customers Class B Consumption to 36,302,936.</w:t>
      </w:r>
    </w:p>
    <w:p w:rsidR="000A3927" w:rsidRPr="00601A67" w:rsidRDefault="000A3927" w:rsidP="00E34CF3">
      <w:pPr>
        <w:spacing w:after="0"/>
        <w:rPr>
          <w:rFonts w:ascii="Arial" w:hAnsi="Arial" w:cs="Arial"/>
          <w:b/>
          <w:color w:val="FF0000"/>
          <w:sz w:val="24"/>
          <w:szCs w:val="24"/>
        </w:rPr>
      </w:pPr>
    </w:p>
    <w:p w:rsidR="00A76CAE" w:rsidRDefault="002C5302" w:rsidP="00A76CAE">
      <w:pPr>
        <w:spacing w:after="0"/>
        <w:rPr>
          <w:rFonts w:ascii="Arial" w:hAnsi="Arial" w:cs="Arial"/>
          <w:b/>
          <w:sz w:val="24"/>
          <w:szCs w:val="24"/>
        </w:rPr>
      </w:pPr>
      <w:r>
        <w:rPr>
          <w:rFonts w:ascii="Arial" w:hAnsi="Arial" w:cs="Arial"/>
          <w:b/>
          <w:sz w:val="24"/>
          <w:szCs w:val="24"/>
        </w:rPr>
        <w:t>Staff Question-4</w:t>
      </w:r>
    </w:p>
    <w:p w:rsidR="003A70D4" w:rsidRDefault="003A70D4" w:rsidP="00E34CF3">
      <w:pPr>
        <w:spacing w:after="0"/>
        <w:rPr>
          <w:rFonts w:ascii="Arial" w:hAnsi="Arial" w:cs="Arial"/>
          <w:b/>
          <w:sz w:val="24"/>
          <w:szCs w:val="24"/>
        </w:rPr>
      </w:pPr>
      <w:r>
        <w:rPr>
          <w:rFonts w:ascii="Arial" w:hAnsi="Arial" w:cs="Arial"/>
          <w:b/>
          <w:sz w:val="24"/>
          <w:szCs w:val="24"/>
        </w:rPr>
        <w:t>Re</w:t>
      </w:r>
      <w:r w:rsidR="00A76CAE">
        <w:rPr>
          <w:rFonts w:ascii="Arial" w:hAnsi="Arial" w:cs="Arial"/>
          <w:b/>
          <w:sz w:val="24"/>
          <w:szCs w:val="24"/>
        </w:rPr>
        <w:t>f 1: Rate Generator Model, Tab 3 Continuity Schedule</w:t>
      </w:r>
      <w:r w:rsidR="000C09AF">
        <w:rPr>
          <w:rFonts w:ascii="Arial" w:hAnsi="Arial" w:cs="Arial"/>
          <w:b/>
          <w:sz w:val="24"/>
          <w:szCs w:val="24"/>
        </w:rPr>
        <w:t>, Tab 6.2a CBR B_Allocation and Tab 6.2 CBR B</w:t>
      </w:r>
    </w:p>
    <w:p w:rsidR="003A70D4" w:rsidRDefault="003A70D4" w:rsidP="00E34CF3">
      <w:pPr>
        <w:spacing w:after="0"/>
        <w:rPr>
          <w:rFonts w:ascii="Arial" w:hAnsi="Arial" w:cs="Arial"/>
          <w:b/>
          <w:sz w:val="24"/>
          <w:szCs w:val="24"/>
        </w:rPr>
      </w:pPr>
    </w:p>
    <w:p w:rsidR="000C09AF" w:rsidRDefault="000C09AF" w:rsidP="004403F9">
      <w:pPr>
        <w:rPr>
          <w:rFonts w:ascii="Arial" w:hAnsi="Arial" w:cs="Arial"/>
          <w:sz w:val="24"/>
          <w:szCs w:val="24"/>
        </w:rPr>
      </w:pPr>
      <w:r>
        <w:rPr>
          <w:rFonts w:ascii="Arial" w:hAnsi="Arial" w:cs="Arial"/>
          <w:sz w:val="24"/>
          <w:szCs w:val="24"/>
        </w:rPr>
        <w:t xml:space="preserve">As noted in tab 6, ERTH Power had 1 full-year Class A customer and 8 Class B to Class A transition customers in 2017. Therefore, in tab 3 continuity schedule, ERTH Power should check the checkbox at the upper right corner to indicate it had Class A customer during the period when CBR Class B balance accumulated. OEB staff has made this correction in the model. Then tab 6.2 CBR B was generated for CBR Class B rate rider. However, as allocated Account 1580 sub-account CBR Class B amount does not produce a rate rider for one or more classes, as per the Filing Requirements, ERTH Power is to transfer the entire CBR Class B amount into Account 1580 WMS control account to be disposed through the general purpose Group 1 DVA rate riders. (This is also noted in Tab 6.2.) The model has already automatically allocated this amount to the control account 1580 </w:t>
      </w:r>
      <w:r w:rsidR="0059122C">
        <w:rPr>
          <w:rFonts w:ascii="Arial" w:hAnsi="Arial" w:cs="Arial"/>
          <w:sz w:val="24"/>
          <w:szCs w:val="24"/>
        </w:rPr>
        <w:t>to be disposed through the DVA rate riders.</w:t>
      </w:r>
    </w:p>
    <w:p w:rsidR="000C09AF" w:rsidRDefault="000C09AF" w:rsidP="004403F9">
      <w:pPr>
        <w:rPr>
          <w:rFonts w:ascii="Arial" w:hAnsi="Arial" w:cs="Arial"/>
          <w:sz w:val="24"/>
          <w:szCs w:val="24"/>
        </w:rPr>
      </w:pPr>
      <w:r>
        <w:rPr>
          <w:rFonts w:ascii="Arial" w:hAnsi="Arial" w:cs="Arial"/>
          <w:sz w:val="24"/>
          <w:szCs w:val="24"/>
        </w:rPr>
        <w:t>Please</w:t>
      </w:r>
      <w:r w:rsidR="0059122C">
        <w:rPr>
          <w:rFonts w:ascii="Arial" w:hAnsi="Arial" w:cs="Arial"/>
          <w:sz w:val="24"/>
          <w:szCs w:val="24"/>
        </w:rPr>
        <w:t xml:space="preserve"> confirm ERTH Power’s position in this application on the disposition of CBR Class B amount.</w:t>
      </w:r>
    </w:p>
    <w:p w:rsidR="00322B7D" w:rsidRPr="00322B7D" w:rsidRDefault="00322B7D" w:rsidP="004403F9">
      <w:pPr>
        <w:rPr>
          <w:rFonts w:ascii="Arial" w:hAnsi="Arial" w:cs="Arial"/>
          <w:b/>
          <w:color w:val="FF0000"/>
          <w:sz w:val="24"/>
          <w:szCs w:val="24"/>
        </w:rPr>
      </w:pPr>
      <w:r>
        <w:rPr>
          <w:rFonts w:ascii="Arial" w:hAnsi="Arial" w:cs="Arial"/>
          <w:b/>
          <w:color w:val="FF0000"/>
          <w:sz w:val="24"/>
          <w:szCs w:val="24"/>
        </w:rPr>
        <w:lastRenderedPageBreak/>
        <w:t>ERTH Power confirms that the CBR Class B amount should be allocated to be disposed of with the Account 1580 WMS control account and agrees with the changes that were made by the Board to the continuity schedule.</w:t>
      </w:r>
    </w:p>
    <w:p w:rsidR="000C141D" w:rsidRPr="000C141D" w:rsidRDefault="000C141D" w:rsidP="00E34CF3">
      <w:pPr>
        <w:spacing w:after="0"/>
        <w:rPr>
          <w:rFonts w:ascii="Arial" w:hAnsi="Arial" w:cs="Arial"/>
          <w:b/>
          <w:sz w:val="24"/>
          <w:szCs w:val="24"/>
        </w:rPr>
      </w:pPr>
    </w:p>
    <w:p w:rsidR="00322B7D" w:rsidRDefault="00322B7D" w:rsidP="00E34CF3">
      <w:pPr>
        <w:spacing w:after="0"/>
        <w:rPr>
          <w:rFonts w:ascii="Arial" w:hAnsi="Arial" w:cs="Arial"/>
          <w:b/>
          <w:sz w:val="24"/>
          <w:szCs w:val="24"/>
        </w:rPr>
      </w:pPr>
    </w:p>
    <w:p w:rsidR="000C141D" w:rsidRDefault="00F46379" w:rsidP="00E34CF3">
      <w:pPr>
        <w:spacing w:after="0"/>
        <w:rPr>
          <w:rFonts w:ascii="Arial" w:hAnsi="Arial" w:cs="Arial"/>
          <w:b/>
          <w:sz w:val="24"/>
          <w:szCs w:val="24"/>
        </w:rPr>
      </w:pPr>
      <w:r>
        <w:rPr>
          <w:rFonts w:ascii="Arial" w:hAnsi="Arial" w:cs="Arial"/>
          <w:b/>
          <w:sz w:val="24"/>
          <w:szCs w:val="24"/>
        </w:rPr>
        <w:t>Staff Question-5</w:t>
      </w:r>
    </w:p>
    <w:p w:rsidR="00F46379" w:rsidRDefault="00F46379" w:rsidP="00E34CF3">
      <w:pPr>
        <w:spacing w:after="0"/>
        <w:rPr>
          <w:rFonts w:ascii="Arial" w:hAnsi="Arial" w:cs="Arial"/>
          <w:b/>
          <w:sz w:val="24"/>
          <w:szCs w:val="24"/>
        </w:rPr>
      </w:pPr>
      <w:r>
        <w:rPr>
          <w:rFonts w:ascii="Arial" w:hAnsi="Arial" w:cs="Arial"/>
          <w:b/>
          <w:sz w:val="24"/>
          <w:szCs w:val="24"/>
        </w:rPr>
        <w:t xml:space="preserve">Ref: </w:t>
      </w:r>
      <w:r w:rsidR="002A6D2E">
        <w:rPr>
          <w:rFonts w:ascii="Arial" w:hAnsi="Arial" w:cs="Arial"/>
          <w:b/>
          <w:sz w:val="24"/>
          <w:szCs w:val="24"/>
        </w:rPr>
        <w:t>Appendix A GA Methodology Description</w:t>
      </w:r>
    </w:p>
    <w:p w:rsidR="002A6D2E" w:rsidRDefault="002A6D2E" w:rsidP="00E34CF3">
      <w:pPr>
        <w:spacing w:after="0"/>
        <w:rPr>
          <w:rFonts w:ascii="Arial" w:hAnsi="Arial" w:cs="Arial"/>
          <w:b/>
          <w:sz w:val="24"/>
          <w:szCs w:val="24"/>
        </w:rPr>
      </w:pPr>
    </w:p>
    <w:p w:rsidR="002A6D2E" w:rsidRDefault="002A6D2E" w:rsidP="00E34CF3">
      <w:pPr>
        <w:spacing w:after="0"/>
        <w:rPr>
          <w:rFonts w:ascii="Arial" w:hAnsi="Arial" w:cs="Arial"/>
          <w:sz w:val="24"/>
          <w:szCs w:val="24"/>
        </w:rPr>
      </w:pPr>
      <w:r>
        <w:rPr>
          <w:rFonts w:ascii="Arial" w:hAnsi="Arial" w:cs="Arial"/>
          <w:sz w:val="24"/>
          <w:szCs w:val="24"/>
        </w:rPr>
        <w:t xml:space="preserve">In response to question 4, ERTH Power has indicated that </w:t>
      </w:r>
      <w:r w:rsidR="00135B06">
        <w:rPr>
          <w:rFonts w:ascii="Arial" w:hAnsi="Arial" w:cs="Arial"/>
          <w:sz w:val="24"/>
          <w:szCs w:val="24"/>
        </w:rPr>
        <w:t xml:space="preserve">as part of its last IRM application, </w:t>
      </w:r>
      <w:r>
        <w:rPr>
          <w:rFonts w:ascii="Arial" w:hAnsi="Arial" w:cs="Arial"/>
          <w:sz w:val="24"/>
          <w:szCs w:val="24"/>
        </w:rPr>
        <w:t xml:space="preserve">it had recorded principal adjustments between accounts 1588 and 1589 </w:t>
      </w:r>
      <w:r w:rsidR="00135B06">
        <w:rPr>
          <w:rFonts w:ascii="Arial" w:hAnsi="Arial" w:cs="Arial"/>
          <w:sz w:val="24"/>
          <w:szCs w:val="24"/>
        </w:rPr>
        <w:t xml:space="preserve">for both 2015 and 2016, </w:t>
      </w:r>
      <w:r>
        <w:rPr>
          <w:rFonts w:ascii="Arial" w:hAnsi="Arial" w:cs="Arial"/>
          <w:sz w:val="24"/>
          <w:szCs w:val="24"/>
        </w:rPr>
        <w:t xml:space="preserve">within its DVA Continuity Schedule. The purpose of the adjustment was correct the GA cost allocation between ERTH Power’s RPP and Non RPP customers.  ERTH Power has indicated that it did not need to reverse these principal adjustments in </w:t>
      </w:r>
      <w:r w:rsidR="00135B06">
        <w:rPr>
          <w:rFonts w:ascii="Arial" w:hAnsi="Arial" w:cs="Arial"/>
          <w:sz w:val="24"/>
          <w:szCs w:val="24"/>
        </w:rPr>
        <w:t>its</w:t>
      </w:r>
      <w:r>
        <w:rPr>
          <w:rFonts w:ascii="Arial" w:hAnsi="Arial" w:cs="Arial"/>
          <w:sz w:val="24"/>
          <w:szCs w:val="24"/>
        </w:rPr>
        <w:t xml:space="preserve"> 2017 DVA Continuity Schedule.</w:t>
      </w:r>
    </w:p>
    <w:p w:rsidR="002A6D2E" w:rsidRDefault="002A6D2E" w:rsidP="00E34CF3">
      <w:pPr>
        <w:spacing w:after="0"/>
        <w:rPr>
          <w:rFonts w:ascii="Arial" w:hAnsi="Arial" w:cs="Arial"/>
          <w:sz w:val="24"/>
          <w:szCs w:val="24"/>
        </w:rPr>
      </w:pPr>
    </w:p>
    <w:p w:rsidR="002A6D2E" w:rsidRDefault="002A6D2E" w:rsidP="002A6D2E">
      <w:pPr>
        <w:pStyle w:val="ListParagraph"/>
        <w:numPr>
          <w:ilvl w:val="0"/>
          <w:numId w:val="44"/>
        </w:numPr>
        <w:spacing w:after="0"/>
        <w:rPr>
          <w:rFonts w:ascii="Arial" w:hAnsi="Arial" w:cs="Arial"/>
          <w:sz w:val="24"/>
          <w:szCs w:val="24"/>
        </w:rPr>
      </w:pPr>
      <w:r>
        <w:rPr>
          <w:rFonts w:ascii="Arial" w:hAnsi="Arial" w:cs="Arial"/>
          <w:sz w:val="24"/>
          <w:szCs w:val="24"/>
        </w:rPr>
        <w:t>With respect to the principal adjustments that were recorded in 2015 and 2016, please indicate the period (year) in which ERTH Power actually recorded these adjustments in its G/L</w:t>
      </w:r>
      <w:r w:rsidRPr="002A6D2E">
        <w:rPr>
          <w:rFonts w:ascii="Arial" w:hAnsi="Arial" w:cs="Arial"/>
          <w:sz w:val="24"/>
          <w:szCs w:val="24"/>
        </w:rPr>
        <w:t>.</w:t>
      </w:r>
    </w:p>
    <w:p w:rsidR="0029290C" w:rsidRDefault="0029290C" w:rsidP="0029290C">
      <w:pPr>
        <w:pStyle w:val="ListParagraph"/>
        <w:spacing w:after="0"/>
        <w:rPr>
          <w:rFonts w:ascii="Arial" w:hAnsi="Arial" w:cs="Arial"/>
          <w:sz w:val="24"/>
          <w:szCs w:val="24"/>
        </w:rPr>
      </w:pPr>
    </w:p>
    <w:p w:rsidR="0029290C" w:rsidRPr="0012718D" w:rsidRDefault="0012718D" w:rsidP="0029290C">
      <w:pPr>
        <w:pStyle w:val="ListParagraph"/>
        <w:spacing w:after="0"/>
        <w:rPr>
          <w:rFonts w:ascii="Arial" w:hAnsi="Arial" w:cs="Arial"/>
          <w:b/>
          <w:color w:val="FF0000"/>
          <w:sz w:val="24"/>
          <w:szCs w:val="24"/>
        </w:rPr>
      </w:pPr>
      <w:r>
        <w:rPr>
          <w:rFonts w:ascii="Arial" w:hAnsi="Arial" w:cs="Arial"/>
          <w:b/>
          <w:color w:val="FF0000"/>
          <w:sz w:val="24"/>
          <w:szCs w:val="24"/>
        </w:rPr>
        <w:t>ERTH Power recorded these adjustment in its G/L in 2017, however did not include them in the transactions during 2017 on the continuity schedule.</w:t>
      </w:r>
      <w:r w:rsidR="00C86662">
        <w:rPr>
          <w:rFonts w:ascii="Arial" w:hAnsi="Arial" w:cs="Arial"/>
          <w:b/>
          <w:color w:val="FF0000"/>
          <w:sz w:val="24"/>
          <w:szCs w:val="24"/>
        </w:rPr>
        <w:t xml:space="preserve"> ERTH Power has adjusted its continuity schedule to correctly match the date transactions were processed in the GL.</w:t>
      </w:r>
    </w:p>
    <w:p w:rsidR="002A6D2E" w:rsidRDefault="002A6D2E" w:rsidP="002A6D2E">
      <w:pPr>
        <w:pStyle w:val="ListParagraph"/>
        <w:spacing w:after="0"/>
        <w:rPr>
          <w:rFonts w:ascii="Arial" w:hAnsi="Arial" w:cs="Arial"/>
          <w:sz w:val="24"/>
          <w:szCs w:val="24"/>
        </w:rPr>
      </w:pPr>
    </w:p>
    <w:p w:rsidR="00164B99" w:rsidRDefault="002A6D2E" w:rsidP="00164B99">
      <w:pPr>
        <w:pStyle w:val="ListParagraph"/>
        <w:numPr>
          <w:ilvl w:val="0"/>
          <w:numId w:val="44"/>
        </w:numPr>
        <w:spacing w:after="0"/>
        <w:rPr>
          <w:rFonts w:ascii="Arial" w:hAnsi="Arial" w:cs="Arial"/>
          <w:sz w:val="24"/>
          <w:szCs w:val="24"/>
        </w:rPr>
      </w:pPr>
      <w:r>
        <w:rPr>
          <w:rFonts w:ascii="Arial" w:hAnsi="Arial" w:cs="Arial"/>
          <w:sz w:val="24"/>
          <w:szCs w:val="24"/>
        </w:rPr>
        <w:t>If the response to the above is that ERTH Po</w:t>
      </w:r>
      <w:r w:rsidR="008E1B8A">
        <w:rPr>
          <w:rFonts w:ascii="Arial" w:hAnsi="Arial" w:cs="Arial"/>
          <w:sz w:val="24"/>
          <w:szCs w:val="24"/>
        </w:rPr>
        <w:t>wer had actually</w:t>
      </w:r>
      <w:r>
        <w:rPr>
          <w:rFonts w:ascii="Arial" w:hAnsi="Arial" w:cs="Arial"/>
          <w:sz w:val="24"/>
          <w:szCs w:val="24"/>
        </w:rPr>
        <w:t xml:space="preserve"> recorded these principal adjustment</w:t>
      </w:r>
      <w:r w:rsidR="008E1B8A">
        <w:rPr>
          <w:rFonts w:ascii="Arial" w:hAnsi="Arial" w:cs="Arial"/>
          <w:sz w:val="24"/>
          <w:szCs w:val="24"/>
        </w:rPr>
        <w:t>s</w:t>
      </w:r>
      <w:r>
        <w:rPr>
          <w:rFonts w:ascii="Arial" w:hAnsi="Arial" w:cs="Arial"/>
          <w:sz w:val="24"/>
          <w:szCs w:val="24"/>
        </w:rPr>
        <w:t xml:space="preserve"> in their G/L during 2017</w:t>
      </w:r>
      <w:r w:rsidR="008E1B8A">
        <w:rPr>
          <w:rFonts w:ascii="Arial" w:hAnsi="Arial" w:cs="Arial"/>
          <w:sz w:val="24"/>
          <w:szCs w:val="24"/>
        </w:rPr>
        <w:t>, then that wou</w:t>
      </w:r>
      <w:r w:rsidR="00135B06">
        <w:rPr>
          <w:rFonts w:ascii="Arial" w:hAnsi="Arial" w:cs="Arial"/>
          <w:sz w:val="24"/>
          <w:szCs w:val="24"/>
        </w:rPr>
        <w:t>ld mean</w:t>
      </w:r>
      <w:r w:rsidR="00164B99">
        <w:rPr>
          <w:rFonts w:ascii="Arial" w:hAnsi="Arial" w:cs="Arial"/>
          <w:sz w:val="24"/>
          <w:szCs w:val="24"/>
        </w:rPr>
        <w:t xml:space="preserve"> that</w:t>
      </w:r>
      <w:r w:rsidR="00135B06">
        <w:rPr>
          <w:rFonts w:ascii="Arial" w:hAnsi="Arial" w:cs="Arial"/>
          <w:sz w:val="24"/>
          <w:szCs w:val="24"/>
        </w:rPr>
        <w:t xml:space="preserve"> they are being presented</w:t>
      </w:r>
      <w:r w:rsidR="008E1B8A">
        <w:rPr>
          <w:rFonts w:ascii="Arial" w:hAnsi="Arial" w:cs="Arial"/>
          <w:sz w:val="24"/>
          <w:szCs w:val="24"/>
        </w:rPr>
        <w:t xml:space="preserve"> </w:t>
      </w:r>
      <w:r w:rsidR="00135B06">
        <w:rPr>
          <w:rFonts w:ascii="Arial" w:hAnsi="Arial" w:cs="Arial"/>
          <w:sz w:val="24"/>
          <w:szCs w:val="24"/>
        </w:rPr>
        <w:t>with</w:t>
      </w:r>
      <w:r w:rsidR="008E1B8A">
        <w:rPr>
          <w:rFonts w:ascii="Arial" w:hAnsi="Arial" w:cs="Arial"/>
          <w:sz w:val="24"/>
          <w:szCs w:val="24"/>
        </w:rPr>
        <w:t xml:space="preserve">in the “Transactions during 2017” column </w:t>
      </w:r>
      <w:r w:rsidR="00135B06">
        <w:rPr>
          <w:rFonts w:ascii="Arial" w:hAnsi="Arial" w:cs="Arial"/>
          <w:sz w:val="24"/>
          <w:szCs w:val="24"/>
        </w:rPr>
        <w:t>of</w:t>
      </w:r>
      <w:r w:rsidR="008E1B8A">
        <w:rPr>
          <w:rFonts w:ascii="Arial" w:hAnsi="Arial" w:cs="Arial"/>
          <w:sz w:val="24"/>
          <w:szCs w:val="24"/>
        </w:rPr>
        <w:t xml:space="preserve"> DVA continuity schedule</w:t>
      </w:r>
      <w:r w:rsidR="00135B06">
        <w:rPr>
          <w:rFonts w:ascii="Arial" w:hAnsi="Arial" w:cs="Arial"/>
          <w:sz w:val="24"/>
          <w:szCs w:val="24"/>
        </w:rPr>
        <w:t xml:space="preserve"> in the current proceeding. To that end, ERTH Power </w:t>
      </w:r>
      <w:r w:rsidR="008E1B8A">
        <w:rPr>
          <w:rFonts w:ascii="Arial" w:hAnsi="Arial" w:cs="Arial"/>
          <w:sz w:val="24"/>
          <w:szCs w:val="24"/>
        </w:rPr>
        <w:t>would need to</w:t>
      </w:r>
      <w:r w:rsidR="00164B99">
        <w:rPr>
          <w:rFonts w:ascii="Arial" w:hAnsi="Arial" w:cs="Arial"/>
          <w:sz w:val="24"/>
          <w:szCs w:val="24"/>
        </w:rPr>
        <w:t xml:space="preserve"> </w:t>
      </w:r>
      <w:r w:rsidR="008E1B8A">
        <w:rPr>
          <w:rFonts w:ascii="Arial" w:hAnsi="Arial" w:cs="Arial"/>
          <w:sz w:val="24"/>
          <w:szCs w:val="24"/>
        </w:rPr>
        <w:t>reverse</w:t>
      </w:r>
      <w:r w:rsidR="00135B06">
        <w:rPr>
          <w:rFonts w:ascii="Arial" w:hAnsi="Arial" w:cs="Arial"/>
          <w:sz w:val="24"/>
          <w:szCs w:val="24"/>
        </w:rPr>
        <w:t xml:space="preserve"> th</w:t>
      </w:r>
      <w:r w:rsidR="00164B99">
        <w:rPr>
          <w:rFonts w:ascii="Arial" w:hAnsi="Arial" w:cs="Arial"/>
          <w:sz w:val="24"/>
          <w:szCs w:val="24"/>
        </w:rPr>
        <w:t>e</w:t>
      </w:r>
      <w:r w:rsidR="00135B06">
        <w:rPr>
          <w:rFonts w:ascii="Arial" w:hAnsi="Arial" w:cs="Arial"/>
          <w:sz w:val="24"/>
          <w:szCs w:val="24"/>
        </w:rPr>
        <w:t xml:space="preserve">se amounts </w:t>
      </w:r>
      <w:r w:rsidR="00164B99">
        <w:rPr>
          <w:rFonts w:ascii="Arial" w:hAnsi="Arial" w:cs="Arial"/>
          <w:sz w:val="24"/>
          <w:szCs w:val="24"/>
        </w:rPr>
        <w:t>out of the 2017 transactions using the</w:t>
      </w:r>
      <w:r w:rsidR="008E1B8A">
        <w:rPr>
          <w:rFonts w:ascii="Arial" w:hAnsi="Arial" w:cs="Arial"/>
          <w:sz w:val="24"/>
          <w:szCs w:val="24"/>
        </w:rPr>
        <w:t xml:space="preserve"> “Principal Adjustments” column of the 2017 DVA Continuity Schedule. </w:t>
      </w:r>
    </w:p>
    <w:p w:rsidR="00164B99" w:rsidRPr="00164B99" w:rsidRDefault="00164B99" w:rsidP="00164B99">
      <w:pPr>
        <w:pStyle w:val="ListParagraph"/>
        <w:rPr>
          <w:rFonts w:ascii="Arial" w:hAnsi="Arial" w:cs="Arial"/>
          <w:sz w:val="24"/>
          <w:szCs w:val="24"/>
        </w:rPr>
      </w:pPr>
    </w:p>
    <w:p w:rsidR="002A6D2E" w:rsidRPr="00164B99" w:rsidRDefault="00164B99" w:rsidP="00164B99">
      <w:pPr>
        <w:pStyle w:val="ListParagraph"/>
        <w:spacing w:after="0"/>
        <w:rPr>
          <w:rFonts w:ascii="Arial" w:hAnsi="Arial" w:cs="Arial"/>
          <w:sz w:val="24"/>
          <w:szCs w:val="24"/>
        </w:rPr>
      </w:pPr>
      <w:r>
        <w:rPr>
          <w:rFonts w:ascii="Arial" w:hAnsi="Arial" w:cs="Arial"/>
          <w:sz w:val="24"/>
          <w:szCs w:val="24"/>
        </w:rPr>
        <w:t>If this is the case, then please</w:t>
      </w:r>
      <w:r w:rsidR="008E1B8A" w:rsidRPr="00164B99">
        <w:rPr>
          <w:rFonts w:ascii="Arial" w:hAnsi="Arial" w:cs="Arial"/>
          <w:sz w:val="24"/>
          <w:szCs w:val="24"/>
        </w:rPr>
        <w:t xml:space="preserve"> update the DVA continuity schedule</w:t>
      </w:r>
      <w:r>
        <w:rPr>
          <w:rFonts w:ascii="Arial" w:hAnsi="Arial" w:cs="Arial"/>
          <w:sz w:val="24"/>
          <w:szCs w:val="24"/>
        </w:rPr>
        <w:t xml:space="preserve"> </w:t>
      </w:r>
      <w:r w:rsidR="008E1B8A" w:rsidRPr="00164B99">
        <w:rPr>
          <w:rFonts w:ascii="Arial" w:hAnsi="Arial" w:cs="Arial"/>
          <w:sz w:val="24"/>
          <w:szCs w:val="24"/>
        </w:rPr>
        <w:t xml:space="preserve">to reflect these principal adjustment reversals in 2017 and please also update the 2017 </w:t>
      </w:r>
      <w:r w:rsidR="00664821">
        <w:rPr>
          <w:rFonts w:ascii="Arial" w:hAnsi="Arial" w:cs="Arial"/>
          <w:sz w:val="24"/>
          <w:szCs w:val="24"/>
        </w:rPr>
        <w:t>GA Analysis Workfor</w:t>
      </w:r>
      <w:r w:rsidR="008E1B8A" w:rsidRPr="00164B99">
        <w:rPr>
          <w:rFonts w:ascii="Arial" w:hAnsi="Arial" w:cs="Arial"/>
          <w:sz w:val="24"/>
          <w:szCs w:val="24"/>
        </w:rPr>
        <w:t>m to reflect these principal adjustment reversals in Note 5.</w:t>
      </w:r>
    </w:p>
    <w:p w:rsidR="008E1B8A" w:rsidRDefault="008E1B8A" w:rsidP="008E1B8A">
      <w:pPr>
        <w:pStyle w:val="ListParagraph"/>
        <w:rPr>
          <w:rFonts w:ascii="Arial" w:hAnsi="Arial" w:cs="Arial"/>
          <w:sz w:val="24"/>
          <w:szCs w:val="24"/>
        </w:rPr>
      </w:pPr>
    </w:p>
    <w:p w:rsidR="0012718D" w:rsidRPr="0012718D" w:rsidRDefault="0012718D" w:rsidP="008E1B8A">
      <w:pPr>
        <w:pStyle w:val="ListParagraph"/>
        <w:rPr>
          <w:rFonts w:ascii="Arial" w:hAnsi="Arial" w:cs="Arial"/>
          <w:b/>
          <w:color w:val="FF0000"/>
          <w:sz w:val="24"/>
          <w:szCs w:val="24"/>
        </w:rPr>
      </w:pPr>
      <w:r>
        <w:rPr>
          <w:rFonts w:ascii="Arial" w:hAnsi="Arial" w:cs="Arial"/>
          <w:b/>
          <w:color w:val="FF0000"/>
          <w:sz w:val="24"/>
          <w:szCs w:val="24"/>
        </w:rPr>
        <w:t xml:space="preserve">As above, ERTH Power </w:t>
      </w:r>
      <w:r w:rsidR="00C86662">
        <w:rPr>
          <w:rFonts w:ascii="Arial" w:hAnsi="Arial" w:cs="Arial"/>
          <w:b/>
          <w:color w:val="FF0000"/>
          <w:sz w:val="24"/>
          <w:szCs w:val="24"/>
        </w:rPr>
        <w:t>adjusted its 2017 transactions to reflect actual GL changes in 2017.</w:t>
      </w:r>
    </w:p>
    <w:p w:rsidR="004D1538" w:rsidRDefault="004D1538" w:rsidP="008E1B8A">
      <w:pPr>
        <w:spacing w:after="0"/>
        <w:rPr>
          <w:rFonts w:ascii="Arial" w:hAnsi="Arial" w:cs="Arial"/>
          <w:b/>
          <w:sz w:val="24"/>
          <w:szCs w:val="24"/>
        </w:rPr>
      </w:pPr>
    </w:p>
    <w:p w:rsidR="008E1B8A" w:rsidRDefault="008E1B8A" w:rsidP="008E1B8A">
      <w:pPr>
        <w:spacing w:after="0"/>
        <w:rPr>
          <w:rFonts w:ascii="Arial" w:hAnsi="Arial" w:cs="Arial"/>
          <w:b/>
          <w:sz w:val="24"/>
          <w:szCs w:val="24"/>
        </w:rPr>
      </w:pPr>
      <w:r>
        <w:rPr>
          <w:rFonts w:ascii="Arial" w:hAnsi="Arial" w:cs="Arial"/>
          <w:b/>
          <w:sz w:val="24"/>
          <w:szCs w:val="24"/>
        </w:rPr>
        <w:t>Staff Question-6</w:t>
      </w:r>
    </w:p>
    <w:p w:rsidR="008E1B8A" w:rsidRDefault="008E1B8A" w:rsidP="008E1B8A">
      <w:pPr>
        <w:spacing w:after="0"/>
        <w:rPr>
          <w:rFonts w:ascii="Arial" w:hAnsi="Arial" w:cs="Arial"/>
          <w:b/>
          <w:sz w:val="24"/>
          <w:szCs w:val="24"/>
        </w:rPr>
      </w:pPr>
      <w:r>
        <w:rPr>
          <w:rFonts w:ascii="Arial" w:hAnsi="Arial" w:cs="Arial"/>
          <w:b/>
          <w:sz w:val="24"/>
          <w:szCs w:val="24"/>
        </w:rPr>
        <w:lastRenderedPageBreak/>
        <w:t>Ref: GA Analysis Workform, Note 5</w:t>
      </w:r>
    </w:p>
    <w:p w:rsidR="008E1B8A" w:rsidRDefault="008E1B8A" w:rsidP="008E1B8A">
      <w:pPr>
        <w:spacing w:after="0"/>
        <w:rPr>
          <w:rFonts w:ascii="Arial" w:hAnsi="Arial" w:cs="Arial"/>
          <w:b/>
          <w:sz w:val="24"/>
          <w:szCs w:val="24"/>
        </w:rPr>
      </w:pPr>
    </w:p>
    <w:p w:rsidR="008E1B8A" w:rsidRDefault="008E1B8A" w:rsidP="008E1B8A">
      <w:pPr>
        <w:spacing w:after="0"/>
        <w:rPr>
          <w:rFonts w:ascii="Arial" w:hAnsi="Arial" w:cs="Arial"/>
          <w:sz w:val="24"/>
          <w:szCs w:val="24"/>
        </w:rPr>
      </w:pPr>
      <w:r w:rsidRPr="00135B06">
        <w:rPr>
          <w:rFonts w:ascii="Arial" w:hAnsi="Arial" w:cs="Arial"/>
          <w:sz w:val="24"/>
          <w:szCs w:val="24"/>
        </w:rPr>
        <w:t>ERTH Power has presented an adjustment of $318K related to the difference between actual system losses and billed TLFs.</w:t>
      </w:r>
    </w:p>
    <w:p w:rsidR="00135B06" w:rsidRDefault="00135B06" w:rsidP="008E1B8A">
      <w:pPr>
        <w:spacing w:after="0"/>
        <w:rPr>
          <w:rFonts w:ascii="Arial" w:hAnsi="Arial" w:cs="Arial"/>
          <w:sz w:val="24"/>
          <w:szCs w:val="24"/>
        </w:rPr>
      </w:pPr>
    </w:p>
    <w:p w:rsidR="00135B06" w:rsidRPr="00135B06" w:rsidRDefault="00135B06" w:rsidP="008E1B8A">
      <w:pPr>
        <w:spacing w:after="0"/>
        <w:rPr>
          <w:rFonts w:ascii="Arial" w:hAnsi="Arial" w:cs="Arial"/>
          <w:sz w:val="24"/>
          <w:szCs w:val="24"/>
        </w:rPr>
      </w:pPr>
      <w:r>
        <w:rPr>
          <w:rFonts w:ascii="Arial" w:hAnsi="Arial" w:cs="Arial"/>
          <w:sz w:val="24"/>
          <w:szCs w:val="24"/>
        </w:rPr>
        <w:t>Please provide the detailed calculation that was used to quantify this balance.</w:t>
      </w:r>
    </w:p>
    <w:p w:rsidR="008E1B8A" w:rsidRPr="00135B06" w:rsidRDefault="008E1B8A" w:rsidP="008E1B8A">
      <w:pPr>
        <w:spacing w:after="0"/>
        <w:rPr>
          <w:rFonts w:ascii="Arial" w:hAnsi="Arial" w:cs="Arial"/>
          <w:sz w:val="24"/>
          <w:szCs w:val="24"/>
        </w:rPr>
      </w:pPr>
    </w:p>
    <w:p w:rsidR="000C141D" w:rsidRPr="004D1538" w:rsidRDefault="004D1538" w:rsidP="00E34CF3">
      <w:pPr>
        <w:spacing w:after="0"/>
        <w:rPr>
          <w:rFonts w:ascii="Arial" w:hAnsi="Arial" w:cs="Arial"/>
          <w:b/>
          <w:color w:val="FF0000"/>
          <w:sz w:val="24"/>
          <w:szCs w:val="24"/>
        </w:rPr>
      </w:pPr>
      <w:r>
        <w:rPr>
          <w:rFonts w:ascii="Arial" w:hAnsi="Arial" w:cs="Arial"/>
          <w:b/>
          <w:color w:val="FF0000"/>
          <w:sz w:val="24"/>
          <w:szCs w:val="24"/>
        </w:rPr>
        <w:t>ERTH Power calculated the difference between actual system losses and billed TLF’s by taking the difference between the billed Loss Factor per the 2012 COS application (1.0451) and the actual 2017 Loss Factor (1.02585) and applied the percentage difference to the total amount paid to the IESO for Global Adjustment.</w:t>
      </w:r>
    </w:p>
    <w:p w:rsidR="0066379F" w:rsidRDefault="0066379F" w:rsidP="00E34CF3">
      <w:pPr>
        <w:spacing w:after="0"/>
      </w:pPr>
    </w:p>
    <w:p w:rsidR="0066379F" w:rsidRDefault="0066379F" w:rsidP="00E34CF3">
      <w:pPr>
        <w:spacing w:after="0"/>
        <w:rPr>
          <w:rFonts w:ascii="Arial" w:hAnsi="Arial" w:cs="Arial"/>
          <w:b/>
          <w:sz w:val="24"/>
          <w:szCs w:val="24"/>
        </w:rPr>
      </w:pPr>
    </w:p>
    <w:p w:rsidR="00B65FA0" w:rsidRDefault="00C86662" w:rsidP="00E34CF3">
      <w:pPr>
        <w:spacing w:after="0"/>
        <w:rPr>
          <w:rFonts w:ascii="Arial" w:hAnsi="Arial" w:cs="Arial"/>
          <w:b/>
          <w:sz w:val="24"/>
          <w:szCs w:val="24"/>
        </w:rPr>
      </w:pPr>
      <w:r>
        <w:rPr>
          <w:noProof/>
          <w:lang w:val="en-US"/>
        </w:rPr>
        <w:drawing>
          <wp:inline distT="0" distB="0" distL="0" distR="0">
            <wp:extent cx="3489960" cy="3093720"/>
            <wp:effectExtent l="0" t="0" r="0" b="0"/>
            <wp:docPr id="1" name="Picture 1" descr="cid:image001.png@01D4D825.08828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825.08828C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9960" cy="3093720"/>
                    </a:xfrm>
                    <a:prstGeom prst="rect">
                      <a:avLst/>
                    </a:prstGeom>
                    <a:noFill/>
                    <a:ln>
                      <a:noFill/>
                    </a:ln>
                  </pic:spPr>
                </pic:pic>
              </a:graphicData>
            </a:graphic>
          </wp:inline>
        </w:drawing>
      </w:r>
    </w:p>
    <w:p w:rsidR="00035EFF" w:rsidRDefault="00035EFF" w:rsidP="007678FB">
      <w:pPr>
        <w:spacing w:after="0" w:line="240" w:lineRule="auto"/>
        <w:rPr>
          <w:rFonts w:ascii="Arial" w:hAnsi="Arial" w:cs="Arial"/>
          <w:b/>
          <w:sz w:val="24"/>
          <w:szCs w:val="24"/>
        </w:rPr>
      </w:pPr>
    </w:p>
    <w:p w:rsidR="003B2952" w:rsidRDefault="003B2952" w:rsidP="007678FB">
      <w:pPr>
        <w:spacing w:after="0" w:line="240" w:lineRule="auto"/>
        <w:rPr>
          <w:rFonts w:ascii="Arial" w:hAnsi="Arial" w:cs="Arial"/>
          <w:b/>
          <w:sz w:val="24"/>
          <w:szCs w:val="24"/>
        </w:rPr>
      </w:pPr>
    </w:p>
    <w:p w:rsidR="00D0736F" w:rsidRPr="00D0736F" w:rsidRDefault="00D0736F" w:rsidP="00D0736F">
      <w:pPr>
        <w:spacing w:after="0"/>
        <w:rPr>
          <w:rFonts w:ascii="Arial" w:hAnsi="Arial" w:cs="Arial"/>
          <w:sz w:val="24"/>
          <w:szCs w:val="24"/>
        </w:rPr>
      </w:pPr>
    </w:p>
    <w:p w:rsidR="00D0736F" w:rsidRPr="00D0736F" w:rsidRDefault="00D0736F" w:rsidP="00D0736F">
      <w:pPr>
        <w:spacing w:after="0"/>
        <w:rPr>
          <w:rFonts w:ascii="Arial" w:hAnsi="Arial" w:cs="Arial"/>
          <w:sz w:val="24"/>
          <w:szCs w:val="24"/>
          <w:highlight w:val="yellow"/>
        </w:rPr>
      </w:pPr>
    </w:p>
    <w:sectPr w:rsidR="00D0736F" w:rsidRPr="00D0736F"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EC" w:rsidRDefault="00F101EC" w:rsidP="00334469">
      <w:pPr>
        <w:spacing w:after="0" w:line="240" w:lineRule="auto"/>
      </w:pPr>
      <w:r>
        <w:separator/>
      </w:r>
    </w:p>
  </w:endnote>
  <w:endnote w:type="continuationSeparator" w:id="0">
    <w:p w:rsidR="00F101EC" w:rsidRDefault="00F101EC" w:rsidP="0033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12" w:rsidRDefault="009E66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A2F66">
      <w:rPr>
        <w:caps/>
        <w:noProof/>
        <w:color w:val="4F81BD" w:themeColor="accent1"/>
      </w:rPr>
      <w:t>2</w:t>
    </w:r>
    <w:r>
      <w:rPr>
        <w:caps/>
        <w:noProof/>
        <w:color w:val="4F81BD" w:themeColor="accent1"/>
      </w:rPr>
      <w:fldChar w:fldCharType="end"/>
    </w:r>
  </w:p>
  <w:p w:rsidR="003A4F64" w:rsidRDefault="003A4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EC" w:rsidRDefault="00F101EC" w:rsidP="00334469">
      <w:pPr>
        <w:spacing w:after="0" w:line="240" w:lineRule="auto"/>
      </w:pPr>
      <w:r>
        <w:separator/>
      </w:r>
    </w:p>
  </w:footnote>
  <w:footnote w:type="continuationSeparator" w:id="0">
    <w:p w:rsidR="00F101EC" w:rsidRDefault="00F101EC" w:rsidP="00334469">
      <w:pPr>
        <w:spacing w:after="0" w:line="240" w:lineRule="auto"/>
      </w:pPr>
      <w:r>
        <w:continuationSeparator/>
      </w:r>
    </w:p>
  </w:footnote>
  <w:footnote w:id="1">
    <w:p w:rsidR="00E40DB5" w:rsidRPr="00E40DB5" w:rsidRDefault="00E40DB5">
      <w:pPr>
        <w:pStyle w:val="FootnoteText"/>
        <w:rPr>
          <w:lang w:val="en-US"/>
        </w:rPr>
      </w:pPr>
      <w:r>
        <w:rPr>
          <w:rStyle w:val="FootnoteReference"/>
        </w:rPr>
        <w:footnoteRef/>
      </w:r>
      <w:r>
        <w:t xml:space="preserve"> </w:t>
      </w:r>
      <w:r w:rsidRPr="00E40DB5">
        <w:t>https://www.oeb.ca/industry/rules-codes-and-requirements/prescribed-interest-rates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12" w:rsidRDefault="009E6612">
    <w:pPr>
      <w:pStyle w:val="Header"/>
    </w:pPr>
    <w:r>
      <w:ptab w:relativeTo="margin" w:alignment="center" w:leader="none"/>
    </w:r>
    <w:r>
      <w:ptab w:relativeTo="margin" w:alignment="right" w:leader="none"/>
    </w:r>
    <w:r w:rsidR="00FE1FB2">
      <w:t>ERTH Power Corporation</w:t>
    </w:r>
  </w:p>
  <w:p w:rsidR="009E6612" w:rsidRDefault="009E6612">
    <w:pPr>
      <w:pStyle w:val="Header"/>
    </w:pPr>
    <w:r>
      <w:tab/>
    </w:r>
    <w:r>
      <w:tab/>
      <w:t>2019 IRM Application</w:t>
    </w:r>
  </w:p>
  <w:p w:rsidR="009E6612" w:rsidRDefault="009E6612">
    <w:pPr>
      <w:pStyle w:val="Header"/>
    </w:pPr>
    <w:r>
      <w:tab/>
    </w:r>
    <w:r>
      <w:tab/>
      <w:t>OEB Staff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45910"/>
    <w:multiLevelType w:val="hybridMultilevel"/>
    <w:tmpl w:val="83B894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00AAC"/>
    <w:multiLevelType w:val="hybridMultilevel"/>
    <w:tmpl w:val="273A25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385BCA"/>
    <w:multiLevelType w:val="hybridMultilevel"/>
    <w:tmpl w:val="F36289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E675C"/>
    <w:multiLevelType w:val="hybridMultilevel"/>
    <w:tmpl w:val="7494B59A"/>
    <w:lvl w:ilvl="0" w:tplc="D85CEB2C">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E0103E"/>
    <w:multiLevelType w:val="hybridMultilevel"/>
    <w:tmpl w:val="C6E49E9C"/>
    <w:lvl w:ilvl="0" w:tplc="D256AB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FF0F7C"/>
    <w:multiLevelType w:val="hybridMultilevel"/>
    <w:tmpl w:val="A9AA506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C944CDC"/>
    <w:multiLevelType w:val="hybridMultilevel"/>
    <w:tmpl w:val="9F1EA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9974FA"/>
    <w:multiLevelType w:val="hybridMultilevel"/>
    <w:tmpl w:val="CD26B2F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1">
      <w:start w:val="1"/>
      <w:numFmt w:val="decimal"/>
      <w:lvlText w:val="%3)"/>
      <w:lvlJc w:val="left"/>
      <w:pPr>
        <w:ind w:left="1800" w:hanging="180"/>
      </w:pPr>
      <w:rPr>
        <w:rFonts w:hint="default"/>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430537"/>
    <w:multiLevelType w:val="hybridMultilevel"/>
    <w:tmpl w:val="76B20E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59738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E692C45"/>
    <w:multiLevelType w:val="hybridMultilevel"/>
    <w:tmpl w:val="78C82F6E"/>
    <w:lvl w:ilvl="0" w:tplc="D4042182">
      <w:start w:val="1"/>
      <w:numFmt w:val="lowerRoman"/>
      <w:lvlText w:val="%1."/>
      <w:lvlJc w:val="left"/>
      <w:pPr>
        <w:ind w:left="1170" w:hanging="360"/>
      </w:pPr>
      <w:rPr>
        <w:rFonts w:ascii="Arial" w:eastAsiaTheme="minorHAnsi"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BB76E6"/>
    <w:multiLevelType w:val="hybridMultilevel"/>
    <w:tmpl w:val="DB781A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3CC55E7"/>
    <w:multiLevelType w:val="hybridMultilevel"/>
    <w:tmpl w:val="F478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5E3A0F"/>
    <w:multiLevelType w:val="hybridMultilevel"/>
    <w:tmpl w:val="0922D50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15:restartNumberingAfterBreak="0">
    <w:nsid w:val="69B757DC"/>
    <w:multiLevelType w:val="hybridMultilevel"/>
    <w:tmpl w:val="16A63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BF03112"/>
    <w:multiLevelType w:val="hybridMultilevel"/>
    <w:tmpl w:val="FB047A4A"/>
    <w:lvl w:ilvl="0" w:tplc="0F7A0FA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DEA6EE8"/>
    <w:multiLevelType w:val="hybridMultilevel"/>
    <w:tmpl w:val="CB368FE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32"/>
  </w:num>
  <w:num w:numId="4">
    <w:abstractNumId w:val="43"/>
  </w:num>
  <w:num w:numId="5">
    <w:abstractNumId w:val="17"/>
  </w:num>
  <w:num w:numId="6">
    <w:abstractNumId w:val="13"/>
  </w:num>
  <w:num w:numId="7">
    <w:abstractNumId w:val="25"/>
  </w:num>
  <w:num w:numId="8">
    <w:abstractNumId w:val="19"/>
  </w:num>
  <w:num w:numId="9">
    <w:abstractNumId w:val="21"/>
  </w:num>
  <w:num w:numId="10">
    <w:abstractNumId w:val="9"/>
  </w:num>
  <w:num w:numId="11">
    <w:abstractNumId w:val="24"/>
  </w:num>
  <w:num w:numId="12">
    <w:abstractNumId w:val="34"/>
  </w:num>
  <w:num w:numId="13">
    <w:abstractNumId w:val="8"/>
  </w:num>
  <w:num w:numId="14">
    <w:abstractNumId w:val="3"/>
  </w:num>
  <w:num w:numId="15">
    <w:abstractNumId w:val="42"/>
  </w:num>
  <w:num w:numId="16">
    <w:abstractNumId w:val="11"/>
  </w:num>
  <w:num w:numId="17">
    <w:abstractNumId w:val="29"/>
  </w:num>
  <w:num w:numId="18">
    <w:abstractNumId w:val="39"/>
  </w:num>
  <w:num w:numId="19">
    <w:abstractNumId w:val="41"/>
  </w:num>
  <w:num w:numId="20">
    <w:abstractNumId w:val="16"/>
  </w:num>
  <w:num w:numId="21">
    <w:abstractNumId w:val="37"/>
  </w:num>
  <w:num w:numId="22">
    <w:abstractNumId w:val="14"/>
  </w:num>
  <w:num w:numId="23">
    <w:abstractNumId w:val="33"/>
  </w:num>
  <w:num w:numId="24">
    <w:abstractNumId w:val="31"/>
  </w:num>
  <w:num w:numId="25">
    <w:abstractNumId w:val="6"/>
  </w:num>
  <w:num w:numId="26">
    <w:abstractNumId w:val="22"/>
  </w:num>
  <w:num w:numId="27">
    <w:abstractNumId w:val="26"/>
  </w:num>
  <w:num w:numId="28">
    <w:abstractNumId w:val="7"/>
  </w:num>
  <w:num w:numId="29">
    <w:abstractNumId w:val="5"/>
  </w:num>
  <w:num w:numId="30">
    <w:abstractNumId w:val="38"/>
  </w:num>
  <w:num w:numId="31">
    <w:abstractNumId w:val="36"/>
  </w:num>
  <w:num w:numId="32">
    <w:abstractNumId w:val="30"/>
  </w:num>
  <w:num w:numId="33">
    <w:abstractNumId w:val="4"/>
  </w:num>
  <w:num w:numId="34">
    <w:abstractNumId w:val="18"/>
  </w:num>
  <w:num w:numId="35">
    <w:abstractNumId w:val="27"/>
  </w:num>
  <w:num w:numId="36">
    <w:abstractNumId w:val="20"/>
  </w:num>
  <w:num w:numId="37">
    <w:abstractNumId w:val="35"/>
  </w:num>
  <w:num w:numId="38">
    <w:abstractNumId w:val="40"/>
  </w:num>
  <w:num w:numId="39">
    <w:abstractNumId w:val="12"/>
  </w:num>
  <w:num w:numId="40">
    <w:abstractNumId w:val="23"/>
  </w:num>
  <w:num w:numId="41">
    <w:abstractNumId w:val="28"/>
  </w:num>
  <w:num w:numId="42">
    <w:abstractNumId w:val="1"/>
  </w:num>
  <w:num w:numId="43">
    <w:abstractNumId w:val="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152B1"/>
    <w:rsid w:val="000164AB"/>
    <w:rsid w:val="0003073C"/>
    <w:rsid w:val="00035337"/>
    <w:rsid w:val="00035EFF"/>
    <w:rsid w:val="00054071"/>
    <w:rsid w:val="00057853"/>
    <w:rsid w:val="0006126D"/>
    <w:rsid w:val="00067F57"/>
    <w:rsid w:val="00071BEC"/>
    <w:rsid w:val="00074514"/>
    <w:rsid w:val="000832D4"/>
    <w:rsid w:val="00090160"/>
    <w:rsid w:val="000A2F66"/>
    <w:rsid w:val="000A350D"/>
    <w:rsid w:val="000A3927"/>
    <w:rsid w:val="000B01BC"/>
    <w:rsid w:val="000B3E7E"/>
    <w:rsid w:val="000C09AF"/>
    <w:rsid w:val="000C141D"/>
    <w:rsid w:val="000D223C"/>
    <w:rsid w:val="000E4006"/>
    <w:rsid w:val="000F1E3A"/>
    <w:rsid w:val="000F2653"/>
    <w:rsid w:val="000F487B"/>
    <w:rsid w:val="0012718D"/>
    <w:rsid w:val="00135B06"/>
    <w:rsid w:val="00164B99"/>
    <w:rsid w:val="00164E99"/>
    <w:rsid w:val="00183CC8"/>
    <w:rsid w:val="00184492"/>
    <w:rsid w:val="00187E9B"/>
    <w:rsid w:val="001927C2"/>
    <w:rsid w:val="001A13AD"/>
    <w:rsid w:val="001A4DCD"/>
    <w:rsid w:val="001C7170"/>
    <w:rsid w:val="00203092"/>
    <w:rsid w:val="00206E88"/>
    <w:rsid w:val="002208C0"/>
    <w:rsid w:val="00224416"/>
    <w:rsid w:val="00224C06"/>
    <w:rsid w:val="002326EF"/>
    <w:rsid w:val="00240881"/>
    <w:rsid w:val="0025687C"/>
    <w:rsid w:val="002738E7"/>
    <w:rsid w:val="00274A48"/>
    <w:rsid w:val="002764F1"/>
    <w:rsid w:val="00291CCC"/>
    <w:rsid w:val="0029290C"/>
    <w:rsid w:val="002A31CA"/>
    <w:rsid w:val="002A6415"/>
    <w:rsid w:val="002A6D2E"/>
    <w:rsid w:val="002B5930"/>
    <w:rsid w:val="002B7B7C"/>
    <w:rsid w:val="002C2BF2"/>
    <w:rsid w:val="002C5302"/>
    <w:rsid w:val="002C5E57"/>
    <w:rsid w:val="002C7646"/>
    <w:rsid w:val="002C7EF6"/>
    <w:rsid w:val="002E18DB"/>
    <w:rsid w:val="002F4756"/>
    <w:rsid w:val="00302509"/>
    <w:rsid w:val="003049C5"/>
    <w:rsid w:val="003157B5"/>
    <w:rsid w:val="00322B7D"/>
    <w:rsid w:val="00327645"/>
    <w:rsid w:val="00334469"/>
    <w:rsid w:val="00337A7E"/>
    <w:rsid w:val="00340C00"/>
    <w:rsid w:val="003702D1"/>
    <w:rsid w:val="00373FAD"/>
    <w:rsid w:val="003777B5"/>
    <w:rsid w:val="003832E7"/>
    <w:rsid w:val="003A20A0"/>
    <w:rsid w:val="003A4F64"/>
    <w:rsid w:val="003A58B0"/>
    <w:rsid w:val="003A6AD7"/>
    <w:rsid w:val="003A70D4"/>
    <w:rsid w:val="003B2952"/>
    <w:rsid w:val="003D3B15"/>
    <w:rsid w:val="003D5B60"/>
    <w:rsid w:val="00400DFC"/>
    <w:rsid w:val="00412DC6"/>
    <w:rsid w:val="00436AEE"/>
    <w:rsid w:val="004377B0"/>
    <w:rsid w:val="004403F9"/>
    <w:rsid w:val="004417B0"/>
    <w:rsid w:val="00441C5C"/>
    <w:rsid w:val="00445F34"/>
    <w:rsid w:val="00461BC7"/>
    <w:rsid w:val="00472C81"/>
    <w:rsid w:val="00475032"/>
    <w:rsid w:val="004859EF"/>
    <w:rsid w:val="004A4CED"/>
    <w:rsid w:val="004B7D1D"/>
    <w:rsid w:val="004D1538"/>
    <w:rsid w:val="004E09FE"/>
    <w:rsid w:val="004E6662"/>
    <w:rsid w:val="005164F5"/>
    <w:rsid w:val="0052560F"/>
    <w:rsid w:val="00556778"/>
    <w:rsid w:val="00561686"/>
    <w:rsid w:val="005666F2"/>
    <w:rsid w:val="00572064"/>
    <w:rsid w:val="00577F4A"/>
    <w:rsid w:val="00584369"/>
    <w:rsid w:val="00587A35"/>
    <w:rsid w:val="0059122C"/>
    <w:rsid w:val="005D215B"/>
    <w:rsid w:val="005F05CA"/>
    <w:rsid w:val="005F2A5F"/>
    <w:rsid w:val="005F4693"/>
    <w:rsid w:val="00601A67"/>
    <w:rsid w:val="00603431"/>
    <w:rsid w:val="006143AC"/>
    <w:rsid w:val="006210E0"/>
    <w:rsid w:val="006219D3"/>
    <w:rsid w:val="00621D99"/>
    <w:rsid w:val="00631D3D"/>
    <w:rsid w:val="0064279A"/>
    <w:rsid w:val="00644B9D"/>
    <w:rsid w:val="00652B84"/>
    <w:rsid w:val="0065598D"/>
    <w:rsid w:val="0066379F"/>
    <w:rsid w:val="00664821"/>
    <w:rsid w:val="006A5D23"/>
    <w:rsid w:val="006E1405"/>
    <w:rsid w:val="006E3D58"/>
    <w:rsid w:val="006E67A8"/>
    <w:rsid w:val="00704EE5"/>
    <w:rsid w:val="007066E2"/>
    <w:rsid w:val="00722640"/>
    <w:rsid w:val="0073197E"/>
    <w:rsid w:val="00733154"/>
    <w:rsid w:val="00744165"/>
    <w:rsid w:val="00746080"/>
    <w:rsid w:val="007678FB"/>
    <w:rsid w:val="00772B57"/>
    <w:rsid w:val="00781D04"/>
    <w:rsid w:val="007A0822"/>
    <w:rsid w:val="007A3D45"/>
    <w:rsid w:val="007C2D45"/>
    <w:rsid w:val="007C3747"/>
    <w:rsid w:val="007F08F0"/>
    <w:rsid w:val="007F49EB"/>
    <w:rsid w:val="00805FDA"/>
    <w:rsid w:val="0080703E"/>
    <w:rsid w:val="00812C1B"/>
    <w:rsid w:val="00835AD0"/>
    <w:rsid w:val="008747B3"/>
    <w:rsid w:val="008813C3"/>
    <w:rsid w:val="008926F0"/>
    <w:rsid w:val="00894FA2"/>
    <w:rsid w:val="008964E8"/>
    <w:rsid w:val="008A48F6"/>
    <w:rsid w:val="008E0C7C"/>
    <w:rsid w:val="008E1B8A"/>
    <w:rsid w:val="008E6045"/>
    <w:rsid w:val="0090113B"/>
    <w:rsid w:val="00905E95"/>
    <w:rsid w:val="009268D9"/>
    <w:rsid w:val="0093258A"/>
    <w:rsid w:val="009344F8"/>
    <w:rsid w:val="0094373C"/>
    <w:rsid w:val="00946DEE"/>
    <w:rsid w:val="00951E2B"/>
    <w:rsid w:val="00952939"/>
    <w:rsid w:val="00955B33"/>
    <w:rsid w:val="00961EA0"/>
    <w:rsid w:val="00987E4B"/>
    <w:rsid w:val="009A5C44"/>
    <w:rsid w:val="009B03AF"/>
    <w:rsid w:val="009B66D1"/>
    <w:rsid w:val="009C4216"/>
    <w:rsid w:val="009D2175"/>
    <w:rsid w:val="009D5F4B"/>
    <w:rsid w:val="009E626E"/>
    <w:rsid w:val="009E6612"/>
    <w:rsid w:val="009E7CBF"/>
    <w:rsid w:val="009F4885"/>
    <w:rsid w:val="00A03120"/>
    <w:rsid w:val="00A07077"/>
    <w:rsid w:val="00A1162D"/>
    <w:rsid w:val="00A27DB8"/>
    <w:rsid w:val="00A30EEC"/>
    <w:rsid w:val="00A50DD0"/>
    <w:rsid w:val="00A516B0"/>
    <w:rsid w:val="00A553FA"/>
    <w:rsid w:val="00A5620A"/>
    <w:rsid w:val="00A62B23"/>
    <w:rsid w:val="00A66B79"/>
    <w:rsid w:val="00A76CAE"/>
    <w:rsid w:val="00A85AC3"/>
    <w:rsid w:val="00A928CE"/>
    <w:rsid w:val="00AA06D9"/>
    <w:rsid w:val="00AB5C90"/>
    <w:rsid w:val="00AC0F38"/>
    <w:rsid w:val="00AC2406"/>
    <w:rsid w:val="00AC538A"/>
    <w:rsid w:val="00AD3FCF"/>
    <w:rsid w:val="00AE5210"/>
    <w:rsid w:val="00B03802"/>
    <w:rsid w:val="00B069AA"/>
    <w:rsid w:val="00B23A36"/>
    <w:rsid w:val="00B25576"/>
    <w:rsid w:val="00B25EF5"/>
    <w:rsid w:val="00B30C63"/>
    <w:rsid w:val="00B41512"/>
    <w:rsid w:val="00B42EA6"/>
    <w:rsid w:val="00B50EB2"/>
    <w:rsid w:val="00B54E4B"/>
    <w:rsid w:val="00B627D5"/>
    <w:rsid w:val="00B65FA0"/>
    <w:rsid w:val="00B6722A"/>
    <w:rsid w:val="00B73D0B"/>
    <w:rsid w:val="00B82D78"/>
    <w:rsid w:val="00B83B96"/>
    <w:rsid w:val="00BA434C"/>
    <w:rsid w:val="00BC3488"/>
    <w:rsid w:val="00BD4F65"/>
    <w:rsid w:val="00BF603A"/>
    <w:rsid w:val="00C06F9E"/>
    <w:rsid w:val="00C13E6B"/>
    <w:rsid w:val="00C2370B"/>
    <w:rsid w:val="00C42DA8"/>
    <w:rsid w:val="00C437CD"/>
    <w:rsid w:val="00C624D5"/>
    <w:rsid w:val="00C72F31"/>
    <w:rsid w:val="00C7364B"/>
    <w:rsid w:val="00C848A0"/>
    <w:rsid w:val="00C86662"/>
    <w:rsid w:val="00C878C5"/>
    <w:rsid w:val="00C96AEA"/>
    <w:rsid w:val="00CB2FC8"/>
    <w:rsid w:val="00CC0B6D"/>
    <w:rsid w:val="00CC1F83"/>
    <w:rsid w:val="00CE1CD3"/>
    <w:rsid w:val="00CE4F01"/>
    <w:rsid w:val="00CF620C"/>
    <w:rsid w:val="00D0736F"/>
    <w:rsid w:val="00D4551A"/>
    <w:rsid w:val="00D55546"/>
    <w:rsid w:val="00D6213C"/>
    <w:rsid w:val="00D647C0"/>
    <w:rsid w:val="00D77694"/>
    <w:rsid w:val="00D77B0F"/>
    <w:rsid w:val="00D8645A"/>
    <w:rsid w:val="00DA28C6"/>
    <w:rsid w:val="00DB6B52"/>
    <w:rsid w:val="00DC4D92"/>
    <w:rsid w:val="00DE5488"/>
    <w:rsid w:val="00DE75AC"/>
    <w:rsid w:val="00DF1CDE"/>
    <w:rsid w:val="00DF5A52"/>
    <w:rsid w:val="00E17C58"/>
    <w:rsid w:val="00E231C2"/>
    <w:rsid w:val="00E34CF3"/>
    <w:rsid w:val="00E40DB5"/>
    <w:rsid w:val="00E429DA"/>
    <w:rsid w:val="00E503C8"/>
    <w:rsid w:val="00E5783E"/>
    <w:rsid w:val="00E62585"/>
    <w:rsid w:val="00E62C2A"/>
    <w:rsid w:val="00E72A39"/>
    <w:rsid w:val="00E8586E"/>
    <w:rsid w:val="00E96A06"/>
    <w:rsid w:val="00EA0919"/>
    <w:rsid w:val="00EA64F2"/>
    <w:rsid w:val="00EA71E7"/>
    <w:rsid w:val="00EB5240"/>
    <w:rsid w:val="00EC0B55"/>
    <w:rsid w:val="00ED1E35"/>
    <w:rsid w:val="00ED4FAF"/>
    <w:rsid w:val="00F034BF"/>
    <w:rsid w:val="00F101EC"/>
    <w:rsid w:val="00F22E0B"/>
    <w:rsid w:val="00F233A3"/>
    <w:rsid w:val="00F26D30"/>
    <w:rsid w:val="00F30992"/>
    <w:rsid w:val="00F35689"/>
    <w:rsid w:val="00F445BD"/>
    <w:rsid w:val="00F46379"/>
    <w:rsid w:val="00F57152"/>
    <w:rsid w:val="00F7362C"/>
    <w:rsid w:val="00F7759A"/>
    <w:rsid w:val="00F92F61"/>
    <w:rsid w:val="00F97AF4"/>
    <w:rsid w:val="00FB6F10"/>
    <w:rsid w:val="00FC3D03"/>
    <w:rsid w:val="00FC4CF8"/>
    <w:rsid w:val="00FC5DA7"/>
    <w:rsid w:val="00FD029D"/>
    <w:rsid w:val="00FD5796"/>
    <w:rsid w:val="00FE1FB2"/>
    <w:rsid w:val="00FF0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422B3F-AA19-439D-8D0C-22605A15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4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69"/>
    <w:rPr>
      <w:sz w:val="20"/>
      <w:szCs w:val="20"/>
    </w:rPr>
  </w:style>
  <w:style w:type="character" w:styleId="FootnoteReference">
    <w:name w:val="footnote reference"/>
    <w:basedOn w:val="DefaultParagraphFont"/>
    <w:uiPriority w:val="99"/>
    <w:semiHidden/>
    <w:unhideWhenUsed/>
    <w:rsid w:val="00334469"/>
    <w:rPr>
      <w:vertAlign w:val="superscript"/>
    </w:rPr>
  </w:style>
  <w:style w:type="paragraph" w:styleId="Header">
    <w:name w:val="header"/>
    <w:basedOn w:val="Normal"/>
    <w:link w:val="HeaderChar"/>
    <w:uiPriority w:val="99"/>
    <w:unhideWhenUsed/>
    <w:rsid w:val="003A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656153250">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4D825.08828C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424D-F8AC-4E28-A55E-5458624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Katherine Wang</cp:lastModifiedBy>
  <cp:revision>2</cp:revision>
  <cp:lastPrinted>2014-09-29T14:43:00Z</cp:lastPrinted>
  <dcterms:created xsi:type="dcterms:W3CDTF">2019-03-12T14:00:00Z</dcterms:created>
  <dcterms:modified xsi:type="dcterms:W3CDTF">2019-03-12T14:00:00Z</dcterms:modified>
</cp:coreProperties>
</file>