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077" w:rsidRPr="007678FB" w:rsidRDefault="00A07077" w:rsidP="00A07077">
      <w:pPr>
        <w:pStyle w:val="Default"/>
        <w:rPr>
          <w:rFonts w:ascii="Arial" w:hAnsi="Arial" w:cs="Arial"/>
          <w:sz w:val="22"/>
          <w:szCs w:val="22"/>
        </w:rPr>
      </w:pPr>
    </w:p>
    <w:p w:rsidR="00A07077" w:rsidRDefault="009E6612" w:rsidP="00543438">
      <w:pPr>
        <w:pStyle w:val="Default"/>
        <w:jc w:val="center"/>
        <w:rPr>
          <w:rFonts w:ascii="Arial" w:hAnsi="Arial" w:cs="Arial"/>
          <w:b/>
          <w:bCs/>
          <w:sz w:val="32"/>
          <w:szCs w:val="28"/>
        </w:rPr>
      </w:pPr>
      <w:r>
        <w:rPr>
          <w:rFonts w:ascii="Arial" w:hAnsi="Arial" w:cs="Arial"/>
          <w:b/>
          <w:bCs/>
          <w:sz w:val="32"/>
          <w:szCs w:val="28"/>
        </w:rPr>
        <w:t>Hydro 2000 Inc. (Hydro 2000 Inc.</w:t>
      </w:r>
      <w:r w:rsidR="007678FB" w:rsidRPr="009344F8">
        <w:rPr>
          <w:rFonts w:ascii="Arial" w:hAnsi="Arial" w:cs="Arial"/>
          <w:b/>
          <w:bCs/>
          <w:sz w:val="32"/>
          <w:szCs w:val="28"/>
        </w:rPr>
        <w:t>)</w:t>
      </w:r>
      <w:r w:rsidR="00543438">
        <w:rPr>
          <w:rFonts w:ascii="Arial" w:hAnsi="Arial" w:cs="Arial"/>
          <w:b/>
          <w:bCs/>
          <w:sz w:val="32"/>
          <w:szCs w:val="28"/>
        </w:rPr>
        <w:t xml:space="preserve"> </w:t>
      </w:r>
      <w:r w:rsidR="00543438" w:rsidRPr="00543438">
        <w:rPr>
          <w:rFonts w:ascii="Arial" w:hAnsi="Arial" w:cs="Arial"/>
          <w:b/>
          <w:bCs/>
          <w:sz w:val="32"/>
          <w:szCs w:val="28"/>
        </w:rPr>
        <w:t>EB-2018-0039</w:t>
      </w:r>
    </w:p>
    <w:p w:rsidR="00543438" w:rsidRPr="00797B89" w:rsidRDefault="00797B89" w:rsidP="00A07077">
      <w:pPr>
        <w:pStyle w:val="Default"/>
        <w:jc w:val="center"/>
        <w:rPr>
          <w:rFonts w:ascii="Arial" w:hAnsi="Arial" w:cs="Arial"/>
          <w:color w:val="0070C0"/>
          <w:sz w:val="32"/>
          <w:szCs w:val="28"/>
        </w:rPr>
      </w:pPr>
      <w:r w:rsidRPr="00797B89">
        <w:rPr>
          <w:rFonts w:ascii="Arial" w:hAnsi="Arial" w:cs="Arial"/>
          <w:b/>
          <w:bCs/>
          <w:color w:val="0070C0"/>
          <w:sz w:val="32"/>
          <w:szCs w:val="28"/>
        </w:rPr>
        <w:t xml:space="preserve">Responses to </w:t>
      </w:r>
      <w:r w:rsidR="00543438" w:rsidRPr="00797B89">
        <w:rPr>
          <w:rFonts w:ascii="Arial" w:hAnsi="Arial" w:cs="Arial"/>
          <w:b/>
          <w:bCs/>
          <w:color w:val="0070C0"/>
          <w:sz w:val="32"/>
          <w:szCs w:val="28"/>
        </w:rPr>
        <w:t>OEB Staff Follow-up Questions</w:t>
      </w:r>
    </w:p>
    <w:p w:rsidR="009344F8" w:rsidRPr="00797B89" w:rsidRDefault="00926EA4" w:rsidP="00926EA4">
      <w:pPr>
        <w:pStyle w:val="Default"/>
        <w:jc w:val="center"/>
        <w:rPr>
          <w:rFonts w:ascii="Arial" w:hAnsi="Arial" w:cs="Arial"/>
          <w:b/>
          <w:bCs/>
          <w:color w:val="0070C0"/>
          <w:szCs w:val="28"/>
        </w:rPr>
      </w:pPr>
      <w:r w:rsidRPr="00797B89">
        <w:rPr>
          <w:rFonts w:ascii="Arial" w:hAnsi="Arial" w:cs="Arial"/>
          <w:b/>
          <w:bCs/>
          <w:color w:val="0070C0"/>
          <w:szCs w:val="28"/>
        </w:rPr>
        <w:t xml:space="preserve">March </w:t>
      </w:r>
      <w:r w:rsidR="00797B89" w:rsidRPr="00797B89">
        <w:rPr>
          <w:rFonts w:ascii="Arial" w:hAnsi="Arial" w:cs="Arial"/>
          <w:b/>
          <w:bCs/>
          <w:color w:val="0070C0"/>
          <w:szCs w:val="28"/>
        </w:rPr>
        <w:t>1</w:t>
      </w:r>
      <w:r w:rsidR="008D4B01">
        <w:rPr>
          <w:rFonts w:ascii="Arial" w:hAnsi="Arial" w:cs="Arial"/>
          <w:b/>
          <w:bCs/>
          <w:color w:val="0070C0"/>
          <w:szCs w:val="28"/>
        </w:rPr>
        <w:t>8</w:t>
      </w:r>
      <w:bookmarkStart w:id="0" w:name="_GoBack"/>
      <w:bookmarkEnd w:id="0"/>
      <w:r w:rsidR="00543438" w:rsidRPr="00797B89">
        <w:rPr>
          <w:rFonts w:ascii="Arial" w:hAnsi="Arial" w:cs="Arial"/>
          <w:b/>
          <w:bCs/>
          <w:color w:val="0070C0"/>
          <w:szCs w:val="28"/>
        </w:rPr>
        <w:t>,</w:t>
      </w:r>
      <w:r w:rsidR="009344F8" w:rsidRPr="00797B89">
        <w:rPr>
          <w:rFonts w:ascii="Arial" w:hAnsi="Arial" w:cs="Arial"/>
          <w:b/>
          <w:bCs/>
          <w:color w:val="0070C0"/>
          <w:szCs w:val="28"/>
        </w:rPr>
        <w:t xml:space="preserve"> 2019</w:t>
      </w:r>
    </w:p>
    <w:p w:rsidR="00EC0B55" w:rsidRDefault="00EC0B55" w:rsidP="00302509">
      <w:pPr>
        <w:autoSpaceDE w:val="0"/>
        <w:autoSpaceDN w:val="0"/>
        <w:adjustRightInd w:val="0"/>
        <w:spacing w:after="0" w:line="240" w:lineRule="auto"/>
        <w:rPr>
          <w:rFonts w:ascii="Arial" w:hAnsi="Arial" w:cs="Arial"/>
          <w:b/>
          <w:bCs/>
          <w:color w:val="000000"/>
          <w:sz w:val="24"/>
          <w:szCs w:val="24"/>
        </w:rPr>
      </w:pPr>
    </w:p>
    <w:p w:rsidR="00BF603A" w:rsidRDefault="00BF603A" w:rsidP="00E34CF3">
      <w:pPr>
        <w:autoSpaceDE w:val="0"/>
        <w:autoSpaceDN w:val="0"/>
        <w:adjustRightInd w:val="0"/>
        <w:spacing w:after="0"/>
        <w:rPr>
          <w:rFonts w:ascii="Arial" w:hAnsi="Arial" w:cs="Arial"/>
          <w:b/>
          <w:bCs/>
          <w:color w:val="000000"/>
          <w:sz w:val="24"/>
          <w:szCs w:val="24"/>
        </w:rPr>
      </w:pPr>
    </w:p>
    <w:p w:rsidR="00327645" w:rsidRDefault="00543438" w:rsidP="00327645">
      <w:pPr>
        <w:spacing w:after="0"/>
        <w:rPr>
          <w:rFonts w:ascii="Arial" w:hAnsi="Arial" w:cs="Arial"/>
          <w:b/>
          <w:sz w:val="24"/>
          <w:szCs w:val="24"/>
        </w:rPr>
      </w:pPr>
      <w:r>
        <w:rPr>
          <w:rFonts w:ascii="Arial" w:hAnsi="Arial" w:cs="Arial"/>
          <w:b/>
          <w:sz w:val="24"/>
          <w:szCs w:val="24"/>
        </w:rPr>
        <w:t xml:space="preserve">Follow-up </w:t>
      </w:r>
      <w:r w:rsidR="00327645">
        <w:rPr>
          <w:rFonts w:ascii="Arial" w:hAnsi="Arial" w:cs="Arial"/>
          <w:b/>
          <w:sz w:val="24"/>
          <w:szCs w:val="24"/>
        </w:rPr>
        <w:t>Question-1</w:t>
      </w:r>
    </w:p>
    <w:p w:rsidR="00543438" w:rsidRDefault="00543438" w:rsidP="00327645">
      <w:pPr>
        <w:spacing w:after="0"/>
        <w:rPr>
          <w:rFonts w:ascii="Arial" w:hAnsi="Arial" w:cs="Arial"/>
          <w:b/>
          <w:sz w:val="24"/>
          <w:szCs w:val="24"/>
        </w:rPr>
      </w:pPr>
      <w:r>
        <w:rPr>
          <w:rFonts w:ascii="Arial" w:hAnsi="Arial" w:cs="Arial"/>
          <w:b/>
          <w:sz w:val="24"/>
          <w:szCs w:val="24"/>
        </w:rPr>
        <w:t>Ref: Staff Question 5 and Hydro 2000’s Response</w:t>
      </w:r>
    </w:p>
    <w:p w:rsidR="00327645" w:rsidRDefault="00327645" w:rsidP="00327645">
      <w:pPr>
        <w:spacing w:after="0"/>
        <w:rPr>
          <w:rFonts w:ascii="Arial" w:hAnsi="Arial" w:cs="Arial"/>
          <w:b/>
          <w:sz w:val="24"/>
          <w:szCs w:val="24"/>
        </w:rPr>
      </w:pPr>
    </w:p>
    <w:p w:rsidR="005324EB" w:rsidRDefault="00543438" w:rsidP="00327645">
      <w:pPr>
        <w:spacing w:after="0"/>
        <w:rPr>
          <w:rFonts w:ascii="Arial" w:hAnsi="Arial" w:cs="Arial"/>
          <w:sz w:val="24"/>
          <w:szCs w:val="24"/>
        </w:rPr>
      </w:pPr>
      <w:r>
        <w:rPr>
          <w:rFonts w:ascii="Arial" w:hAnsi="Arial" w:cs="Arial"/>
          <w:sz w:val="24"/>
          <w:szCs w:val="24"/>
        </w:rPr>
        <w:t xml:space="preserve">Please review OEB Staff Question 5 dated February 8, 2019. Please note this question </w:t>
      </w:r>
      <w:r w:rsidR="004723E4">
        <w:rPr>
          <w:rFonts w:ascii="Arial" w:hAnsi="Arial" w:cs="Arial"/>
          <w:sz w:val="24"/>
          <w:szCs w:val="24"/>
        </w:rPr>
        <w:t xml:space="preserve">was not asking Hydro 2000 to remove the starting year of 2012 in the DVA continuity schedule. The question notes that </w:t>
      </w:r>
      <w:r w:rsidR="004723E4" w:rsidRPr="004723E4">
        <w:rPr>
          <w:rFonts w:ascii="Arial" w:hAnsi="Arial" w:cs="Arial"/>
          <w:sz w:val="24"/>
          <w:szCs w:val="24"/>
          <w:u w:val="single"/>
        </w:rPr>
        <w:t>Accounts 1595 (2009), 1595 (2010) and 1595 (2011)</w:t>
      </w:r>
      <w:r w:rsidR="004723E4">
        <w:rPr>
          <w:rFonts w:ascii="Arial" w:hAnsi="Arial" w:cs="Arial"/>
          <w:sz w:val="24"/>
          <w:szCs w:val="24"/>
        </w:rPr>
        <w:t xml:space="preserve"> have already been removed from this year’s continuity schedule. Therefore, it’</w:t>
      </w:r>
      <w:r w:rsidR="00CA140F">
        <w:rPr>
          <w:rFonts w:ascii="Arial" w:hAnsi="Arial" w:cs="Arial"/>
          <w:sz w:val="24"/>
          <w:szCs w:val="24"/>
        </w:rPr>
        <w:t>s not necessary or appropriate</w:t>
      </w:r>
      <w:r w:rsidR="004723E4">
        <w:rPr>
          <w:rFonts w:ascii="Arial" w:hAnsi="Arial" w:cs="Arial"/>
          <w:sz w:val="24"/>
          <w:szCs w:val="24"/>
        </w:rPr>
        <w:t xml:space="preserve"> to enter any balances in t</w:t>
      </w:r>
      <w:r w:rsidR="00CA140F">
        <w:rPr>
          <w:rFonts w:ascii="Arial" w:hAnsi="Arial" w:cs="Arial"/>
          <w:sz w:val="24"/>
          <w:szCs w:val="24"/>
        </w:rPr>
        <w:t>hese three sub-accounts into</w:t>
      </w:r>
      <w:r w:rsidR="004723E4">
        <w:rPr>
          <w:rFonts w:ascii="Arial" w:hAnsi="Arial" w:cs="Arial"/>
          <w:sz w:val="24"/>
          <w:szCs w:val="24"/>
        </w:rPr>
        <w:t xml:space="preserve"> any cells in tab 3 continuity schedule. </w:t>
      </w:r>
      <w:r w:rsidR="00CA140F">
        <w:rPr>
          <w:rFonts w:ascii="Arial" w:hAnsi="Arial" w:cs="Arial"/>
          <w:sz w:val="24"/>
          <w:szCs w:val="24"/>
        </w:rPr>
        <w:t>Also, the balances in sub-account 1595 (2012) should only be entered in row 31. Please make necessary corrections to the continuity schedule.</w:t>
      </w:r>
      <w:r w:rsidR="005324EB">
        <w:rPr>
          <w:rFonts w:ascii="Arial" w:hAnsi="Arial" w:cs="Arial"/>
          <w:sz w:val="24"/>
          <w:szCs w:val="24"/>
        </w:rPr>
        <w:t xml:space="preserve"> </w:t>
      </w:r>
    </w:p>
    <w:p w:rsidR="005324EB" w:rsidRDefault="005324EB" w:rsidP="00327645">
      <w:pPr>
        <w:spacing w:after="0"/>
        <w:rPr>
          <w:rFonts w:ascii="Arial" w:hAnsi="Arial" w:cs="Arial"/>
          <w:sz w:val="24"/>
          <w:szCs w:val="24"/>
        </w:rPr>
      </w:pPr>
    </w:p>
    <w:p w:rsidR="00327645" w:rsidRPr="003B7C0A" w:rsidRDefault="005324EB" w:rsidP="00327645">
      <w:pPr>
        <w:spacing w:after="0"/>
        <w:rPr>
          <w:rFonts w:ascii="Arial" w:hAnsi="Arial" w:cs="Arial"/>
          <w:color w:val="0070C0"/>
          <w:sz w:val="24"/>
          <w:szCs w:val="24"/>
        </w:rPr>
      </w:pPr>
      <w:r w:rsidRPr="003B7C0A">
        <w:rPr>
          <w:rFonts w:ascii="Arial" w:hAnsi="Arial" w:cs="Arial"/>
          <w:color w:val="0070C0"/>
          <w:sz w:val="24"/>
          <w:szCs w:val="24"/>
        </w:rPr>
        <w:t>Hydro 2000:</w:t>
      </w:r>
      <w:r w:rsidR="003B7C0A" w:rsidRPr="003B7C0A">
        <w:rPr>
          <w:rFonts w:ascii="Arial" w:hAnsi="Arial" w:cs="Arial"/>
          <w:color w:val="0070C0"/>
          <w:sz w:val="24"/>
          <w:szCs w:val="24"/>
        </w:rPr>
        <w:t xml:space="preserve"> The amounts on line 31 now represents the balances for 2012 only.</w:t>
      </w:r>
    </w:p>
    <w:p w:rsidR="00327645" w:rsidRDefault="00327645" w:rsidP="00E34CF3">
      <w:pPr>
        <w:spacing w:after="0"/>
        <w:rPr>
          <w:rFonts w:ascii="Arial" w:hAnsi="Arial" w:cs="Arial"/>
          <w:b/>
          <w:sz w:val="24"/>
          <w:szCs w:val="24"/>
        </w:rPr>
      </w:pPr>
    </w:p>
    <w:p w:rsidR="005324EB" w:rsidRDefault="005324EB" w:rsidP="00E34CF3">
      <w:pPr>
        <w:spacing w:after="0"/>
        <w:rPr>
          <w:rFonts w:ascii="Arial" w:hAnsi="Arial" w:cs="Arial"/>
          <w:b/>
          <w:sz w:val="24"/>
          <w:szCs w:val="24"/>
        </w:rPr>
      </w:pPr>
    </w:p>
    <w:p w:rsidR="00FD029D" w:rsidRDefault="00D1782D" w:rsidP="00E34CF3">
      <w:pPr>
        <w:spacing w:after="0"/>
        <w:rPr>
          <w:rFonts w:ascii="Arial" w:hAnsi="Arial" w:cs="Arial"/>
          <w:b/>
          <w:sz w:val="24"/>
          <w:szCs w:val="24"/>
        </w:rPr>
      </w:pPr>
      <w:r>
        <w:rPr>
          <w:rFonts w:ascii="Arial" w:hAnsi="Arial" w:cs="Arial"/>
          <w:b/>
          <w:sz w:val="24"/>
          <w:szCs w:val="24"/>
        </w:rPr>
        <w:t>Follow-up</w:t>
      </w:r>
      <w:r w:rsidR="00744165">
        <w:rPr>
          <w:rFonts w:ascii="Arial" w:hAnsi="Arial" w:cs="Arial"/>
          <w:b/>
          <w:sz w:val="24"/>
          <w:szCs w:val="24"/>
        </w:rPr>
        <w:t xml:space="preserve"> Question-2</w:t>
      </w:r>
    </w:p>
    <w:p w:rsidR="00E34CF3" w:rsidRDefault="00CA140F" w:rsidP="00E34CF3">
      <w:pPr>
        <w:spacing w:after="0"/>
        <w:rPr>
          <w:rFonts w:ascii="Arial" w:hAnsi="Arial" w:cs="Arial"/>
          <w:b/>
          <w:sz w:val="24"/>
          <w:szCs w:val="24"/>
        </w:rPr>
      </w:pPr>
      <w:r>
        <w:rPr>
          <w:rFonts w:ascii="Arial" w:hAnsi="Arial" w:cs="Arial"/>
          <w:b/>
          <w:sz w:val="24"/>
          <w:szCs w:val="24"/>
        </w:rPr>
        <w:t xml:space="preserve">Ref: Staff Question 6 </w:t>
      </w:r>
      <w:r w:rsidR="00E94252">
        <w:rPr>
          <w:rFonts w:ascii="Arial" w:hAnsi="Arial" w:cs="Arial"/>
          <w:b/>
          <w:sz w:val="24"/>
          <w:szCs w:val="24"/>
        </w:rPr>
        <w:t xml:space="preserve">(1) &amp; (2) </w:t>
      </w:r>
      <w:r>
        <w:rPr>
          <w:rFonts w:ascii="Arial" w:hAnsi="Arial" w:cs="Arial"/>
          <w:b/>
          <w:sz w:val="24"/>
          <w:szCs w:val="24"/>
        </w:rPr>
        <w:t>and Hydro 2000’s Responses</w:t>
      </w:r>
    </w:p>
    <w:p w:rsidR="00E34CF3" w:rsidRDefault="00E34CF3" w:rsidP="00E34CF3">
      <w:pPr>
        <w:spacing w:after="0"/>
        <w:rPr>
          <w:rFonts w:ascii="Arial" w:hAnsi="Arial" w:cs="Arial"/>
          <w:sz w:val="24"/>
          <w:szCs w:val="24"/>
        </w:rPr>
      </w:pPr>
    </w:p>
    <w:p w:rsidR="008E0C7C" w:rsidRDefault="00E94252" w:rsidP="000A39AE">
      <w:pPr>
        <w:pStyle w:val="ListParagraph"/>
        <w:numPr>
          <w:ilvl w:val="0"/>
          <w:numId w:val="33"/>
        </w:numPr>
        <w:spacing w:after="0"/>
        <w:rPr>
          <w:rFonts w:ascii="Arial" w:hAnsi="Arial" w:cs="Arial"/>
          <w:sz w:val="24"/>
          <w:szCs w:val="24"/>
        </w:rPr>
      </w:pPr>
      <w:r>
        <w:rPr>
          <w:rFonts w:ascii="Arial" w:hAnsi="Arial" w:cs="Arial"/>
          <w:sz w:val="24"/>
          <w:szCs w:val="24"/>
        </w:rPr>
        <w:t xml:space="preserve">In response to Staff Question 6 (1), Hydro 2000 noted the adjustments were in relation to stranded meters and smart meters rate riders. Please provide details </w:t>
      </w:r>
      <w:r w:rsidR="00431C31">
        <w:rPr>
          <w:rFonts w:ascii="Arial" w:hAnsi="Arial" w:cs="Arial"/>
          <w:sz w:val="24"/>
          <w:szCs w:val="24"/>
        </w:rPr>
        <w:t>and calculations to illustrate</w:t>
      </w:r>
      <w:r>
        <w:rPr>
          <w:rFonts w:ascii="Arial" w:hAnsi="Arial" w:cs="Arial"/>
          <w:sz w:val="24"/>
          <w:szCs w:val="24"/>
        </w:rPr>
        <w:t xml:space="preserve"> how the values of these adjustments were determined.</w:t>
      </w:r>
    </w:p>
    <w:p w:rsidR="00E94252" w:rsidRDefault="00E94252" w:rsidP="00E94252">
      <w:pPr>
        <w:spacing w:after="0"/>
        <w:rPr>
          <w:rFonts w:ascii="Arial" w:hAnsi="Arial" w:cs="Arial"/>
          <w:sz w:val="24"/>
          <w:szCs w:val="24"/>
        </w:rPr>
      </w:pPr>
    </w:p>
    <w:p w:rsidR="005324EB" w:rsidRPr="000D22A6" w:rsidRDefault="005324EB" w:rsidP="005324EB">
      <w:pPr>
        <w:spacing w:after="0"/>
        <w:rPr>
          <w:rFonts w:ascii="Arial" w:hAnsi="Arial" w:cs="Arial"/>
          <w:color w:val="0070C0"/>
          <w:sz w:val="24"/>
          <w:szCs w:val="24"/>
        </w:rPr>
      </w:pPr>
      <w:r w:rsidRPr="000D22A6">
        <w:rPr>
          <w:rFonts w:ascii="Arial" w:hAnsi="Arial" w:cs="Arial"/>
          <w:color w:val="0070C0"/>
          <w:sz w:val="24"/>
          <w:szCs w:val="24"/>
        </w:rPr>
        <w:t>Hydro 2000:</w:t>
      </w:r>
      <w:r w:rsidR="000D22A6" w:rsidRPr="000D22A6">
        <w:rPr>
          <w:rFonts w:ascii="Arial" w:hAnsi="Arial" w:cs="Arial"/>
          <w:color w:val="0070C0"/>
          <w:sz w:val="24"/>
          <w:szCs w:val="24"/>
        </w:rPr>
        <w:t xml:space="preserve"> We were accumulating the amounts collected in accounts 1995. In 2015, we realized that there were no debits in those 1595 because the amount approved to be recovered was determine by a formula. Amounts collected after this date were coded directly in revenues. Amounts collected until then were transfer</w:t>
      </w:r>
      <w:r w:rsidR="000D22A6">
        <w:rPr>
          <w:rFonts w:ascii="Arial" w:hAnsi="Arial" w:cs="Arial"/>
          <w:color w:val="0070C0"/>
          <w:sz w:val="24"/>
          <w:szCs w:val="24"/>
        </w:rPr>
        <w:t>r</w:t>
      </w:r>
      <w:r w:rsidR="000D22A6" w:rsidRPr="000D22A6">
        <w:rPr>
          <w:rFonts w:ascii="Arial" w:hAnsi="Arial" w:cs="Arial"/>
          <w:color w:val="0070C0"/>
          <w:sz w:val="24"/>
          <w:szCs w:val="24"/>
        </w:rPr>
        <w:t>ed to revenues. At the date of the transfer, the amounts collected were:</w:t>
      </w:r>
    </w:p>
    <w:p w:rsidR="000D22A6" w:rsidRPr="000D22A6" w:rsidRDefault="000D22A6" w:rsidP="005324EB">
      <w:pPr>
        <w:spacing w:after="0"/>
        <w:rPr>
          <w:rFonts w:ascii="Arial" w:hAnsi="Arial" w:cs="Arial"/>
          <w:color w:val="0070C0"/>
          <w:sz w:val="24"/>
          <w:szCs w:val="24"/>
        </w:rPr>
      </w:pPr>
    </w:p>
    <w:p w:rsidR="000D22A6" w:rsidRPr="000D22A6" w:rsidRDefault="000D22A6" w:rsidP="005324EB">
      <w:pPr>
        <w:spacing w:after="0"/>
        <w:rPr>
          <w:rFonts w:ascii="Arial" w:hAnsi="Arial" w:cs="Arial"/>
          <w:color w:val="0070C0"/>
          <w:sz w:val="24"/>
          <w:szCs w:val="24"/>
        </w:rPr>
      </w:pPr>
      <w:r w:rsidRPr="000D22A6">
        <w:rPr>
          <w:rFonts w:ascii="Arial" w:hAnsi="Arial" w:cs="Arial"/>
          <w:color w:val="0070C0"/>
          <w:sz w:val="24"/>
          <w:szCs w:val="24"/>
        </w:rPr>
        <w:t>Smart meters</w:t>
      </w:r>
      <w:r w:rsidRPr="000D22A6">
        <w:rPr>
          <w:rFonts w:ascii="Arial" w:hAnsi="Arial" w:cs="Arial"/>
          <w:color w:val="0070C0"/>
          <w:sz w:val="24"/>
          <w:szCs w:val="24"/>
        </w:rPr>
        <w:tab/>
        <w:t>$22,539</w:t>
      </w:r>
    </w:p>
    <w:p w:rsidR="000D22A6" w:rsidRPr="000D22A6" w:rsidRDefault="000D22A6" w:rsidP="005324EB">
      <w:pPr>
        <w:spacing w:after="0"/>
        <w:rPr>
          <w:rFonts w:ascii="Arial" w:hAnsi="Arial" w:cs="Arial"/>
          <w:color w:val="0070C0"/>
          <w:sz w:val="24"/>
          <w:szCs w:val="24"/>
        </w:rPr>
      </w:pPr>
      <w:r w:rsidRPr="000D22A6">
        <w:rPr>
          <w:rFonts w:ascii="Arial" w:hAnsi="Arial" w:cs="Arial"/>
          <w:color w:val="0070C0"/>
          <w:sz w:val="24"/>
          <w:szCs w:val="24"/>
        </w:rPr>
        <w:t>Stranded meters</w:t>
      </w:r>
      <w:r w:rsidRPr="000D22A6">
        <w:rPr>
          <w:rFonts w:ascii="Arial" w:hAnsi="Arial" w:cs="Arial"/>
          <w:color w:val="0070C0"/>
          <w:sz w:val="24"/>
          <w:szCs w:val="24"/>
        </w:rPr>
        <w:tab/>
        <w:t>$10,769</w:t>
      </w:r>
    </w:p>
    <w:p w:rsidR="000D22A6" w:rsidRPr="000D22A6" w:rsidRDefault="000D22A6" w:rsidP="005324EB">
      <w:pPr>
        <w:spacing w:after="0"/>
        <w:rPr>
          <w:rFonts w:ascii="Arial" w:hAnsi="Arial" w:cs="Arial"/>
          <w:color w:val="0070C0"/>
          <w:sz w:val="24"/>
          <w:szCs w:val="24"/>
        </w:rPr>
      </w:pPr>
      <w:r w:rsidRPr="000D22A6">
        <w:rPr>
          <w:rFonts w:ascii="Arial" w:hAnsi="Arial" w:cs="Arial"/>
          <w:color w:val="0070C0"/>
          <w:sz w:val="24"/>
          <w:szCs w:val="24"/>
        </w:rPr>
        <w:t>Total</w:t>
      </w:r>
      <w:r w:rsidRPr="000D22A6">
        <w:rPr>
          <w:rFonts w:ascii="Arial" w:hAnsi="Arial" w:cs="Arial"/>
          <w:color w:val="0070C0"/>
          <w:sz w:val="24"/>
          <w:szCs w:val="24"/>
        </w:rPr>
        <w:tab/>
      </w:r>
      <w:r w:rsidRPr="000D22A6">
        <w:rPr>
          <w:rFonts w:ascii="Arial" w:hAnsi="Arial" w:cs="Arial"/>
          <w:color w:val="0070C0"/>
          <w:sz w:val="24"/>
          <w:szCs w:val="24"/>
        </w:rPr>
        <w:tab/>
      </w:r>
      <w:r w:rsidRPr="000D22A6">
        <w:rPr>
          <w:rFonts w:ascii="Arial" w:hAnsi="Arial" w:cs="Arial"/>
          <w:color w:val="0070C0"/>
          <w:sz w:val="24"/>
          <w:szCs w:val="24"/>
        </w:rPr>
        <w:tab/>
        <w:t>$33,308</w:t>
      </w:r>
    </w:p>
    <w:p w:rsidR="005324EB" w:rsidRPr="00E94252" w:rsidRDefault="005324EB" w:rsidP="00E94252">
      <w:pPr>
        <w:spacing w:after="0"/>
        <w:rPr>
          <w:rFonts w:ascii="Arial" w:hAnsi="Arial" w:cs="Arial"/>
          <w:sz w:val="24"/>
          <w:szCs w:val="24"/>
        </w:rPr>
      </w:pPr>
    </w:p>
    <w:p w:rsidR="008E0C7C" w:rsidRDefault="001F50EF" w:rsidP="00EB46C8">
      <w:pPr>
        <w:pStyle w:val="ListParagraph"/>
        <w:numPr>
          <w:ilvl w:val="0"/>
          <w:numId w:val="33"/>
        </w:numPr>
        <w:spacing w:after="0"/>
        <w:rPr>
          <w:rFonts w:ascii="Arial" w:hAnsi="Arial" w:cs="Arial"/>
          <w:sz w:val="24"/>
          <w:szCs w:val="24"/>
        </w:rPr>
      </w:pPr>
      <w:r>
        <w:rPr>
          <w:rFonts w:ascii="Arial" w:hAnsi="Arial" w:cs="Arial"/>
          <w:sz w:val="24"/>
          <w:szCs w:val="24"/>
        </w:rPr>
        <w:t xml:space="preserve">In response to Staff Question 6 (2), Hydro 2000 noted that there was a balance of $1,184 approved by OEB. Was this balance of $1,184 approved by the OEB for </w:t>
      </w:r>
      <w:r>
        <w:rPr>
          <w:rFonts w:ascii="Arial" w:hAnsi="Arial" w:cs="Arial"/>
          <w:sz w:val="24"/>
          <w:szCs w:val="24"/>
        </w:rPr>
        <w:lastRenderedPageBreak/>
        <w:t>disposition in the Decision and Rate Order for 2016 rates? Was this a balance in account 1595 (2015) as entered in the continuity schedule? Please provide evidenced with the answers.</w:t>
      </w:r>
    </w:p>
    <w:p w:rsidR="005324EB" w:rsidRPr="005324EB" w:rsidRDefault="005324EB" w:rsidP="005324EB">
      <w:pPr>
        <w:spacing w:after="0"/>
        <w:rPr>
          <w:rFonts w:ascii="Arial" w:hAnsi="Arial" w:cs="Arial"/>
          <w:sz w:val="24"/>
          <w:szCs w:val="24"/>
        </w:rPr>
      </w:pPr>
    </w:p>
    <w:p w:rsidR="005324EB" w:rsidRPr="00343A42" w:rsidRDefault="005324EB" w:rsidP="005324EB">
      <w:pPr>
        <w:spacing w:after="0"/>
        <w:rPr>
          <w:rFonts w:ascii="Arial" w:hAnsi="Arial" w:cs="Arial"/>
          <w:color w:val="0070C0"/>
          <w:sz w:val="24"/>
          <w:szCs w:val="24"/>
        </w:rPr>
      </w:pPr>
      <w:r w:rsidRPr="00343A42">
        <w:rPr>
          <w:rFonts w:ascii="Arial" w:hAnsi="Arial" w:cs="Arial"/>
          <w:color w:val="0070C0"/>
          <w:sz w:val="24"/>
          <w:szCs w:val="24"/>
        </w:rPr>
        <w:t>Hydro 2000:</w:t>
      </w:r>
      <w:r w:rsidR="00343A42" w:rsidRPr="00343A42">
        <w:rPr>
          <w:rFonts w:ascii="Arial" w:hAnsi="Arial" w:cs="Arial"/>
          <w:color w:val="0070C0"/>
          <w:sz w:val="24"/>
          <w:szCs w:val="24"/>
        </w:rPr>
        <w:t xml:space="preserve"> This amount was related to a year before 2012 which has been removed. By removing the amounts from older years</w:t>
      </w:r>
      <w:r w:rsidR="002E2038">
        <w:rPr>
          <w:rFonts w:ascii="Arial" w:hAnsi="Arial" w:cs="Arial"/>
          <w:color w:val="0070C0"/>
          <w:sz w:val="24"/>
          <w:szCs w:val="24"/>
        </w:rPr>
        <w:t>, the variance</w:t>
      </w:r>
      <w:r w:rsidR="00343A42" w:rsidRPr="00343A42">
        <w:rPr>
          <w:rFonts w:ascii="Arial" w:hAnsi="Arial" w:cs="Arial"/>
          <w:color w:val="0070C0"/>
          <w:sz w:val="24"/>
          <w:szCs w:val="24"/>
        </w:rPr>
        <w:t xml:space="preserve"> was resolved.</w:t>
      </w:r>
    </w:p>
    <w:p w:rsidR="00FD029D" w:rsidRDefault="00FD029D" w:rsidP="00E34CF3">
      <w:pPr>
        <w:spacing w:after="0"/>
        <w:rPr>
          <w:rFonts w:ascii="Arial" w:hAnsi="Arial" w:cs="Arial"/>
          <w:b/>
          <w:sz w:val="24"/>
          <w:szCs w:val="24"/>
        </w:rPr>
      </w:pPr>
    </w:p>
    <w:p w:rsidR="006B772F" w:rsidRDefault="006B772F" w:rsidP="006B772F">
      <w:pPr>
        <w:spacing w:after="0"/>
        <w:rPr>
          <w:rFonts w:ascii="Arial" w:hAnsi="Arial" w:cs="Arial"/>
          <w:b/>
          <w:sz w:val="24"/>
          <w:szCs w:val="24"/>
        </w:rPr>
      </w:pPr>
      <w:r>
        <w:rPr>
          <w:rFonts w:ascii="Arial" w:hAnsi="Arial" w:cs="Arial"/>
          <w:b/>
          <w:sz w:val="24"/>
          <w:szCs w:val="24"/>
        </w:rPr>
        <w:t>Follow-up Question-3</w:t>
      </w:r>
    </w:p>
    <w:p w:rsidR="006B772F" w:rsidRDefault="006B772F" w:rsidP="006B772F">
      <w:pPr>
        <w:spacing w:after="0"/>
        <w:rPr>
          <w:rFonts w:ascii="Arial" w:hAnsi="Arial" w:cs="Arial"/>
          <w:b/>
          <w:sz w:val="24"/>
          <w:szCs w:val="24"/>
        </w:rPr>
      </w:pPr>
      <w:r>
        <w:rPr>
          <w:rFonts w:ascii="Arial" w:hAnsi="Arial" w:cs="Arial"/>
          <w:b/>
          <w:sz w:val="24"/>
          <w:szCs w:val="24"/>
        </w:rPr>
        <w:t>Ref: Staff Question 7</w:t>
      </w:r>
    </w:p>
    <w:p w:rsidR="006B772F" w:rsidRDefault="006B772F" w:rsidP="006B772F">
      <w:pPr>
        <w:spacing w:after="0"/>
        <w:rPr>
          <w:rFonts w:ascii="Arial" w:hAnsi="Arial" w:cs="Arial"/>
          <w:sz w:val="24"/>
          <w:szCs w:val="24"/>
        </w:rPr>
      </w:pPr>
    </w:p>
    <w:p w:rsidR="006B772F" w:rsidRDefault="006B772F" w:rsidP="006B772F">
      <w:pPr>
        <w:spacing w:after="0"/>
        <w:rPr>
          <w:rFonts w:ascii="Arial" w:hAnsi="Arial" w:cs="Arial"/>
          <w:sz w:val="24"/>
          <w:szCs w:val="24"/>
        </w:rPr>
      </w:pPr>
      <w:r>
        <w:rPr>
          <w:rFonts w:ascii="Arial" w:hAnsi="Arial" w:cs="Arial"/>
          <w:sz w:val="24"/>
          <w:szCs w:val="24"/>
        </w:rPr>
        <w:t xml:space="preserve">In response to Staff Question 7, Hydro 2000 noted that the Group 1 balance sought is large and any option other than 4-year disposition period would result in bill impacts over 10%. Please use the Rate Generator Model to calculate bill impacts with </w:t>
      </w:r>
      <w:r w:rsidRPr="006B772F">
        <w:rPr>
          <w:rFonts w:ascii="Arial" w:hAnsi="Arial" w:cs="Arial"/>
          <w:sz w:val="24"/>
          <w:szCs w:val="24"/>
          <w:u w:val="single"/>
        </w:rPr>
        <w:t>1-year</w:t>
      </w:r>
      <w:r>
        <w:rPr>
          <w:rFonts w:ascii="Arial" w:hAnsi="Arial" w:cs="Arial"/>
          <w:sz w:val="24"/>
          <w:szCs w:val="24"/>
        </w:rPr>
        <w:t xml:space="preserve"> disposition period and </w:t>
      </w:r>
      <w:r w:rsidRPr="006B772F">
        <w:rPr>
          <w:rFonts w:ascii="Arial" w:hAnsi="Arial" w:cs="Arial"/>
          <w:sz w:val="24"/>
          <w:szCs w:val="24"/>
          <w:u w:val="single"/>
        </w:rPr>
        <w:t>3-year</w:t>
      </w:r>
      <w:r>
        <w:rPr>
          <w:rFonts w:ascii="Arial" w:hAnsi="Arial" w:cs="Arial"/>
          <w:sz w:val="24"/>
          <w:szCs w:val="24"/>
        </w:rPr>
        <w:t xml:space="preserve"> disposition period. For each scenario, please provide a summary table of the bill impacts by rate class.</w:t>
      </w:r>
    </w:p>
    <w:p w:rsidR="005324EB" w:rsidRDefault="005324EB" w:rsidP="005324EB">
      <w:pPr>
        <w:spacing w:after="0"/>
        <w:rPr>
          <w:rFonts w:ascii="Arial" w:hAnsi="Arial" w:cs="Arial"/>
          <w:color w:val="0070C0"/>
          <w:sz w:val="24"/>
          <w:szCs w:val="24"/>
        </w:rPr>
      </w:pPr>
    </w:p>
    <w:p w:rsidR="005324EB" w:rsidRDefault="005324EB" w:rsidP="005324EB">
      <w:pPr>
        <w:spacing w:after="0"/>
        <w:rPr>
          <w:rFonts w:ascii="Arial" w:hAnsi="Arial" w:cs="Arial"/>
          <w:color w:val="0070C0"/>
          <w:sz w:val="24"/>
          <w:szCs w:val="24"/>
        </w:rPr>
      </w:pPr>
      <w:r w:rsidRPr="005324EB">
        <w:rPr>
          <w:rFonts w:ascii="Arial" w:hAnsi="Arial" w:cs="Arial"/>
          <w:color w:val="0070C0"/>
          <w:sz w:val="24"/>
          <w:szCs w:val="24"/>
        </w:rPr>
        <w:t>Hydro 2000:</w:t>
      </w:r>
      <w:r w:rsidR="007518B0">
        <w:rPr>
          <w:rFonts w:ascii="Arial" w:hAnsi="Arial" w:cs="Arial"/>
          <w:color w:val="0070C0"/>
          <w:sz w:val="24"/>
          <w:szCs w:val="24"/>
        </w:rPr>
        <w:t xml:space="preserve"> </w:t>
      </w:r>
      <w:r w:rsidR="009D4F92">
        <w:rPr>
          <w:rFonts w:ascii="Arial" w:hAnsi="Arial" w:cs="Arial"/>
          <w:color w:val="0070C0"/>
          <w:sz w:val="24"/>
          <w:szCs w:val="24"/>
        </w:rPr>
        <w:t xml:space="preserve">Please see table below for the requested hypothetical </w:t>
      </w:r>
      <w:r w:rsidR="00AB2625">
        <w:rPr>
          <w:rFonts w:ascii="Arial" w:hAnsi="Arial" w:cs="Arial"/>
          <w:color w:val="0070C0"/>
          <w:sz w:val="24"/>
          <w:szCs w:val="24"/>
        </w:rPr>
        <w:t>scenarios</w:t>
      </w:r>
      <w:r w:rsidR="009D4F92">
        <w:rPr>
          <w:rFonts w:ascii="Arial" w:hAnsi="Arial" w:cs="Arial"/>
          <w:color w:val="0070C0"/>
          <w:sz w:val="24"/>
          <w:szCs w:val="24"/>
        </w:rPr>
        <w:t>.</w:t>
      </w:r>
    </w:p>
    <w:p w:rsidR="00AB2625" w:rsidRDefault="00AB2625" w:rsidP="005324EB">
      <w:pPr>
        <w:spacing w:after="0"/>
        <w:rPr>
          <w:rFonts w:ascii="Arial" w:hAnsi="Arial" w:cs="Arial"/>
          <w:color w:val="0070C0"/>
          <w:sz w:val="24"/>
          <w:szCs w:val="24"/>
        </w:rPr>
      </w:pPr>
    </w:p>
    <w:p w:rsidR="00AB2625" w:rsidRDefault="00AB2625" w:rsidP="00AB2625">
      <w:pPr>
        <w:spacing w:after="0"/>
        <w:jc w:val="center"/>
        <w:rPr>
          <w:rFonts w:ascii="Arial" w:hAnsi="Arial" w:cs="Arial"/>
          <w:color w:val="0070C0"/>
          <w:sz w:val="24"/>
          <w:szCs w:val="24"/>
        </w:rPr>
      </w:pPr>
      <w:r>
        <w:rPr>
          <w:rFonts w:ascii="Arial" w:hAnsi="Arial" w:cs="Arial"/>
          <w:color w:val="0070C0"/>
          <w:sz w:val="24"/>
          <w:szCs w:val="24"/>
        </w:rPr>
        <w:t>1 Year</w:t>
      </w:r>
    </w:p>
    <w:p w:rsidR="00AB2625" w:rsidRDefault="00AB2625" w:rsidP="005324EB">
      <w:pPr>
        <w:spacing w:after="0"/>
        <w:rPr>
          <w:rFonts w:ascii="Arial" w:hAnsi="Arial" w:cs="Arial"/>
          <w:color w:val="0070C0"/>
          <w:sz w:val="24"/>
          <w:szCs w:val="24"/>
        </w:rPr>
      </w:pPr>
    </w:p>
    <w:tbl>
      <w:tblPr>
        <w:tblW w:w="5101" w:type="pct"/>
        <w:jc w:val="center"/>
        <w:tblLook w:val="04A0" w:firstRow="1" w:lastRow="0" w:firstColumn="1" w:lastColumn="0" w:noHBand="0" w:noVBand="1"/>
      </w:tblPr>
      <w:tblGrid>
        <w:gridCol w:w="3387"/>
        <w:gridCol w:w="556"/>
        <w:gridCol w:w="836"/>
        <w:gridCol w:w="696"/>
        <w:gridCol w:w="864"/>
        <w:gridCol w:w="777"/>
        <w:gridCol w:w="864"/>
        <w:gridCol w:w="696"/>
        <w:gridCol w:w="864"/>
        <w:gridCol w:w="696"/>
      </w:tblGrid>
      <w:tr w:rsidR="00AB2625" w:rsidRPr="00AB2625" w:rsidTr="00AB2625">
        <w:trPr>
          <w:trHeight w:val="233"/>
          <w:jc w:val="center"/>
        </w:trPr>
        <w:tc>
          <w:tcPr>
            <w:tcW w:w="1627"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rPr>
                <w:rFonts w:ascii="Times New Roman" w:eastAsia="Times New Roman" w:hAnsi="Times New Roman" w:cs="Times New Roman"/>
                <w:sz w:val="16"/>
                <w:szCs w:val="24"/>
                <w:lang w:eastAsia="en-CA"/>
              </w:rPr>
            </w:pPr>
          </w:p>
        </w:tc>
        <w:tc>
          <w:tcPr>
            <w:tcW w:w="277"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Units</w:t>
            </w:r>
          </w:p>
        </w:tc>
        <w:tc>
          <w:tcPr>
            <w:tcW w:w="411"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Sub-Total</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Times New Roman" w:eastAsia="Times New Roman" w:hAnsi="Times New Roman" w:cs="Times New Roman"/>
                <w:sz w:val="16"/>
                <w:szCs w:val="20"/>
                <w:lang w:eastAsia="en-CA"/>
              </w:rPr>
            </w:pPr>
          </w:p>
        </w:tc>
        <w:tc>
          <w:tcPr>
            <w:tcW w:w="382"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Times New Roman" w:eastAsia="Times New Roman" w:hAnsi="Times New Roman" w:cs="Times New Roman"/>
                <w:sz w:val="16"/>
                <w:szCs w:val="20"/>
                <w:lang w:eastAsia="en-CA"/>
              </w:rPr>
            </w:pP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Times New Roman" w:eastAsia="Times New Roman" w:hAnsi="Times New Roman" w:cs="Times New Roman"/>
                <w:sz w:val="16"/>
                <w:szCs w:val="20"/>
                <w:lang w:eastAsia="en-CA"/>
              </w:rPr>
            </w:pP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Times New Roman" w:eastAsia="Times New Roman" w:hAnsi="Times New Roman" w:cs="Times New Roman"/>
                <w:sz w:val="16"/>
                <w:szCs w:val="20"/>
                <w:lang w:eastAsia="en-CA"/>
              </w:rPr>
            </w:pP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Total</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p>
        </w:tc>
      </w:tr>
      <w:tr w:rsidR="00AB2625" w:rsidRPr="00AB2625" w:rsidTr="00AB2625">
        <w:trPr>
          <w:trHeight w:val="233"/>
          <w:jc w:val="center"/>
        </w:trPr>
        <w:tc>
          <w:tcPr>
            <w:tcW w:w="1627"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Times New Roman" w:eastAsia="Times New Roman" w:hAnsi="Times New Roman" w:cs="Times New Roman"/>
                <w:sz w:val="16"/>
                <w:szCs w:val="20"/>
                <w:lang w:eastAsia="en-CA"/>
              </w:rPr>
            </w:pPr>
          </w:p>
        </w:tc>
        <w:tc>
          <w:tcPr>
            <w:tcW w:w="277"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rPr>
                <w:rFonts w:ascii="Times New Roman" w:eastAsia="Times New Roman" w:hAnsi="Times New Roman" w:cs="Times New Roman"/>
                <w:sz w:val="16"/>
                <w:szCs w:val="20"/>
                <w:lang w:eastAsia="en-CA"/>
              </w:rPr>
            </w:pPr>
          </w:p>
        </w:tc>
        <w:tc>
          <w:tcPr>
            <w:tcW w:w="411"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A</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B</w:t>
            </w:r>
          </w:p>
        </w:tc>
        <w:tc>
          <w:tcPr>
            <w:tcW w:w="382"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C</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Total Bill</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p>
        </w:tc>
      </w:tr>
      <w:tr w:rsidR="00AB2625" w:rsidRPr="00AB2625" w:rsidTr="00AB2625">
        <w:trPr>
          <w:trHeight w:val="233"/>
          <w:jc w:val="center"/>
        </w:trPr>
        <w:tc>
          <w:tcPr>
            <w:tcW w:w="1627"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Times New Roman" w:eastAsia="Times New Roman" w:hAnsi="Times New Roman" w:cs="Times New Roman"/>
                <w:sz w:val="16"/>
                <w:szCs w:val="20"/>
                <w:lang w:eastAsia="en-CA"/>
              </w:rPr>
            </w:pPr>
          </w:p>
        </w:tc>
        <w:tc>
          <w:tcPr>
            <w:tcW w:w="277"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rPr>
                <w:rFonts w:ascii="Times New Roman" w:eastAsia="Times New Roman" w:hAnsi="Times New Roman" w:cs="Times New Roman"/>
                <w:sz w:val="16"/>
                <w:szCs w:val="20"/>
                <w:lang w:eastAsia="en-CA"/>
              </w:rPr>
            </w:pPr>
          </w:p>
        </w:tc>
        <w:tc>
          <w:tcPr>
            <w:tcW w:w="411"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w:t>
            </w:r>
          </w:p>
        </w:tc>
        <w:tc>
          <w:tcPr>
            <w:tcW w:w="382"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w:t>
            </w:r>
          </w:p>
        </w:tc>
      </w:tr>
      <w:tr w:rsidR="00AB2625" w:rsidRPr="00AB2625" w:rsidTr="00AB2625">
        <w:trPr>
          <w:trHeight w:val="233"/>
          <w:jc w:val="center"/>
        </w:trPr>
        <w:tc>
          <w:tcPr>
            <w:tcW w:w="1627"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 xml:space="preserve">RESIDENTIAL </w:t>
            </w:r>
          </w:p>
        </w:tc>
        <w:tc>
          <w:tcPr>
            <w:tcW w:w="277"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kWh</w:t>
            </w:r>
          </w:p>
        </w:tc>
        <w:tc>
          <w:tcPr>
            <w:tcW w:w="411"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$1.65</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5.69%</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$12.37</w:t>
            </w:r>
          </w:p>
        </w:tc>
        <w:tc>
          <w:tcPr>
            <w:tcW w:w="382"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32.30%</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$13.26</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28.15%</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$13.75</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11.68%</w:t>
            </w:r>
          </w:p>
        </w:tc>
      </w:tr>
      <w:tr w:rsidR="00AB2625" w:rsidRPr="00AB2625" w:rsidTr="00AB2625">
        <w:trPr>
          <w:trHeight w:val="233"/>
          <w:jc w:val="center"/>
        </w:trPr>
        <w:tc>
          <w:tcPr>
            <w:tcW w:w="1627"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GS&lt;50</w:t>
            </w:r>
          </w:p>
        </w:tc>
        <w:tc>
          <w:tcPr>
            <w:tcW w:w="277"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kWh</w:t>
            </w:r>
          </w:p>
        </w:tc>
        <w:tc>
          <w:tcPr>
            <w:tcW w:w="411"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$0.50</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1.19%</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$29.10</w:t>
            </w:r>
          </w:p>
        </w:tc>
        <w:tc>
          <w:tcPr>
            <w:tcW w:w="382"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44.29%</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$31.25</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35.65%</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$32.36</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11.82%</w:t>
            </w:r>
          </w:p>
        </w:tc>
      </w:tr>
      <w:tr w:rsidR="00AB2625" w:rsidRPr="00AB2625" w:rsidTr="00AB2625">
        <w:trPr>
          <w:trHeight w:val="233"/>
          <w:jc w:val="center"/>
        </w:trPr>
        <w:tc>
          <w:tcPr>
            <w:tcW w:w="1627"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GS 50 TO 4,999 KW S Non-RPP (Other)</w:t>
            </w:r>
          </w:p>
        </w:tc>
        <w:tc>
          <w:tcPr>
            <w:tcW w:w="277"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kW</w:t>
            </w:r>
          </w:p>
        </w:tc>
        <w:tc>
          <w:tcPr>
            <w:tcW w:w="411"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$6.36</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1.35%</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$1,674.11</w:t>
            </w:r>
          </w:p>
        </w:tc>
        <w:tc>
          <w:tcPr>
            <w:tcW w:w="382"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168.99%</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$1,778.02</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85.11%</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$2,001.12</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28.78%</w:t>
            </w:r>
          </w:p>
        </w:tc>
      </w:tr>
      <w:tr w:rsidR="00AB2625" w:rsidRPr="00AB2625" w:rsidTr="00AB2625">
        <w:trPr>
          <w:trHeight w:val="233"/>
          <w:jc w:val="center"/>
        </w:trPr>
        <w:tc>
          <w:tcPr>
            <w:tcW w:w="1627"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STREET LIGHTING SERVICE CLASSIFICATION - RPP</w:t>
            </w:r>
          </w:p>
        </w:tc>
        <w:tc>
          <w:tcPr>
            <w:tcW w:w="277"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kW</w:t>
            </w:r>
          </w:p>
        </w:tc>
        <w:tc>
          <w:tcPr>
            <w:tcW w:w="411"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$45.27</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1.39%</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$2,052.21</w:t>
            </w:r>
          </w:p>
        </w:tc>
        <w:tc>
          <w:tcPr>
            <w:tcW w:w="382"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53.35%</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$2,167.57</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42.79%</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$2,412.33</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11.14%</w:t>
            </w:r>
          </w:p>
        </w:tc>
      </w:tr>
      <w:tr w:rsidR="00AB2625" w:rsidRPr="00AB2625" w:rsidTr="00AB2625">
        <w:trPr>
          <w:trHeight w:val="233"/>
          <w:jc w:val="center"/>
        </w:trPr>
        <w:tc>
          <w:tcPr>
            <w:tcW w:w="1627"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USL SERVICE CLASSIFICATION - Non-RPP (Other)</w:t>
            </w:r>
          </w:p>
        </w:tc>
        <w:tc>
          <w:tcPr>
            <w:tcW w:w="277"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kWh</w:t>
            </w:r>
          </w:p>
        </w:tc>
        <w:tc>
          <w:tcPr>
            <w:tcW w:w="411"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$1.06</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1.36%</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$6.22</w:t>
            </w:r>
          </w:p>
        </w:tc>
        <w:tc>
          <w:tcPr>
            <w:tcW w:w="382"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7.53%</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$6.61</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7.63%</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$7.38</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5.10%</w:t>
            </w:r>
          </w:p>
        </w:tc>
      </w:tr>
      <w:tr w:rsidR="00AB2625" w:rsidRPr="00AB2625" w:rsidTr="00AB2625">
        <w:trPr>
          <w:trHeight w:val="233"/>
          <w:jc w:val="center"/>
        </w:trPr>
        <w:tc>
          <w:tcPr>
            <w:tcW w:w="1627"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RESIDENTIAL - RPP</w:t>
            </w:r>
          </w:p>
        </w:tc>
        <w:tc>
          <w:tcPr>
            <w:tcW w:w="277"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kWh</w:t>
            </w:r>
          </w:p>
        </w:tc>
        <w:tc>
          <w:tcPr>
            <w:tcW w:w="411"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$3.20</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13.32%</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$6.25</w:t>
            </w:r>
          </w:p>
        </w:tc>
        <w:tc>
          <w:tcPr>
            <w:tcW w:w="382"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23.05%</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$6.50</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21.96%</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$6.78</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13.37%</w:t>
            </w:r>
          </w:p>
        </w:tc>
      </w:tr>
      <w:tr w:rsidR="00AB2625" w:rsidRPr="00AB2625" w:rsidTr="00AB2625">
        <w:trPr>
          <w:trHeight w:val="233"/>
          <w:jc w:val="center"/>
        </w:trPr>
        <w:tc>
          <w:tcPr>
            <w:tcW w:w="1627"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RESIDENTIAL  - Non-RPP (Retailer)</w:t>
            </w:r>
          </w:p>
        </w:tc>
        <w:tc>
          <w:tcPr>
            <w:tcW w:w="277"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kWh</w:t>
            </w:r>
          </w:p>
        </w:tc>
        <w:tc>
          <w:tcPr>
            <w:tcW w:w="411"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$1.65</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5.69%</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$12.30</w:t>
            </w:r>
          </w:p>
        </w:tc>
        <w:tc>
          <w:tcPr>
            <w:tcW w:w="382"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30.80%</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$13.18</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27.06%</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$14.71</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9.67%</w:t>
            </w:r>
          </w:p>
        </w:tc>
      </w:tr>
      <w:tr w:rsidR="00AB2625" w:rsidRPr="00AB2625" w:rsidTr="00AB2625">
        <w:trPr>
          <w:trHeight w:val="233"/>
          <w:jc w:val="center"/>
        </w:trPr>
        <w:tc>
          <w:tcPr>
            <w:tcW w:w="1627"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RESIDENTIAL  - Non-RPP (Retailer)</w:t>
            </w:r>
          </w:p>
        </w:tc>
        <w:tc>
          <w:tcPr>
            <w:tcW w:w="277"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kWh</w:t>
            </w:r>
          </w:p>
        </w:tc>
        <w:tc>
          <w:tcPr>
            <w:tcW w:w="411"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$3.20</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13.32%</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$6.23</w:t>
            </w:r>
          </w:p>
        </w:tc>
        <w:tc>
          <w:tcPr>
            <w:tcW w:w="382"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22.59%</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$6.48</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21.55%</w:t>
            </w:r>
          </w:p>
        </w:tc>
        <w:tc>
          <w:tcPr>
            <w:tcW w:w="424"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$7.27</w:t>
            </w:r>
          </w:p>
        </w:tc>
        <w:tc>
          <w:tcPr>
            <w:tcW w:w="343" w:type="pct"/>
            <w:tcBorders>
              <w:top w:val="nil"/>
              <w:left w:val="nil"/>
              <w:bottom w:val="nil"/>
              <w:right w:val="nil"/>
            </w:tcBorders>
            <w:shd w:val="clear" w:color="auto" w:fill="auto"/>
            <w:noWrap/>
            <w:vAlign w:val="bottom"/>
            <w:hideMark/>
          </w:tcPr>
          <w:p w:rsidR="00AB2625" w:rsidRPr="00AB2625" w:rsidRDefault="00AB2625" w:rsidP="00AB2625">
            <w:pPr>
              <w:spacing w:after="0" w:line="240" w:lineRule="auto"/>
              <w:jc w:val="center"/>
              <w:rPr>
                <w:rFonts w:ascii="Calibri" w:eastAsia="Times New Roman" w:hAnsi="Calibri" w:cs="Calibri"/>
                <w:color w:val="000000"/>
                <w:sz w:val="16"/>
                <w:lang w:eastAsia="en-CA"/>
              </w:rPr>
            </w:pPr>
            <w:r w:rsidRPr="00AB2625">
              <w:rPr>
                <w:rFonts w:ascii="Calibri" w:eastAsia="Times New Roman" w:hAnsi="Calibri" w:cs="Calibri"/>
                <w:color w:val="000000"/>
                <w:sz w:val="16"/>
                <w:lang w:eastAsia="en-CA"/>
              </w:rPr>
              <w:t>11.81%</w:t>
            </w:r>
          </w:p>
        </w:tc>
      </w:tr>
    </w:tbl>
    <w:p w:rsidR="00AB2625" w:rsidRPr="005324EB" w:rsidRDefault="00AB2625" w:rsidP="005324EB">
      <w:pPr>
        <w:spacing w:after="0"/>
        <w:rPr>
          <w:rFonts w:ascii="Arial" w:hAnsi="Arial" w:cs="Arial"/>
          <w:color w:val="0070C0"/>
          <w:sz w:val="24"/>
          <w:szCs w:val="24"/>
        </w:rPr>
      </w:pPr>
    </w:p>
    <w:p w:rsidR="00AB2625" w:rsidRDefault="00AB2625" w:rsidP="00AB2625">
      <w:pPr>
        <w:spacing w:after="0"/>
        <w:jc w:val="center"/>
        <w:rPr>
          <w:rFonts w:ascii="Arial" w:hAnsi="Arial" w:cs="Arial"/>
          <w:color w:val="0070C0"/>
          <w:sz w:val="24"/>
          <w:szCs w:val="24"/>
        </w:rPr>
      </w:pPr>
      <w:r>
        <w:rPr>
          <w:rFonts w:ascii="Arial" w:hAnsi="Arial" w:cs="Arial"/>
          <w:color w:val="0070C0"/>
          <w:sz w:val="24"/>
          <w:szCs w:val="24"/>
        </w:rPr>
        <w:t>3 Year</w:t>
      </w:r>
    </w:p>
    <w:p w:rsidR="005324EB" w:rsidRPr="006B772F" w:rsidRDefault="005324EB" w:rsidP="006B772F">
      <w:pPr>
        <w:spacing w:after="0"/>
        <w:rPr>
          <w:rFonts w:ascii="Arial" w:hAnsi="Arial" w:cs="Arial"/>
          <w:sz w:val="24"/>
          <w:szCs w:val="24"/>
        </w:rPr>
      </w:pPr>
    </w:p>
    <w:tbl>
      <w:tblPr>
        <w:tblW w:w="9504" w:type="dxa"/>
        <w:jc w:val="center"/>
        <w:tblLook w:val="04A0" w:firstRow="1" w:lastRow="0" w:firstColumn="1" w:lastColumn="0" w:noHBand="0" w:noVBand="1"/>
      </w:tblPr>
      <w:tblGrid>
        <w:gridCol w:w="3387"/>
        <w:gridCol w:w="556"/>
        <w:gridCol w:w="836"/>
        <w:gridCol w:w="696"/>
        <w:gridCol w:w="743"/>
        <w:gridCol w:w="696"/>
        <w:gridCol w:w="743"/>
        <w:gridCol w:w="696"/>
        <w:gridCol w:w="779"/>
        <w:gridCol w:w="696"/>
      </w:tblGrid>
      <w:tr w:rsidR="00AB7859" w:rsidRPr="00611B52" w:rsidTr="00AB7859">
        <w:trPr>
          <w:trHeight w:val="235"/>
          <w:jc w:val="center"/>
        </w:trPr>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rPr>
                <w:rFonts w:ascii="Times New Roman" w:eastAsia="Times New Roman" w:hAnsi="Times New Roman" w:cs="Times New Roman"/>
                <w:sz w:val="16"/>
                <w:szCs w:val="24"/>
                <w:lang w:eastAsia="en-CA"/>
              </w:rPr>
            </w:pP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Units</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Sub-Total</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Times New Roman" w:eastAsia="Times New Roman" w:hAnsi="Times New Roman" w:cs="Times New Roman"/>
                <w:sz w:val="16"/>
                <w:szCs w:val="20"/>
                <w:lang w:eastAsia="en-CA"/>
              </w:rPr>
            </w:pP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Times New Roman" w:eastAsia="Times New Roman" w:hAnsi="Times New Roman" w:cs="Times New Roman"/>
                <w:sz w:val="16"/>
                <w:szCs w:val="20"/>
                <w:lang w:eastAsia="en-CA"/>
              </w:rPr>
            </w:pP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Times New Roman" w:eastAsia="Times New Roman" w:hAnsi="Times New Roman" w:cs="Times New Roman"/>
                <w:sz w:val="16"/>
                <w:szCs w:val="20"/>
                <w:lang w:eastAsia="en-CA"/>
              </w:rPr>
            </w:pP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Times New Roman" w:eastAsia="Times New Roman" w:hAnsi="Times New Roman" w:cs="Times New Roman"/>
                <w:sz w:val="16"/>
                <w:szCs w:val="20"/>
                <w:lang w:eastAsia="en-CA"/>
              </w:rPr>
            </w:pP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Total</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p>
        </w:tc>
      </w:tr>
      <w:tr w:rsidR="00AB7859" w:rsidRPr="00611B52" w:rsidTr="00AB7859">
        <w:trPr>
          <w:trHeight w:val="235"/>
          <w:jc w:val="center"/>
        </w:trPr>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Times New Roman" w:eastAsia="Times New Roman" w:hAnsi="Times New Roman" w:cs="Times New Roman"/>
                <w:sz w:val="16"/>
                <w:szCs w:val="20"/>
                <w:lang w:eastAsia="en-CA"/>
              </w:rPr>
            </w:pP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rPr>
                <w:rFonts w:ascii="Times New Roman" w:eastAsia="Times New Roman" w:hAnsi="Times New Roman" w:cs="Times New Roman"/>
                <w:sz w:val="16"/>
                <w:szCs w:val="20"/>
                <w:lang w:eastAsia="en-CA"/>
              </w:rPr>
            </w:pP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A</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B</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C</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Total Bill</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p>
        </w:tc>
      </w:tr>
      <w:tr w:rsidR="00AB7859" w:rsidRPr="00611B52" w:rsidTr="00AB7859">
        <w:trPr>
          <w:trHeight w:val="235"/>
          <w:jc w:val="center"/>
        </w:trPr>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Times New Roman" w:eastAsia="Times New Roman" w:hAnsi="Times New Roman" w:cs="Times New Roman"/>
                <w:sz w:val="16"/>
                <w:szCs w:val="20"/>
                <w:lang w:eastAsia="en-CA"/>
              </w:rPr>
            </w:pP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rPr>
                <w:rFonts w:ascii="Times New Roman" w:eastAsia="Times New Roman" w:hAnsi="Times New Roman" w:cs="Times New Roman"/>
                <w:sz w:val="16"/>
                <w:szCs w:val="20"/>
                <w:lang w:eastAsia="en-CA"/>
              </w:rPr>
            </w:pP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w:t>
            </w:r>
          </w:p>
        </w:tc>
      </w:tr>
      <w:tr w:rsidR="00AB7859" w:rsidRPr="00611B52" w:rsidTr="00AB7859">
        <w:trPr>
          <w:trHeight w:val="235"/>
          <w:jc w:val="center"/>
        </w:trPr>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 xml:space="preserve">RESIDENTIAL </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kWh</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$1.65</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5.69%</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$5.25</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13.70%</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$6.13</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13.02%</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$6.27</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5.32%</w:t>
            </w:r>
          </w:p>
        </w:tc>
      </w:tr>
      <w:tr w:rsidR="00AB7859" w:rsidRPr="00611B52" w:rsidTr="00AB7859">
        <w:trPr>
          <w:trHeight w:val="235"/>
          <w:jc w:val="center"/>
        </w:trPr>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GS&lt;50</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kWh</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$0.50</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1.19%</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$10.10</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15.37%</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$12.25</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13.98%</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$12.41</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4.53%</w:t>
            </w:r>
          </w:p>
        </w:tc>
      </w:tr>
      <w:tr w:rsidR="00AB7859" w:rsidRPr="00611B52" w:rsidTr="00AB7859">
        <w:trPr>
          <w:trHeight w:val="235"/>
          <w:jc w:val="center"/>
        </w:trPr>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GS 50 TO 4,999 KW S Non-RPP (Other)</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kW</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$6.36</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1.35%</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$560.06</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56.53%</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$663.97</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31.78%</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$742.24</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10.67%</w:t>
            </w:r>
          </w:p>
        </w:tc>
      </w:tr>
      <w:tr w:rsidR="00AB7859" w:rsidRPr="00611B52" w:rsidTr="00AB7859">
        <w:trPr>
          <w:trHeight w:val="235"/>
          <w:jc w:val="center"/>
        </w:trPr>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STREET LIGHTING SERVICE CLASSIFICATION - RPP</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kW</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$45.27</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1.39%</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$714.24</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18.57%</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$829.60</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16.38%</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$900.42</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4.16%</w:t>
            </w:r>
          </w:p>
        </w:tc>
      </w:tr>
      <w:tr w:rsidR="00AB7859" w:rsidRPr="00611B52" w:rsidTr="00AB7859">
        <w:trPr>
          <w:trHeight w:val="235"/>
          <w:jc w:val="center"/>
        </w:trPr>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USL SERVICE CLASSIFICATION - Non-RPP (Other)</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kWh</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$1.06</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1.36%</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$2.79</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3.38%</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$3.18</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3.67%</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$3.50</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2.42%</w:t>
            </w:r>
          </w:p>
        </w:tc>
      </w:tr>
      <w:tr w:rsidR="00AB7859" w:rsidRPr="00611B52" w:rsidTr="00AB7859">
        <w:trPr>
          <w:trHeight w:val="235"/>
          <w:jc w:val="center"/>
        </w:trPr>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RESIDENTIAL - RPP</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kWh</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$3.20</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13.32%</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$4.22</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15.59%</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$4.48</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15.12%</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$4.65</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9.18%</w:t>
            </w:r>
          </w:p>
        </w:tc>
      </w:tr>
      <w:tr w:rsidR="00AB7859" w:rsidRPr="00611B52" w:rsidTr="00AB7859">
        <w:trPr>
          <w:trHeight w:val="235"/>
          <w:jc w:val="center"/>
        </w:trPr>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RESIDENTIAL  - Non-RPP (Retailer)</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kWh</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$1.65</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5.69%</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$5.17</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12.95%</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$6.06</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12.43%</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$6.66</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4.38%</w:t>
            </w:r>
          </w:p>
        </w:tc>
      </w:tr>
      <w:tr w:rsidR="00AB7859" w:rsidRPr="00611B52" w:rsidTr="00AB7859">
        <w:trPr>
          <w:trHeight w:val="235"/>
          <w:jc w:val="center"/>
        </w:trPr>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RESIDENTIAL  - Non-RPP (Retailer)</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kWh</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$3.20</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13.32%</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$4.20</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15.25%</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$4.46</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14.82%</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$4.98</w:t>
            </w:r>
          </w:p>
        </w:tc>
        <w:tc>
          <w:tcPr>
            <w:tcW w:w="0" w:type="auto"/>
            <w:tcBorders>
              <w:top w:val="nil"/>
              <w:left w:val="nil"/>
              <w:bottom w:val="nil"/>
              <w:right w:val="nil"/>
            </w:tcBorders>
            <w:shd w:val="clear" w:color="auto" w:fill="auto"/>
            <w:noWrap/>
            <w:vAlign w:val="bottom"/>
            <w:hideMark/>
          </w:tcPr>
          <w:p w:rsidR="00AB7859" w:rsidRPr="00AB7859" w:rsidRDefault="00AB7859" w:rsidP="00AB7859">
            <w:pPr>
              <w:spacing w:after="0" w:line="240" w:lineRule="auto"/>
              <w:jc w:val="center"/>
              <w:rPr>
                <w:rFonts w:ascii="Calibri" w:eastAsia="Times New Roman" w:hAnsi="Calibri" w:cs="Calibri"/>
                <w:color w:val="000000"/>
                <w:sz w:val="16"/>
                <w:lang w:eastAsia="en-CA"/>
              </w:rPr>
            </w:pPr>
            <w:r w:rsidRPr="00AB7859">
              <w:rPr>
                <w:rFonts w:ascii="Calibri" w:eastAsia="Times New Roman" w:hAnsi="Calibri" w:cs="Calibri"/>
                <w:color w:val="000000"/>
                <w:sz w:val="16"/>
                <w:lang w:eastAsia="en-CA"/>
              </w:rPr>
              <w:t>8.10%</w:t>
            </w:r>
          </w:p>
        </w:tc>
      </w:tr>
    </w:tbl>
    <w:p w:rsidR="006B772F" w:rsidRDefault="006B772F" w:rsidP="00A76CAE">
      <w:pPr>
        <w:spacing w:after="0"/>
        <w:rPr>
          <w:rFonts w:ascii="Arial" w:hAnsi="Arial" w:cs="Arial"/>
          <w:b/>
          <w:sz w:val="24"/>
          <w:szCs w:val="24"/>
        </w:rPr>
      </w:pPr>
    </w:p>
    <w:p w:rsidR="00A76CAE" w:rsidRDefault="00D1782D" w:rsidP="00A76CAE">
      <w:pPr>
        <w:spacing w:after="0"/>
        <w:rPr>
          <w:rFonts w:ascii="Arial" w:hAnsi="Arial" w:cs="Arial"/>
          <w:b/>
          <w:sz w:val="24"/>
          <w:szCs w:val="24"/>
        </w:rPr>
      </w:pPr>
      <w:r>
        <w:rPr>
          <w:rFonts w:ascii="Arial" w:hAnsi="Arial" w:cs="Arial"/>
          <w:b/>
          <w:sz w:val="24"/>
          <w:szCs w:val="24"/>
        </w:rPr>
        <w:t>Follow-up</w:t>
      </w:r>
      <w:r w:rsidR="006B772F">
        <w:rPr>
          <w:rFonts w:ascii="Arial" w:hAnsi="Arial" w:cs="Arial"/>
          <w:b/>
          <w:sz w:val="24"/>
          <w:szCs w:val="24"/>
        </w:rPr>
        <w:t xml:space="preserve"> Question-4</w:t>
      </w:r>
    </w:p>
    <w:p w:rsidR="003F76AC" w:rsidRDefault="003A70D4" w:rsidP="00C2402D">
      <w:pPr>
        <w:spacing w:after="0"/>
        <w:rPr>
          <w:rFonts w:ascii="Arial" w:hAnsi="Arial" w:cs="Arial"/>
          <w:b/>
          <w:sz w:val="24"/>
          <w:szCs w:val="24"/>
        </w:rPr>
      </w:pPr>
      <w:r>
        <w:rPr>
          <w:rFonts w:ascii="Arial" w:hAnsi="Arial" w:cs="Arial"/>
          <w:b/>
          <w:sz w:val="24"/>
          <w:szCs w:val="24"/>
        </w:rPr>
        <w:t>Re</w:t>
      </w:r>
      <w:r w:rsidR="00A701B6">
        <w:rPr>
          <w:rFonts w:ascii="Arial" w:hAnsi="Arial" w:cs="Arial"/>
          <w:b/>
          <w:sz w:val="24"/>
          <w:szCs w:val="24"/>
        </w:rPr>
        <w:t>f</w:t>
      </w:r>
      <w:r w:rsidR="003F76AC">
        <w:rPr>
          <w:rFonts w:ascii="Arial" w:hAnsi="Arial" w:cs="Arial"/>
          <w:b/>
          <w:sz w:val="24"/>
          <w:szCs w:val="24"/>
        </w:rPr>
        <w:t xml:space="preserve">: </w:t>
      </w:r>
      <w:r w:rsidR="008A28BA">
        <w:rPr>
          <w:rFonts w:ascii="Arial" w:hAnsi="Arial" w:cs="Arial"/>
          <w:b/>
          <w:sz w:val="24"/>
          <w:szCs w:val="24"/>
        </w:rPr>
        <w:t xml:space="preserve">1595 Analysis Workform; </w:t>
      </w:r>
      <w:r w:rsidR="003F76AC">
        <w:rPr>
          <w:rFonts w:ascii="Arial" w:hAnsi="Arial" w:cs="Arial"/>
          <w:b/>
          <w:sz w:val="24"/>
          <w:szCs w:val="24"/>
        </w:rPr>
        <w:t>Staff Question 8 and Hydro 2000’s Responses</w:t>
      </w:r>
    </w:p>
    <w:p w:rsidR="00C2402D" w:rsidRPr="00C2402D" w:rsidRDefault="00C2402D" w:rsidP="00C2402D">
      <w:pPr>
        <w:spacing w:after="0"/>
        <w:rPr>
          <w:rFonts w:ascii="Arial" w:hAnsi="Arial" w:cs="Arial"/>
          <w:b/>
          <w:sz w:val="24"/>
          <w:szCs w:val="24"/>
        </w:rPr>
      </w:pPr>
    </w:p>
    <w:p w:rsidR="004403F9" w:rsidRDefault="00C2402D" w:rsidP="003F76AC">
      <w:pPr>
        <w:pStyle w:val="ListParagraph"/>
        <w:numPr>
          <w:ilvl w:val="0"/>
          <w:numId w:val="44"/>
        </w:numPr>
        <w:rPr>
          <w:rFonts w:ascii="Arial" w:hAnsi="Arial" w:cs="Arial"/>
          <w:sz w:val="24"/>
          <w:szCs w:val="24"/>
        </w:rPr>
      </w:pPr>
      <w:r>
        <w:rPr>
          <w:rFonts w:ascii="Arial" w:hAnsi="Arial" w:cs="Arial"/>
          <w:sz w:val="24"/>
          <w:szCs w:val="24"/>
        </w:rPr>
        <w:t xml:space="preserve">In response to Staff Question 8 (1) and (2), Hydro 2000 updated </w:t>
      </w:r>
      <w:r w:rsidR="00522B93">
        <w:rPr>
          <w:rFonts w:ascii="Arial" w:hAnsi="Arial" w:cs="Arial"/>
          <w:sz w:val="24"/>
          <w:szCs w:val="24"/>
        </w:rPr>
        <w:t>the</w:t>
      </w:r>
      <w:r>
        <w:rPr>
          <w:rFonts w:ascii="Arial" w:hAnsi="Arial" w:cs="Arial"/>
          <w:sz w:val="24"/>
          <w:szCs w:val="24"/>
        </w:rPr>
        <w:t xml:space="preserve"> 1595 Analysis Workform for Account 1595 (2015). </w:t>
      </w:r>
      <w:r w:rsidR="00522B93">
        <w:rPr>
          <w:rFonts w:ascii="Arial" w:hAnsi="Arial" w:cs="Arial"/>
          <w:sz w:val="24"/>
          <w:szCs w:val="24"/>
        </w:rPr>
        <w:t xml:space="preserve">In step 1, Hydro 2000 updated the Rate Rider Amounts in column </w:t>
      </w:r>
      <w:r w:rsidR="005A7465">
        <w:rPr>
          <w:rFonts w:ascii="Arial" w:hAnsi="Arial" w:cs="Arial"/>
          <w:sz w:val="24"/>
          <w:szCs w:val="24"/>
        </w:rPr>
        <w:t xml:space="preserve">G which resulted in updated Total Residual Balances in column J. The updated total Group 1 residual balance of $835 in Account 1595 (2015) cannot be reconciled with the continuity schedule (2017 year-end balances in Account 1595 (2015)). Please review and update the continuity schedule. </w:t>
      </w:r>
    </w:p>
    <w:p w:rsidR="005324EB" w:rsidRPr="00DD2346" w:rsidRDefault="005324EB" w:rsidP="005324EB">
      <w:pPr>
        <w:spacing w:after="0"/>
        <w:rPr>
          <w:rFonts w:ascii="Arial" w:hAnsi="Arial" w:cs="Arial"/>
          <w:color w:val="0070C0"/>
          <w:sz w:val="24"/>
          <w:szCs w:val="24"/>
          <w:highlight w:val="yellow"/>
        </w:rPr>
      </w:pPr>
      <w:r w:rsidRPr="00667FDD">
        <w:rPr>
          <w:rFonts w:ascii="Arial" w:hAnsi="Arial" w:cs="Arial"/>
          <w:color w:val="0070C0"/>
          <w:sz w:val="24"/>
          <w:szCs w:val="24"/>
        </w:rPr>
        <w:t>Hydro 2000:</w:t>
      </w:r>
      <w:r w:rsidR="00343A42" w:rsidRPr="00667FDD">
        <w:rPr>
          <w:rFonts w:ascii="Arial" w:hAnsi="Arial" w:cs="Arial"/>
          <w:color w:val="0070C0"/>
          <w:sz w:val="24"/>
          <w:szCs w:val="24"/>
        </w:rPr>
        <w:t xml:space="preserve"> </w:t>
      </w:r>
      <w:r w:rsidR="00667FDD" w:rsidRPr="00667FDD">
        <w:rPr>
          <w:rFonts w:ascii="Arial" w:hAnsi="Arial" w:cs="Arial"/>
          <w:color w:val="0070C0"/>
          <w:sz w:val="24"/>
          <w:szCs w:val="24"/>
        </w:rPr>
        <w:t>Principal approved was $30,036 less amount collected of $27,999 = $2,038 which equals cell BO34 in the continuity schedule.</w:t>
      </w:r>
      <w:r w:rsidR="00667FDD">
        <w:rPr>
          <w:rFonts w:ascii="Arial" w:hAnsi="Arial" w:cs="Arial"/>
          <w:color w:val="0070C0"/>
          <w:sz w:val="24"/>
          <w:szCs w:val="24"/>
        </w:rPr>
        <w:t xml:space="preserve"> Approved carrying charges of $2,877 less carrying charges since approval of $1,310 = $1,566 which equals cell BS34</w:t>
      </w:r>
      <w:r w:rsidR="00667FDD" w:rsidRPr="00667FDD">
        <w:rPr>
          <w:rFonts w:ascii="Arial" w:hAnsi="Arial" w:cs="Arial"/>
          <w:color w:val="0070C0"/>
          <w:sz w:val="24"/>
          <w:szCs w:val="24"/>
        </w:rPr>
        <w:t xml:space="preserve"> in the continuity schedule.</w:t>
      </w:r>
      <w:r w:rsidR="00667FDD">
        <w:rPr>
          <w:rFonts w:ascii="Arial" w:hAnsi="Arial" w:cs="Arial"/>
          <w:color w:val="0070C0"/>
          <w:sz w:val="24"/>
          <w:szCs w:val="24"/>
        </w:rPr>
        <w:t xml:space="preserve"> $2,038 less $1,566 = $471 which equals cell BT34</w:t>
      </w:r>
      <w:r w:rsidR="00667FDD" w:rsidRPr="00667FDD">
        <w:rPr>
          <w:rFonts w:ascii="Arial" w:hAnsi="Arial" w:cs="Arial"/>
          <w:color w:val="0070C0"/>
          <w:sz w:val="24"/>
          <w:szCs w:val="24"/>
        </w:rPr>
        <w:t xml:space="preserve"> in the continuity schedule.</w:t>
      </w:r>
      <w:r w:rsidR="003507E0">
        <w:rPr>
          <w:rFonts w:ascii="Arial" w:hAnsi="Arial" w:cs="Arial"/>
          <w:color w:val="0070C0"/>
          <w:sz w:val="24"/>
          <w:szCs w:val="24"/>
        </w:rPr>
        <w:t xml:space="preserve"> You might be looking at a previous version of the 1595 </w:t>
      </w:r>
      <w:proofErr w:type="spellStart"/>
      <w:r w:rsidR="003507E0">
        <w:rPr>
          <w:rFonts w:ascii="Arial" w:hAnsi="Arial" w:cs="Arial"/>
          <w:color w:val="0070C0"/>
          <w:sz w:val="24"/>
          <w:szCs w:val="24"/>
        </w:rPr>
        <w:t>workform</w:t>
      </w:r>
      <w:proofErr w:type="spellEnd"/>
      <w:r w:rsidR="003507E0">
        <w:rPr>
          <w:rFonts w:ascii="Arial" w:hAnsi="Arial" w:cs="Arial"/>
          <w:color w:val="0070C0"/>
          <w:sz w:val="24"/>
          <w:szCs w:val="24"/>
        </w:rPr>
        <w:t>. I have different numbers in 4) below also.</w:t>
      </w:r>
    </w:p>
    <w:p w:rsidR="00B97E65" w:rsidRDefault="00B97E65" w:rsidP="00B97E65">
      <w:pPr>
        <w:pStyle w:val="ListParagraph"/>
        <w:ind w:left="360"/>
        <w:rPr>
          <w:rFonts w:ascii="Arial" w:hAnsi="Arial" w:cs="Arial"/>
          <w:sz w:val="24"/>
          <w:szCs w:val="24"/>
        </w:rPr>
      </w:pPr>
    </w:p>
    <w:p w:rsidR="00522B93" w:rsidRDefault="005A7465" w:rsidP="003F76AC">
      <w:pPr>
        <w:pStyle w:val="ListParagraph"/>
        <w:numPr>
          <w:ilvl w:val="0"/>
          <w:numId w:val="44"/>
        </w:numPr>
        <w:rPr>
          <w:rFonts w:ascii="Arial" w:hAnsi="Arial" w:cs="Arial"/>
          <w:sz w:val="24"/>
          <w:szCs w:val="24"/>
        </w:rPr>
      </w:pPr>
      <w:r>
        <w:rPr>
          <w:rFonts w:ascii="Arial" w:hAnsi="Arial" w:cs="Arial"/>
          <w:sz w:val="24"/>
          <w:szCs w:val="24"/>
        </w:rPr>
        <w:t xml:space="preserve">For 1595 (2015), </w:t>
      </w:r>
      <w:r w:rsidR="008A28BA">
        <w:rPr>
          <w:rFonts w:ascii="Arial" w:hAnsi="Arial" w:cs="Arial"/>
          <w:sz w:val="24"/>
          <w:szCs w:val="24"/>
        </w:rPr>
        <w:t>the table in step 1 indicates the variance in GA is greater than 10%. In this case, the entire residual balance in Group 1 accounts (including balance related to DVA rate rider and balance related to GA rate rider) need to be reconciled, not only the residual amount in GA account. Please check “Group 1 DVA Accounts” in step 2 to populate and complete the DVA reconciliation table.</w:t>
      </w:r>
    </w:p>
    <w:p w:rsidR="005324EB" w:rsidRPr="00667FDD" w:rsidRDefault="005324EB" w:rsidP="005324EB">
      <w:pPr>
        <w:spacing w:after="0"/>
        <w:rPr>
          <w:rFonts w:ascii="Arial" w:hAnsi="Arial" w:cs="Arial"/>
          <w:color w:val="0070C0"/>
          <w:sz w:val="24"/>
          <w:szCs w:val="24"/>
        </w:rPr>
      </w:pPr>
      <w:r w:rsidRPr="00667FDD">
        <w:rPr>
          <w:rFonts w:ascii="Arial" w:hAnsi="Arial" w:cs="Arial"/>
          <w:color w:val="0070C0"/>
          <w:sz w:val="24"/>
          <w:szCs w:val="24"/>
        </w:rPr>
        <w:t>Hydro 2000:</w:t>
      </w:r>
      <w:r w:rsidR="00667FDD" w:rsidRPr="00667FDD">
        <w:rPr>
          <w:rFonts w:ascii="Arial" w:hAnsi="Arial" w:cs="Arial"/>
          <w:color w:val="0070C0"/>
          <w:sz w:val="24"/>
          <w:szCs w:val="24"/>
        </w:rPr>
        <w:t xml:space="preserve"> Both categories were reconciled. See a copy attached.</w:t>
      </w:r>
    </w:p>
    <w:p w:rsidR="00F03B20" w:rsidRDefault="00F03B20" w:rsidP="00F03B20">
      <w:pPr>
        <w:pStyle w:val="ListParagraph"/>
        <w:ind w:left="360"/>
        <w:rPr>
          <w:rFonts w:ascii="Arial" w:hAnsi="Arial" w:cs="Arial"/>
          <w:sz w:val="24"/>
          <w:szCs w:val="24"/>
        </w:rPr>
      </w:pPr>
    </w:p>
    <w:p w:rsidR="00F03B20" w:rsidRDefault="00F03B20" w:rsidP="003F76AC">
      <w:pPr>
        <w:pStyle w:val="ListParagraph"/>
        <w:numPr>
          <w:ilvl w:val="0"/>
          <w:numId w:val="44"/>
        </w:numPr>
        <w:rPr>
          <w:rFonts w:ascii="Arial" w:hAnsi="Arial" w:cs="Arial"/>
          <w:sz w:val="24"/>
          <w:szCs w:val="24"/>
        </w:rPr>
      </w:pPr>
      <w:r>
        <w:rPr>
          <w:rFonts w:ascii="Arial" w:hAnsi="Arial" w:cs="Arial"/>
          <w:sz w:val="24"/>
          <w:szCs w:val="24"/>
        </w:rPr>
        <w:t>In response to Staff Question 8 (3), Hydro 2000 noted that due to the change of general manager, the DVA rate riders were implemented 3 months after May 1</w:t>
      </w:r>
      <w:r w:rsidRPr="00F03B20">
        <w:rPr>
          <w:rFonts w:ascii="Arial" w:hAnsi="Arial" w:cs="Arial"/>
          <w:sz w:val="24"/>
          <w:szCs w:val="24"/>
          <w:vertAlign w:val="superscript"/>
        </w:rPr>
        <w:t>st</w:t>
      </w:r>
      <w:r>
        <w:rPr>
          <w:rFonts w:ascii="Arial" w:hAnsi="Arial" w:cs="Arial"/>
          <w:sz w:val="24"/>
          <w:szCs w:val="24"/>
        </w:rPr>
        <w:t>. Please confirm whether or not Hydro 2000 has a new internal control in place to ensure all the OEB-approved rates and rate riders are implemented on time. If not, please explain why not, and how Hydro 2000 plans to avoid the above mentioned mistake in future.</w:t>
      </w:r>
    </w:p>
    <w:p w:rsidR="005324EB" w:rsidRPr="00667FDD" w:rsidRDefault="005324EB" w:rsidP="005324EB">
      <w:pPr>
        <w:spacing w:after="0"/>
        <w:rPr>
          <w:rFonts w:ascii="Arial" w:hAnsi="Arial" w:cs="Arial"/>
          <w:color w:val="0070C0"/>
          <w:sz w:val="24"/>
          <w:szCs w:val="24"/>
        </w:rPr>
      </w:pPr>
      <w:r w:rsidRPr="00667FDD">
        <w:rPr>
          <w:rFonts w:ascii="Arial" w:hAnsi="Arial" w:cs="Arial"/>
          <w:color w:val="0070C0"/>
          <w:sz w:val="24"/>
          <w:szCs w:val="24"/>
        </w:rPr>
        <w:t>Hydro 2000:</w:t>
      </w:r>
      <w:r w:rsidR="00667FDD" w:rsidRPr="00667FDD">
        <w:rPr>
          <w:rFonts w:ascii="Arial" w:hAnsi="Arial" w:cs="Arial"/>
          <w:color w:val="0070C0"/>
          <w:sz w:val="24"/>
          <w:szCs w:val="24"/>
        </w:rPr>
        <w:t xml:space="preserve"> The former general manager has been replaced. The new general manager is making sure that the new rates are implemented on time.</w:t>
      </w:r>
    </w:p>
    <w:p w:rsidR="008F748C" w:rsidRDefault="008F748C" w:rsidP="008F748C">
      <w:pPr>
        <w:pStyle w:val="ListParagraph"/>
        <w:ind w:left="360"/>
        <w:rPr>
          <w:rFonts w:ascii="Arial" w:hAnsi="Arial" w:cs="Arial"/>
          <w:sz w:val="24"/>
          <w:szCs w:val="24"/>
        </w:rPr>
      </w:pPr>
    </w:p>
    <w:p w:rsidR="00766C0B" w:rsidRDefault="000C3C54" w:rsidP="003F76AC">
      <w:pPr>
        <w:pStyle w:val="ListParagraph"/>
        <w:numPr>
          <w:ilvl w:val="0"/>
          <w:numId w:val="44"/>
        </w:numPr>
        <w:rPr>
          <w:rFonts w:ascii="Arial" w:hAnsi="Arial" w:cs="Arial"/>
          <w:sz w:val="24"/>
          <w:szCs w:val="24"/>
        </w:rPr>
      </w:pPr>
      <w:r>
        <w:rPr>
          <w:rFonts w:ascii="Arial" w:hAnsi="Arial" w:cs="Arial"/>
          <w:sz w:val="24"/>
          <w:szCs w:val="24"/>
        </w:rPr>
        <w:t>In response to Staff Question 8 (3), (4) and (5), Hydro 2000</w:t>
      </w:r>
      <w:r w:rsidR="008F748C">
        <w:rPr>
          <w:rFonts w:ascii="Arial" w:hAnsi="Arial" w:cs="Arial"/>
          <w:sz w:val="24"/>
          <w:szCs w:val="24"/>
        </w:rPr>
        <w:t xml:space="preserve"> updated the 1595 Analysis Workform for Account 1595 (2016). In step 1, Hydro 2000 updated the Rate Rider Amounts in column G which resulted in updated Total Residual Balances in column J. The updated total Group 1 residual balance of $31,741 in Account 1595 </w:t>
      </w:r>
      <w:r w:rsidR="008F748C">
        <w:rPr>
          <w:rFonts w:ascii="Arial" w:hAnsi="Arial" w:cs="Arial"/>
          <w:sz w:val="24"/>
          <w:szCs w:val="24"/>
        </w:rPr>
        <w:lastRenderedPageBreak/>
        <w:t>(2016) cannot be reconciled with the continuity schedule (2017 year-end balances in Account 1595 (2016)). Please review and update the continuity schedule.</w:t>
      </w:r>
    </w:p>
    <w:p w:rsidR="005324EB" w:rsidRPr="00DD2346" w:rsidRDefault="005324EB" w:rsidP="005324EB">
      <w:pPr>
        <w:spacing w:after="0"/>
        <w:rPr>
          <w:rFonts w:ascii="Arial" w:hAnsi="Arial" w:cs="Arial"/>
          <w:color w:val="0070C0"/>
          <w:sz w:val="24"/>
          <w:szCs w:val="24"/>
          <w:highlight w:val="yellow"/>
        </w:rPr>
      </w:pPr>
      <w:r w:rsidRPr="003507E0">
        <w:rPr>
          <w:rFonts w:ascii="Arial" w:hAnsi="Arial" w:cs="Arial"/>
          <w:color w:val="0070C0"/>
          <w:sz w:val="24"/>
          <w:szCs w:val="24"/>
        </w:rPr>
        <w:t>Hydro 2000:</w:t>
      </w:r>
      <w:r w:rsidR="00667FDD" w:rsidRPr="003507E0">
        <w:rPr>
          <w:rFonts w:ascii="Arial" w:hAnsi="Arial" w:cs="Arial"/>
          <w:color w:val="0070C0"/>
          <w:sz w:val="24"/>
          <w:szCs w:val="24"/>
        </w:rPr>
        <w:t xml:space="preserve"> The total residual balance </w:t>
      </w:r>
      <w:r w:rsidR="003507E0" w:rsidRPr="003507E0">
        <w:rPr>
          <w:rFonts w:ascii="Arial" w:hAnsi="Arial" w:cs="Arial"/>
          <w:color w:val="0070C0"/>
          <w:sz w:val="24"/>
          <w:szCs w:val="24"/>
        </w:rPr>
        <w:t xml:space="preserve">for 2016 is $30,277 which matches the continuity schedule in cell BT35. You might be looking at a previous version of the 1595 </w:t>
      </w:r>
      <w:proofErr w:type="spellStart"/>
      <w:r w:rsidR="003507E0" w:rsidRPr="003507E0">
        <w:rPr>
          <w:rFonts w:ascii="Arial" w:hAnsi="Arial" w:cs="Arial"/>
          <w:color w:val="0070C0"/>
          <w:sz w:val="24"/>
          <w:szCs w:val="24"/>
        </w:rPr>
        <w:t>workform</w:t>
      </w:r>
      <w:proofErr w:type="spellEnd"/>
      <w:r w:rsidR="003507E0" w:rsidRPr="003507E0">
        <w:rPr>
          <w:rFonts w:ascii="Arial" w:hAnsi="Arial" w:cs="Arial"/>
          <w:color w:val="0070C0"/>
          <w:sz w:val="24"/>
          <w:szCs w:val="24"/>
        </w:rPr>
        <w:t>.</w:t>
      </w:r>
      <w:r w:rsidR="003507E0">
        <w:rPr>
          <w:rFonts w:ascii="Arial" w:hAnsi="Arial" w:cs="Arial"/>
          <w:color w:val="0070C0"/>
          <w:sz w:val="24"/>
          <w:szCs w:val="24"/>
          <w:highlight w:val="yellow"/>
        </w:rPr>
        <w:t xml:space="preserve"> </w:t>
      </w:r>
    </w:p>
    <w:p w:rsidR="008438DF" w:rsidRPr="008438DF" w:rsidRDefault="008438DF" w:rsidP="008438DF">
      <w:pPr>
        <w:pStyle w:val="ListParagraph"/>
        <w:rPr>
          <w:rFonts w:ascii="Arial" w:hAnsi="Arial" w:cs="Arial"/>
          <w:sz w:val="24"/>
          <w:szCs w:val="24"/>
        </w:rPr>
      </w:pPr>
    </w:p>
    <w:p w:rsidR="008A28BA" w:rsidRPr="00A701B6" w:rsidRDefault="008A219E" w:rsidP="00A701B6">
      <w:pPr>
        <w:pStyle w:val="ListParagraph"/>
        <w:numPr>
          <w:ilvl w:val="0"/>
          <w:numId w:val="44"/>
        </w:numPr>
        <w:rPr>
          <w:rFonts w:ascii="Arial" w:hAnsi="Arial" w:cs="Arial"/>
          <w:sz w:val="24"/>
          <w:szCs w:val="24"/>
        </w:rPr>
      </w:pPr>
      <w:r>
        <w:rPr>
          <w:rFonts w:ascii="Arial" w:hAnsi="Arial" w:cs="Arial"/>
          <w:sz w:val="24"/>
          <w:szCs w:val="24"/>
        </w:rPr>
        <w:t xml:space="preserve">In response to Staff Question 8 (4) and (5), Hydro 2000 noted certain amounts have been reclassified between 1595 (2015) and 1595 (2016) and the continuity schedule has been corrected. Based on the review of the current version of the 1595 Analysis Workform and the Continuity Schedule, </w:t>
      </w:r>
      <w:r w:rsidR="00CD0965">
        <w:rPr>
          <w:rFonts w:ascii="Arial" w:hAnsi="Arial" w:cs="Arial"/>
          <w:sz w:val="24"/>
          <w:szCs w:val="24"/>
        </w:rPr>
        <w:t>OEB staff cannot identify the adjustments/corrections mentioned in Hydro 2000’s responses. Please provide better description of the errors that Hydro 2000 identified and how the adjustments/corrections were made in the 1595 Workform and Continuity Schedule. (How the adjustments were calculated? W</w:t>
      </w:r>
      <w:r w:rsidR="00A701B6">
        <w:rPr>
          <w:rFonts w:ascii="Arial" w:hAnsi="Arial" w:cs="Arial"/>
          <w:sz w:val="24"/>
          <w:szCs w:val="24"/>
        </w:rPr>
        <w:t>hich cells were updated?)</w:t>
      </w:r>
    </w:p>
    <w:p w:rsidR="005324EB" w:rsidRPr="005324EB" w:rsidRDefault="005324EB" w:rsidP="005324EB">
      <w:pPr>
        <w:spacing w:after="0"/>
        <w:rPr>
          <w:rFonts w:ascii="Arial" w:hAnsi="Arial" w:cs="Arial"/>
          <w:color w:val="0070C0"/>
          <w:sz w:val="24"/>
          <w:szCs w:val="24"/>
        </w:rPr>
      </w:pPr>
      <w:r w:rsidRPr="005324EB">
        <w:rPr>
          <w:rFonts w:ascii="Arial" w:hAnsi="Arial" w:cs="Arial"/>
          <w:color w:val="0070C0"/>
          <w:sz w:val="24"/>
          <w:szCs w:val="24"/>
        </w:rPr>
        <w:t>Hydro 2000:</w:t>
      </w:r>
      <w:r w:rsidR="003507E0">
        <w:rPr>
          <w:rFonts w:ascii="Arial" w:hAnsi="Arial" w:cs="Arial"/>
          <w:color w:val="0070C0"/>
          <w:sz w:val="24"/>
          <w:szCs w:val="24"/>
        </w:rPr>
        <w:t xml:space="preserve"> An amount of $5,492.55 as been reclassified from 1595 (2015) (AT34) to 1595 (2016) (AT35). Carrying charges have also been reclassified.</w:t>
      </w:r>
    </w:p>
    <w:p w:rsidR="000C141D" w:rsidRPr="000C141D" w:rsidRDefault="000C141D" w:rsidP="00E34CF3">
      <w:pPr>
        <w:spacing w:after="0"/>
        <w:rPr>
          <w:rFonts w:ascii="Arial" w:hAnsi="Arial" w:cs="Arial"/>
          <w:b/>
          <w:sz w:val="24"/>
          <w:szCs w:val="24"/>
        </w:rPr>
      </w:pPr>
    </w:p>
    <w:p w:rsidR="000C141D" w:rsidRPr="000C141D" w:rsidRDefault="00A701B6" w:rsidP="00E34CF3">
      <w:pPr>
        <w:spacing w:after="0"/>
        <w:rPr>
          <w:rFonts w:ascii="Arial" w:hAnsi="Arial" w:cs="Arial"/>
          <w:b/>
          <w:sz w:val="24"/>
          <w:szCs w:val="24"/>
        </w:rPr>
      </w:pPr>
      <w:r>
        <w:rPr>
          <w:rFonts w:ascii="Arial" w:hAnsi="Arial" w:cs="Arial"/>
          <w:b/>
          <w:sz w:val="24"/>
          <w:szCs w:val="24"/>
        </w:rPr>
        <w:t>Follow-up</w:t>
      </w:r>
      <w:r w:rsidR="006B772F">
        <w:rPr>
          <w:rFonts w:ascii="Arial" w:hAnsi="Arial" w:cs="Arial"/>
          <w:b/>
          <w:sz w:val="24"/>
          <w:szCs w:val="24"/>
        </w:rPr>
        <w:t xml:space="preserve"> Question-5</w:t>
      </w:r>
    </w:p>
    <w:p w:rsidR="000C141D" w:rsidRDefault="000C141D" w:rsidP="00E34CF3">
      <w:pPr>
        <w:spacing w:after="0"/>
        <w:rPr>
          <w:rFonts w:ascii="Arial" w:hAnsi="Arial" w:cs="Arial"/>
          <w:b/>
          <w:sz w:val="24"/>
          <w:szCs w:val="24"/>
        </w:rPr>
      </w:pPr>
      <w:r w:rsidRPr="000C141D">
        <w:rPr>
          <w:rFonts w:ascii="Arial" w:hAnsi="Arial" w:cs="Arial"/>
          <w:b/>
          <w:sz w:val="24"/>
          <w:szCs w:val="24"/>
        </w:rPr>
        <w:t>Ref</w:t>
      </w:r>
      <w:r w:rsidR="003F2982">
        <w:rPr>
          <w:rFonts w:ascii="Arial" w:hAnsi="Arial" w:cs="Arial"/>
          <w:b/>
          <w:sz w:val="24"/>
          <w:szCs w:val="24"/>
        </w:rPr>
        <w:t>: Rate Generator Model, Tab 16; Staff Question 10</w:t>
      </w:r>
    </w:p>
    <w:p w:rsidR="000C141D" w:rsidRDefault="000C141D" w:rsidP="00E34CF3">
      <w:pPr>
        <w:spacing w:after="0"/>
        <w:rPr>
          <w:rFonts w:ascii="Arial" w:hAnsi="Arial" w:cs="Arial"/>
          <w:b/>
          <w:sz w:val="24"/>
          <w:szCs w:val="24"/>
        </w:rPr>
      </w:pPr>
    </w:p>
    <w:p w:rsidR="003F2982" w:rsidRDefault="003F2982" w:rsidP="003F2982">
      <w:pPr>
        <w:rPr>
          <w:rFonts w:ascii="Arial" w:hAnsi="Arial" w:cs="Arial"/>
          <w:sz w:val="24"/>
          <w:szCs w:val="24"/>
        </w:rPr>
      </w:pPr>
      <w:r>
        <w:rPr>
          <w:rFonts w:ascii="Arial" w:hAnsi="Arial" w:cs="Arial"/>
          <w:sz w:val="24"/>
          <w:szCs w:val="24"/>
        </w:rPr>
        <w:t xml:space="preserve">OEB staff notes that the question asked in Staff Question 10 was not answered clearly by Hydro 2000. </w:t>
      </w:r>
    </w:p>
    <w:p w:rsidR="00F22E0B" w:rsidRDefault="003F2982" w:rsidP="003F2982">
      <w:pPr>
        <w:pStyle w:val="ListParagraph"/>
        <w:numPr>
          <w:ilvl w:val="0"/>
          <w:numId w:val="45"/>
        </w:numPr>
        <w:rPr>
          <w:rFonts w:ascii="Arial" w:hAnsi="Arial" w:cs="Arial"/>
          <w:sz w:val="24"/>
          <w:szCs w:val="24"/>
        </w:rPr>
      </w:pPr>
      <w:r w:rsidRPr="003F2982">
        <w:rPr>
          <w:rFonts w:ascii="Arial" w:hAnsi="Arial" w:cs="Arial"/>
          <w:sz w:val="24"/>
          <w:szCs w:val="24"/>
        </w:rPr>
        <w:t>Please confirm the number of transition years that the OEB approved in Hydro 2000’s 2016 rate application.</w:t>
      </w:r>
    </w:p>
    <w:p w:rsidR="003F2982" w:rsidRDefault="003F2982" w:rsidP="003F2982">
      <w:pPr>
        <w:pStyle w:val="ListParagraph"/>
        <w:numPr>
          <w:ilvl w:val="0"/>
          <w:numId w:val="45"/>
        </w:numPr>
        <w:rPr>
          <w:rFonts w:ascii="Arial" w:hAnsi="Arial" w:cs="Arial"/>
          <w:sz w:val="24"/>
          <w:szCs w:val="24"/>
        </w:rPr>
      </w:pPr>
      <w:r>
        <w:rPr>
          <w:rFonts w:ascii="Arial" w:hAnsi="Arial" w:cs="Arial"/>
          <w:sz w:val="24"/>
          <w:szCs w:val="24"/>
        </w:rPr>
        <w:t xml:space="preserve">How many years </w:t>
      </w:r>
      <w:r w:rsidR="00DB651F">
        <w:rPr>
          <w:rFonts w:ascii="Arial" w:hAnsi="Arial" w:cs="Arial"/>
          <w:sz w:val="24"/>
          <w:szCs w:val="24"/>
        </w:rPr>
        <w:t xml:space="preserve">are </w:t>
      </w:r>
      <w:r>
        <w:rPr>
          <w:rFonts w:ascii="Arial" w:hAnsi="Arial" w:cs="Arial"/>
          <w:sz w:val="24"/>
          <w:szCs w:val="24"/>
        </w:rPr>
        <w:t>currently left for the rate design transition fo</w:t>
      </w:r>
      <w:r w:rsidR="00DB651F">
        <w:rPr>
          <w:rFonts w:ascii="Arial" w:hAnsi="Arial" w:cs="Arial"/>
          <w:sz w:val="24"/>
          <w:szCs w:val="24"/>
        </w:rPr>
        <w:t>r Hydro 2000? Please provide the reason why this is the correct number of years left.</w:t>
      </w:r>
    </w:p>
    <w:p w:rsidR="005324EB" w:rsidRPr="005324EB" w:rsidRDefault="005324EB" w:rsidP="005324EB">
      <w:pPr>
        <w:spacing w:after="0"/>
        <w:ind w:left="360"/>
        <w:rPr>
          <w:rFonts w:ascii="Arial" w:hAnsi="Arial" w:cs="Arial"/>
          <w:color w:val="0070C0"/>
          <w:sz w:val="24"/>
          <w:szCs w:val="24"/>
        </w:rPr>
      </w:pPr>
      <w:r w:rsidRPr="005324EB">
        <w:rPr>
          <w:rFonts w:ascii="Arial" w:hAnsi="Arial" w:cs="Arial"/>
          <w:color w:val="0070C0"/>
          <w:sz w:val="24"/>
          <w:szCs w:val="24"/>
        </w:rPr>
        <w:t>Hydro 2000:</w:t>
      </w:r>
      <w:r w:rsidR="00611B52">
        <w:rPr>
          <w:rFonts w:ascii="Arial" w:hAnsi="Arial" w:cs="Arial"/>
          <w:color w:val="0070C0"/>
          <w:sz w:val="24"/>
          <w:szCs w:val="24"/>
        </w:rPr>
        <w:t xml:space="preserve"> Hydro 2000 confirms that it was approved for a disposition period of 5 years and that 3 years are left for the rate design transition. </w:t>
      </w:r>
    </w:p>
    <w:p w:rsidR="00C13B83" w:rsidRDefault="00C13B83" w:rsidP="00D9276F">
      <w:pPr>
        <w:rPr>
          <w:rFonts w:ascii="Arial" w:hAnsi="Arial" w:cs="Arial"/>
          <w:b/>
          <w:sz w:val="24"/>
          <w:szCs w:val="24"/>
          <w:u w:val="single"/>
        </w:rPr>
      </w:pPr>
    </w:p>
    <w:p w:rsidR="00C13B83" w:rsidRPr="009B454E" w:rsidRDefault="00C13B83" w:rsidP="00D9276F">
      <w:pPr>
        <w:rPr>
          <w:rFonts w:ascii="Arial" w:hAnsi="Arial" w:cs="Arial"/>
          <w:b/>
          <w:i/>
          <w:sz w:val="24"/>
          <w:szCs w:val="24"/>
          <w:u w:val="single"/>
        </w:rPr>
      </w:pPr>
      <w:r w:rsidRPr="009B454E">
        <w:rPr>
          <w:rFonts w:ascii="Arial" w:hAnsi="Arial" w:cs="Arial"/>
          <w:b/>
          <w:i/>
          <w:sz w:val="24"/>
          <w:szCs w:val="24"/>
          <w:u w:val="single"/>
        </w:rPr>
        <w:t>LRAMVA Questions</w:t>
      </w:r>
    </w:p>
    <w:p w:rsidR="00C13B83" w:rsidRPr="000C141D" w:rsidRDefault="00C13B83" w:rsidP="00C13B83">
      <w:pPr>
        <w:spacing w:after="0"/>
        <w:rPr>
          <w:rFonts w:ascii="Arial" w:hAnsi="Arial" w:cs="Arial"/>
          <w:b/>
          <w:sz w:val="24"/>
          <w:szCs w:val="24"/>
        </w:rPr>
      </w:pPr>
      <w:r>
        <w:rPr>
          <w:rFonts w:ascii="Arial" w:hAnsi="Arial" w:cs="Arial"/>
          <w:b/>
          <w:sz w:val="24"/>
          <w:szCs w:val="24"/>
        </w:rPr>
        <w:t>Follow-up</w:t>
      </w:r>
      <w:r w:rsidR="006B772F">
        <w:rPr>
          <w:rFonts w:ascii="Arial" w:hAnsi="Arial" w:cs="Arial"/>
          <w:b/>
          <w:sz w:val="24"/>
          <w:szCs w:val="24"/>
        </w:rPr>
        <w:t xml:space="preserve"> Question-6</w:t>
      </w:r>
    </w:p>
    <w:p w:rsidR="00C13B83" w:rsidRDefault="00C13B83" w:rsidP="00C13B83">
      <w:pPr>
        <w:spacing w:after="0"/>
        <w:rPr>
          <w:rFonts w:ascii="Arial" w:hAnsi="Arial" w:cs="Arial"/>
          <w:b/>
          <w:sz w:val="24"/>
          <w:szCs w:val="24"/>
        </w:rPr>
      </w:pPr>
      <w:r w:rsidRPr="000C141D">
        <w:rPr>
          <w:rFonts w:ascii="Arial" w:hAnsi="Arial" w:cs="Arial"/>
          <w:b/>
          <w:sz w:val="24"/>
          <w:szCs w:val="24"/>
        </w:rPr>
        <w:t>Ref</w:t>
      </w:r>
      <w:r w:rsidR="006B772F">
        <w:rPr>
          <w:rFonts w:ascii="Arial" w:hAnsi="Arial" w:cs="Arial"/>
          <w:b/>
          <w:sz w:val="24"/>
          <w:szCs w:val="24"/>
        </w:rPr>
        <w:t>:</w:t>
      </w:r>
      <w:r w:rsidR="006B772F" w:rsidRPr="00652BB4">
        <w:rPr>
          <w:rFonts w:ascii="Arial" w:hAnsi="Arial" w:cs="Arial"/>
          <w:b/>
          <w:sz w:val="24"/>
          <w:szCs w:val="24"/>
        </w:rPr>
        <w:t xml:space="preserve"> Staff Question-12 c)</w:t>
      </w:r>
    </w:p>
    <w:p w:rsidR="006B772F" w:rsidRDefault="006B772F" w:rsidP="00C13B83">
      <w:pPr>
        <w:spacing w:after="0"/>
        <w:rPr>
          <w:rFonts w:ascii="Arial" w:hAnsi="Arial" w:cs="Arial"/>
          <w:b/>
          <w:sz w:val="24"/>
          <w:szCs w:val="24"/>
        </w:rPr>
      </w:pPr>
    </w:p>
    <w:p w:rsidR="006B772F" w:rsidRPr="00652BB4" w:rsidRDefault="006B772F" w:rsidP="006B772F">
      <w:pPr>
        <w:rPr>
          <w:rFonts w:ascii="Arial" w:hAnsi="Arial" w:cs="Arial"/>
          <w:sz w:val="24"/>
          <w:szCs w:val="24"/>
        </w:rPr>
      </w:pPr>
      <w:r w:rsidRPr="00652BB4">
        <w:rPr>
          <w:rFonts w:ascii="Arial" w:hAnsi="Arial" w:cs="Arial"/>
          <w:sz w:val="24"/>
          <w:szCs w:val="24"/>
        </w:rPr>
        <w:t>OEB staff understands that Hydro 2000 has</w:t>
      </w:r>
      <w:r>
        <w:rPr>
          <w:rFonts w:ascii="Arial" w:hAnsi="Arial" w:cs="Arial"/>
          <w:sz w:val="24"/>
          <w:szCs w:val="24"/>
        </w:rPr>
        <w:t xml:space="preserve"> calculated</w:t>
      </w:r>
      <w:r w:rsidRPr="00652BB4">
        <w:rPr>
          <w:rFonts w:ascii="Arial" w:hAnsi="Arial" w:cs="Arial"/>
          <w:sz w:val="24"/>
          <w:szCs w:val="24"/>
        </w:rPr>
        <w:t xml:space="preserve"> an LRAMVA </w:t>
      </w:r>
      <w:r>
        <w:rPr>
          <w:rFonts w:ascii="Arial" w:hAnsi="Arial" w:cs="Arial"/>
          <w:sz w:val="24"/>
          <w:szCs w:val="24"/>
        </w:rPr>
        <w:t xml:space="preserve">debit </w:t>
      </w:r>
      <w:r w:rsidRPr="00652BB4">
        <w:rPr>
          <w:rFonts w:ascii="Arial" w:hAnsi="Arial" w:cs="Arial"/>
          <w:sz w:val="24"/>
          <w:szCs w:val="24"/>
        </w:rPr>
        <w:t>balance of $16,872</w:t>
      </w:r>
      <w:r>
        <w:rPr>
          <w:rFonts w:ascii="Arial" w:hAnsi="Arial" w:cs="Arial"/>
          <w:sz w:val="24"/>
          <w:szCs w:val="24"/>
        </w:rPr>
        <w:t xml:space="preserve"> as filed with the original application</w:t>
      </w:r>
      <w:r w:rsidRPr="00652BB4">
        <w:rPr>
          <w:rFonts w:ascii="Arial" w:hAnsi="Arial" w:cs="Arial"/>
          <w:sz w:val="24"/>
          <w:szCs w:val="24"/>
        </w:rPr>
        <w:t>. Hydro 2000 has determined that this is a material amount, but it has chosen not dispose of this balance</w:t>
      </w:r>
      <w:r>
        <w:rPr>
          <w:rFonts w:ascii="Arial" w:hAnsi="Arial" w:cs="Arial"/>
          <w:sz w:val="24"/>
          <w:szCs w:val="24"/>
        </w:rPr>
        <w:t xml:space="preserve"> (or dispose of a </w:t>
      </w:r>
      <w:r>
        <w:rPr>
          <w:rFonts w:ascii="Arial" w:hAnsi="Arial" w:cs="Arial"/>
          <w:sz w:val="24"/>
          <w:szCs w:val="24"/>
        </w:rPr>
        <w:lastRenderedPageBreak/>
        <w:t>potentially smaller amount by reducing the period of the claim)</w:t>
      </w:r>
      <w:r w:rsidRPr="00652BB4">
        <w:rPr>
          <w:rFonts w:ascii="Arial" w:hAnsi="Arial" w:cs="Arial"/>
          <w:sz w:val="24"/>
          <w:szCs w:val="24"/>
        </w:rPr>
        <w:t xml:space="preserve"> in order to mitigate further rate shock </w:t>
      </w:r>
      <w:r>
        <w:rPr>
          <w:rFonts w:ascii="Arial" w:hAnsi="Arial" w:cs="Arial"/>
          <w:sz w:val="24"/>
          <w:szCs w:val="24"/>
        </w:rPr>
        <w:t>from</w:t>
      </w:r>
      <w:r w:rsidRPr="00652BB4">
        <w:rPr>
          <w:rFonts w:ascii="Arial" w:hAnsi="Arial" w:cs="Arial"/>
          <w:sz w:val="24"/>
          <w:szCs w:val="24"/>
        </w:rPr>
        <w:t xml:space="preserve"> </w:t>
      </w:r>
      <w:r>
        <w:rPr>
          <w:rFonts w:ascii="Arial" w:hAnsi="Arial" w:cs="Arial"/>
          <w:sz w:val="24"/>
          <w:szCs w:val="24"/>
        </w:rPr>
        <w:t>its proposed</w:t>
      </w:r>
      <w:r w:rsidRPr="00652BB4">
        <w:rPr>
          <w:rFonts w:ascii="Arial" w:hAnsi="Arial" w:cs="Arial"/>
          <w:sz w:val="24"/>
          <w:szCs w:val="24"/>
        </w:rPr>
        <w:t xml:space="preserve"> disposition of Group 1 DVAs.  </w:t>
      </w:r>
    </w:p>
    <w:p w:rsidR="006B772F" w:rsidRPr="00652BB4" w:rsidRDefault="006B772F" w:rsidP="006B772F">
      <w:pPr>
        <w:rPr>
          <w:rFonts w:ascii="Arial" w:hAnsi="Arial" w:cs="Arial"/>
          <w:sz w:val="24"/>
          <w:szCs w:val="24"/>
        </w:rPr>
      </w:pPr>
      <w:r w:rsidRPr="00652BB4">
        <w:rPr>
          <w:rFonts w:ascii="Arial" w:hAnsi="Arial" w:cs="Arial"/>
          <w:sz w:val="24"/>
          <w:szCs w:val="24"/>
        </w:rPr>
        <w:t>By deferring the disposition of the LRAMVA ba</w:t>
      </w:r>
      <w:r>
        <w:rPr>
          <w:rFonts w:ascii="Arial" w:hAnsi="Arial" w:cs="Arial"/>
          <w:sz w:val="24"/>
          <w:szCs w:val="24"/>
        </w:rPr>
        <w:t>lance until its next COS application</w:t>
      </w:r>
      <w:r w:rsidRPr="00652BB4">
        <w:rPr>
          <w:rFonts w:ascii="Arial" w:hAnsi="Arial" w:cs="Arial"/>
          <w:sz w:val="24"/>
          <w:szCs w:val="24"/>
        </w:rPr>
        <w:t xml:space="preserve">, </w:t>
      </w:r>
      <w:r>
        <w:rPr>
          <w:rFonts w:ascii="Arial" w:hAnsi="Arial" w:cs="Arial"/>
          <w:sz w:val="24"/>
          <w:szCs w:val="24"/>
        </w:rPr>
        <w:t xml:space="preserve">it appears that </w:t>
      </w:r>
      <w:r w:rsidRPr="00652BB4">
        <w:rPr>
          <w:rFonts w:ascii="Arial" w:hAnsi="Arial" w:cs="Arial"/>
          <w:sz w:val="24"/>
          <w:szCs w:val="24"/>
        </w:rPr>
        <w:t xml:space="preserve">Hydro 2000 is hoping to minimize rate shock, primarily </w:t>
      </w:r>
      <w:r>
        <w:rPr>
          <w:rFonts w:ascii="Arial" w:hAnsi="Arial" w:cs="Arial"/>
          <w:sz w:val="24"/>
          <w:szCs w:val="24"/>
        </w:rPr>
        <w:t xml:space="preserve">for </w:t>
      </w:r>
      <w:r w:rsidRPr="00652BB4">
        <w:rPr>
          <w:rFonts w:ascii="Arial" w:hAnsi="Arial" w:cs="Arial"/>
          <w:sz w:val="24"/>
          <w:szCs w:val="24"/>
        </w:rPr>
        <w:t xml:space="preserve">the GS 50-4999kW and Street lighting service classes.  </w:t>
      </w:r>
    </w:p>
    <w:p w:rsidR="006B772F" w:rsidRDefault="006B772F" w:rsidP="006B772F">
      <w:pPr>
        <w:pStyle w:val="ListParagraph"/>
        <w:numPr>
          <w:ilvl w:val="0"/>
          <w:numId w:val="47"/>
        </w:numPr>
        <w:spacing w:after="160" w:line="259" w:lineRule="auto"/>
        <w:rPr>
          <w:rFonts w:ascii="Arial" w:hAnsi="Arial" w:cs="Arial"/>
          <w:sz w:val="24"/>
          <w:szCs w:val="24"/>
        </w:rPr>
      </w:pPr>
      <w:r>
        <w:rPr>
          <w:rFonts w:ascii="Arial" w:hAnsi="Arial" w:cs="Arial"/>
          <w:sz w:val="24"/>
          <w:szCs w:val="24"/>
        </w:rPr>
        <w:t xml:space="preserve">Please confirm whether our current understanding is accurate. If not, please provide clarification. </w:t>
      </w:r>
    </w:p>
    <w:p w:rsidR="006B772F" w:rsidRDefault="006B772F" w:rsidP="006B772F">
      <w:pPr>
        <w:pStyle w:val="ListParagraph"/>
        <w:rPr>
          <w:rFonts w:ascii="Arial" w:hAnsi="Arial" w:cs="Arial"/>
          <w:sz w:val="24"/>
          <w:szCs w:val="24"/>
        </w:rPr>
      </w:pPr>
    </w:p>
    <w:p w:rsidR="005B71CE" w:rsidRPr="005324EB" w:rsidRDefault="005B71CE" w:rsidP="005B71CE">
      <w:pPr>
        <w:spacing w:after="0"/>
        <w:rPr>
          <w:rFonts w:ascii="Arial" w:hAnsi="Arial" w:cs="Arial"/>
          <w:color w:val="0070C0"/>
          <w:sz w:val="24"/>
          <w:szCs w:val="24"/>
        </w:rPr>
      </w:pPr>
      <w:r w:rsidRPr="005324EB">
        <w:rPr>
          <w:rFonts w:ascii="Arial" w:hAnsi="Arial" w:cs="Arial"/>
          <w:color w:val="0070C0"/>
          <w:sz w:val="24"/>
          <w:szCs w:val="24"/>
        </w:rPr>
        <w:t>Hydro 2000:</w:t>
      </w:r>
      <w:r w:rsidR="00611B52">
        <w:rPr>
          <w:rFonts w:ascii="Arial" w:hAnsi="Arial" w:cs="Arial"/>
          <w:color w:val="0070C0"/>
          <w:sz w:val="24"/>
          <w:szCs w:val="24"/>
        </w:rPr>
        <w:t xml:space="preserve"> Hydro 2000 confirms that Staff’s understanding it correct.</w:t>
      </w:r>
    </w:p>
    <w:p w:rsidR="005B71CE" w:rsidRDefault="005B71CE" w:rsidP="006B772F">
      <w:pPr>
        <w:pStyle w:val="ListParagraph"/>
        <w:rPr>
          <w:rFonts w:ascii="Arial" w:hAnsi="Arial" w:cs="Arial"/>
          <w:sz w:val="24"/>
          <w:szCs w:val="24"/>
        </w:rPr>
      </w:pPr>
    </w:p>
    <w:p w:rsidR="006B772F" w:rsidRDefault="006B772F" w:rsidP="006B772F">
      <w:pPr>
        <w:pStyle w:val="ListParagraph"/>
        <w:numPr>
          <w:ilvl w:val="0"/>
          <w:numId w:val="47"/>
        </w:numPr>
        <w:spacing w:after="160" w:line="259" w:lineRule="auto"/>
        <w:rPr>
          <w:rFonts w:ascii="Arial" w:hAnsi="Arial" w:cs="Arial"/>
          <w:sz w:val="24"/>
          <w:szCs w:val="24"/>
        </w:rPr>
      </w:pPr>
      <w:r>
        <w:rPr>
          <w:rFonts w:ascii="Arial" w:hAnsi="Arial" w:cs="Arial"/>
          <w:sz w:val="24"/>
          <w:szCs w:val="24"/>
        </w:rPr>
        <w:t xml:space="preserve">OEB staff identified some changes to the LRAMVA </w:t>
      </w:r>
      <w:proofErr w:type="spellStart"/>
      <w:r>
        <w:rPr>
          <w:rFonts w:ascii="Arial" w:hAnsi="Arial" w:cs="Arial"/>
          <w:sz w:val="24"/>
          <w:szCs w:val="24"/>
        </w:rPr>
        <w:t>workform</w:t>
      </w:r>
      <w:proofErr w:type="spellEnd"/>
      <w:r>
        <w:rPr>
          <w:rFonts w:ascii="Arial" w:hAnsi="Arial" w:cs="Arial"/>
          <w:sz w:val="24"/>
          <w:szCs w:val="24"/>
        </w:rPr>
        <w:t xml:space="preserve"> and tracked changes in red. It appears that the LRAMVA balance should be a debit of $20,411 subject to the following corrections below:</w:t>
      </w:r>
    </w:p>
    <w:p w:rsidR="006B772F" w:rsidRPr="00B6236A" w:rsidRDefault="006B772F" w:rsidP="006B772F">
      <w:pPr>
        <w:pStyle w:val="ListParagraph"/>
        <w:rPr>
          <w:rFonts w:ascii="Arial" w:hAnsi="Arial" w:cs="Arial"/>
          <w:sz w:val="24"/>
          <w:szCs w:val="24"/>
        </w:rPr>
      </w:pPr>
    </w:p>
    <w:p w:rsidR="006B772F" w:rsidRDefault="006B772F" w:rsidP="006B772F">
      <w:pPr>
        <w:pStyle w:val="ListParagraph"/>
        <w:numPr>
          <w:ilvl w:val="1"/>
          <w:numId w:val="48"/>
        </w:numPr>
        <w:spacing w:after="160" w:line="259" w:lineRule="auto"/>
        <w:rPr>
          <w:rFonts w:ascii="Arial" w:hAnsi="Arial" w:cs="Arial"/>
          <w:sz w:val="24"/>
          <w:szCs w:val="24"/>
        </w:rPr>
      </w:pPr>
      <w:r>
        <w:rPr>
          <w:rFonts w:ascii="Arial" w:hAnsi="Arial" w:cs="Arial"/>
          <w:sz w:val="24"/>
          <w:szCs w:val="24"/>
        </w:rPr>
        <w:t xml:space="preserve">Correcting the input to 2014 Direct Install Lighting energy and demand savings (tab 4, row 439) </w:t>
      </w:r>
    </w:p>
    <w:p w:rsidR="006B772F" w:rsidRDefault="006B772F" w:rsidP="006B772F">
      <w:pPr>
        <w:pStyle w:val="ListParagraph"/>
        <w:numPr>
          <w:ilvl w:val="1"/>
          <w:numId w:val="48"/>
        </w:numPr>
        <w:spacing w:after="160" w:line="259" w:lineRule="auto"/>
        <w:rPr>
          <w:rFonts w:ascii="Arial" w:hAnsi="Arial" w:cs="Arial"/>
          <w:sz w:val="24"/>
          <w:szCs w:val="24"/>
        </w:rPr>
      </w:pPr>
      <w:r>
        <w:rPr>
          <w:rFonts w:ascii="Arial" w:hAnsi="Arial" w:cs="Arial"/>
          <w:sz w:val="24"/>
          <w:szCs w:val="24"/>
        </w:rPr>
        <w:t>Updating projected carrying charges to April 30, 2019 (tab 6, with inputs in Table 6)</w:t>
      </w:r>
    </w:p>
    <w:p w:rsidR="006B772F" w:rsidRDefault="006B772F" w:rsidP="006B772F">
      <w:pPr>
        <w:pStyle w:val="ListParagraph"/>
        <w:rPr>
          <w:rFonts w:ascii="Arial" w:hAnsi="Arial" w:cs="Arial"/>
          <w:sz w:val="24"/>
          <w:szCs w:val="24"/>
        </w:rPr>
      </w:pPr>
    </w:p>
    <w:p w:rsidR="006B772F" w:rsidRDefault="006B772F" w:rsidP="006B772F">
      <w:pPr>
        <w:pStyle w:val="ListParagraph"/>
        <w:rPr>
          <w:rFonts w:ascii="Arial" w:hAnsi="Arial" w:cs="Arial"/>
          <w:sz w:val="24"/>
          <w:szCs w:val="24"/>
        </w:rPr>
      </w:pPr>
      <w:r>
        <w:rPr>
          <w:rFonts w:ascii="Arial" w:hAnsi="Arial" w:cs="Arial"/>
          <w:sz w:val="24"/>
          <w:szCs w:val="24"/>
        </w:rPr>
        <w:t xml:space="preserve">Please confirm whether you agree to the identified changes in the LRAMVA </w:t>
      </w:r>
      <w:proofErr w:type="spellStart"/>
      <w:r>
        <w:rPr>
          <w:rFonts w:ascii="Arial" w:hAnsi="Arial" w:cs="Arial"/>
          <w:sz w:val="24"/>
          <w:szCs w:val="24"/>
        </w:rPr>
        <w:t>workform</w:t>
      </w:r>
      <w:proofErr w:type="spellEnd"/>
      <w:r>
        <w:rPr>
          <w:rFonts w:ascii="Arial" w:hAnsi="Arial" w:cs="Arial"/>
          <w:sz w:val="24"/>
          <w:szCs w:val="24"/>
        </w:rPr>
        <w:t>.</w:t>
      </w:r>
    </w:p>
    <w:p w:rsidR="006B772F" w:rsidRDefault="006B772F" w:rsidP="006B772F">
      <w:pPr>
        <w:pStyle w:val="ListParagraph"/>
        <w:rPr>
          <w:rFonts w:ascii="Arial" w:hAnsi="Arial" w:cs="Arial"/>
          <w:sz w:val="24"/>
          <w:szCs w:val="24"/>
        </w:rPr>
      </w:pPr>
    </w:p>
    <w:p w:rsidR="006B772F" w:rsidRPr="00B6236A" w:rsidRDefault="006B772F" w:rsidP="006B772F">
      <w:pPr>
        <w:pStyle w:val="ListParagraph"/>
        <w:rPr>
          <w:rFonts w:ascii="Arial" w:hAnsi="Arial" w:cs="Arial"/>
          <w:sz w:val="24"/>
          <w:szCs w:val="24"/>
        </w:rPr>
      </w:pPr>
      <w:r>
        <w:rPr>
          <w:rFonts w:ascii="Arial" w:hAnsi="Arial" w:cs="Arial"/>
          <w:sz w:val="24"/>
          <w:szCs w:val="24"/>
        </w:rPr>
        <w:t xml:space="preserve">Please confirm whether or not Hydro 2000 agrees that the LRAMVA balance should be a debit of $20,411. If not, please confirm the correct LRAMVA balance. </w:t>
      </w:r>
    </w:p>
    <w:p w:rsidR="005B71CE" w:rsidRPr="005324EB" w:rsidRDefault="005B71CE" w:rsidP="005B71CE">
      <w:pPr>
        <w:spacing w:after="0"/>
        <w:rPr>
          <w:rFonts w:ascii="Arial" w:hAnsi="Arial" w:cs="Arial"/>
          <w:color w:val="0070C0"/>
          <w:sz w:val="24"/>
          <w:szCs w:val="24"/>
        </w:rPr>
      </w:pPr>
      <w:r w:rsidRPr="005324EB">
        <w:rPr>
          <w:rFonts w:ascii="Arial" w:hAnsi="Arial" w:cs="Arial"/>
          <w:color w:val="0070C0"/>
          <w:sz w:val="24"/>
          <w:szCs w:val="24"/>
        </w:rPr>
        <w:t>Hydro 2000:</w:t>
      </w:r>
      <w:r w:rsidR="00611B52">
        <w:rPr>
          <w:rFonts w:ascii="Arial" w:hAnsi="Arial" w:cs="Arial"/>
          <w:color w:val="0070C0"/>
          <w:sz w:val="24"/>
          <w:szCs w:val="24"/>
        </w:rPr>
        <w:t xml:space="preserve"> Hydro 2000 has reviewed the changes and agrees with Staff’s revisions and also agrees that the revised balance sought for disposition is in the amount of $20,411.</w:t>
      </w:r>
    </w:p>
    <w:p w:rsidR="00C13B83" w:rsidRDefault="00C13B83" w:rsidP="00C13B83">
      <w:pPr>
        <w:spacing w:after="0"/>
        <w:rPr>
          <w:rFonts w:ascii="Arial" w:hAnsi="Arial" w:cs="Arial"/>
          <w:b/>
          <w:sz w:val="24"/>
          <w:szCs w:val="24"/>
        </w:rPr>
      </w:pPr>
    </w:p>
    <w:p w:rsidR="00C13B83" w:rsidRPr="000C141D" w:rsidRDefault="00C13B83" w:rsidP="00C13B83">
      <w:pPr>
        <w:spacing w:after="0"/>
        <w:rPr>
          <w:rFonts w:ascii="Arial" w:hAnsi="Arial" w:cs="Arial"/>
          <w:b/>
          <w:sz w:val="24"/>
          <w:szCs w:val="24"/>
        </w:rPr>
      </w:pPr>
      <w:r>
        <w:rPr>
          <w:rFonts w:ascii="Arial" w:hAnsi="Arial" w:cs="Arial"/>
          <w:b/>
          <w:sz w:val="24"/>
          <w:szCs w:val="24"/>
        </w:rPr>
        <w:t>Follow-up</w:t>
      </w:r>
      <w:r w:rsidR="006B772F">
        <w:rPr>
          <w:rFonts w:ascii="Arial" w:hAnsi="Arial" w:cs="Arial"/>
          <w:b/>
          <w:sz w:val="24"/>
          <w:szCs w:val="24"/>
        </w:rPr>
        <w:t xml:space="preserve"> Question-7</w:t>
      </w:r>
    </w:p>
    <w:p w:rsidR="00C13B83" w:rsidRDefault="00C13B83" w:rsidP="00C13B83">
      <w:pPr>
        <w:rPr>
          <w:rFonts w:ascii="Arial" w:hAnsi="Arial" w:cs="Arial"/>
          <w:b/>
          <w:sz w:val="24"/>
          <w:szCs w:val="24"/>
        </w:rPr>
      </w:pPr>
      <w:r w:rsidRPr="000C141D">
        <w:rPr>
          <w:rFonts w:ascii="Arial" w:hAnsi="Arial" w:cs="Arial"/>
          <w:b/>
          <w:sz w:val="24"/>
          <w:szCs w:val="24"/>
        </w:rPr>
        <w:t>Ref</w:t>
      </w:r>
      <w:r>
        <w:rPr>
          <w:rFonts w:ascii="Arial" w:hAnsi="Arial" w:cs="Arial"/>
          <w:b/>
          <w:sz w:val="24"/>
          <w:szCs w:val="24"/>
        </w:rPr>
        <w:t xml:space="preserve">: </w:t>
      </w:r>
      <w:r w:rsidR="006B772F" w:rsidRPr="00652BB4">
        <w:rPr>
          <w:rFonts w:ascii="Arial" w:hAnsi="Arial" w:cs="Arial"/>
          <w:b/>
          <w:sz w:val="24"/>
          <w:szCs w:val="24"/>
        </w:rPr>
        <w:t>Staff Question-11 a)</w:t>
      </w:r>
    </w:p>
    <w:p w:rsidR="006B772F" w:rsidRPr="008E638D" w:rsidRDefault="006B772F" w:rsidP="006B772F">
      <w:pPr>
        <w:rPr>
          <w:rFonts w:ascii="Arial" w:hAnsi="Arial" w:cs="Arial"/>
          <w:sz w:val="24"/>
          <w:szCs w:val="24"/>
        </w:rPr>
      </w:pPr>
      <w:r>
        <w:rPr>
          <w:rFonts w:ascii="Arial" w:hAnsi="Arial" w:cs="Arial"/>
          <w:sz w:val="24"/>
          <w:szCs w:val="24"/>
        </w:rPr>
        <w:t>OEB staff compiled the following table to confirm the bill impacts, with and without LRAMVA disposition:</w:t>
      </w:r>
    </w:p>
    <w:tbl>
      <w:tblPr>
        <w:tblW w:w="8005" w:type="dxa"/>
        <w:tblLook w:val="04A0" w:firstRow="1" w:lastRow="0" w:firstColumn="1" w:lastColumn="0" w:noHBand="0" w:noVBand="1"/>
      </w:tblPr>
      <w:tblGrid>
        <w:gridCol w:w="4670"/>
        <w:gridCol w:w="1355"/>
        <w:gridCol w:w="1980"/>
      </w:tblGrid>
      <w:tr w:rsidR="006B772F" w:rsidRPr="00675AD9" w:rsidTr="00BA2946">
        <w:trPr>
          <w:trHeight w:val="898"/>
        </w:trPr>
        <w:tc>
          <w:tcPr>
            <w:tcW w:w="4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72F" w:rsidRPr="00675AD9" w:rsidRDefault="006B772F" w:rsidP="00BA2946">
            <w:pPr>
              <w:spacing w:after="0" w:line="240" w:lineRule="auto"/>
              <w:rPr>
                <w:rFonts w:ascii="Arial" w:eastAsia="Times New Roman" w:hAnsi="Arial" w:cs="Arial"/>
                <w:color w:val="000000"/>
                <w:sz w:val="20"/>
                <w:szCs w:val="24"/>
              </w:rPr>
            </w:pPr>
            <w:r w:rsidRPr="00675AD9">
              <w:rPr>
                <w:rFonts w:ascii="Arial" w:eastAsia="Times New Roman" w:hAnsi="Arial" w:cs="Arial"/>
                <w:color w:val="000000"/>
                <w:sz w:val="20"/>
                <w:szCs w:val="24"/>
              </w:rPr>
              <w:t> </w:t>
            </w:r>
          </w:p>
        </w:tc>
        <w:tc>
          <w:tcPr>
            <w:tcW w:w="1355" w:type="dxa"/>
            <w:tcBorders>
              <w:top w:val="single" w:sz="4" w:space="0" w:color="auto"/>
              <w:left w:val="nil"/>
              <w:bottom w:val="single" w:sz="4" w:space="0" w:color="auto"/>
              <w:right w:val="single" w:sz="4" w:space="0" w:color="auto"/>
            </w:tcBorders>
            <w:shd w:val="clear" w:color="auto" w:fill="auto"/>
            <w:hideMark/>
          </w:tcPr>
          <w:p w:rsidR="006B772F" w:rsidRPr="00675AD9" w:rsidRDefault="006B772F" w:rsidP="00BA2946">
            <w:pPr>
              <w:spacing w:after="0" w:line="240" w:lineRule="auto"/>
              <w:rPr>
                <w:rFonts w:ascii="Arial" w:eastAsia="Times New Roman" w:hAnsi="Arial" w:cs="Arial"/>
                <w:color w:val="000000"/>
                <w:sz w:val="20"/>
                <w:szCs w:val="24"/>
              </w:rPr>
            </w:pPr>
            <w:r w:rsidRPr="00675AD9">
              <w:rPr>
                <w:rFonts w:ascii="Arial" w:eastAsia="Times New Roman" w:hAnsi="Arial" w:cs="Arial"/>
                <w:color w:val="000000"/>
                <w:sz w:val="20"/>
                <w:szCs w:val="24"/>
              </w:rPr>
              <w:t>Bill impact without LRAM</w:t>
            </w:r>
            <w:r>
              <w:rPr>
                <w:rFonts w:ascii="Arial" w:eastAsia="Times New Roman" w:hAnsi="Arial" w:cs="Arial"/>
                <w:color w:val="000000"/>
                <w:sz w:val="20"/>
                <w:szCs w:val="24"/>
              </w:rPr>
              <w:t>VA</w:t>
            </w:r>
            <w:r w:rsidRPr="00675AD9">
              <w:rPr>
                <w:rFonts w:ascii="Arial" w:eastAsia="Times New Roman" w:hAnsi="Arial" w:cs="Arial"/>
                <w:color w:val="000000"/>
                <w:sz w:val="20"/>
                <w:szCs w:val="24"/>
              </w:rPr>
              <w:t xml:space="preserve"> - </w:t>
            </w:r>
            <w:r w:rsidRPr="00675AD9">
              <w:rPr>
                <w:rFonts w:ascii="Arial" w:eastAsia="Times New Roman" w:hAnsi="Arial" w:cs="Arial"/>
                <w:color w:val="FF0000"/>
                <w:sz w:val="20"/>
                <w:szCs w:val="24"/>
              </w:rPr>
              <w:t>Application</w:t>
            </w:r>
          </w:p>
        </w:tc>
        <w:tc>
          <w:tcPr>
            <w:tcW w:w="1980" w:type="dxa"/>
            <w:tcBorders>
              <w:top w:val="single" w:sz="4" w:space="0" w:color="auto"/>
              <w:left w:val="nil"/>
              <w:bottom w:val="single" w:sz="4" w:space="0" w:color="auto"/>
              <w:right w:val="single" w:sz="4" w:space="0" w:color="auto"/>
            </w:tcBorders>
            <w:shd w:val="clear" w:color="auto" w:fill="auto"/>
            <w:hideMark/>
          </w:tcPr>
          <w:p w:rsidR="006B772F" w:rsidRDefault="006B772F" w:rsidP="00BA2946">
            <w:pPr>
              <w:spacing w:after="0" w:line="240" w:lineRule="auto"/>
              <w:rPr>
                <w:rFonts w:ascii="Arial" w:eastAsia="Times New Roman" w:hAnsi="Arial" w:cs="Arial"/>
                <w:color w:val="FF0000"/>
                <w:sz w:val="20"/>
                <w:szCs w:val="24"/>
              </w:rPr>
            </w:pPr>
            <w:r w:rsidRPr="00675AD9">
              <w:rPr>
                <w:rFonts w:ascii="Arial" w:eastAsia="Times New Roman" w:hAnsi="Arial" w:cs="Arial"/>
                <w:color w:val="000000"/>
                <w:sz w:val="20"/>
                <w:szCs w:val="24"/>
              </w:rPr>
              <w:t xml:space="preserve">Bill impact </w:t>
            </w:r>
            <w:r>
              <w:rPr>
                <w:rFonts w:ascii="Arial" w:eastAsia="Times New Roman" w:hAnsi="Arial" w:cs="Arial"/>
                <w:color w:val="000000"/>
                <w:sz w:val="20"/>
                <w:szCs w:val="24"/>
              </w:rPr>
              <w:t xml:space="preserve"> with</w:t>
            </w:r>
            <w:r w:rsidRPr="00675AD9">
              <w:rPr>
                <w:rFonts w:ascii="Arial" w:eastAsia="Times New Roman" w:hAnsi="Arial" w:cs="Arial"/>
                <w:color w:val="000000"/>
                <w:sz w:val="20"/>
                <w:szCs w:val="24"/>
              </w:rPr>
              <w:t xml:space="preserve"> LRAM</w:t>
            </w:r>
            <w:r>
              <w:rPr>
                <w:rFonts w:ascii="Arial" w:eastAsia="Times New Roman" w:hAnsi="Arial" w:cs="Arial"/>
                <w:color w:val="000000"/>
                <w:sz w:val="20"/>
                <w:szCs w:val="24"/>
              </w:rPr>
              <w:t>VA</w:t>
            </w:r>
            <w:r w:rsidRPr="00675AD9">
              <w:rPr>
                <w:rFonts w:ascii="Arial" w:eastAsia="Times New Roman" w:hAnsi="Arial" w:cs="Arial"/>
                <w:color w:val="000000"/>
                <w:sz w:val="20"/>
                <w:szCs w:val="24"/>
              </w:rPr>
              <w:t xml:space="preserve"> </w:t>
            </w:r>
            <w:r>
              <w:rPr>
                <w:rFonts w:ascii="Arial" w:eastAsia="Times New Roman" w:hAnsi="Arial" w:cs="Arial"/>
                <w:color w:val="000000"/>
                <w:sz w:val="20"/>
                <w:szCs w:val="24"/>
              </w:rPr>
              <w:t>–</w:t>
            </w:r>
            <w:r w:rsidRPr="00675AD9">
              <w:rPr>
                <w:rFonts w:ascii="Arial" w:eastAsia="Times New Roman" w:hAnsi="Arial" w:cs="Arial"/>
                <w:color w:val="000000"/>
                <w:sz w:val="20"/>
                <w:szCs w:val="24"/>
              </w:rPr>
              <w:t xml:space="preserve"> </w:t>
            </w:r>
            <w:r>
              <w:rPr>
                <w:rFonts w:ascii="Arial" w:eastAsia="Times New Roman" w:hAnsi="Arial" w:cs="Arial"/>
                <w:color w:val="FF0000"/>
                <w:sz w:val="20"/>
                <w:szCs w:val="24"/>
              </w:rPr>
              <w:t>Staff corrected</w:t>
            </w:r>
          </w:p>
          <w:p w:rsidR="006B772F" w:rsidRPr="00675AD9" w:rsidRDefault="006B772F" w:rsidP="00BA2946">
            <w:pPr>
              <w:spacing w:after="0" w:line="240" w:lineRule="auto"/>
              <w:rPr>
                <w:rFonts w:ascii="Arial" w:eastAsia="Times New Roman" w:hAnsi="Arial" w:cs="Arial"/>
                <w:color w:val="000000"/>
                <w:sz w:val="20"/>
                <w:szCs w:val="24"/>
              </w:rPr>
            </w:pPr>
            <w:r>
              <w:rPr>
                <w:rFonts w:ascii="Arial" w:eastAsia="Times New Roman" w:hAnsi="Arial" w:cs="Arial"/>
                <w:color w:val="FF0000"/>
                <w:sz w:val="20"/>
                <w:szCs w:val="24"/>
              </w:rPr>
              <w:t>scenario (12 month disposition)</w:t>
            </w:r>
          </w:p>
        </w:tc>
      </w:tr>
      <w:tr w:rsidR="006B772F" w:rsidRPr="00675AD9" w:rsidTr="00BA2946">
        <w:trPr>
          <w:trHeight w:val="299"/>
        </w:trPr>
        <w:tc>
          <w:tcPr>
            <w:tcW w:w="4670" w:type="dxa"/>
            <w:tcBorders>
              <w:top w:val="nil"/>
              <w:left w:val="single" w:sz="4" w:space="0" w:color="auto"/>
              <w:bottom w:val="single" w:sz="4" w:space="0" w:color="auto"/>
              <w:right w:val="single" w:sz="4" w:space="0" w:color="auto"/>
            </w:tcBorders>
            <w:shd w:val="clear" w:color="000000" w:fill="FFFFFF"/>
            <w:noWrap/>
            <w:hideMark/>
          </w:tcPr>
          <w:p w:rsidR="006B772F" w:rsidRPr="00675AD9" w:rsidRDefault="006B772F" w:rsidP="00BA2946">
            <w:pPr>
              <w:spacing w:after="0" w:line="240" w:lineRule="auto"/>
              <w:rPr>
                <w:rFonts w:ascii="Arial" w:eastAsia="Times New Roman" w:hAnsi="Arial" w:cs="Arial"/>
                <w:sz w:val="20"/>
                <w:szCs w:val="24"/>
              </w:rPr>
            </w:pPr>
            <w:r w:rsidRPr="00675AD9">
              <w:rPr>
                <w:rFonts w:ascii="Arial" w:eastAsia="Times New Roman" w:hAnsi="Arial" w:cs="Arial"/>
                <w:sz w:val="20"/>
                <w:szCs w:val="24"/>
              </w:rPr>
              <w:lastRenderedPageBreak/>
              <w:t xml:space="preserve">RESIDENTIAL SERVICE CLASSIFICATION </w:t>
            </w:r>
            <w:r w:rsidRPr="00652BB4">
              <w:rPr>
                <w:rFonts w:ascii="Arial" w:eastAsia="Times New Roman" w:hAnsi="Arial" w:cs="Arial"/>
                <w:sz w:val="20"/>
                <w:szCs w:val="24"/>
              </w:rPr>
              <w:t>–</w:t>
            </w:r>
            <w:r w:rsidRPr="00675AD9">
              <w:rPr>
                <w:rFonts w:ascii="Arial" w:eastAsia="Times New Roman" w:hAnsi="Arial" w:cs="Arial"/>
                <w:sz w:val="20"/>
                <w:szCs w:val="24"/>
              </w:rPr>
              <w:t xml:space="preserve"> RPP</w:t>
            </w:r>
            <w:r w:rsidRPr="00652BB4">
              <w:rPr>
                <w:rFonts w:ascii="Arial" w:eastAsia="Times New Roman" w:hAnsi="Arial" w:cs="Arial"/>
                <w:sz w:val="20"/>
                <w:szCs w:val="24"/>
              </w:rPr>
              <w:t xml:space="preserve"> (750 kWh)</w:t>
            </w:r>
          </w:p>
        </w:tc>
        <w:tc>
          <w:tcPr>
            <w:tcW w:w="1355" w:type="dxa"/>
            <w:tcBorders>
              <w:top w:val="nil"/>
              <w:left w:val="nil"/>
              <w:bottom w:val="single" w:sz="4" w:space="0" w:color="auto"/>
              <w:right w:val="single" w:sz="4" w:space="0" w:color="auto"/>
            </w:tcBorders>
            <w:shd w:val="clear" w:color="auto" w:fill="auto"/>
            <w:noWrap/>
            <w:vAlign w:val="center"/>
            <w:hideMark/>
          </w:tcPr>
          <w:p w:rsidR="006B772F" w:rsidRPr="00675AD9" w:rsidRDefault="006B772F" w:rsidP="00BA2946">
            <w:pPr>
              <w:spacing w:after="0" w:line="240" w:lineRule="auto"/>
              <w:jc w:val="center"/>
              <w:rPr>
                <w:rFonts w:ascii="Arial" w:eastAsia="Times New Roman" w:hAnsi="Arial" w:cs="Arial"/>
                <w:color w:val="000000"/>
                <w:sz w:val="20"/>
                <w:szCs w:val="24"/>
              </w:rPr>
            </w:pPr>
            <w:r w:rsidRPr="00675AD9">
              <w:rPr>
                <w:rFonts w:ascii="Arial" w:eastAsia="Times New Roman" w:hAnsi="Arial" w:cs="Arial"/>
                <w:color w:val="000000"/>
                <w:sz w:val="20"/>
                <w:szCs w:val="24"/>
              </w:rPr>
              <w:t>4.5%</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72F" w:rsidRPr="007F5E1B" w:rsidRDefault="006B772F" w:rsidP="00BA2946">
            <w:pPr>
              <w:spacing w:after="0" w:line="240" w:lineRule="auto"/>
              <w:jc w:val="center"/>
              <w:rPr>
                <w:rFonts w:ascii="Arial" w:eastAsia="Times New Roman" w:hAnsi="Arial" w:cs="Arial"/>
                <w:color w:val="000000"/>
                <w:sz w:val="20"/>
                <w:szCs w:val="24"/>
              </w:rPr>
            </w:pPr>
            <w:r w:rsidRPr="007F5E1B">
              <w:rPr>
                <w:rFonts w:ascii="Arial" w:eastAsia="Times New Roman" w:hAnsi="Arial" w:cs="Arial"/>
                <w:color w:val="000000"/>
                <w:sz w:val="20"/>
                <w:szCs w:val="24"/>
              </w:rPr>
              <w:t>4.7%</w:t>
            </w:r>
          </w:p>
        </w:tc>
      </w:tr>
      <w:tr w:rsidR="006B772F" w:rsidRPr="00675AD9" w:rsidTr="00BA2946">
        <w:trPr>
          <w:trHeight w:val="299"/>
        </w:trPr>
        <w:tc>
          <w:tcPr>
            <w:tcW w:w="4670" w:type="dxa"/>
            <w:tcBorders>
              <w:top w:val="nil"/>
              <w:left w:val="single" w:sz="4" w:space="0" w:color="auto"/>
              <w:bottom w:val="single" w:sz="4" w:space="0" w:color="auto"/>
              <w:right w:val="single" w:sz="4" w:space="0" w:color="auto"/>
            </w:tcBorders>
            <w:shd w:val="clear" w:color="000000" w:fill="FFFFFF"/>
            <w:noWrap/>
            <w:hideMark/>
          </w:tcPr>
          <w:p w:rsidR="006B772F" w:rsidRPr="00675AD9" w:rsidRDefault="006B772F" w:rsidP="00BA2946">
            <w:pPr>
              <w:spacing w:after="0" w:line="240" w:lineRule="auto"/>
              <w:rPr>
                <w:rFonts w:ascii="Arial" w:eastAsia="Times New Roman" w:hAnsi="Arial" w:cs="Arial"/>
                <w:sz w:val="20"/>
                <w:szCs w:val="24"/>
              </w:rPr>
            </w:pPr>
            <w:r w:rsidRPr="00675AD9">
              <w:rPr>
                <w:rFonts w:ascii="Arial" w:eastAsia="Times New Roman" w:hAnsi="Arial" w:cs="Arial"/>
                <w:sz w:val="20"/>
                <w:szCs w:val="24"/>
              </w:rPr>
              <w:t>GENERAL SERVICE LESS THAN 50 kW SERVICE CLASSIFICATION - RPP</w:t>
            </w:r>
          </w:p>
        </w:tc>
        <w:tc>
          <w:tcPr>
            <w:tcW w:w="1355" w:type="dxa"/>
            <w:tcBorders>
              <w:top w:val="nil"/>
              <w:left w:val="nil"/>
              <w:bottom w:val="single" w:sz="4" w:space="0" w:color="auto"/>
              <w:right w:val="single" w:sz="4" w:space="0" w:color="auto"/>
            </w:tcBorders>
            <w:shd w:val="clear" w:color="auto" w:fill="auto"/>
            <w:noWrap/>
            <w:vAlign w:val="center"/>
            <w:hideMark/>
          </w:tcPr>
          <w:p w:rsidR="006B772F" w:rsidRPr="00675AD9" w:rsidRDefault="006B772F" w:rsidP="00BA2946">
            <w:pPr>
              <w:spacing w:after="0" w:line="240" w:lineRule="auto"/>
              <w:jc w:val="center"/>
              <w:rPr>
                <w:rFonts w:ascii="Arial" w:eastAsia="Times New Roman" w:hAnsi="Arial" w:cs="Arial"/>
                <w:color w:val="000000"/>
                <w:sz w:val="20"/>
                <w:szCs w:val="24"/>
              </w:rPr>
            </w:pPr>
            <w:r w:rsidRPr="00675AD9">
              <w:rPr>
                <w:rFonts w:ascii="Arial" w:eastAsia="Times New Roman" w:hAnsi="Arial" w:cs="Arial"/>
                <w:color w:val="000000"/>
                <w:sz w:val="20"/>
                <w:szCs w:val="24"/>
              </w:rPr>
              <w:t>3.6%</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6B772F" w:rsidRPr="007F5E1B" w:rsidRDefault="006B772F" w:rsidP="00BA2946">
            <w:pPr>
              <w:spacing w:after="0" w:line="240" w:lineRule="auto"/>
              <w:jc w:val="center"/>
              <w:rPr>
                <w:rFonts w:ascii="Arial" w:eastAsia="Times New Roman" w:hAnsi="Arial" w:cs="Arial"/>
                <w:color w:val="000000"/>
                <w:sz w:val="20"/>
                <w:szCs w:val="24"/>
              </w:rPr>
            </w:pPr>
            <w:r w:rsidRPr="007F5E1B">
              <w:rPr>
                <w:rFonts w:ascii="Arial" w:eastAsia="Times New Roman" w:hAnsi="Arial" w:cs="Arial"/>
                <w:color w:val="000000"/>
                <w:sz w:val="20"/>
                <w:szCs w:val="24"/>
              </w:rPr>
              <w:t>6.4%</w:t>
            </w:r>
          </w:p>
        </w:tc>
      </w:tr>
      <w:tr w:rsidR="006B772F" w:rsidRPr="00675AD9" w:rsidTr="00BA2946">
        <w:trPr>
          <w:trHeight w:val="299"/>
        </w:trPr>
        <w:tc>
          <w:tcPr>
            <w:tcW w:w="4670" w:type="dxa"/>
            <w:tcBorders>
              <w:top w:val="nil"/>
              <w:left w:val="single" w:sz="4" w:space="0" w:color="auto"/>
              <w:bottom w:val="single" w:sz="4" w:space="0" w:color="auto"/>
              <w:right w:val="single" w:sz="4" w:space="0" w:color="auto"/>
            </w:tcBorders>
            <w:shd w:val="clear" w:color="000000" w:fill="FFFFFF"/>
            <w:noWrap/>
            <w:hideMark/>
          </w:tcPr>
          <w:p w:rsidR="006B772F" w:rsidRPr="00675AD9" w:rsidRDefault="006B772F" w:rsidP="00BA2946">
            <w:pPr>
              <w:spacing w:after="0" w:line="240" w:lineRule="auto"/>
              <w:rPr>
                <w:rFonts w:ascii="Arial" w:eastAsia="Times New Roman" w:hAnsi="Arial" w:cs="Arial"/>
                <w:sz w:val="20"/>
                <w:szCs w:val="24"/>
              </w:rPr>
            </w:pPr>
            <w:r w:rsidRPr="00675AD9">
              <w:rPr>
                <w:rFonts w:ascii="Arial" w:eastAsia="Times New Roman" w:hAnsi="Arial" w:cs="Arial"/>
                <w:sz w:val="20"/>
                <w:szCs w:val="24"/>
              </w:rPr>
              <w:t>GENERAL SERVICE 50 TO 4,999 KW SERVICE CLASSIFICATION - Non-RPP (Other)</w:t>
            </w:r>
          </w:p>
        </w:tc>
        <w:tc>
          <w:tcPr>
            <w:tcW w:w="1355" w:type="dxa"/>
            <w:tcBorders>
              <w:top w:val="nil"/>
              <w:left w:val="nil"/>
              <w:bottom w:val="single" w:sz="4" w:space="0" w:color="auto"/>
              <w:right w:val="single" w:sz="4" w:space="0" w:color="auto"/>
            </w:tcBorders>
            <w:shd w:val="clear" w:color="auto" w:fill="auto"/>
            <w:noWrap/>
            <w:vAlign w:val="center"/>
            <w:hideMark/>
          </w:tcPr>
          <w:p w:rsidR="006B772F" w:rsidRPr="00675AD9" w:rsidRDefault="006B772F" w:rsidP="00BA2946">
            <w:pPr>
              <w:spacing w:after="0" w:line="240" w:lineRule="auto"/>
              <w:jc w:val="center"/>
              <w:rPr>
                <w:rFonts w:ascii="Arial" w:eastAsia="Times New Roman" w:hAnsi="Arial" w:cs="Arial"/>
                <w:color w:val="000000"/>
                <w:sz w:val="20"/>
                <w:szCs w:val="24"/>
              </w:rPr>
            </w:pPr>
            <w:r w:rsidRPr="00675AD9">
              <w:rPr>
                <w:rFonts w:ascii="Arial" w:eastAsia="Times New Roman" w:hAnsi="Arial" w:cs="Arial"/>
                <w:color w:val="000000"/>
                <w:sz w:val="20"/>
                <w:szCs w:val="24"/>
              </w:rPr>
              <w:t>8.5%</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6B772F" w:rsidRPr="007F5E1B" w:rsidRDefault="006B772F" w:rsidP="00BA2946">
            <w:pPr>
              <w:spacing w:after="0" w:line="240" w:lineRule="auto"/>
              <w:jc w:val="center"/>
              <w:rPr>
                <w:rFonts w:ascii="Arial" w:eastAsia="Times New Roman" w:hAnsi="Arial" w:cs="Arial"/>
                <w:color w:val="000000"/>
                <w:sz w:val="20"/>
                <w:szCs w:val="24"/>
              </w:rPr>
            </w:pPr>
            <w:r w:rsidRPr="007F5E1B">
              <w:rPr>
                <w:rFonts w:ascii="Arial" w:eastAsia="Times New Roman" w:hAnsi="Arial" w:cs="Arial"/>
                <w:color w:val="000000"/>
                <w:sz w:val="20"/>
                <w:szCs w:val="24"/>
              </w:rPr>
              <w:t>8.7%</w:t>
            </w:r>
          </w:p>
        </w:tc>
      </w:tr>
      <w:tr w:rsidR="006B772F" w:rsidRPr="00675AD9" w:rsidTr="00BA2946">
        <w:trPr>
          <w:trHeight w:val="299"/>
        </w:trPr>
        <w:tc>
          <w:tcPr>
            <w:tcW w:w="4670" w:type="dxa"/>
            <w:tcBorders>
              <w:top w:val="nil"/>
              <w:left w:val="single" w:sz="4" w:space="0" w:color="auto"/>
              <w:bottom w:val="single" w:sz="4" w:space="0" w:color="auto"/>
              <w:right w:val="single" w:sz="4" w:space="0" w:color="auto"/>
            </w:tcBorders>
            <w:shd w:val="clear" w:color="000000" w:fill="FFFFFF"/>
            <w:noWrap/>
            <w:hideMark/>
          </w:tcPr>
          <w:p w:rsidR="006B772F" w:rsidRPr="00675AD9" w:rsidRDefault="006B772F" w:rsidP="00BA2946">
            <w:pPr>
              <w:spacing w:after="0" w:line="240" w:lineRule="auto"/>
              <w:rPr>
                <w:rFonts w:ascii="Arial" w:eastAsia="Times New Roman" w:hAnsi="Arial" w:cs="Arial"/>
                <w:sz w:val="20"/>
                <w:szCs w:val="24"/>
              </w:rPr>
            </w:pPr>
            <w:r w:rsidRPr="00675AD9">
              <w:rPr>
                <w:rFonts w:ascii="Arial" w:eastAsia="Times New Roman" w:hAnsi="Arial" w:cs="Arial"/>
                <w:sz w:val="20"/>
                <w:szCs w:val="24"/>
              </w:rPr>
              <w:t>STREET LIGHTING SERVICE CLASSIFICATION - RPP</w:t>
            </w:r>
          </w:p>
        </w:tc>
        <w:tc>
          <w:tcPr>
            <w:tcW w:w="1355" w:type="dxa"/>
            <w:tcBorders>
              <w:top w:val="nil"/>
              <w:left w:val="nil"/>
              <w:bottom w:val="single" w:sz="4" w:space="0" w:color="auto"/>
              <w:right w:val="single" w:sz="4" w:space="0" w:color="auto"/>
            </w:tcBorders>
            <w:shd w:val="clear" w:color="auto" w:fill="auto"/>
            <w:noWrap/>
            <w:vAlign w:val="center"/>
            <w:hideMark/>
          </w:tcPr>
          <w:p w:rsidR="006B772F" w:rsidRPr="00675AD9" w:rsidRDefault="006B772F" w:rsidP="00BA2946">
            <w:pPr>
              <w:spacing w:after="0" w:line="240" w:lineRule="auto"/>
              <w:jc w:val="center"/>
              <w:rPr>
                <w:rFonts w:ascii="Arial" w:eastAsia="Times New Roman" w:hAnsi="Arial" w:cs="Arial"/>
                <w:color w:val="000000"/>
                <w:sz w:val="20"/>
                <w:szCs w:val="24"/>
              </w:rPr>
            </w:pPr>
            <w:r w:rsidRPr="00675AD9">
              <w:rPr>
                <w:rFonts w:ascii="Arial" w:eastAsia="Times New Roman" w:hAnsi="Arial" w:cs="Arial"/>
                <w:color w:val="000000"/>
                <w:sz w:val="20"/>
                <w:szCs w:val="24"/>
              </w:rPr>
              <w:t>3.3%</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6B772F" w:rsidRPr="007F5E1B" w:rsidRDefault="006B772F" w:rsidP="00BA2946">
            <w:pPr>
              <w:spacing w:after="0" w:line="240" w:lineRule="auto"/>
              <w:jc w:val="center"/>
              <w:rPr>
                <w:rFonts w:ascii="Arial" w:eastAsia="Times New Roman" w:hAnsi="Arial" w:cs="Arial"/>
                <w:color w:val="000000"/>
                <w:sz w:val="20"/>
                <w:szCs w:val="24"/>
              </w:rPr>
            </w:pPr>
            <w:r w:rsidRPr="007F5E1B">
              <w:rPr>
                <w:rFonts w:ascii="Arial" w:eastAsia="Times New Roman" w:hAnsi="Arial" w:cs="Arial"/>
                <w:color w:val="000000"/>
                <w:sz w:val="20"/>
                <w:szCs w:val="24"/>
              </w:rPr>
              <w:t>12.0%</w:t>
            </w:r>
          </w:p>
        </w:tc>
      </w:tr>
      <w:tr w:rsidR="006B772F" w:rsidRPr="00675AD9" w:rsidTr="00BA2946">
        <w:trPr>
          <w:trHeight w:val="299"/>
        </w:trPr>
        <w:tc>
          <w:tcPr>
            <w:tcW w:w="4670" w:type="dxa"/>
            <w:tcBorders>
              <w:top w:val="nil"/>
              <w:left w:val="single" w:sz="4" w:space="0" w:color="auto"/>
              <w:bottom w:val="single" w:sz="4" w:space="0" w:color="auto"/>
              <w:right w:val="single" w:sz="4" w:space="0" w:color="auto"/>
            </w:tcBorders>
            <w:shd w:val="clear" w:color="000000" w:fill="FFFFFF"/>
            <w:noWrap/>
            <w:hideMark/>
          </w:tcPr>
          <w:p w:rsidR="006B772F" w:rsidRPr="00675AD9" w:rsidRDefault="006B772F" w:rsidP="00BA2946">
            <w:pPr>
              <w:spacing w:after="0" w:line="240" w:lineRule="auto"/>
              <w:rPr>
                <w:rFonts w:ascii="Arial" w:eastAsia="Times New Roman" w:hAnsi="Arial" w:cs="Arial"/>
                <w:sz w:val="20"/>
                <w:szCs w:val="24"/>
              </w:rPr>
            </w:pPr>
            <w:r w:rsidRPr="00675AD9">
              <w:rPr>
                <w:rFonts w:ascii="Arial" w:eastAsia="Times New Roman" w:hAnsi="Arial" w:cs="Arial"/>
                <w:sz w:val="20"/>
                <w:szCs w:val="24"/>
              </w:rPr>
              <w:t>UNMETERED SCATTERED LOAD SERVICE CLASSIFICATION - Non-RPP (Other)</w:t>
            </w:r>
          </w:p>
        </w:tc>
        <w:tc>
          <w:tcPr>
            <w:tcW w:w="1355" w:type="dxa"/>
            <w:tcBorders>
              <w:top w:val="nil"/>
              <w:left w:val="nil"/>
              <w:bottom w:val="single" w:sz="4" w:space="0" w:color="auto"/>
              <w:right w:val="single" w:sz="4" w:space="0" w:color="auto"/>
            </w:tcBorders>
            <w:shd w:val="clear" w:color="auto" w:fill="auto"/>
            <w:noWrap/>
            <w:vAlign w:val="center"/>
            <w:hideMark/>
          </w:tcPr>
          <w:p w:rsidR="006B772F" w:rsidRPr="00675AD9" w:rsidRDefault="006B772F" w:rsidP="00BA2946">
            <w:pPr>
              <w:spacing w:after="0" w:line="240" w:lineRule="auto"/>
              <w:jc w:val="center"/>
              <w:rPr>
                <w:rFonts w:ascii="Arial" w:eastAsia="Times New Roman" w:hAnsi="Arial" w:cs="Arial"/>
                <w:color w:val="000000"/>
                <w:sz w:val="20"/>
                <w:szCs w:val="24"/>
              </w:rPr>
            </w:pPr>
            <w:r w:rsidRPr="00675AD9">
              <w:rPr>
                <w:rFonts w:ascii="Arial" w:eastAsia="Times New Roman" w:hAnsi="Arial" w:cs="Arial"/>
                <w:color w:val="000000"/>
                <w:sz w:val="20"/>
                <w:szCs w:val="24"/>
              </w:rPr>
              <w:t>2.1%</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6B772F" w:rsidRPr="007F5E1B" w:rsidRDefault="006B772F" w:rsidP="00BA2946">
            <w:pPr>
              <w:spacing w:after="0" w:line="240" w:lineRule="auto"/>
              <w:jc w:val="center"/>
              <w:rPr>
                <w:rFonts w:ascii="Arial" w:eastAsia="Times New Roman" w:hAnsi="Arial" w:cs="Arial"/>
                <w:color w:val="000000"/>
                <w:sz w:val="20"/>
                <w:szCs w:val="24"/>
              </w:rPr>
            </w:pPr>
            <w:r w:rsidRPr="007F5E1B">
              <w:rPr>
                <w:rFonts w:ascii="Arial" w:eastAsia="Times New Roman" w:hAnsi="Arial" w:cs="Arial"/>
                <w:color w:val="000000"/>
                <w:sz w:val="20"/>
                <w:szCs w:val="24"/>
              </w:rPr>
              <w:t>2.1%</w:t>
            </w:r>
          </w:p>
        </w:tc>
      </w:tr>
      <w:tr w:rsidR="006B772F" w:rsidRPr="00675AD9" w:rsidTr="00BA2946">
        <w:trPr>
          <w:trHeight w:val="299"/>
        </w:trPr>
        <w:tc>
          <w:tcPr>
            <w:tcW w:w="4670" w:type="dxa"/>
            <w:tcBorders>
              <w:top w:val="nil"/>
              <w:left w:val="single" w:sz="4" w:space="0" w:color="auto"/>
              <w:bottom w:val="single" w:sz="4" w:space="0" w:color="auto"/>
              <w:right w:val="single" w:sz="4" w:space="0" w:color="auto"/>
            </w:tcBorders>
            <w:shd w:val="clear" w:color="000000" w:fill="FFFFFF"/>
            <w:noWrap/>
            <w:hideMark/>
          </w:tcPr>
          <w:p w:rsidR="006B772F" w:rsidRPr="00675AD9" w:rsidRDefault="006B772F" w:rsidP="00BA2946">
            <w:pPr>
              <w:spacing w:after="0" w:line="240" w:lineRule="auto"/>
              <w:rPr>
                <w:rFonts w:ascii="Arial" w:eastAsia="Times New Roman" w:hAnsi="Arial" w:cs="Arial"/>
                <w:sz w:val="20"/>
                <w:szCs w:val="24"/>
              </w:rPr>
            </w:pPr>
            <w:r w:rsidRPr="00675AD9">
              <w:rPr>
                <w:rFonts w:ascii="Arial" w:eastAsia="Times New Roman" w:hAnsi="Arial" w:cs="Arial"/>
                <w:sz w:val="20"/>
                <w:szCs w:val="24"/>
              </w:rPr>
              <w:t xml:space="preserve">RESIDENTIAL SERVICE CLASSIFICATION </w:t>
            </w:r>
            <w:r w:rsidRPr="00652BB4">
              <w:rPr>
                <w:rFonts w:ascii="Arial" w:eastAsia="Times New Roman" w:hAnsi="Arial" w:cs="Arial"/>
                <w:sz w:val="20"/>
                <w:szCs w:val="24"/>
              </w:rPr>
              <w:t>–</w:t>
            </w:r>
            <w:r w:rsidRPr="00675AD9">
              <w:rPr>
                <w:rFonts w:ascii="Arial" w:eastAsia="Times New Roman" w:hAnsi="Arial" w:cs="Arial"/>
                <w:sz w:val="20"/>
                <w:szCs w:val="24"/>
              </w:rPr>
              <w:t xml:space="preserve"> RPP</w:t>
            </w:r>
            <w:r w:rsidRPr="00652BB4">
              <w:rPr>
                <w:rFonts w:ascii="Arial" w:eastAsia="Times New Roman" w:hAnsi="Arial" w:cs="Arial"/>
                <w:sz w:val="20"/>
                <w:szCs w:val="24"/>
              </w:rPr>
              <w:t xml:space="preserve"> (213 kWh)</w:t>
            </w:r>
          </w:p>
        </w:tc>
        <w:tc>
          <w:tcPr>
            <w:tcW w:w="1355" w:type="dxa"/>
            <w:tcBorders>
              <w:top w:val="nil"/>
              <w:left w:val="nil"/>
              <w:bottom w:val="single" w:sz="4" w:space="0" w:color="auto"/>
              <w:right w:val="single" w:sz="4" w:space="0" w:color="auto"/>
            </w:tcBorders>
            <w:shd w:val="clear" w:color="auto" w:fill="auto"/>
            <w:noWrap/>
            <w:vAlign w:val="center"/>
            <w:hideMark/>
          </w:tcPr>
          <w:p w:rsidR="006B772F" w:rsidRPr="00675AD9" w:rsidRDefault="006B772F" w:rsidP="00BA2946">
            <w:pPr>
              <w:spacing w:after="0" w:line="240" w:lineRule="auto"/>
              <w:jc w:val="center"/>
              <w:rPr>
                <w:rFonts w:ascii="Arial" w:eastAsia="Times New Roman" w:hAnsi="Arial" w:cs="Arial"/>
                <w:color w:val="000000"/>
                <w:sz w:val="20"/>
                <w:szCs w:val="24"/>
              </w:rPr>
            </w:pPr>
            <w:r w:rsidRPr="00675AD9">
              <w:rPr>
                <w:rFonts w:ascii="Arial" w:eastAsia="Times New Roman" w:hAnsi="Arial" w:cs="Arial"/>
                <w:color w:val="000000"/>
                <w:sz w:val="20"/>
                <w:szCs w:val="24"/>
              </w:rPr>
              <w:t>8.7%</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6B772F" w:rsidRPr="007F5E1B" w:rsidRDefault="006B772F" w:rsidP="00BA2946">
            <w:pPr>
              <w:spacing w:after="0" w:line="240" w:lineRule="auto"/>
              <w:jc w:val="center"/>
              <w:rPr>
                <w:rFonts w:ascii="Arial" w:eastAsia="Times New Roman" w:hAnsi="Arial" w:cs="Arial"/>
                <w:color w:val="000000"/>
                <w:sz w:val="20"/>
                <w:szCs w:val="24"/>
              </w:rPr>
            </w:pPr>
            <w:r w:rsidRPr="007F5E1B">
              <w:rPr>
                <w:rFonts w:ascii="Arial" w:eastAsia="Times New Roman" w:hAnsi="Arial" w:cs="Arial"/>
                <w:color w:val="000000"/>
                <w:sz w:val="20"/>
                <w:szCs w:val="24"/>
              </w:rPr>
              <w:t>8.8%</w:t>
            </w:r>
          </w:p>
        </w:tc>
      </w:tr>
      <w:tr w:rsidR="006B772F" w:rsidRPr="00675AD9" w:rsidTr="00BA2946">
        <w:trPr>
          <w:trHeight w:val="299"/>
        </w:trPr>
        <w:tc>
          <w:tcPr>
            <w:tcW w:w="4670" w:type="dxa"/>
            <w:tcBorders>
              <w:top w:val="nil"/>
              <w:left w:val="single" w:sz="4" w:space="0" w:color="auto"/>
              <w:bottom w:val="single" w:sz="4" w:space="0" w:color="auto"/>
              <w:right w:val="single" w:sz="4" w:space="0" w:color="auto"/>
            </w:tcBorders>
            <w:shd w:val="clear" w:color="000000" w:fill="FFFFFF"/>
            <w:noWrap/>
            <w:hideMark/>
          </w:tcPr>
          <w:p w:rsidR="006B772F" w:rsidRPr="00675AD9" w:rsidRDefault="006B772F" w:rsidP="00BA2946">
            <w:pPr>
              <w:spacing w:after="0" w:line="240" w:lineRule="auto"/>
              <w:rPr>
                <w:rFonts w:ascii="Arial" w:eastAsia="Times New Roman" w:hAnsi="Arial" w:cs="Arial"/>
                <w:sz w:val="20"/>
                <w:szCs w:val="24"/>
              </w:rPr>
            </w:pPr>
            <w:r w:rsidRPr="00675AD9">
              <w:rPr>
                <w:rFonts w:ascii="Arial" w:eastAsia="Times New Roman" w:hAnsi="Arial" w:cs="Arial"/>
                <w:sz w:val="20"/>
                <w:szCs w:val="24"/>
              </w:rPr>
              <w:t>RESIDENTIAL SERVICE CLASSIFICATION - Non-RPP (Retailer)</w:t>
            </w:r>
          </w:p>
        </w:tc>
        <w:tc>
          <w:tcPr>
            <w:tcW w:w="1355" w:type="dxa"/>
            <w:tcBorders>
              <w:top w:val="nil"/>
              <w:left w:val="nil"/>
              <w:bottom w:val="single" w:sz="4" w:space="0" w:color="auto"/>
              <w:right w:val="single" w:sz="4" w:space="0" w:color="auto"/>
            </w:tcBorders>
            <w:shd w:val="clear" w:color="auto" w:fill="auto"/>
            <w:noWrap/>
            <w:vAlign w:val="center"/>
            <w:hideMark/>
          </w:tcPr>
          <w:p w:rsidR="006B772F" w:rsidRPr="00675AD9" w:rsidRDefault="006B772F" w:rsidP="00BA2946">
            <w:pPr>
              <w:spacing w:after="0" w:line="240" w:lineRule="auto"/>
              <w:jc w:val="center"/>
              <w:rPr>
                <w:rFonts w:ascii="Arial" w:eastAsia="Times New Roman" w:hAnsi="Arial" w:cs="Arial"/>
                <w:color w:val="000000"/>
                <w:sz w:val="20"/>
                <w:szCs w:val="24"/>
              </w:rPr>
            </w:pPr>
            <w:r w:rsidRPr="00675AD9">
              <w:rPr>
                <w:rFonts w:ascii="Arial" w:eastAsia="Times New Roman" w:hAnsi="Arial" w:cs="Arial"/>
                <w:color w:val="000000"/>
                <w:sz w:val="20"/>
                <w:szCs w:val="24"/>
              </w:rPr>
              <w:t>3.8%</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6B772F" w:rsidRPr="007F5E1B" w:rsidRDefault="006B772F" w:rsidP="00BA2946">
            <w:pPr>
              <w:spacing w:after="0" w:line="240" w:lineRule="auto"/>
              <w:jc w:val="center"/>
              <w:rPr>
                <w:rFonts w:ascii="Arial" w:eastAsia="Times New Roman" w:hAnsi="Arial" w:cs="Arial"/>
                <w:color w:val="000000"/>
                <w:sz w:val="20"/>
                <w:szCs w:val="24"/>
              </w:rPr>
            </w:pPr>
            <w:r w:rsidRPr="007F5E1B">
              <w:rPr>
                <w:rFonts w:ascii="Arial" w:eastAsia="Times New Roman" w:hAnsi="Arial" w:cs="Arial"/>
                <w:color w:val="000000"/>
                <w:sz w:val="20"/>
                <w:szCs w:val="24"/>
              </w:rPr>
              <w:t>3.9%</w:t>
            </w:r>
          </w:p>
        </w:tc>
      </w:tr>
      <w:tr w:rsidR="006B772F" w:rsidRPr="00675AD9" w:rsidTr="00BA2946">
        <w:trPr>
          <w:trHeight w:val="299"/>
        </w:trPr>
        <w:tc>
          <w:tcPr>
            <w:tcW w:w="4670" w:type="dxa"/>
            <w:tcBorders>
              <w:top w:val="nil"/>
              <w:left w:val="single" w:sz="4" w:space="0" w:color="auto"/>
              <w:bottom w:val="single" w:sz="4" w:space="0" w:color="auto"/>
              <w:right w:val="single" w:sz="4" w:space="0" w:color="auto"/>
            </w:tcBorders>
            <w:shd w:val="clear" w:color="000000" w:fill="FFFFFF"/>
            <w:noWrap/>
            <w:hideMark/>
          </w:tcPr>
          <w:p w:rsidR="006B772F" w:rsidRPr="00675AD9" w:rsidRDefault="006B772F" w:rsidP="00BA2946">
            <w:pPr>
              <w:spacing w:after="0" w:line="240" w:lineRule="auto"/>
              <w:rPr>
                <w:rFonts w:ascii="Arial" w:eastAsia="Times New Roman" w:hAnsi="Arial" w:cs="Arial"/>
                <w:sz w:val="20"/>
                <w:szCs w:val="24"/>
              </w:rPr>
            </w:pPr>
            <w:r w:rsidRPr="00675AD9">
              <w:rPr>
                <w:rFonts w:ascii="Arial" w:eastAsia="Times New Roman" w:hAnsi="Arial" w:cs="Arial"/>
                <w:sz w:val="20"/>
                <w:szCs w:val="24"/>
              </w:rPr>
              <w:t>RESIDENTIAL SERVICE CLASSIFICATION - Non-RPP (Retailer)</w:t>
            </w:r>
          </w:p>
        </w:tc>
        <w:tc>
          <w:tcPr>
            <w:tcW w:w="1355" w:type="dxa"/>
            <w:tcBorders>
              <w:top w:val="nil"/>
              <w:left w:val="nil"/>
              <w:bottom w:val="single" w:sz="4" w:space="0" w:color="auto"/>
              <w:right w:val="single" w:sz="4" w:space="0" w:color="auto"/>
            </w:tcBorders>
            <w:shd w:val="clear" w:color="auto" w:fill="auto"/>
            <w:noWrap/>
            <w:vAlign w:val="center"/>
            <w:hideMark/>
          </w:tcPr>
          <w:p w:rsidR="006B772F" w:rsidRPr="00675AD9" w:rsidRDefault="006B772F" w:rsidP="00BA2946">
            <w:pPr>
              <w:spacing w:after="0" w:line="240" w:lineRule="auto"/>
              <w:jc w:val="center"/>
              <w:rPr>
                <w:rFonts w:ascii="Arial" w:eastAsia="Times New Roman" w:hAnsi="Arial" w:cs="Arial"/>
                <w:color w:val="000000"/>
                <w:sz w:val="20"/>
                <w:szCs w:val="24"/>
              </w:rPr>
            </w:pPr>
            <w:r w:rsidRPr="00675AD9">
              <w:rPr>
                <w:rFonts w:ascii="Arial" w:eastAsia="Times New Roman" w:hAnsi="Arial" w:cs="Arial"/>
                <w:color w:val="000000"/>
                <w:sz w:val="20"/>
                <w:szCs w:val="24"/>
              </w:rPr>
              <w:t>7.7%</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6B772F" w:rsidRPr="007F5E1B" w:rsidRDefault="006B772F" w:rsidP="00BA2946">
            <w:pPr>
              <w:spacing w:after="0" w:line="240" w:lineRule="auto"/>
              <w:jc w:val="center"/>
              <w:rPr>
                <w:rFonts w:ascii="Arial" w:eastAsia="Times New Roman" w:hAnsi="Arial" w:cs="Arial"/>
                <w:color w:val="000000"/>
                <w:sz w:val="20"/>
                <w:szCs w:val="24"/>
              </w:rPr>
            </w:pPr>
            <w:r w:rsidRPr="007F5E1B">
              <w:rPr>
                <w:rFonts w:ascii="Arial" w:eastAsia="Times New Roman" w:hAnsi="Arial" w:cs="Arial"/>
                <w:color w:val="000000"/>
                <w:sz w:val="20"/>
                <w:szCs w:val="24"/>
              </w:rPr>
              <w:t>7.8%</w:t>
            </w:r>
          </w:p>
        </w:tc>
      </w:tr>
    </w:tbl>
    <w:p w:rsidR="006B772F" w:rsidRDefault="006B772F" w:rsidP="006B772F">
      <w:pPr>
        <w:rPr>
          <w:rFonts w:ascii="Arial" w:hAnsi="Arial" w:cs="Arial"/>
          <w:sz w:val="24"/>
          <w:szCs w:val="24"/>
        </w:rPr>
      </w:pPr>
    </w:p>
    <w:p w:rsidR="006B772F" w:rsidRDefault="006B772F" w:rsidP="006B772F">
      <w:pPr>
        <w:pStyle w:val="ListParagraph"/>
        <w:numPr>
          <w:ilvl w:val="0"/>
          <w:numId w:val="49"/>
        </w:numPr>
        <w:spacing w:after="160" w:line="259" w:lineRule="auto"/>
        <w:rPr>
          <w:rFonts w:ascii="Arial" w:hAnsi="Arial" w:cs="Arial"/>
          <w:sz w:val="24"/>
          <w:szCs w:val="24"/>
        </w:rPr>
      </w:pPr>
      <w:r>
        <w:rPr>
          <w:rFonts w:ascii="Arial" w:hAnsi="Arial" w:cs="Arial"/>
          <w:sz w:val="24"/>
          <w:szCs w:val="24"/>
        </w:rPr>
        <w:t>If LRAMVA were to be disposed of in this application, p</w:t>
      </w:r>
      <w:r w:rsidRPr="00652BB4">
        <w:rPr>
          <w:rFonts w:ascii="Arial" w:hAnsi="Arial" w:cs="Arial"/>
          <w:sz w:val="24"/>
          <w:szCs w:val="24"/>
        </w:rPr>
        <w:t xml:space="preserve">lease </w:t>
      </w:r>
      <w:r>
        <w:rPr>
          <w:rFonts w:ascii="Arial" w:hAnsi="Arial" w:cs="Arial"/>
          <w:sz w:val="24"/>
          <w:szCs w:val="24"/>
        </w:rPr>
        <w:t xml:space="preserve">confirm whether Hydro 2000 would propose disposition of the LRAMVA balance over a period of 12 months.  </w:t>
      </w:r>
    </w:p>
    <w:p w:rsidR="006B772F" w:rsidRDefault="006B772F" w:rsidP="006B772F">
      <w:pPr>
        <w:pStyle w:val="ListParagraph"/>
        <w:numPr>
          <w:ilvl w:val="1"/>
          <w:numId w:val="49"/>
        </w:numPr>
        <w:spacing w:after="160" w:line="259" w:lineRule="auto"/>
        <w:rPr>
          <w:rFonts w:ascii="Arial" w:hAnsi="Arial" w:cs="Arial"/>
          <w:sz w:val="24"/>
          <w:szCs w:val="24"/>
        </w:rPr>
      </w:pPr>
      <w:r>
        <w:rPr>
          <w:rFonts w:ascii="Arial" w:hAnsi="Arial" w:cs="Arial"/>
          <w:sz w:val="24"/>
          <w:szCs w:val="24"/>
        </w:rPr>
        <w:t>If yes, please confirm accuracy of the bill impacts in the table above.</w:t>
      </w:r>
    </w:p>
    <w:p w:rsidR="005B71CE" w:rsidRDefault="005B71CE" w:rsidP="005B71CE">
      <w:pPr>
        <w:spacing w:after="0"/>
        <w:ind w:left="360"/>
        <w:rPr>
          <w:rFonts w:ascii="Arial" w:hAnsi="Arial" w:cs="Arial"/>
          <w:color w:val="0070C0"/>
          <w:sz w:val="24"/>
          <w:szCs w:val="24"/>
        </w:rPr>
      </w:pPr>
      <w:r w:rsidRPr="005B71CE">
        <w:rPr>
          <w:rFonts w:ascii="Arial" w:hAnsi="Arial" w:cs="Arial"/>
          <w:color w:val="0070C0"/>
          <w:sz w:val="24"/>
          <w:szCs w:val="24"/>
        </w:rPr>
        <w:t>Hydro 2000:</w:t>
      </w:r>
      <w:r w:rsidR="0073009C">
        <w:rPr>
          <w:rFonts w:ascii="Arial" w:hAnsi="Arial" w:cs="Arial"/>
          <w:color w:val="0070C0"/>
          <w:sz w:val="24"/>
          <w:szCs w:val="24"/>
        </w:rPr>
        <w:t xml:space="preserve">  With revisions to the Group 1</w:t>
      </w:r>
      <w:r w:rsidR="005024D1">
        <w:rPr>
          <w:rFonts w:ascii="Arial" w:hAnsi="Arial" w:cs="Arial"/>
          <w:color w:val="0070C0"/>
          <w:sz w:val="24"/>
          <w:szCs w:val="24"/>
        </w:rPr>
        <w:t xml:space="preserve"> accounts, the hypothetical bill impacts would be as such. </w:t>
      </w:r>
    </w:p>
    <w:p w:rsidR="005024D1" w:rsidRPr="005B71CE" w:rsidRDefault="005024D1" w:rsidP="005B71CE">
      <w:pPr>
        <w:spacing w:after="0"/>
        <w:ind w:left="360"/>
        <w:rPr>
          <w:rFonts w:ascii="Arial" w:hAnsi="Arial" w:cs="Arial"/>
          <w:color w:val="0070C0"/>
          <w:sz w:val="24"/>
          <w:szCs w:val="24"/>
        </w:rPr>
      </w:pPr>
    </w:p>
    <w:tbl>
      <w:tblPr>
        <w:tblW w:w="8078" w:type="dxa"/>
        <w:jc w:val="center"/>
        <w:tblLook w:val="04A0" w:firstRow="1" w:lastRow="0" w:firstColumn="1" w:lastColumn="0" w:noHBand="0" w:noVBand="1"/>
      </w:tblPr>
      <w:tblGrid>
        <w:gridCol w:w="4713"/>
        <w:gridCol w:w="1367"/>
        <w:gridCol w:w="1998"/>
      </w:tblGrid>
      <w:tr w:rsidR="005024D1" w:rsidRPr="005024D1" w:rsidTr="005024D1">
        <w:trPr>
          <w:trHeight w:val="18"/>
          <w:jc w:val="center"/>
        </w:trPr>
        <w:tc>
          <w:tcPr>
            <w:tcW w:w="4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4D1" w:rsidRPr="005024D1" w:rsidRDefault="005024D1" w:rsidP="005024D1">
            <w:pPr>
              <w:pStyle w:val="NoSpacing"/>
              <w:rPr>
                <w:color w:val="0070C0"/>
              </w:rPr>
            </w:pPr>
            <w:r w:rsidRPr="005024D1">
              <w:rPr>
                <w:color w:val="0070C0"/>
              </w:rPr>
              <w:t> </w:t>
            </w:r>
          </w:p>
        </w:tc>
        <w:tc>
          <w:tcPr>
            <w:tcW w:w="1367" w:type="dxa"/>
            <w:tcBorders>
              <w:top w:val="single" w:sz="4" w:space="0" w:color="auto"/>
              <w:left w:val="nil"/>
              <w:bottom w:val="single" w:sz="4" w:space="0" w:color="auto"/>
              <w:right w:val="single" w:sz="4" w:space="0" w:color="auto"/>
            </w:tcBorders>
            <w:shd w:val="clear" w:color="auto" w:fill="auto"/>
            <w:hideMark/>
          </w:tcPr>
          <w:p w:rsidR="005024D1" w:rsidRPr="005024D1" w:rsidRDefault="005024D1" w:rsidP="005024D1">
            <w:pPr>
              <w:pStyle w:val="NoSpacing"/>
              <w:rPr>
                <w:color w:val="0070C0"/>
              </w:rPr>
            </w:pPr>
            <w:r w:rsidRPr="005024D1">
              <w:rPr>
                <w:color w:val="0070C0"/>
              </w:rPr>
              <w:t>Bill impact without LRAMVA - Application</w:t>
            </w:r>
          </w:p>
        </w:tc>
        <w:tc>
          <w:tcPr>
            <w:tcW w:w="1998" w:type="dxa"/>
            <w:tcBorders>
              <w:top w:val="single" w:sz="4" w:space="0" w:color="auto"/>
              <w:left w:val="nil"/>
              <w:bottom w:val="single" w:sz="4" w:space="0" w:color="auto"/>
              <w:right w:val="single" w:sz="4" w:space="0" w:color="auto"/>
            </w:tcBorders>
            <w:shd w:val="clear" w:color="auto" w:fill="auto"/>
            <w:hideMark/>
          </w:tcPr>
          <w:p w:rsidR="005024D1" w:rsidRPr="005024D1" w:rsidRDefault="005024D1" w:rsidP="005024D1">
            <w:pPr>
              <w:pStyle w:val="NoSpacing"/>
              <w:rPr>
                <w:color w:val="0070C0"/>
              </w:rPr>
            </w:pPr>
            <w:r w:rsidRPr="005024D1">
              <w:rPr>
                <w:color w:val="0070C0"/>
              </w:rPr>
              <w:t>Bill impact  with LRAMVA – Staff corrected</w:t>
            </w:r>
          </w:p>
          <w:p w:rsidR="005024D1" w:rsidRPr="005024D1" w:rsidRDefault="005024D1" w:rsidP="005024D1">
            <w:pPr>
              <w:pStyle w:val="NoSpacing"/>
              <w:rPr>
                <w:color w:val="0070C0"/>
              </w:rPr>
            </w:pPr>
            <w:r w:rsidRPr="005024D1">
              <w:rPr>
                <w:color w:val="0070C0"/>
              </w:rPr>
              <w:t>scenario (12 month disposition)</w:t>
            </w:r>
          </w:p>
        </w:tc>
      </w:tr>
      <w:tr w:rsidR="005024D1" w:rsidRPr="005024D1" w:rsidTr="005024D1">
        <w:trPr>
          <w:trHeight w:val="18"/>
          <w:jc w:val="center"/>
        </w:trPr>
        <w:tc>
          <w:tcPr>
            <w:tcW w:w="4713" w:type="dxa"/>
            <w:tcBorders>
              <w:top w:val="nil"/>
              <w:left w:val="single" w:sz="4" w:space="0" w:color="auto"/>
              <w:bottom w:val="single" w:sz="4" w:space="0" w:color="auto"/>
              <w:right w:val="single" w:sz="4" w:space="0" w:color="auto"/>
            </w:tcBorders>
            <w:shd w:val="clear" w:color="000000" w:fill="FFFFFF"/>
            <w:noWrap/>
            <w:hideMark/>
          </w:tcPr>
          <w:p w:rsidR="005024D1" w:rsidRPr="005024D1" w:rsidRDefault="005024D1" w:rsidP="005024D1">
            <w:pPr>
              <w:pStyle w:val="NoSpacing"/>
              <w:rPr>
                <w:color w:val="0070C0"/>
              </w:rPr>
            </w:pPr>
            <w:r w:rsidRPr="005024D1">
              <w:rPr>
                <w:color w:val="0070C0"/>
              </w:rPr>
              <w:t>RESIDENTIAL SERVICE CLASSIFICATION – RPP (750 kWh)</w:t>
            </w:r>
          </w:p>
        </w:tc>
        <w:tc>
          <w:tcPr>
            <w:tcW w:w="1367" w:type="dxa"/>
            <w:tcBorders>
              <w:top w:val="nil"/>
              <w:left w:val="nil"/>
              <w:bottom w:val="single" w:sz="4" w:space="0" w:color="auto"/>
              <w:right w:val="single" w:sz="4" w:space="0" w:color="auto"/>
            </w:tcBorders>
            <w:shd w:val="clear" w:color="auto" w:fill="auto"/>
            <w:noWrap/>
            <w:vAlign w:val="center"/>
            <w:hideMark/>
          </w:tcPr>
          <w:p w:rsidR="005024D1" w:rsidRPr="005024D1" w:rsidRDefault="005024D1" w:rsidP="005024D1">
            <w:pPr>
              <w:pStyle w:val="NoSpacing"/>
              <w:jc w:val="center"/>
              <w:rPr>
                <w:color w:val="0070C0"/>
              </w:rPr>
            </w:pPr>
            <w:r w:rsidRPr="005024D1">
              <w:rPr>
                <w:color w:val="0070C0"/>
              </w:rPr>
              <w:t>4.5%</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24D1" w:rsidRPr="005024D1" w:rsidRDefault="005024D1" w:rsidP="005024D1">
            <w:pPr>
              <w:pStyle w:val="NoSpacing"/>
              <w:jc w:val="center"/>
              <w:rPr>
                <w:color w:val="0070C0"/>
              </w:rPr>
            </w:pPr>
            <w:r w:rsidRPr="005024D1">
              <w:rPr>
                <w:color w:val="0070C0"/>
              </w:rPr>
              <w:t>4.7%</w:t>
            </w:r>
          </w:p>
        </w:tc>
      </w:tr>
      <w:tr w:rsidR="005024D1" w:rsidRPr="005024D1" w:rsidTr="005024D1">
        <w:trPr>
          <w:trHeight w:val="18"/>
          <w:jc w:val="center"/>
        </w:trPr>
        <w:tc>
          <w:tcPr>
            <w:tcW w:w="4713" w:type="dxa"/>
            <w:tcBorders>
              <w:top w:val="nil"/>
              <w:left w:val="single" w:sz="4" w:space="0" w:color="auto"/>
              <w:bottom w:val="single" w:sz="4" w:space="0" w:color="auto"/>
              <w:right w:val="single" w:sz="4" w:space="0" w:color="auto"/>
            </w:tcBorders>
            <w:shd w:val="clear" w:color="000000" w:fill="FFFFFF"/>
            <w:noWrap/>
            <w:hideMark/>
          </w:tcPr>
          <w:p w:rsidR="005024D1" w:rsidRPr="005024D1" w:rsidRDefault="005024D1" w:rsidP="005024D1">
            <w:pPr>
              <w:pStyle w:val="NoSpacing"/>
              <w:rPr>
                <w:color w:val="0070C0"/>
              </w:rPr>
            </w:pPr>
            <w:r w:rsidRPr="005024D1">
              <w:rPr>
                <w:color w:val="0070C0"/>
              </w:rPr>
              <w:t>GENERAL SERVICE LESS THAN 50 kW SERVICE CLASSIFICATION - RPP</w:t>
            </w:r>
          </w:p>
        </w:tc>
        <w:tc>
          <w:tcPr>
            <w:tcW w:w="1367" w:type="dxa"/>
            <w:tcBorders>
              <w:top w:val="nil"/>
              <w:left w:val="nil"/>
              <w:bottom w:val="single" w:sz="4" w:space="0" w:color="auto"/>
              <w:right w:val="single" w:sz="4" w:space="0" w:color="auto"/>
            </w:tcBorders>
            <w:shd w:val="clear" w:color="auto" w:fill="auto"/>
            <w:noWrap/>
            <w:vAlign w:val="center"/>
            <w:hideMark/>
          </w:tcPr>
          <w:p w:rsidR="005024D1" w:rsidRPr="005024D1" w:rsidRDefault="005024D1" w:rsidP="005024D1">
            <w:pPr>
              <w:pStyle w:val="NoSpacing"/>
              <w:jc w:val="center"/>
              <w:rPr>
                <w:color w:val="0070C0"/>
              </w:rPr>
            </w:pPr>
            <w:r w:rsidRPr="005024D1">
              <w:rPr>
                <w:color w:val="0070C0"/>
              </w:rPr>
              <w:t>3.6%</w:t>
            </w:r>
          </w:p>
        </w:tc>
        <w:tc>
          <w:tcPr>
            <w:tcW w:w="1998" w:type="dxa"/>
            <w:tcBorders>
              <w:top w:val="nil"/>
              <w:left w:val="single" w:sz="4" w:space="0" w:color="auto"/>
              <w:bottom w:val="single" w:sz="4" w:space="0" w:color="auto"/>
              <w:right w:val="single" w:sz="4" w:space="0" w:color="auto"/>
            </w:tcBorders>
            <w:shd w:val="clear" w:color="auto" w:fill="auto"/>
            <w:noWrap/>
            <w:vAlign w:val="center"/>
            <w:hideMark/>
          </w:tcPr>
          <w:p w:rsidR="005024D1" w:rsidRPr="005024D1" w:rsidRDefault="005024D1" w:rsidP="005024D1">
            <w:pPr>
              <w:pStyle w:val="NoSpacing"/>
              <w:jc w:val="center"/>
              <w:rPr>
                <w:color w:val="0070C0"/>
              </w:rPr>
            </w:pPr>
            <w:r w:rsidRPr="005024D1">
              <w:rPr>
                <w:color w:val="0070C0"/>
              </w:rPr>
              <w:t>6.3%</w:t>
            </w:r>
          </w:p>
        </w:tc>
      </w:tr>
      <w:tr w:rsidR="005024D1" w:rsidRPr="005024D1" w:rsidTr="005024D1">
        <w:trPr>
          <w:trHeight w:val="18"/>
          <w:jc w:val="center"/>
        </w:trPr>
        <w:tc>
          <w:tcPr>
            <w:tcW w:w="4713" w:type="dxa"/>
            <w:tcBorders>
              <w:top w:val="nil"/>
              <w:left w:val="single" w:sz="4" w:space="0" w:color="auto"/>
              <w:bottom w:val="single" w:sz="4" w:space="0" w:color="auto"/>
              <w:right w:val="single" w:sz="4" w:space="0" w:color="auto"/>
            </w:tcBorders>
            <w:shd w:val="clear" w:color="000000" w:fill="FFFFFF"/>
            <w:noWrap/>
            <w:hideMark/>
          </w:tcPr>
          <w:p w:rsidR="005024D1" w:rsidRPr="005024D1" w:rsidRDefault="005024D1" w:rsidP="005024D1">
            <w:pPr>
              <w:pStyle w:val="NoSpacing"/>
              <w:rPr>
                <w:color w:val="0070C0"/>
              </w:rPr>
            </w:pPr>
            <w:r w:rsidRPr="005024D1">
              <w:rPr>
                <w:color w:val="0070C0"/>
              </w:rPr>
              <w:t>GENERAL SERVICE 50 TO 4,999 KW SERVICE CLASSIFICATION - Non-RPP (Other)</w:t>
            </w:r>
          </w:p>
        </w:tc>
        <w:tc>
          <w:tcPr>
            <w:tcW w:w="1367" w:type="dxa"/>
            <w:tcBorders>
              <w:top w:val="nil"/>
              <w:left w:val="nil"/>
              <w:bottom w:val="single" w:sz="4" w:space="0" w:color="auto"/>
              <w:right w:val="single" w:sz="4" w:space="0" w:color="auto"/>
            </w:tcBorders>
            <w:shd w:val="clear" w:color="auto" w:fill="auto"/>
            <w:noWrap/>
            <w:vAlign w:val="center"/>
            <w:hideMark/>
          </w:tcPr>
          <w:p w:rsidR="005024D1" w:rsidRPr="005024D1" w:rsidRDefault="005024D1" w:rsidP="005024D1">
            <w:pPr>
              <w:pStyle w:val="NoSpacing"/>
              <w:jc w:val="center"/>
              <w:rPr>
                <w:color w:val="0070C0"/>
              </w:rPr>
            </w:pPr>
            <w:r w:rsidRPr="005024D1">
              <w:rPr>
                <w:color w:val="0070C0"/>
              </w:rPr>
              <w:t>8.5%</w:t>
            </w:r>
          </w:p>
        </w:tc>
        <w:tc>
          <w:tcPr>
            <w:tcW w:w="1998" w:type="dxa"/>
            <w:tcBorders>
              <w:top w:val="nil"/>
              <w:left w:val="single" w:sz="4" w:space="0" w:color="auto"/>
              <w:bottom w:val="single" w:sz="4" w:space="0" w:color="auto"/>
              <w:right w:val="single" w:sz="4" w:space="0" w:color="auto"/>
            </w:tcBorders>
            <w:shd w:val="clear" w:color="auto" w:fill="auto"/>
            <w:noWrap/>
            <w:vAlign w:val="center"/>
            <w:hideMark/>
          </w:tcPr>
          <w:p w:rsidR="005024D1" w:rsidRPr="005024D1" w:rsidRDefault="005024D1" w:rsidP="005024D1">
            <w:pPr>
              <w:pStyle w:val="NoSpacing"/>
              <w:jc w:val="center"/>
              <w:rPr>
                <w:color w:val="0070C0"/>
              </w:rPr>
            </w:pPr>
            <w:r w:rsidRPr="005024D1">
              <w:rPr>
                <w:color w:val="0070C0"/>
              </w:rPr>
              <w:t>8.6%</w:t>
            </w:r>
          </w:p>
        </w:tc>
      </w:tr>
      <w:tr w:rsidR="005024D1" w:rsidRPr="005024D1" w:rsidTr="005024D1">
        <w:trPr>
          <w:trHeight w:val="18"/>
          <w:jc w:val="center"/>
        </w:trPr>
        <w:tc>
          <w:tcPr>
            <w:tcW w:w="4713" w:type="dxa"/>
            <w:tcBorders>
              <w:top w:val="nil"/>
              <w:left w:val="single" w:sz="4" w:space="0" w:color="auto"/>
              <w:bottom w:val="single" w:sz="4" w:space="0" w:color="auto"/>
              <w:right w:val="single" w:sz="4" w:space="0" w:color="auto"/>
            </w:tcBorders>
            <w:shd w:val="clear" w:color="000000" w:fill="FFFFFF"/>
            <w:noWrap/>
            <w:hideMark/>
          </w:tcPr>
          <w:p w:rsidR="005024D1" w:rsidRPr="005024D1" w:rsidRDefault="005024D1" w:rsidP="005024D1">
            <w:pPr>
              <w:pStyle w:val="NoSpacing"/>
              <w:rPr>
                <w:color w:val="0070C0"/>
              </w:rPr>
            </w:pPr>
            <w:r w:rsidRPr="005024D1">
              <w:rPr>
                <w:color w:val="0070C0"/>
              </w:rPr>
              <w:t>STREET LIGHTING SERVICE CLASSIFICATION - RPP</w:t>
            </w:r>
          </w:p>
        </w:tc>
        <w:tc>
          <w:tcPr>
            <w:tcW w:w="1367" w:type="dxa"/>
            <w:tcBorders>
              <w:top w:val="nil"/>
              <w:left w:val="nil"/>
              <w:bottom w:val="single" w:sz="4" w:space="0" w:color="auto"/>
              <w:right w:val="single" w:sz="4" w:space="0" w:color="auto"/>
            </w:tcBorders>
            <w:shd w:val="clear" w:color="auto" w:fill="auto"/>
            <w:noWrap/>
            <w:vAlign w:val="center"/>
            <w:hideMark/>
          </w:tcPr>
          <w:p w:rsidR="005024D1" w:rsidRPr="005024D1" w:rsidRDefault="005024D1" w:rsidP="005024D1">
            <w:pPr>
              <w:pStyle w:val="NoSpacing"/>
              <w:jc w:val="center"/>
              <w:rPr>
                <w:color w:val="0070C0"/>
              </w:rPr>
            </w:pPr>
            <w:r w:rsidRPr="005024D1">
              <w:rPr>
                <w:color w:val="0070C0"/>
              </w:rPr>
              <w:t>3.3%</w:t>
            </w:r>
          </w:p>
        </w:tc>
        <w:tc>
          <w:tcPr>
            <w:tcW w:w="1998" w:type="dxa"/>
            <w:tcBorders>
              <w:top w:val="nil"/>
              <w:left w:val="single" w:sz="4" w:space="0" w:color="auto"/>
              <w:bottom w:val="single" w:sz="4" w:space="0" w:color="auto"/>
              <w:right w:val="single" w:sz="4" w:space="0" w:color="auto"/>
            </w:tcBorders>
            <w:shd w:val="clear" w:color="auto" w:fill="auto"/>
            <w:noWrap/>
            <w:vAlign w:val="center"/>
            <w:hideMark/>
          </w:tcPr>
          <w:p w:rsidR="005024D1" w:rsidRPr="005024D1" w:rsidRDefault="005024D1" w:rsidP="005024D1">
            <w:pPr>
              <w:pStyle w:val="NoSpacing"/>
              <w:jc w:val="center"/>
              <w:rPr>
                <w:color w:val="0070C0"/>
              </w:rPr>
            </w:pPr>
            <w:r w:rsidRPr="005024D1">
              <w:rPr>
                <w:color w:val="0070C0"/>
              </w:rPr>
              <w:t>11.8%</w:t>
            </w:r>
          </w:p>
        </w:tc>
      </w:tr>
      <w:tr w:rsidR="005024D1" w:rsidRPr="005024D1" w:rsidTr="005024D1">
        <w:trPr>
          <w:trHeight w:val="18"/>
          <w:jc w:val="center"/>
        </w:trPr>
        <w:tc>
          <w:tcPr>
            <w:tcW w:w="4713" w:type="dxa"/>
            <w:tcBorders>
              <w:top w:val="nil"/>
              <w:left w:val="single" w:sz="4" w:space="0" w:color="auto"/>
              <w:bottom w:val="single" w:sz="4" w:space="0" w:color="auto"/>
              <w:right w:val="single" w:sz="4" w:space="0" w:color="auto"/>
            </w:tcBorders>
            <w:shd w:val="clear" w:color="000000" w:fill="FFFFFF"/>
            <w:noWrap/>
            <w:hideMark/>
          </w:tcPr>
          <w:p w:rsidR="005024D1" w:rsidRPr="005024D1" w:rsidRDefault="005024D1" w:rsidP="005024D1">
            <w:pPr>
              <w:pStyle w:val="NoSpacing"/>
              <w:rPr>
                <w:color w:val="0070C0"/>
              </w:rPr>
            </w:pPr>
            <w:r w:rsidRPr="005024D1">
              <w:rPr>
                <w:color w:val="0070C0"/>
              </w:rPr>
              <w:t>UNMETERED SCATTERED LOAD SERVICE CLASSIFICATION - Non-RPP (Other)</w:t>
            </w:r>
          </w:p>
        </w:tc>
        <w:tc>
          <w:tcPr>
            <w:tcW w:w="1367" w:type="dxa"/>
            <w:tcBorders>
              <w:top w:val="nil"/>
              <w:left w:val="nil"/>
              <w:bottom w:val="single" w:sz="4" w:space="0" w:color="auto"/>
              <w:right w:val="single" w:sz="4" w:space="0" w:color="auto"/>
            </w:tcBorders>
            <w:shd w:val="clear" w:color="auto" w:fill="auto"/>
            <w:noWrap/>
            <w:vAlign w:val="center"/>
            <w:hideMark/>
          </w:tcPr>
          <w:p w:rsidR="005024D1" w:rsidRPr="005024D1" w:rsidRDefault="005024D1" w:rsidP="005024D1">
            <w:pPr>
              <w:pStyle w:val="NoSpacing"/>
              <w:jc w:val="center"/>
              <w:rPr>
                <w:color w:val="0070C0"/>
              </w:rPr>
            </w:pPr>
            <w:r w:rsidRPr="005024D1">
              <w:rPr>
                <w:color w:val="0070C0"/>
              </w:rPr>
              <w:t>2.1%</w:t>
            </w:r>
          </w:p>
        </w:tc>
        <w:tc>
          <w:tcPr>
            <w:tcW w:w="1998" w:type="dxa"/>
            <w:tcBorders>
              <w:top w:val="nil"/>
              <w:left w:val="single" w:sz="4" w:space="0" w:color="auto"/>
              <w:bottom w:val="single" w:sz="4" w:space="0" w:color="auto"/>
              <w:right w:val="single" w:sz="4" w:space="0" w:color="auto"/>
            </w:tcBorders>
            <w:shd w:val="clear" w:color="auto" w:fill="auto"/>
            <w:noWrap/>
            <w:vAlign w:val="center"/>
            <w:hideMark/>
          </w:tcPr>
          <w:p w:rsidR="005024D1" w:rsidRPr="005024D1" w:rsidRDefault="005024D1" w:rsidP="005024D1">
            <w:pPr>
              <w:pStyle w:val="NoSpacing"/>
              <w:jc w:val="center"/>
              <w:rPr>
                <w:color w:val="0070C0"/>
              </w:rPr>
            </w:pPr>
            <w:r w:rsidRPr="005024D1">
              <w:rPr>
                <w:color w:val="0070C0"/>
              </w:rPr>
              <w:t>2.1%</w:t>
            </w:r>
          </w:p>
        </w:tc>
      </w:tr>
      <w:tr w:rsidR="005024D1" w:rsidRPr="005024D1" w:rsidTr="005024D1">
        <w:trPr>
          <w:trHeight w:val="18"/>
          <w:jc w:val="center"/>
        </w:trPr>
        <w:tc>
          <w:tcPr>
            <w:tcW w:w="4713" w:type="dxa"/>
            <w:tcBorders>
              <w:top w:val="nil"/>
              <w:left w:val="single" w:sz="4" w:space="0" w:color="auto"/>
              <w:bottom w:val="single" w:sz="4" w:space="0" w:color="auto"/>
              <w:right w:val="single" w:sz="4" w:space="0" w:color="auto"/>
            </w:tcBorders>
            <w:shd w:val="clear" w:color="000000" w:fill="FFFFFF"/>
            <w:noWrap/>
            <w:hideMark/>
          </w:tcPr>
          <w:p w:rsidR="005024D1" w:rsidRPr="005024D1" w:rsidRDefault="005024D1" w:rsidP="005024D1">
            <w:pPr>
              <w:pStyle w:val="NoSpacing"/>
              <w:rPr>
                <w:color w:val="0070C0"/>
              </w:rPr>
            </w:pPr>
            <w:r w:rsidRPr="005024D1">
              <w:rPr>
                <w:color w:val="0070C0"/>
              </w:rPr>
              <w:t>RESIDENTIAL SERVICE CLASSIFICATION – RPP (213 kWh)</w:t>
            </w:r>
          </w:p>
        </w:tc>
        <w:tc>
          <w:tcPr>
            <w:tcW w:w="1367" w:type="dxa"/>
            <w:tcBorders>
              <w:top w:val="nil"/>
              <w:left w:val="nil"/>
              <w:bottom w:val="single" w:sz="4" w:space="0" w:color="auto"/>
              <w:right w:val="single" w:sz="4" w:space="0" w:color="auto"/>
            </w:tcBorders>
            <w:shd w:val="clear" w:color="auto" w:fill="auto"/>
            <w:noWrap/>
            <w:vAlign w:val="center"/>
            <w:hideMark/>
          </w:tcPr>
          <w:p w:rsidR="005024D1" w:rsidRPr="005024D1" w:rsidRDefault="005024D1" w:rsidP="005024D1">
            <w:pPr>
              <w:pStyle w:val="NoSpacing"/>
              <w:jc w:val="center"/>
              <w:rPr>
                <w:color w:val="0070C0"/>
              </w:rPr>
            </w:pPr>
            <w:r w:rsidRPr="005024D1">
              <w:rPr>
                <w:color w:val="0070C0"/>
              </w:rPr>
              <w:t>8.7%</w:t>
            </w:r>
          </w:p>
        </w:tc>
        <w:tc>
          <w:tcPr>
            <w:tcW w:w="1998" w:type="dxa"/>
            <w:tcBorders>
              <w:top w:val="nil"/>
              <w:left w:val="single" w:sz="4" w:space="0" w:color="auto"/>
              <w:bottom w:val="single" w:sz="4" w:space="0" w:color="auto"/>
              <w:right w:val="single" w:sz="4" w:space="0" w:color="auto"/>
            </w:tcBorders>
            <w:shd w:val="clear" w:color="auto" w:fill="auto"/>
            <w:noWrap/>
            <w:vAlign w:val="center"/>
            <w:hideMark/>
          </w:tcPr>
          <w:p w:rsidR="005024D1" w:rsidRPr="005024D1" w:rsidRDefault="005024D1" w:rsidP="005024D1">
            <w:pPr>
              <w:pStyle w:val="NoSpacing"/>
              <w:jc w:val="center"/>
              <w:rPr>
                <w:color w:val="0070C0"/>
              </w:rPr>
            </w:pPr>
            <w:r w:rsidRPr="005024D1">
              <w:rPr>
                <w:color w:val="0070C0"/>
              </w:rPr>
              <w:t>8.8%</w:t>
            </w:r>
          </w:p>
        </w:tc>
      </w:tr>
      <w:tr w:rsidR="005024D1" w:rsidRPr="005024D1" w:rsidTr="005024D1">
        <w:trPr>
          <w:trHeight w:val="18"/>
          <w:jc w:val="center"/>
        </w:trPr>
        <w:tc>
          <w:tcPr>
            <w:tcW w:w="4713" w:type="dxa"/>
            <w:tcBorders>
              <w:top w:val="nil"/>
              <w:left w:val="single" w:sz="4" w:space="0" w:color="auto"/>
              <w:bottom w:val="single" w:sz="4" w:space="0" w:color="auto"/>
              <w:right w:val="single" w:sz="4" w:space="0" w:color="auto"/>
            </w:tcBorders>
            <w:shd w:val="clear" w:color="000000" w:fill="FFFFFF"/>
            <w:noWrap/>
            <w:hideMark/>
          </w:tcPr>
          <w:p w:rsidR="005024D1" w:rsidRPr="005024D1" w:rsidRDefault="005024D1" w:rsidP="005024D1">
            <w:pPr>
              <w:pStyle w:val="NoSpacing"/>
              <w:rPr>
                <w:color w:val="0070C0"/>
              </w:rPr>
            </w:pPr>
            <w:r w:rsidRPr="005024D1">
              <w:rPr>
                <w:color w:val="0070C0"/>
              </w:rPr>
              <w:t>RESIDENTIAL SERVICE CLASSIFICATION - Non-RPP (Retailer)</w:t>
            </w:r>
          </w:p>
        </w:tc>
        <w:tc>
          <w:tcPr>
            <w:tcW w:w="1367" w:type="dxa"/>
            <w:tcBorders>
              <w:top w:val="nil"/>
              <w:left w:val="nil"/>
              <w:bottom w:val="single" w:sz="4" w:space="0" w:color="auto"/>
              <w:right w:val="single" w:sz="4" w:space="0" w:color="auto"/>
            </w:tcBorders>
            <w:shd w:val="clear" w:color="auto" w:fill="auto"/>
            <w:noWrap/>
            <w:vAlign w:val="center"/>
            <w:hideMark/>
          </w:tcPr>
          <w:p w:rsidR="005024D1" w:rsidRPr="005024D1" w:rsidRDefault="005024D1" w:rsidP="005024D1">
            <w:pPr>
              <w:pStyle w:val="NoSpacing"/>
              <w:jc w:val="center"/>
              <w:rPr>
                <w:color w:val="0070C0"/>
              </w:rPr>
            </w:pPr>
            <w:r w:rsidRPr="005024D1">
              <w:rPr>
                <w:color w:val="0070C0"/>
              </w:rPr>
              <w:t>3.8%</w:t>
            </w:r>
          </w:p>
        </w:tc>
        <w:tc>
          <w:tcPr>
            <w:tcW w:w="1998" w:type="dxa"/>
            <w:tcBorders>
              <w:top w:val="nil"/>
              <w:left w:val="single" w:sz="4" w:space="0" w:color="auto"/>
              <w:bottom w:val="single" w:sz="4" w:space="0" w:color="auto"/>
              <w:right w:val="single" w:sz="4" w:space="0" w:color="auto"/>
            </w:tcBorders>
            <w:shd w:val="clear" w:color="auto" w:fill="auto"/>
            <w:noWrap/>
            <w:vAlign w:val="center"/>
            <w:hideMark/>
          </w:tcPr>
          <w:p w:rsidR="005024D1" w:rsidRPr="005024D1" w:rsidRDefault="005024D1" w:rsidP="005024D1">
            <w:pPr>
              <w:pStyle w:val="NoSpacing"/>
              <w:jc w:val="center"/>
              <w:rPr>
                <w:color w:val="0070C0"/>
              </w:rPr>
            </w:pPr>
            <w:r w:rsidRPr="005024D1">
              <w:rPr>
                <w:color w:val="0070C0"/>
              </w:rPr>
              <w:t>3.9%</w:t>
            </w:r>
          </w:p>
        </w:tc>
      </w:tr>
      <w:tr w:rsidR="005024D1" w:rsidRPr="005024D1" w:rsidTr="005024D1">
        <w:trPr>
          <w:trHeight w:val="18"/>
          <w:jc w:val="center"/>
        </w:trPr>
        <w:tc>
          <w:tcPr>
            <w:tcW w:w="4713" w:type="dxa"/>
            <w:tcBorders>
              <w:top w:val="nil"/>
              <w:left w:val="single" w:sz="4" w:space="0" w:color="auto"/>
              <w:bottom w:val="single" w:sz="4" w:space="0" w:color="auto"/>
              <w:right w:val="single" w:sz="4" w:space="0" w:color="auto"/>
            </w:tcBorders>
            <w:shd w:val="clear" w:color="000000" w:fill="FFFFFF"/>
            <w:noWrap/>
            <w:hideMark/>
          </w:tcPr>
          <w:p w:rsidR="005024D1" w:rsidRPr="005024D1" w:rsidRDefault="005024D1" w:rsidP="005024D1">
            <w:pPr>
              <w:pStyle w:val="NoSpacing"/>
              <w:rPr>
                <w:color w:val="0070C0"/>
              </w:rPr>
            </w:pPr>
            <w:r w:rsidRPr="005024D1">
              <w:rPr>
                <w:color w:val="0070C0"/>
              </w:rPr>
              <w:t>RESIDENTIAL SERVICE CLASSIFICATION - Non-RPP (Retailer)</w:t>
            </w:r>
          </w:p>
        </w:tc>
        <w:tc>
          <w:tcPr>
            <w:tcW w:w="1367" w:type="dxa"/>
            <w:tcBorders>
              <w:top w:val="nil"/>
              <w:left w:val="nil"/>
              <w:bottom w:val="single" w:sz="4" w:space="0" w:color="auto"/>
              <w:right w:val="single" w:sz="4" w:space="0" w:color="auto"/>
            </w:tcBorders>
            <w:shd w:val="clear" w:color="auto" w:fill="auto"/>
            <w:noWrap/>
            <w:vAlign w:val="center"/>
            <w:hideMark/>
          </w:tcPr>
          <w:p w:rsidR="005024D1" w:rsidRPr="005024D1" w:rsidRDefault="005024D1" w:rsidP="005024D1">
            <w:pPr>
              <w:pStyle w:val="NoSpacing"/>
              <w:jc w:val="center"/>
              <w:rPr>
                <w:color w:val="0070C0"/>
              </w:rPr>
            </w:pPr>
            <w:r w:rsidRPr="005024D1">
              <w:rPr>
                <w:color w:val="0070C0"/>
              </w:rPr>
              <w:t>7.7%</w:t>
            </w:r>
          </w:p>
        </w:tc>
        <w:tc>
          <w:tcPr>
            <w:tcW w:w="1998" w:type="dxa"/>
            <w:tcBorders>
              <w:top w:val="nil"/>
              <w:left w:val="single" w:sz="4" w:space="0" w:color="auto"/>
              <w:bottom w:val="single" w:sz="4" w:space="0" w:color="auto"/>
              <w:right w:val="single" w:sz="4" w:space="0" w:color="auto"/>
            </w:tcBorders>
            <w:shd w:val="clear" w:color="auto" w:fill="auto"/>
            <w:noWrap/>
            <w:vAlign w:val="center"/>
            <w:hideMark/>
          </w:tcPr>
          <w:p w:rsidR="005024D1" w:rsidRPr="005024D1" w:rsidRDefault="005024D1" w:rsidP="005024D1">
            <w:pPr>
              <w:pStyle w:val="NoSpacing"/>
              <w:jc w:val="center"/>
              <w:rPr>
                <w:color w:val="0070C0"/>
              </w:rPr>
            </w:pPr>
            <w:r w:rsidRPr="005024D1">
              <w:rPr>
                <w:color w:val="0070C0"/>
              </w:rPr>
              <w:t>7.7%</w:t>
            </w:r>
          </w:p>
        </w:tc>
      </w:tr>
    </w:tbl>
    <w:p w:rsidR="005B71CE" w:rsidRPr="005B71CE" w:rsidRDefault="005B71CE" w:rsidP="005024D1">
      <w:pPr>
        <w:spacing w:after="160" w:line="259" w:lineRule="auto"/>
        <w:ind w:left="360"/>
        <w:jc w:val="center"/>
        <w:rPr>
          <w:rFonts w:ascii="Arial" w:hAnsi="Arial" w:cs="Arial"/>
          <w:sz w:val="24"/>
          <w:szCs w:val="24"/>
        </w:rPr>
      </w:pPr>
    </w:p>
    <w:p w:rsidR="006B772F" w:rsidRDefault="006B772F" w:rsidP="006B772F">
      <w:pPr>
        <w:pStyle w:val="ListParagraph"/>
        <w:ind w:left="1440"/>
        <w:rPr>
          <w:rFonts w:ascii="Arial" w:hAnsi="Arial" w:cs="Arial"/>
          <w:sz w:val="24"/>
          <w:szCs w:val="24"/>
        </w:rPr>
      </w:pPr>
    </w:p>
    <w:p w:rsidR="006B772F" w:rsidRDefault="006B772F" w:rsidP="006B772F">
      <w:pPr>
        <w:pStyle w:val="ListParagraph"/>
        <w:numPr>
          <w:ilvl w:val="1"/>
          <w:numId w:val="49"/>
        </w:numPr>
        <w:spacing w:after="160" w:line="259" w:lineRule="auto"/>
        <w:rPr>
          <w:rFonts w:ascii="Arial" w:hAnsi="Arial" w:cs="Arial"/>
          <w:sz w:val="24"/>
          <w:szCs w:val="24"/>
        </w:rPr>
      </w:pPr>
      <w:r>
        <w:rPr>
          <w:rFonts w:ascii="Arial" w:hAnsi="Arial" w:cs="Arial"/>
          <w:sz w:val="24"/>
          <w:szCs w:val="24"/>
        </w:rPr>
        <w:t xml:space="preserve">If Hydro 2000 believes that a longer disposition period is appropriate, please clarify whether Hydro 2000 has considered extending the disposition period to 24 (2 years), 36 months (3 years) or 48 months (4 years).  Please confirm the impacts and please specify the period of disposition and show the revised bill impacts in the table above.  </w:t>
      </w:r>
    </w:p>
    <w:p w:rsidR="005B71CE" w:rsidRPr="005B71CE" w:rsidRDefault="005B71CE" w:rsidP="005024D1">
      <w:pPr>
        <w:spacing w:after="0"/>
        <w:ind w:left="360"/>
        <w:rPr>
          <w:rFonts w:ascii="Arial" w:hAnsi="Arial" w:cs="Arial"/>
          <w:sz w:val="24"/>
          <w:szCs w:val="24"/>
        </w:rPr>
      </w:pPr>
      <w:r w:rsidRPr="005B71CE">
        <w:rPr>
          <w:rFonts w:ascii="Arial" w:hAnsi="Arial" w:cs="Arial"/>
          <w:color w:val="0070C0"/>
          <w:sz w:val="24"/>
          <w:szCs w:val="24"/>
        </w:rPr>
        <w:t>Hydro 2000:</w:t>
      </w:r>
      <w:r w:rsidR="005024D1">
        <w:rPr>
          <w:rFonts w:ascii="Arial" w:hAnsi="Arial" w:cs="Arial"/>
          <w:color w:val="0070C0"/>
          <w:sz w:val="24"/>
          <w:szCs w:val="24"/>
        </w:rPr>
        <w:t xml:space="preserve"> as explained, Hydro 2000 is not proposing to dispose of its balances in 1568 until it’s Cost of Service as such, it is not entertaining any particular disposition period. </w:t>
      </w:r>
    </w:p>
    <w:p w:rsidR="006B772F" w:rsidRPr="00652BB4" w:rsidRDefault="006B772F" w:rsidP="006B772F">
      <w:pPr>
        <w:pStyle w:val="ListParagraph"/>
        <w:rPr>
          <w:rFonts w:ascii="Arial" w:hAnsi="Arial" w:cs="Arial"/>
          <w:sz w:val="24"/>
          <w:szCs w:val="24"/>
        </w:rPr>
      </w:pPr>
    </w:p>
    <w:p w:rsidR="006B772F" w:rsidRDefault="006B772F" w:rsidP="006B772F">
      <w:pPr>
        <w:pStyle w:val="ListParagraph"/>
        <w:numPr>
          <w:ilvl w:val="0"/>
          <w:numId w:val="49"/>
        </w:numPr>
        <w:spacing w:after="160" w:line="259" w:lineRule="auto"/>
        <w:rPr>
          <w:rFonts w:ascii="Arial" w:hAnsi="Arial" w:cs="Arial"/>
          <w:sz w:val="24"/>
          <w:szCs w:val="24"/>
        </w:rPr>
      </w:pPr>
      <w:r w:rsidRPr="00652BB4">
        <w:rPr>
          <w:rFonts w:ascii="Arial" w:hAnsi="Arial" w:cs="Arial"/>
          <w:sz w:val="24"/>
          <w:szCs w:val="24"/>
        </w:rPr>
        <w:t xml:space="preserve">Subject to the correction to the demand based billing determinants </w:t>
      </w:r>
      <w:r>
        <w:rPr>
          <w:rFonts w:ascii="Arial" w:hAnsi="Arial" w:cs="Arial"/>
          <w:sz w:val="24"/>
          <w:szCs w:val="24"/>
        </w:rPr>
        <w:t xml:space="preserve">(as shown in OEB staff’s revisions to the IRM model) and responses to a) above, please confirm whether or not Hydro 2000 maintains its request to defer the disposition of the LRAMVA.  </w:t>
      </w:r>
    </w:p>
    <w:p w:rsidR="006B772F" w:rsidRDefault="006B772F" w:rsidP="006B772F">
      <w:pPr>
        <w:pStyle w:val="ListParagraph"/>
        <w:rPr>
          <w:rFonts w:ascii="Arial" w:hAnsi="Arial" w:cs="Arial"/>
          <w:sz w:val="24"/>
          <w:szCs w:val="24"/>
        </w:rPr>
      </w:pPr>
    </w:p>
    <w:p w:rsidR="006B772F" w:rsidRDefault="006B772F" w:rsidP="006B772F">
      <w:pPr>
        <w:pStyle w:val="ListParagraph"/>
        <w:numPr>
          <w:ilvl w:val="1"/>
          <w:numId w:val="49"/>
        </w:numPr>
        <w:spacing w:after="160" w:line="259" w:lineRule="auto"/>
        <w:rPr>
          <w:rFonts w:ascii="Arial" w:hAnsi="Arial" w:cs="Arial"/>
          <w:sz w:val="24"/>
          <w:szCs w:val="24"/>
        </w:rPr>
      </w:pPr>
      <w:r>
        <w:rPr>
          <w:rFonts w:ascii="Arial" w:hAnsi="Arial" w:cs="Arial"/>
          <w:sz w:val="24"/>
          <w:szCs w:val="24"/>
        </w:rPr>
        <w:t xml:space="preserve">If yes, please explain the specific bill impacts that are mitigated by deferring the LRAMVA disposition until cost of service. </w:t>
      </w:r>
    </w:p>
    <w:p w:rsidR="005B71CE" w:rsidRPr="005B71CE" w:rsidRDefault="005B71CE" w:rsidP="005B71CE">
      <w:pPr>
        <w:spacing w:after="0"/>
        <w:ind w:left="360"/>
        <w:rPr>
          <w:rFonts w:ascii="Arial" w:hAnsi="Arial" w:cs="Arial"/>
          <w:color w:val="0070C0"/>
          <w:sz w:val="24"/>
          <w:szCs w:val="24"/>
        </w:rPr>
      </w:pPr>
      <w:r w:rsidRPr="005B71CE">
        <w:rPr>
          <w:rFonts w:ascii="Arial" w:hAnsi="Arial" w:cs="Arial"/>
          <w:color w:val="0070C0"/>
          <w:sz w:val="24"/>
          <w:szCs w:val="24"/>
        </w:rPr>
        <w:t>Hydro 2000:</w:t>
      </w:r>
      <w:r w:rsidR="005024D1">
        <w:rPr>
          <w:rFonts w:ascii="Arial" w:hAnsi="Arial" w:cs="Arial"/>
          <w:color w:val="0070C0"/>
          <w:sz w:val="24"/>
          <w:szCs w:val="24"/>
        </w:rPr>
        <w:t xml:space="preserve"> see response above. </w:t>
      </w:r>
    </w:p>
    <w:p w:rsidR="006B772F" w:rsidRDefault="006B772F" w:rsidP="006B772F">
      <w:pPr>
        <w:pStyle w:val="ListParagraph"/>
        <w:ind w:left="1440"/>
        <w:rPr>
          <w:rFonts w:ascii="Arial" w:hAnsi="Arial" w:cs="Arial"/>
          <w:sz w:val="24"/>
          <w:szCs w:val="24"/>
        </w:rPr>
      </w:pPr>
    </w:p>
    <w:p w:rsidR="006B772F" w:rsidRDefault="006B772F" w:rsidP="006B772F">
      <w:pPr>
        <w:pStyle w:val="ListParagraph"/>
        <w:numPr>
          <w:ilvl w:val="1"/>
          <w:numId w:val="49"/>
        </w:numPr>
        <w:spacing w:after="160" w:line="259" w:lineRule="auto"/>
        <w:rPr>
          <w:rFonts w:ascii="Arial" w:hAnsi="Arial" w:cs="Arial"/>
          <w:sz w:val="24"/>
          <w:szCs w:val="24"/>
        </w:rPr>
      </w:pPr>
      <w:r>
        <w:rPr>
          <w:rFonts w:ascii="Arial" w:hAnsi="Arial" w:cs="Arial"/>
          <w:sz w:val="24"/>
          <w:szCs w:val="24"/>
        </w:rPr>
        <w:t xml:space="preserve">Please further explain why the disposition of the LRAMVA cannot be done in this proceeding, as the balance is considered to be significant already and may well accumulate to be a larger balance at COS. </w:t>
      </w:r>
    </w:p>
    <w:p w:rsidR="006B772F" w:rsidRPr="00CB1177" w:rsidRDefault="006B772F" w:rsidP="006B772F">
      <w:pPr>
        <w:pStyle w:val="ListParagraph"/>
        <w:ind w:left="1440"/>
        <w:rPr>
          <w:rFonts w:ascii="Arial" w:hAnsi="Arial" w:cs="Arial"/>
          <w:sz w:val="24"/>
          <w:szCs w:val="24"/>
        </w:rPr>
      </w:pPr>
    </w:p>
    <w:p w:rsidR="006B772F" w:rsidRDefault="006B772F" w:rsidP="006B772F">
      <w:pPr>
        <w:pStyle w:val="ListParagraph"/>
        <w:numPr>
          <w:ilvl w:val="1"/>
          <w:numId w:val="49"/>
        </w:numPr>
        <w:spacing w:after="160" w:line="259" w:lineRule="auto"/>
        <w:rPr>
          <w:rFonts w:ascii="Arial" w:hAnsi="Arial" w:cs="Arial"/>
          <w:sz w:val="24"/>
          <w:szCs w:val="24"/>
        </w:rPr>
      </w:pPr>
      <w:r>
        <w:rPr>
          <w:rFonts w:ascii="Arial" w:hAnsi="Arial" w:cs="Arial"/>
          <w:sz w:val="24"/>
          <w:szCs w:val="24"/>
        </w:rPr>
        <w:t xml:space="preserve">If Hydro 2000 wishes to change its position on deferring the LRAMVA, please confirm the LRAMVA amount requested for disposition and the proposed period of disposition for the LRAMVA. </w:t>
      </w:r>
    </w:p>
    <w:p w:rsidR="005B71CE" w:rsidRPr="005B71CE" w:rsidRDefault="005B71CE" w:rsidP="005B71CE">
      <w:pPr>
        <w:spacing w:after="0"/>
        <w:ind w:left="360"/>
        <w:rPr>
          <w:rFonts w:ascii="Arial" w:hAnsi="Arial" w:cs="Arial"/>
          <w:color w:val="0070C0"/>
          <w:sz w:val="24"/>
          <w:szCs w:val="24"/>
        </w:rPr>
      </w:pPr>
      <w:r w:rsidRPr="005B71CE">
        <w:rPr>
          <w:rFonts w:ascii="Arial" w:hAnsi="Arial" w:cs="Arial"/>
          <w:color w:val="0070C0"/>
          <w:sz w:val="24"/>
          <w:szCs w:val="24"/>
        </w:rPr>
        <w:t>Hydro 2000:</w:t>
      </w:r>
      <w:r w:rsidR="005024D1">
        <w:rPr>
          <w:rFonts w:ascii="Arial" w:hAnsi="Arial" w:cs="Arial"/>
          <w:color w:val="0070C0"/>
          <w:sz w:val="24"/>
          <w:szCs w:val="24"/>
        </w:rPr>
        <w:t xml:space="preserve"> Hydro 2000 maintain its position that given the magnitude of the balance in Group 1 ($294,701) which is sought to be disposed of and its effect on Hydro 2000’s relatively small customer base, its preference is to avoid adding an additional 20K to the disposition and revisit the impact of the disposition in its upcoming Cost of Service. </w:t>
      </w:r>
    </w:p>
    <w:p w:rsidR="006B772F" w:rsidRDefault="006B772F" w:rsidP="006B772F">
      <w:pPr>
        <w:pStyle w:val="ListParagraph"/>
        <w:rPr>
          <w:rFonts w:ascii="Arial" w:hAnsi="Arial" w:cs="Arial"/>
          <w:sz w:val="24"/>
          <w:szCs w:val="24"/>
        </w:rPr>
      </w:pPr>
    </w:p>
    <w:p w:rsidR="006B772F" w:rsidRPr="000C141D" w:rsidRDefault="006B772F" w:rsidP="006B772F">
      <w:pPr>
        <w:spacing w:after="0"/>
        <w:rPr>
          <w:rFonts w:ascii="Arial" w:hAnsi="Arial" w:cs="Arial"/>
          <w:b/>
          <w:sz w:val="24"/>
          <w:szCs w:val="24"/>
        </w:rPr>
      </w:pPr>
      <w:r>
        <w:rPr>
          <w:rFonts w:ascii="Arial" w:hAnsi="Arial" w:cs="Arial"/>
          <w:b/>
          <w:sz w:val="24"/>
          <w:szCs w:val="24"/>
        </w:rPr>
        <w:t>Follow-up Question-8</w:t>
      </w:r>
    </w:p>
    <w:p w:rsidR="006B772F" w:rsidRDefault="006B772F" w:rsidP="006B772F">
      <w:pPr>
        <w:rPr>
          <w:rFonts w:ascii="Arial" w:hAnsi="Arial" w:cs="Arial"/>
          <w:b/>
          <w:sz w:val="24"/>
          <w:szCs w:val="24"/>
        </w:rPr>
      </w:pPr>
      <w:r w:rsidRPr="000C141D">
        <w:rPr>
          <w:rFonts w:ascii="Arial" w:hAnsi="Arial" w:cs="Arial"/>
          <w:b/>
          <w:sz w:val="24"/>
          <w:szCs w:val="24"/>
        </w:rPr>
        <w:t>Ref</w:t>
      </w:r>
      <w:r>
        <w:rPr>
          <w:rFonts w:ascii="Arial" w:hAnsi="Arial" w:cs="Arial"/>
          <w:b/>
          <w:sz w:val="24"/>
          <w:szCs w:val="24"/>
        </w:rPr>
        <w:t xml:space="preserve">: </w:t>
      </w:r>
      <w:r w:rsidRPr="00652BB4">
        <w:rPr>
          <w:rFonts w:ascii="Arial" w:hAnsi="Arial" w:cs="Arial"/>
          <w:b/>
          <w:sz w:val="24"/>
          <w:szCs w:val="24"/>
        </w:rPr>
        <w:t xml:space="preserve">Staff Question-12 </w:t>
      </w:r>
      <w:r>
        <w:rPr>
          <w:rFonts w:ascii="Arial" w:hAnsi="Arial" w:cs="Arial"/>
          <w:b/>
          <w:sz w:val="24"/>
          <w:szCs w:val="24"/>
        </w:rPr>
        <w:t>b, i and ii)</w:t>
      </w:r>
    </w:p>
    <w:p w:rsidR="006B772F" w:rsidRPr="0089725B" w:rsidRDefault="006B772F" w:rsidP="006B772F">
      <w:pPr>
        <w:rPr>
          <w:rFonts w:ascii="Arial" w:hAnsi="Arial" w:cs="Arial"/>
          <w:sz w:val="24"/>
          <w:szCs w:val="24"/>
        </w:rPr>
      </w:pPr>
      <w:r w:rsidRPr="0089725B">
        <w:rPr>
          <w:rFonts w:ascii="Arial" w:hAnsi="Arial" w:cs="Arial"/>
          <w:sz w:val="24"/>
          <w:szCs w:val="24"/>
        </w:rPr>
        <w:t>For the record, please file the</w:t>
      </w:r>
      <w:r>
        <w:rPr>
          <w:rFonts w:ascii="Arial" w:hAnsi="Arial" w:cs="Arial"/>
          <w:sz w:val="24"/>
          <w:szCs w:val="24"/>
        </w:rPr>
        <w:t xml:space="preserve"> IESO</w:t>
      </w:r>
      <w:r w:rsidRPr="0089725B">
        <w:rPr>
          <w:rFonts w:ascii="Arial" w:hAnsi="Arial" w:cs="Arial"/>
          <w:sz w:val="24"/>
          <w:szCs w:val="24"/>
        </w:rPr>
        <w:t xml:space="preserve"> spreadsheets to support the inputs in the LRAMVA </w:t>
      </w:r>
      <w:proofErr w:type="spellStart"/>
      <w:r w:rsidRPr="0089725B">
        <w:rPr>
          <w:rFonts w:ascii="Arial" w:hAnsi="Arial" w:cs="Arial"/>
          <w:sz w:val="24"/>
          <w:szCs w:val="24"/>
        </w:rPr>
        <w:t>workform</w:t>
      </w:r>
      <w:proofErr w:type="spellEnd"/>
      <w:r w:rsidRPr="0089725B">
        <w:rPr>
          <w:rFonts w:ascii="Arial" w:hAnsi="Arial" w:cs="Arial"/>
          <w:sz w:val="24"/>
          <w:szCs w:val="24"/>
        </w:rPr>
        <w:t>:</w:t>
      </w:r>
    </w:p>
    <w:p w:rsidR="006B772F" w:rsidRDefault="006B772F" w:rsidP="006B772F">
      <w:pPr>
        <w:pStyle w:val="ListParagraph"/>
        <w:numPr>
          <w:ilvl w:val="0"/>
          <w:numId w:val="46"/>
        </w:numPr>
        <w:spacing w:after="160" w:line="259" w:lineRule="auto"/>
        <w:rPr>
          <w:rFonts w:ascii="Arial" w:hAnsi="Arial" w:cs="Arial"/>
          <w:sz w:val="24"/>
          <w:szCs w:val="24"/>
        </w:rPr>
      </w:pPr>
      <w:r>
        <w:rPr>
          <w:rFonts w:ascii="Arial" w:hAnsi="Arial" w:cs="Arial"/>
          <w:sz w:val="24"/>
          <w:szCs w:val="24"/>
        </w:rPr>
        <w:t>2011-2014 persistence report</w:t>
      </w:r>
    </w:p>
    <w:p w:rsidR="006B772F" w:rsidRDefault="006B772F" w:rsidP="006B772F">
      <w:pPr>
        <w:pStyle w:val="ListParagraph"/>
        <w:numPr>
          <w:ilvl w:val="0"/>
          <w:numId w:val="46"/>
        </w:numPr>
        <w:spacing w:after="160" w:line="259" w:lineRule="auto"/>
        <w:rPr>
          <w:rFonts w:ascii="Arial" w:hAnsi="Arial" w:cs="Arial"/>
          <w:sz w:val="24"/>
          <w:szCs w:val="24"/>
        </w:rPr>
      </w:pPr>
      <w:r>
        <w:rPr>
          <w:rFonts w:ascii="Arial" w:hAnsi="Arial" w:cs="Arial"/>
          <w:sz w:val="24"/>
          <w:szCs w:val="24"/>
        </w:rPr>
        <w:lastRenderedPageBreak/>
        <w:t>2017 final verified results report</w:t>
      </w:r>
    </w:p>
    <w:p w:rsidR="005B71CE" w:rsidRPr="005B71CE" w:rsidRDefault="005B71CE" w:rsidP="005B71CE">
      <w:pPr>
        <w:spacing w:after="0"/>
        <w:ind w:left="1080"/>
        <w:rPr>
          <w:rFonts w:ascii="Arial" w:hAnsi="Arial" w:cs="Arial"/>
          <w:color w:val="0070C0"/>
          <w:sz w:val="24"/>
          <w:szCs w:val="24"/>
        </w:rPr>
      </w:pPr>
      <w:r w:rsidRPr="005B71CE">
        <w:rPr>
          <w:rFonts w:ascii="Arial" w:hAnsi="Arial" w:cs="Arial"/>
          <w:color w:val="0070C0"/>
          <w:sz w:val="24"/>
          <w:szCs w:val="24"/>
        </w:rPr>
        <w:t>Hydro 2000:</w:t>
      </w:r>
      <w:r w:rsidR="00797B89">
        <w:rPr>
          <w:rFonts w:ascii="Arial" w:hAnsi="Arial" w:cs="Arial"/>
          <w:color w:val="0070C0"/>
          <w:sz w:val="24"/>
          <w:szCs w:val="24"/>
        </w:rPr>
        <w:t xml:space="preserve"> The two documents are attached to these responses. </w:t>
      </w:r>
    </w:p>
    <w:p w:rsidR="00C13B83" w:rsidRDefault="00C13B83" w:rsidP="00C13B83">
      <w:pPr>
        <w:spacing w:after="160" w:line="259" w:lineRule="auto"/>
        <w:rPr>
          <w:rFonts w:ascii="Arial" w:hAnsi="Arial" w:cs="Arial"/>
          <w:sz w:val="24"/>
          <w:szCs w:val="24"/>
        </w:rPr>
      </w:pPr>
    </w:p>
    <w:p w:rsidR="00C13B83" w:rsidRPr="00C13B83" w:rsidRDefault="00C13B83" w:rsidP="00C13B83">
      <w:pPr>
        <w:spacing w:after="160" w:line="259" w:lineRule="auto"/>
        <w:rPr>
          <w:rFonts w:ascii="Arial" w:hAnsi="Arial" w:cs="Arial"/>
          <w:sz w:val="24"/>
          <w:szCs w:val="24"/>
        </w:rPr>
      </w:pPr>
    </w:p>
    <w:p w:rsidR="00C13B83" w:rsidRPr="00C13B83" w:rsidRDefault="00C13B83" w:rsidP="00C13B83">
      <w:pPr>
        <w:spacing w:after="0"/>
        <w:rPr>
          <w:rFonts w:ascii="Arial" w:hAnsi="Arial" w:cs="Arial"/>
          <w:b/>
          <w:sz w:val="24"/>
          <w:szCs w:val="24"/>
        </w:rPr>
      </w:pPr>
    </w:p>
    <w:p w:rsidR="00B65FA0" w:rsidRDefault="00B65FA0" w:rsidP="00E34CF3">
      <w:pPr>
        <w:spacing w:after="0"/>
        <w:rPr>
          <w:rFonts w:ascii="Arial" w:hAnsi="Arial" w:cs="Arial"/>
          <w:b/>
          <w:sz w:val="24"/>
          <w:szCs w:val="24"/>
        </w:rPr>
      </w:pPr>
    </w:p>
    <w:p w:rsidR="003F2982" w:rsidRDefault="003F2982" w:rsidP="00E34CF3">
      <w:pPr>
        <w:spacing w:after="0"/>
        <w:rPr>
          <w:rFonts w:ascii="Arial" w:hAnsi="Arial" w:cs="Arial"/>
          <w:b/>
          <w:sz w:val="24"/>
          <w:szCs w:val="24"/>
        </w:rPr>
      </w:pPr>
    </w:p>
    <w:p w:rsidR="003F2982" w:rsidRDefault="003F2982" w:rsidP="00E34CF3">
      <w:pPr>
        <w:spacing w:after="0"/>
        <w:rPr>
          <w:rFonts w:ascii="Arial" w:hAnsi="Arial" w:cs="Arial"/>
          <w:b/>
          <w:sz w:val="24"/>
          <w:szCs w:val="24"/>
        </w:rPr>
      </w:pPr>
    </w:p>
    <w:p w:rsidR="003F2982" w:rsidRDefault="003F2982" w:rsidP="00E34CF3">
      <w:pPr>
        <w:spacing w:after="0"/>
        <w:rPr>
          <w:rFonts w:ascii="Arial" w:hAnsi="Arial" w:cs="Arial"/>
          <w:b/>
          <w:sz w:val="24"/>
          <w:szCs w:val="24"/>
        </w:rPr>
      </w:pPr>
    </w:p>
    <w:p w:rsidR="003F2982" w:rsidRDefault="003F2982" w:rsidP="00E34CF3">
      <w:pPr>
        <w:spacing w:after="0"/>
        <w:rPr>
          <w:rFonts w:ascii="Arial" w:hAnsi="Arial" w:cs="Arial"/>
          <w:b/>
          <w:sz w:val="24"/>
          <w:szCs w:val="24"/>
        </w:rPr>
      </w:pPr>
    </w:p>
    <w:p w:rsidR="003F2982" w:rsidRDefault="003F2982" w:rsidP="00E34CF3">
      <w:pPr>
        <w:spacing w:after="0"/>
        <w:rPr>
          <w:rFonts w:ascii="Arial" w:hAnsi="Arial" w:cs="Arial"/>
          <w:b/>
          <w:sz w:val="24"/>
          <w:szCs w:val="24"/>
        </w:rPr>
      </w:pPr>
    </w:p>
    <w:p w:rsidR="003F2982" w:rsidRDefault="003F2982" w:rsidP="00E34CF3">
      <w:pPr>
        <w:spacing w:after="0"/>
        <w:rPr>
          <w:rFonts w:ascii="Arial" w:hAnsi="Arial" w:cs="Arial"/>
          <w:b/>
          <w:sz w:val="24"/>
          <w:szCs w:val="24"/>
        </w:rPr>
      </w:pPr>
    </w:p>
    <w:sectPr w:rsidR="003F2982" w:rsidSect="00EA0919">
      <w:headerReference w:type="default" r:id="rId8"/>
      <w:footerReference w:type="default" r:id="rId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E18" w:rsidRDefault="00F46E18" w:rsidP="00334469">
      <w:pPr>
        <w:spacing w:after="0" w:line="240" w:lineRule="auto"/>
      </w:pPr>
      <w:r>
        <w:separator/>
      </w:r>
    </w:p>
  </w:endnote>
  <w:endnote w:type="continuationSeparator" w:id="0">
    <w:p w:rsidR="00F46E18" w:rsidRDefault="00F46E18" w:rsidP="0033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612" w:rsidRDefault="009E6612">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D22A6">
      <w:rPr>
        <w:caps/>
        <w:noProof/>
        <w:color w:val="4F81BD" w:themeColor="accent1"/>
      </w:rPr>
      <w:t>9</w:t>
    </w:r>
    <w:r>
      <w:rPr>
        <w:caps/>
        <w:noProof/>
        <w:color w:val="4F81BD" w:themeColor="accent1"/>
      </w:rPr>
      <w:fldChar w:fldCharType="end"/>
    </w:r>
  </w:p>
  <w:p w:rsidR="003A4F64" w:rsidRDefault="003A4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E18" w:rsidRDefault="00F46E18" w:rsidP="00334469">
      <w:pPr>
        <w:spacing w:after="0" w:line="240" w:lineRule="auto"/>
      </w:pPr>
      <w:r>
        <w:separator/>
      </w:r>
    </w:p>
  </w:footnote>
  <w:footnote w:type="continuationSeparator" w:id="0">
    <w:p w:rsidR="00F46E18" w:rsidRDefault="00F46E18" w:rsidP="00334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612" w:rsidRDefault="009E6612">
    <w:pPr>
      <w:pStyle w:val="Header"/>
    </w:pPr>
    <w:r>
      <w:ptab w:relativeTo="margin" w:alignment="center" w:leader="none"/>
    </w:r>
    <w:r>
      <w:ptab w:relativeTo="margin" w:alignment="right" w:leader="none"/>
    </w:r>
    <w:r>
      <w:t>Hydro 2000 Inc.</w:t>
    </w:r>
  </w:p>
  <w:p w:rsidR="009E6612" w:rsidRDefault="009E6612">
    <w:pPr>
      <w:pStyle w:val="Header"/>
    </w:pPr>
    <w:r>
      <w:tab/>
    </w:r>
    <w:r>
      <w:tab/>
      <w:t>2019 IRM Application</w:t>
    </w:r>
  </w:p>
  <w:p w:rsidR="009E6612" w:rsidRDefault="009E6612">
    <w:pPr>
      <w:pStyle w:val="Header"/>
    </w:pPr>
    <w:r>
      <w:tab/>
    </w:r>
    <w:r>
      <w:tab/>
      <w:t xml:space="preserve">OEB Staff </w:t>
    </w:r>
    <w:r w:rsidR="00543438">
      <w:t xml:space="preserve">Follow-up </w:t>
    </w:r>
    <w:r>
      <w:t>Questions</w:t>
    </w:r>
  </w:p>
  <w:p w:rsidR="009B0A87" w:rsidRDefault="009B0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B45910"/>
    <w:multiLevelType w:val="hybridMultilevel"/>
    <w:tmpl w:val="83B8949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00AAC"/>
    <w:multiLevelType w:val="hybridMultilevel"/>
    <w:tmpl w:val="273A25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385BCA"/>
    <w:multiLevelType w:val="hybridMultilevel"/>
    <w:tmpl w:val="F36289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6E675C"/>
    <w:multiLevelType w:val="hybridMultilevel"/>
    <w:tmpl w:val="7494B59A"/>
    <w:lvl w:ilvl="0" w:tplc="D85CEB2C">
      <w:start w:val="1"/>
      <w:numFmt w:val="lowerLetter"/>
      <w:lvlText w:val="%1."/>
      <w:lvlJc w:val="left"/>
      <w:pPr>
        <w:ind w:left="720" w:hanging="360"/>
      </w:pPr>
      <w:rPr>
        <w:rFonts w:asciiTheme="minorHAnsi" w:eastAsia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1256B7E"/>
    <w:multiLevelType w:val="hybridMultilevel"/>
    <w:tmpl w:val="43EAC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E0103E"/>
    <w:multiLevelType w:val="hybridMultilevel"/>
    <w:tmpl w:val="C6E49E9C"/>
    <w:lvl w:ilvl="0" w:tplc="D256AB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5E62CF8"/>
    <w:multiLevelType w:val="hybridMultilevel"/>
    <w:tmpl w:val="E15A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7FF0F7C"/>
    <w:multiLevelType w:val="hybridMultilevel"/>
    <w:tmpl w:val="A9AA506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15:restartNumberingAfterBreak="0">
    <w:nsid w:val="2ADD09C4"/>
    <w:multiLevelType w:val="hybridMultilevel"/>
    <w:tmpl w:val="B29E095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3C96FDF"/>
    <w:multiLevelType w:val="hybridMultilevel"/>
    <w:tmpl w:val="9E36F8E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49974FA"/>
    <w:multiLevelType w:val="hybridMultilevel"/>
    <w:tmpl w:val="CD26B2FE"/>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1">
      <w:start w:val="1"/>
      <w:numFmt w:val="decimal"/>
      <w:lvlText w:val="%3)"/>
      <w:lvlJc w:val="left"/>
      <w:pPr>
        <w:ind w:left="1800" w:hanging="180"/>
      </w:pPr>
      <w:rPr>
        <w:rFonts w:hint="default"/>
      </w:rPr>
    </w:lvl>
    <w:lvl w:ilvl="3" w:tplc="04090001">
      <w:start w:val="1"/>
      <w:numFmt w:val="bullet"/>
      <w:lvlText w:val=""/>
      <w:lvlJc w:val="left"/>
      <w:pPr>
        <w:ind w:left="261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8EC3A5E"/>
    <w:multiLevelType w:val="hybridMultilevel"/>
    <w:tmpl w:val="E3F244A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430537"/>
    <w:multiLevelType w:val="hybridMultilevel"/>
    <w:tmpl w:val="76B20E6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5"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559738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B146784"/>
    <w:multiLevelType w:val="hybridMultilevel"/>
    <w:tmpl w:val="8886DDC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5E692C45"/>
    <w:multiLevelType w:val="hybridMultilevel"/>
    <w:tmpl w:val="78C82F6E"/>
    <w:lvl w:ilvl="0" w:tplc="D4042182">
      <w:start w:val="1"/>
      <w:numFmt w:val="lowerRoman"/>
      <w:lvlText w:val="%1."/>
      <w:lvlJc w:val="left"/>
      <w:pPr>
        <w:ind w:left="1170" w:hanging="360"/>
      </w:pPr>
      <w:rPr>
        <w:rFonts w:ascii="Arial" w:eastAsiaTheme="minorHAnsi"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5EBB76E6"/>
    <w:multiLevelType w:val="hybridMultilevel"/>
    <w:tmpl w:val="DB781A7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3CC55E7"/>
    <w:multiLevelType w:val="hybridMultilevel"/>
    <w:tmpl w:val="F4782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85E3A0F"/>
    <w:multiLevelType w:val="hybridMultilevel"/>
    <w:tmpl w:val="0922D50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1" w15:restartNumberingAfterBreak="0">
    <w:nsid w:val="69B757DC"/>
    <w:multiLevelType w:val="hybridMultilevel"/>
    <w:tmpl w:val="16A63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BF03112"/>
    <w:multiLevelType w:val="hybridMultilevel"/>
    <w:tmpl w:val="FB047A4A"/>
    <w:lvl w:ilvl="0" w:tplc="0F7A0FA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DEA6EE8"/>
    <w:multiLevelType w:val="hybridMultilevel"/>
    <w:tmpl w:val="CB368FE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6"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1"/>
  </w:num>
  <w:num w:numId="3">
    <w:abstractNumId w:val="37"/>
  </w:num>
  <w:num w:numId="4">
    <w:abstractNumId w:val="48"/>
  </w:num>
  <w:num w:numId="5">
    <w:abstractNumId w:val="20"/>
  </w:num>
  <w:num w:numId="6">
    <w:abstractNumId w:val="16"/>
  </w:num>
  <w:num w:numId="7">
    <w:abstractNumId w:val="29"/>
  </w:num>
  <w:num w:numId="8">
    <w:abstractNumId w:val="22"/>
  </w:num>
  <w:num w:numId="9">
    <w:abstractNumId w:val="25"/>
  </w:num>
  <w:num w:numId="10">
    <w:abstractNumId w:val="10"/>
  </w:num>
  <w:num w:numId="11">
    <w:abstractNumId w:val="28"/>
  </w:num>
  <w:num w:numId="12">
    <w:abstractNumId w:val="39"/>
  </w:num>
  <w:num w:numId="13">
    <w:abstractNumId w:val="9"/>
  </w:num>
  <w:num w:numId="14">
    <w:abstractNumId w:val="3"/>
  </w:num>
  <w:num w:numId="15">
    <w:abstractNumId w:val="47"/>
  </w:num>
  <w:num w:numId="16">
    <w:abstractNumId w:val="13"/>
  </w:num>
  <w:num w:numId="17">
    <w:abstractNumId w:val="34"/>
  </w:num>
  <w:num w:numId="18">
    <w:abstractNumId w:val="44"/>
  </w:num>
  <w:num w:numId="19">
    <w:abstractNumId w:val="46"/>
  </w:num>
  <w:num w:numId="20">
    <w:abstractNumId w:val="19"/>
  </w:num>
  <w:num w:numId="21">
    <w:abstractNumId w:val="42"/>
  </w:num>
  <w:num w:numId="22">
    <w:abstractNumId w:val="18"/>
  </w:num>
  <w:num w:numId="23">
    <w:abstractNumId w:val="38"/>
  </w:num>
  <w:num w:numId="24">
    <w:abstractNumId w:val="36"/>
  </w:num>
  <w:num w:numId="25">
    <w:abstractNumId w:val="6"/>
  </w:num>
  <w:num w:numId="26">
    <w:abstractNumId w:val="26"/>
  </w:num>
  <w:num w:numId="27">
    <w:abstractNumId w:val="31"/>
  </w:num>
  <w:num w:numId="28">
    <w:abstractNumId w:val="8"/>
  </w:num>
  <w:num w:numId="29">
    <w:abstractNumId w:val="5"/>
  </w:num>
  <w:num w:numId="30">
    <w:abstractNumId w:val="43"/>
  </w:num>
  <w:num w:numId="31">
    <w:abstractNumId w:val="41"/>
  </w:num>
  <w:num w:numId="32">
    <w:abstractNumId w:val="35"/>
  </w:num>
  <w:num w:numId="33">
    <w:abstractNumId w:val="4"/>
  </w:num>
  <w:num w:numId="34">
    <w:abstractNumId w:val="21"/>
  </w:num>
  <w:num w:numId="35">
    <w:abstractNumId w:val="32"/>
  </w:num>
  <w:num w:numId="36">
    <w:abstractNumId w:val="24"/>
  </w:num>
  <w:num w:numId="37">
    <w:abstractNumId w:val="40"/>
  </w:num>
  <w:num w:numId="38">
    <w:abstractNumId w:val="45"/>
  </w:num>
  <w:num w:numId="39">
    <w:abstractNumId w:val="14"/>
  </w:num>
  <w:num w:numId="40">
    <w:abstractNumId w:val="27"/>
  </w:num>
  <w:num w:numId="41">
    <w:abstractNumId w:val="33"/>
  </w:num>
  <w:num w:numId="42">
    <w:abstractNumId w:val="1"/>
  </w:num>
  <w:num w:numId="43">
    <w:abstractNumId w:val="2"/>
  </w:num>
  <w:num w:numId="44">
    <w:abstractNumId w:val="23"/>
  </w:num>
  <w:num w:numId="45">
    <w:abstractNumId w:val="12"/>
  </w:num>
  <w:num w:numId="46">
    <w:abstractNumId w:val="7"/>
  </w:num>
  <w:num w:numId="47">
    <w:abstractNumId w:val="17"/>
  </w:num>
  <w:num w:numId="48">
    <w:abstractNumId w:val="15"/>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MwNjAzMTO1MDKwMDRW0lEKTi0uzszPAykwrgUAbyxtaywAAAA="/>
  </w:docVars>
  <w:rsids>
    <w:rsidRoot w:val="00DB6B52"/>
    <w:rsid w:val="0000672B"/>
    <w:rsid w:val="000164AB"/>
    <w:rsid w:val="00027405"/>
    <w:rsid w:val="0003073C"/>
    <w:rsid w:val="00035337"/>
    <w:rsid w:val="00035EFF"/>
    <w:rsid w:val="00054071"/>
    <w:rsid w:val="0006126D"/>
    <w:rsid w:val="00067F57"/>
    <w:rsid w:val="00071BEC"/>
    <w:rsid w:val="00074514"/>
    <w:rsid w:val="000832D4"/>
    <w:rsid w:val="00090160"/>
    <w:rsid w:val="000A33F6"/>
    <w:rsid w:val="000A350D"/>
    <w:rsid w:val="000B3E7E"/>
    <w:rsid w:val="000C141D"/>
    <w:rsid w:val="000C3C54"/>
    <w:rsid w:val="000D223C"/>
    <w:rsid w:val="000D22A6"/>
    <w:rsid w:val="000E4006"/>
    <w:rsid w:val="000F1E3A"/>
    <w:rsid w:val="000F2653"/>
    <w:rsid w:val="000F487B"/>
    <w:rsid w:val="00164E99"/>
    <w:rsid w:val="001668C0"/>
    <w:rsid w:val="00183CC8"/>
    <w:rsid w:val="00184492"/>
    <w:rsid w:val="00187E9B"/>
    <w:rsid w:val="001927C2"/>
    <w:rsid w:val="001A13AD"/>
    <w:rsid w:val="001A4DCD"/>
    <w:rsid w:val="001C7170"/>
    <w:rsid w:val="001F50EF"/>
    <w:rsid w:val="00203092"/>
    <w:rsid w:val="00206E88"/>
    <w:rsid w:val="002208C0"/>
    <w:rsid w:val="00224416"/>
    <w:rsid w:val="00224C06"/>
    <w:rsid w:val="00240881"/>
    <w:rsid w:val="00242049"/>
    <w:rsid w:val="0025687C"/>
    <w:rsid w:val="002738E7"/>
    <w:rsid w:val="00274A48"/>
    <w:rsid w:val="002764F1"/>
    <w:rsid w:val="00291CCC"/>
    <w:rsid w:val="002A31CA"/>
    <w:rsid w:val="002A6415"/>
    <w:rsid w:val="002B5930"/>
    <w:rsid w:val="002B7B7C"/>
    <w:rsid w:val="002C2BF2"/>
    <w:rsid w:val="002C5E57"/>
    <w:rsid w:val="002C7646"/>
    <w:rsid w:val="002C7EF6"/>
    <w:rsid w:val="002E18DB"/>
    <w:rsid w:val="002E2038"/>
    <w:rsid w:val="002F4756"/>
    <w:rsid w:val="00302509"/>
    <w:rsid w:val="003049C5"/>
    <w:rsid w:val="003157B5"/>
    <w:rsid w:val="00327645"/>
    <w:rsid w:val="00334469"/>
    <w:rsid w:val="00337A7E"/>
    <w:rsid w:val="00340C00"/>
    <w:rsid w:val="00343A42"/>
    <w:rsid w:val="003507E0"/>
    <w:rsid w:val="003702D1"/>
    <w:rsid w:val="00373FAD"/>
    <w:rsid w:val="003777B5"/>
    <w:rsid w:val="003832E7"/>
    <w:rsid w:val="003A20A0"/>
    <w:rsid w:val="003A4F64"/>
    <w:rsid w:val="003A58B0"/>
    <w:rsid w:val="003A6AD7"/>
    <w:rsid w:val="003A70D4"/>
    <w:rsid w:val="003B2952"/>
    <w:rsid w:val="003B7C0A"/>
    <w:rsid w:val="003D3B15"/>
    <w:rsid w:val="003D5B60"/>
    <w:rsid w:val="003F2982"/>
    <w:rsid w:val="003F76AC"/>
    <w:rsid w:val="00400DFC"/>
    <w:rsid w:val="00412DC6"/>
    <w:rsid w:val="00431C31"/>
    <w:rsid w:val="00436AEE"/>
    <w:rsid w:val="004377B0"/>
    <w:rsid w:val="004403F9"/>
    <w:rsid w:val="004417B0"/>
    <w:rsid w:val="00441C5C"/>
    <w:rsid w:val="00445F34"/>
    <w:rsid w:val="00461BC7"/>
    <w:rsid w:val="004723E4"/>
    <w:rsid w:val="00472C81"/>
    <w:rsid w:val="00475032"/>
    <w:rsid w:val="004859EF"/>
    <w:rsid w:val="004A4CED"/>
    <w:rsid w:val="004B7D1D"/>
    <w:rsid w:val="004E6662"/>
    <w:rsid w:val="005024D1"/>
    <w:rsid w:val="005164F5"/>
    <w:rsid w:val="00522B93"/>
    <w:rsid w:val="0052560F"/>
    <w:rsid w:val="005324EB"/>
    <w:rsid w:val="00543438"/>
    <w:rsid w:val="00556778"/>
    <w:rsid w:val="00561686"/>
    <w:rsid w:val="005666F2"/>
    <w:rsid w:val="00572064"/>
    <w:rsid w:val="00577F4A"/>
    <w:rsid w:val="00584369"/>
    <w:rsid w:val="0058439E"/>
    <w:rsid w:val="00587A35"/>
    <w:rsid w:val="005A7465"/>
    <w:rsid w:val="005B71CE"/>
    <w:rsid w:val="005D215B"/>
    <w:rsid w:val="005F05CA"/>
    <w:rsid w:val="005F4693"/>
    <w:rsid w:val="00603431"/>
    <w:rsid w:val="00611B52"/>
    <w:rsid w:val="006143AC"/>
    <w:rsid w:val="006219D3"/>
    <w:rsid w:val="00621D99"/>
    <w:rsid w:val="00631D3D"/>
    <w:rsid w:val="0064279A"/>
    <w:rsid w:val="00644B9D"/>
    <w:rsid w:val="00652B84"/>
    <w:rsid w:val="0065598D"/>
    <w:rsid w:val="00663B0E"/>
    <w:rsid w:val="00667FDD"/>
    <w:rsid w:val="006A5D23"/>
    <w:rsid w:val="006B0C59"/>
    <w:rsid w:val="006B772F"/>
    <w:rsid w:val="006E1405"/>
    <w:rsid w:val="006E3D58"/>
    <w:rsid w:val="006E67A8"/>
    <w:rsid w:val="00704EE5"/>
    <w:rsid w:val="007066E2"/>
    <w:rsid w:val="00722640"/>
    <w:rsid w:val="0073009C"/>
    <w:rsid w:val="0073197E"/>
    <w:rsid w:val="00744165"/>
    <w:rsid w:val="00746080"/>
    <w:rsid w:val="007518B0"/>
    <w:rsid w:val="00766C0B"/>
    <w:rsid w:val="007678FB"/>
    <w:rsid w:val="00772B57"/>
    <w:rsid w:val="00781D04"/>
    <w:rsid w:val="00797B89"/>
    <w:rsid w:val="007A0822"/>
    <w:rsid w:val="007A3D45"/>
    <w:rsid w:val="007C2D45"/>
    <w:rsid w:val="007C3747"/>
    <w:rsid w:val="007F08F0"/>
    <w:rsid w:val="007F49EB"/>
    <w:rsid w:val="00805FDA"/>
    <w:rsid w:val="0080703E"/>
    <w:rsid w:val="00812C1B"/>
    <w:rsid w:val="00835AD0"/>
    <w:rsid w:val="008438DF"/>
    <w:rsid w:val="008747B3"/>
    <w:rsid w:val="008813C3"/>
    <w:rsid w:val="008926F0"/>
    <w:rsid w:val="00894FA2"/>
    <w:rsid w:val="008964E8"/>
    <w:rsid w:val="008A219E"/>
    <w:rsid w:val="008A28BA"/>
    <w:rsid w:val="008A48F6"/>
    <w:rsid w:val="008D4B01"/>
    <w:rsid w:val="008E0C7C"/>
    <w:rsid w:val="008E6045"/>
    <w:rsid w:val="008F748C"/>
    <w:rsid w:val="0090113B"/>
    <w:rsid w:val="00905E95"/>
    <w:rsid w:val="009268D9"/>
    <w:rsid w:val="00926EA4"/>
    <w:rsid w:val="0093258A"/>
    <w:rsid w:val="009344F8"/>
    <w:rsid w:val="0094373C"/>
    <w:rsid w:val="00946DEE"/>
    <w:rsid w:val="00951E2B"/>
    <w:rsid w:val="00952939"/>
    <w:rsid w:val="00955B33"/>
    <w:rsid w:val="00961EA0"/>
    <w:rsid w:val="00975D61"/>
    <w:rsid w:val="00987E4B"/>
    <w:rsid w:val="009A5C44"/>
    <w:rsid w:val="009B03AF"/>
    <w:rsid w:val="009B0A87"/>
    <w:rsid w:val="009B454E"/>
    <w:rsid w:val="009B66D1"/>
    <w:rsid w:val="009C4216"/>
    <w:rsid w:val="009D2175"/>
    <w:rsid w:val="009D4F92"/>
    <w:rsid w:val="009D5F4B"/>
    <w:rsid w:val="009E626E"/>
    <w:rsid w:val="009E6612"/>
    <w:rsid w:val="009E7CBF"/>
    <w:rsid w:val="009F4885"/>
    <w:rsid w:val="00A03120"/>
    <w:rsid w:val="00A07077"/>
    <w:rsid w:val="00A1162D"/>
    <w:rsid w:val="00A27DB8"/>
    <w:rsid w:val="00A30EEC"/>
    <w:rsid w:val="00A50DD0"/>
    <w:rsid w:val="00A516B0"/>
    <w:rsid w:val="00A5620A"/>
    <w:rsid w:val="00A66B79"/>
    <w:rsid w:val="00A701B6"/>
    <w:rsid w:val="00A76CAE"/>
    <w:rsid w:val="00A928CE"/>
    <w:rsid w:val="00AA06D9"/>
    <w:rsid w:val="00AB2625"/>
    <w:rsid w:val="00AB5C90"/>
    <w:rsid w:val="00AB7859"/>
    <w:rsid w:val="00AC0F38"/>
    <w:rsid w:val="00AC2406"/>
    <w:rsid w:val="00AC538A"/>
    <w:rsid w:val="00AD3FCF"/>
    <w:rsid w:val="00AE5210"/>
    <w:rsid w:val="00B03802"/>
    <w:rsid w:val="00B069AA"/>
    <w:rsid w:val="00B17C3E"/>
    <w:rsid w:val="00B23A36"/>
    <w:rsid w:val="00B25576"/>
    <w:rsid w:val="00B25EF5"/>
    <w:rsid w:val="00B30C63"/>
    <w:rsid w:val="00B3660D"/>
    <w:rsid w:val="00B41512"/>
    <w:rsid w:val="00B42EA6"/>
    <w:rsid w:val="00B50EB2"/>
    <w:rsid w:val="00B54E4B"/>
    <w:rsid w:val="00B627D5"/>
    <w:rsid w:val="00B65FA0"/>
    <w:rsid w:val="00B6722A"/>
    <w:rsid w:val="00B73D0B"/>
    <w:rsid w:val="00B82D78"/>
    <w:rsid w:val="00B97E65"/>
    <w:rsid w:val="00BA434C"/>
    <w:rsid w:val="00BC3488"/>
    <w:rsid w:val="00BD4F65"/>
    <w:rsid w:val="00BF603A"/>
    <w:rsid w:val="00C06F9E"/>
    <w:rsid w:val="00C13B83"/>
    <w:rsid w:val="00C13E6B"/>
    <w:rsid w:val="00C2370B"/>
    <w:rsid w:val="00C2402D"/>
    <w:rsid w:val="00C42DA8"/>
    <w:rsid w:val="00C624D5"/>
    <w:rsid w:val="00C72F31"/>
    <w:rsid w:val="00C7364B"/>
    <w:rsid w:val="00C848A0"/>
    <w:rsid w:val="00C878C5"/>
    <w:rsid w:val="00C96AEA"/>
    <w:rsid w:val="00CA140F"/>
    <w:rsid w:val="00CB2FC8"/>
    <w:rsid w:val="00CC0B6D"/>
    <w:rsid w:val="00CD0965"/>
    <w:rsid w:val="00CE1CD3"/>
    <w:rsid w:val="00CE2610"/>
    <w:rsid w:val="00CE4F01"/>
    <w:rsid w:val="00CF620C"/>
    <w:rsid w:val="00D0736F"/>
    <w:rsid w:val="00D1782D"/>
    <w:rsid w:val="00D4551A"/>
    <w:rsid w:val="00D55546"/>
    <w:rsid w:val="00D6213C"/>
    <w:rsid w:val="00D647C0"/>
    <w:rsid w:val="00D77694"/>
    <w:rsid w:val="00D77B0F"/>
    <w:rsid w:val="00D8645A"/>
    <w:rsid w:val="00D9276F"/>
    <w:rsid w:val="00DB651F"/>
    <w:rsid w:val="00DB6B52"/>
    <w:rsid w:val="00DC4D92"/>
    <w:rsid w:val="00DD2346"/>
    <w:rsid w:val="00DE5488"/>
    <w:rsid w:val="00DE75AC"/>
    <w:rsid w:val="00DF1CDE"/>
    <w:rsid w:val="00DF5A52"/>
    <w:rsid w:val="00E17C58"/>
    <w:rsid w:val="00E231C2"/>
    <w:rsid w:val="00E34CF3"/>
    <w:rsid w:val="00E429DA"/>
    <w:rsid w:val="00E503C8"/>
    <w:rsid w:val="00E5783E"/>
    <w:rsid w:val="00E62585"/>
    <w:rsid w:val="00E62C2A"/>
    <w:rsid w:val="00E8586E"/>
    <w:rsid w:val="00E94252"/>
    <w:rsid w:val="00E96A06"/>
    <w:rsid w:val="00EA0919"/>
    <w:rsid w:val="00EA64F2"/>
    <w:rsid w:val="00EA71E7"/>
    <w:rsid w:val="00EB5240"/>
    <w:rsid w:val="00EC0B55"/>
    <w:rsid w:val="00ED1E35"/>
    <w:rsid w:val="00F034BF"/>
    <w:rsid w:val="00F03B20"/>
    <w:rsid w:val="00F22E0B"/>
    <w:rsid w:val="00F233A3"/>
    <w:rsid w:val="00F23E73"/>
    <w:rsid w:val="00F26D30"/>
    <w:rsid w:val="00F30992"/>
    <w:rsid w:val="00F35689"/>
    <w:rsid w:val="00F445BD"/>
    <w:rsid w:val="00F46E18"/>
    <w:rsid w:val="00F57152"/>
    <w:rsid w:val="00F7362C"/>
    <w:rsid w:val="00F7759A"/>
    <w:rsid w:val="00F92F61"/>
    <w:rsid w:val="00F97AF4"/>
    <w:rsid w:val="00FB6F10"/>
    <w:rsid w:val="00FC3D03"/>
    <w:rsid w:val="00FC4CF8"/>
    <w:rsid w:val="00FC5DA7"/>
    <w:rsid w:val="00FD029D"/>
    <w:rsid w:val="00FD5796"/>
    <w:rsid w:val="00FF05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FD09FA"/>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344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469"/>
    <w:rPr>
      <w:sz w:val="20"/>
      <w:szCs w:val="20"/>
    </w:rPr>
  </w:style>
  <w:style w:type="character" w:styleId="FootnoteReference">
    <w:name w:val="footnote reference"/>
    <w:basedOn w:val="DefaultParagraphFont"/>
    <w:uiPriority w:val="99"/>
    <w:semiHidden/>
    <w:unhideWhenUsed/>
    <w:rsid w:val="00334469"/>
    <w:rPr>
      <w:vertAlign w:val="superscript"/>
    </w:rPr>
  </w:style>
  <w:style w:type="paragraph" w:styleId="Header">
    <w:name w:val="header"/>
    <w:basedOn w:val="Normal"/>
    <w:link w:val="HeaderChar"/>
    <w:uiPriority w:val="99"/>
    <w:unhideWhenUsed/>
    <w:rsid w:val="003A4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64"/>
  </w:style>
  <w:style w:type="paragraph" w:styleId="NoSpacing">
    <w:name w:val="No Spacing"/>
    <w:uiPriority w:val="1"/>
    <w:qFormat/>
    <w:rsid w:val="005024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271984377">
      <w:bodyDiv w:val="1"/>
      <w:marLeft w:val="0"/>
      <w:marRight w:val="0"/>
      <w:marTop w:val="0"/>
      <w:marBottom w:val="0"/>
      <w:divBdr>
        <w:top w:val="none" w:sz="0" w:space="0" w:color="auto"/>
        <w:left w:val="none" w:sz="0" w:space="0" w:color="auto"/>
        <w:bottom w:val="none" w:sz="0" w:space="0" w:color="auto"/>
        <w:right w:val="none" w:sz="0" w:space="0" w:color="auto"/>
      </w:divBdr>
    </w:div>
    <w:div w:id="656153250">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07401144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574924847">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D2E36-7DDE-42D6-AFE2-0CD68B7D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Tandem Energy Services</cp:lastModifiedBy>
  <cp:revision>5</cp:revision>
  <cp:lastPrinted>2014-09-29T14:43:00Z</cp:lastPrinted>
  <dcterms:created xsi:type="dcterms:W3CDTF">2019-03-18T16:17:00Z</dcterms:created>
  <dcterms:modified xsi:type="dcterms:W3CDTF">2019-03-18T16:23:00Z</dcterms:modified>
</cp:coreProperties>
</file>